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312F301F" w:rsidR="00B60939" w:rsidRPr="0098262F" w:rsidRDefault="0042318B" w:rsidP="00BE7085">
      <w:pPr>
        <w:pStyle w:val="1-MainHeading"/>
      </w:pPr>
      <w:bookmarkStart w:id="0" w:name="_Toc219709209"/>
      <w:r>
        <w:t>6</w:t>
      </w:r>
      <w:r w:rsidR="00433044" w:rsidRPr="0098262F">
        <w:t>.</w:t>
      </w:r>
      <w:r>
        <w:t>14</w:t>
      </w:r>
      <w:r w:rsidR="00163F66" w:rsidRPr="0098262F">
        <w:tab/>
      </w:r>
      <w:r w:rsidR="00BE7085">
        <w:t>U</w:t>
      </w:r>
      <w:r w:rsidR="001E3DC7">
        <w:t>PADACITINIB</w:t>
      </w:r>
      <w:r w:rsidR="00163F66" w:rsidRPr="0098262F">
        <w:t>,</w:t>
      </w:r>
      <w:r w:rsidR="00163F66" w:rsidRPr="0098262F">
        <w:br/>
      </w:r>
      <w:r w:rsidR="00BE7085">
        <w:t>Tablet 15 mg</w:t>
      </w:r>
      <w:r w:rsidR="00163F66" w:rsidRPr="0098262F">
        <w:t>,</w:t>
      </w:r>
      <w:r w:rsidR="00163F66" w:rsidRPr="0098262F">
        <w:br/>
      </w:r>
      <w:r w:rsidR="00BE7085">
        <w:t>Tablet 30 mg</w:t>
      </w:r>
      <w:r w:rsidR="00163F66" w:rsidRPr="0098262F">
        <w:t>,</w:t>
      </w:r>
      <w:r w:rsidR="00163F66" w:rsidRPr="0098262F">
        <w:br/>
      </w:r>
      <w:r w:rsidR="00BE7085">
        <w:t xml:space="preserve">Tablet 45 mg, </w:t>
      </w:r>
      <w:r w:rsidR="004A6040" w:rsidRPr="0098262F">
        <w:br/>
      </w:r>
      <w:r w:rsidR="00BE7085">
        <w:t>Rinvoq</w:t>
      </w:r>
      <w:r w:rsidR="00BE7085" w:rsidRPr="0098262F">
        <w:rPr>
          <w:vertAlign w:val="superscript"/>
        </w:rPr>
        <w:t>®</w:t>
      </w:r>
      <w:r w:rsidR="00BE7085" w:rsidRPr="0098262F">
        <w:t>,</w:t>
      </w:r>
      <w:r w:rsidR="00BE7085">
        <w:t xml:space="preserve"> </w:t>
      </w:r>
      <w:r w:rsidR="00BE7085">
        <w:br/>
      </w:r>
      <w:r w:rsidR="00174E13" w:rsidRPr="00BE7085">
        <w:t>Abb</w:t>
      </w:r>
      <w:r w:rsidR="00174E13">
        <w:t>V</w:t>
      </w:r>
      <w:r w:rsidR="00174E13" w:rsidRPr="00BE7085">
        <w:t>ie Pty Ltd</w:t>
      </w:r>
      <w:r w:rsidR="00174E13" w:rsidRPr="0098262F">
        <w:t>.</w:t>
      </w:r>
      <w:bookmarkEnd w:id="0"/>
      <w:r w:rsidR="00174E13" w:rsidRPr="0098262F">
        <w:t xml:space="preserve"> </w:t>
      </w:r>
    </w:p>
    <w:p w14:paraId="42965045" w14:textId="46EAAF20" w:rsidR="00620C4B" w:rsidRPr="0098262F" w:rsidRDefault="00620C4B" w:rsidP="00620C4B">
      <w:pPr>
        <w:pStyle w:val="2-SectionHeading"/>
      </w:pPr>
      <w:bookmarkStart w:id="1" w:name="_Toc216541075"/>
      <w:bookmarkStart w:id="2" w:name="_Toc219709211"/>
      <w:bookmarkStart w:id="3" w:name="_Hlk216610547"/>
      <w:bookmarkStart w:id="4" w:name="_Toc22897645"/>
      <w:r w:rsidRPr="0098262F">
        <w:t>Purpose of submission</w:t>
      </w:r>
      <w:bookmarkEnd w:id="1"/>
      <w:bookmarkEnd w:id="2"/>
    </w:p>
    <w:p w14:paraId="1B923A9D" w14:textId="0EC2029F" w:rsidR="00620C4B" w:rsidRDefault="00620C4B" w:rsidP="00620C4B">
      <w:pPr>
        <w:pStyle w:val="3-BodyText"/>
      </w:pPr>
      <w:r w:rsidRPr="0098262F">
        <w:t xml:space="preserve">The Category </w:t>
      </w:r>
      <w:r>
        <w:t>2</w:t>
      </w:r>
      <w:r w:rsidRPr="0098262F">
        <w:t xml:space="preserve"> submission requested </w:t>
      </w:r>
      <w:r>
        <w:t xml:space="preserve">General Schedule, </w:t>
      </w:r>
      <w:r w:rsidRPr="0098262F">
        <w:t xml:space="preserve">Authority Required, listing for </w:t>
      </w:r>
      <w:r>
        <w:t>upadacitinib</w:t>
      </w:r>
      <w:r w:rsidRPr="0098262F">
        <w:t xml:space="preserve"> for the treatment of </w:t>
      </w:r>
      <w:r w:rsidRPr="006B4C44">
        <w:t>complex refractory fistulising Crohn’s disease (FCD)</w:t>
      </w:r>
      <w:r w:rsidR="0083165F">
        <w:t>.</w:t>
      </w:r>
      <w:r w:rsidRPr="006B4C44">
        <w:t xml:space="preserve"> </w:t>
      </w:r>
    </w:p>
    <w:p w14:paraId="53DF60D1" w14:textId="65B69999" w:rsidR="00620C4B" w:rsidRDefault="00620C4B" w:rsidP="00620C4B">
      <w:pPr>
        <w:pStyle w:val="3-BodyText"/>
      </w:pPr>
      <w:bookmarkStart w:id="5" w:name="_Hlk214191215"/>
      <w:r w:rsidRPr="0098262F">
        <w:t xml:space="preserve">Listing was requested </w:t>
      </w:r>
      <w:proofErr w:type="gramStart"/>
      <w:r w:rsidRPr="0098262F">
        <w:t>on the basis of</w:t>
      </w:r>
      <w:proofErr w:type="gramEnd"/>
      <w:r w:rsidRPr="0098262F">
        <w:t xml:space="preserve"> a cost</w:t>
      </w:r>
      <w:r w:rsidR="00FC7500">
        <w:noBreakHyphen/>
      </w:r>
      <w:r w:rsidRPr="0098262F">
        <w:t>minimisation approach</w:t>
      </w:r>
      <w:r>
        <w:t xml:space="preserve"> (CMA) </w:t>
      </w:r>
      <w:r w:rsidRPr="006B4C44">
        <w:t>vs infliximab, adalimumab and ustekinumab.</w:t>
      </w:r>
      <w:r>
        <w:t xml:space="preserve"> </w:t>
      </w:r>
      <w:r>
        <w:fldChar w:fldCharType="begin"/>
      </w:r>
      <w:r>
        <w:instrText xml:space="preserve"> REF _Ref216691296 \h </w:instrText>
      </w:r>
      <w:r>
        <w:fldChar w:fldCharType="separate"/>
      </w:r>
      <w:r>
        <w:t xml:space="preserve">Table </w:t>
      </w:r>
      <w:r>
        <w:rPr>
          <w:noProof/>
        </w:rPr>
        <w:t>1</w:t>
      </w:r>
      <w:r>
        <w:fldChar w:fldCharType="end"/>
      </w:r>
      <w:r>
        <w:t xml:space="preserve"> </w:t>
      </w:r>
      <w:r w:rsidRPr="00C46609">
        <w:t>summarises the components of the clinical claim addressed by the submission.</w:t>
      </w:r>
    </w:p>
    <w:p w14:paraId="3B920C37" w14:textId="4199A6B3" w:rsidR="00620C4B" w:rsidRPr="0098262F" w:rsidRDefault="00620C4B" w:rsidP="00620C4B">
      <w:pPr>
        <w:pStyle w:val="Caption"/>
        <w:rPr>
          <w:rStyle w:val="CommentReference"/>
          <w:b/>
          <w:szCs w:val="24"/>
        </w:rPr>
      </w:pPr>
      <w:bookmarkStart w:id="6" w:name="_Ref216691296"/>
      <w:bookmarkEnd w:id="5"/>
      <w:r>
        <w:t xml:space="preserve">Table </w:t>
      </w:r>
      <w:fldSimple w:instr=" SEQ Table \* ARABIC ">
        <w:r w:rsidR="000C3F10">
          <w:rPr>
            <w:noProof/>
          </w:rPr>
          <w:t>1</w:t>
        </w:r>
      </w:fldSimple>
      <w:bookmarkEnd w:id="6"/>
      <w:r w:rsidRPr="0098262F">
        <w:t>:</w:t>
      </w:r>
      <w:r w:rsidRPr="0098262F">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quested listing"/>
      </w:tblPr>
      <w:tblGrid>
        <w:gridCol w:w="1666"/>
        <w:gridCol w:w="7351"/>
      </w:tblGrid>
      <w:tr w:rsidR="00620C4B" w:rsidRPr="0098262F" w14:paraId="0F8E77B9" w14:textId="77777777">
        <w:trPr>
          <w:cantSplit/>
          <w:tblHeader/>
        </w:trPr>
        <w:tc>
          <w:tcPr>
            <w:tcW w:w="924" w:type="pct"/>
          </w:tcPr>
          <w:p w14:paraId="6CEB6F19" w14:textId="77777777" w:rsidR="00620C4B" w:rsidRPr="0098262F" w:rsidRDefault="00620C4B">
            <w:pPr>
              <w:pStyle w:val="In-tableHeading"/>
              <w:jc w:val="center"/>
              <w:rPr>
                <w:szCs w:val="20"/>
                <w:lang w:val="en-AU"/>
              </w:rPr>
            </w:pPr>
            <w:r w:rsidRPr="0098262F">
              <w:rPr>
                <w:lang w:val="en-AU"/>
              </w:rPr>
              <w:t>Component</w:t>
            </w:r>
          </w:p>
        </w:tc>
        <w:tc>
          <w:tcPr>
            <w:tcW w:w="4076" w:type="pct"/>
          </w:tcPr>
          <w:p w14:paraId="1F11F91C" w14:textId="77777777" w:rsidR="00620C4B" w:rsidRPr="0098262F" w:rsidRDefault="00620C4B">
            <w:pPr>
              <w:pStyle w:val="In-tableHeading"/>
              <w:jc w:val="center"/>
              <w:rPr>
                <w:lang w:val="en-AU"/>
              </w:rPr>
            </w:pPr>
            <w:r w:rsidRPr="0098262F">
              <w:rPr>
                <w:lang w:val="en-AU"/>
              </w:rPr>
              <w:t>Description</w:t>
            </w:r>
          </w:p>
        </w:tc>
      </w:tr>
      <w:tr w:rsidR="00620C4B" w:rsidRPr="0098262F" w14:paraId="59423F84" w14:textId="77777777">
        <w:trPr>
          <w:cantSplit/>
        </w:trPr>
        <w:tc>
          <w:tcPr>
            <w:tcW w:w="924" w:type="pct"/>
          </w:tcPr>
          <w:p w14:paraId="6793B1CC" w14:textId="77777777" w:rsidR="00620C4B" w:rsidRPr="0098262F" w:rsidRDefault="00620C4B">
            <w:pPr>
              <w:pStyle w:val="TableText0"/>
            </w:pPr>
            <w:r w:rsidRPr="0098262F">
              <w:t>Population</w:t>
            </w:r>
          </w:p>
        </w:tc>
        <w:tc>
          <w:tcPr>
            <w:tcW w:w="4076" w:type="pct"/>
          </w:tcPr>
          <w:p w14:paraId="2818C4CA" w14:textId="384DC060" w:rsidR="00620C4B" w:rsidRPr="0098262F" w:rsidRDefault="00620C4B">
            <w:pPr>
              <w:pStyle w:val="TableText0"/>
              <w:rPr>
                <w:szCs w:val="20"/>
              </w:rPr>
            </w:pPr>
            <w:r w:rsidRPr="006B4C44">
              <w:rPr>
                <w:szCs w:val="20"/>
              </w:rPr>
              <w:t xml:space="preserve">Patients with complex refractory fistulising </w:t>
            </w:r>
            <w:r w:rsidR="00EC66BB">
              <w:rPr>
                <w:szCs w:val="20"/>
              </w:rPr>
              <w:t xml:space="preserve">Crohn’s </w:t>
            </w:r>
            <w:r w:rsidR="00272AC2">
              <w:rPr>
                <w:szCs w:val="20"/>
              </w:rPr>
              <w:t xml:space="preserve">disease </w:t>
            </w:r>
            <w:r w:rsidR="00272AC2" w:rsidRPr="006B4C44">
              <w:rPr>
                <w:szCs w:val="20"/>
              </w:rPr>
              <w:t>who</w:t>
            </w:r>
            <w:r w:rsidRPr="006B4C44">
              <w:rPr>
                <w:szCs w:val="20"/>
              </w:rPr>
              <w:t xml:space="preserve"> have externally draining enterocutaneous or rectovaginal fistula</w:t>
            </w:r>
          </w:p>
        </w:tc>
      </w:tr>
      <w:tr w:rsidR="00620C4B" w:rsidRPr="0098262F" w14:paraId="5D902061" w14:textId="77777777">
        <w:trPr>
          <w:cantSplit/>
        </w:trPr>
        <w:tc>
          <w:tcPr>
            <w:tcW w:w="924" w:type="pct"/>
          </w:tcPr>
          <w:p w14:paraId="5D8B8564" w14:textId="77777777" w:rsidR="00620C4B" w:rsidRPr="0098262F" w:rsidRDefault="00620C4B">
            <w:pPr>
              <w:pStyle w:val="TableText0"/>
            </w:pPr>
            <w:r w:rsidRPr="0098262F">
              <w:t>Intervention</w:t>
            </w:r>
          </w:p>
        </w:tc>
        <w:tc>
          <w:tcPr>
            <w:tcW w:w="4076" w:type="pct"/>
          </w:tcPr>
          <w:p w14:paraId="4C893062" w14:textId="77777777" w:rsidR="00620C4B" w:rsidRDefault="00620C4B">
            <w:pPr>
              <w:pStyle w:val="TableText0"/>
            </w:pPr>
            <w:r>
              <w:t>Induction regimen: upadacitinib 45 mg oral modified release tablet once daily for 12 weeks</w:t>
            </w:r>
          </w:p>
          <w:p w14:paraId="4611FE63" w14:textId="77777777" w:rsidR="00620C4B" w:rsidRDefault="00620C4B">
            <w:pPr>
              <w:pStyle w:val="TableText0"/>
            </w:pPr>
            <w:r>
              <w:t>Extended induction: optional upadacitinib 30 mg oral tablet once daily for additional 12 weeks</w:t>
            </w:r>
          </w:p>
          <w:p w14:paraId="3B58ED30" w14:textId="77777777" w:rsidR="00620C4B" w:rsidRPr="0098262F" w:rsidRDefault="00620C4B">
            <w:pPr>
              <w:pStyle w:val="TableText0"/>
            </w:pPr>
            <w:r>
              <w:t>Maintenance regimen: upadacitinib 15 mg or 30 mg oral tablet once daily thereafter</w:t>
            </w:r>
          </w:p>
        </w:tc>
      </w:tr>
      <w:tr w:rsidR="00620C4B" w:rsidRPr="0098262F" w14:paraId="7D519E58" w14:textId="77777777">
        <w:trPr>
          <w:cantSplit/>
        </w:trPr>
        <w:tc>
          <w:tcPr>
            <w:tcW w:w="924" w:type="pct"/>
          </w:tcPr>
          <w:p w14:paraId="7D371030" w14:textId="77777777" w:rsidR="00620C4B" w:rsidRPr="0098262F" w:rsidRDefault="00620C4B">
            <w:pPr>
              <w:pStyle w:val="TableText0"/>
            </w:pPr>
            <w:r w:rsidRPr="0098262F">
              <w:t>Comparator</w:t>
            </w:r>
          </w:p>
        </w:tc>
        <w:tc>
          <w:tcPr>
            <w:tcW w:w="4076" w:type="pct"/>
          </w:tcPr>
          <w:p w14:paraId="4474F14E" w14:textId="77777777" w:rsidR="00620C4B" w:rsidRDefault="00620C4B">
            <w:pPr>
              <w:pStyle w:val="TableText0"/>
            </w:pPr>
            <w:r>
              <w:t>Main: infliximab</w:t>
            </w:r>
          </w:p>
          <w:p w14:paraId="555A1E84" w14:textId="77777777" w:rsidR="00620C4B" w:rsidRPr="0098262F" w:rsidRDefault="00620C4B">
            <w:pPr>
              <w:pStyle w:val="TableText0"/>
            </w:pPr>
            <w:r>
              <w:t xml:space="preserve">Additional: adalimumab, ustekinumab </w:t>
            </w:r>
          </w:p>
        </w:tc>
      </w:tr>
      <w:tr w:rsidR="00620C4B" w:rsidRPr="0098262F" w14:paraId="4BE9A778" w14:textId="77777777">
        <w:trPr>
          <w:cantSplit/>
        </w:trPr>
        <w:tc>
          <w:tcPr>
            <w:tcW w:w="924" w:type="pct"/>
          </w:tcPr>
          <w:p w14:paraId="3F34817E" w14:textId="77777777" w:rsidR="00620C4B" w:rsidRPr="0098262F" w:rsidRDefault="00620C4B">
            <w:pPr>
              <w:pStyle w:val="TableText0"/>
            </w:pPr>
            <w:r w:rsidRPr="0098262F">
              <w:t>Outcomes</w:t>
            </w:r>
          </w:p>
        </w:tc>
        <w:tc>
          <w:tcPr>
            <w:tcW w:w="4076" w:type="pct"/>
          </w:tcPr>
          <w:p w14:paraId="5C588B6C" w14:textId="77777777" w:rsidR="00620C4B" w:rsidRPr="0098262F" w:rsidRDefault="00620C4B">
            <w:pPr>
              <w:pStyle w:val="TableText0"/>
              <w:rPr>
                <w:rFonts w:eastAsia="Times New Roman" w:cs="Arial"/>
                <w:bCs w:val="0"/>
                <w:snapToGrid w:val="0"/>
                <w:color w:val="0066FF"/>
                <w:szCs w:val="20"/>
              </w:rPr>
            </w:pPr>
            <w:r>
              <w:t>Fistula remission, fistula response</w:t>
            </w:r>
          </w:p>
        </w:tc>
      </w:tr>
      <w:tr w:rsidR="00620C4B" w:rsidRPr="0098262F" w14:paraId="359C00EE" w14:textId="77777777">
        <w:trPr>
          <w:cantSplit/>
        </w:trPr>
        <w:tc>
          <w:tcPr>
            <w:tcW w:w="924" w:type="pct"/>
          </w:tcPr>
          <w:p w14:paraId="5DCA7C63" w14:textId="77777777" w:rsidR="00620C4B" w:rsidRPr="0098262F" w:rsidRDefault="00620C4B">
            <w:pPr>
              <w:pStyle w:val="TableText0"/>
            </w:pPr>
            <w:r w:rsidRPr="0098262F">
              <w:t>Clinical claim</w:t>
            </w:r>
          </w:p>
        </w:tc>
        <w:tc>
          <w:tcPr>
            <w:tcW w:w="4076" w:type="pct"/>
          </w:tcPr>
          <w:p w14:paraId="3C12BAFB" w14:textId="1193764B" w:rsidR="00620C4B" w:rsidRPr="0098262F" w:rsidRDefault="00620C4B">
            <w:pPr>
              <w:pStyle w:val="TableText0"/>
              <w:rPr>
                <w:rFonts w:eastAsia="Times New Roman" w:cs="Arial"/>
                <w:bCs w:val="0"/>
                <w:snapToGrid w:val="0"/>
                <w:color w:val="0066FF"/>
                <w:szCs w:val="20"/>
              </w:rPr>
            </w:pPr>
            <w:r>
              <w:t>Upadacitinib is non</w:t>
            </w:r>
            <w:r w:rsidR="00FC7500">
              <w:noBreakHyphen/>
            </w:r>
            <w:r>
              <w:t>inferior to infliximab at achieving fistula remission and fistula response and non</w:t>
            </w:r>
            <w:r w:rsidR="00FC7500">
              <w:noBreakHyphen/>
            </w:r>
            <w:r>
              <w:t>inferior in terms of safety</w:t>
            </w:r>
          </w:p>
        </w:tc>
      </w:tr>
    </w:tbl>
    <w:p w14:paraId="3CDC8AD2" w14:textId="34FEA547" w:rsidR="00620C4B" w:rsidRDefault="00620C4B" w:rsidP="00620C4B">
      <w:pPr>
        <w:pStyle w:val="FooterTableFigure"/>
      </w:pPr>
      <w:r>
        <w:t>Source: Table 1</w:t>
      </w:r>
      <w:r w:rsidR="00FC7500">
        <w:noBreakHyphen/>
      </w:r>
      <w:r>
        <w:t>1, p4 of the submission.</w:t>
      </w:r>
    </w:p>
    <w:p w14:paraId="1D0642D2" w14:textId="77777777" w:rsidR="00620C4B" w:rsidRPr="0098262F" w:rsidRDefault="00620C4B" w:rsidP="00620C4B">
      <w:pPr>
        <w:pStyle w:val="2-SectionHeading"/>
      </w:pPr>
      <w:bookmarkStart w:id="7" w:name="_Toc219115664"/>
      <w:bookmarkStart w:id="8" w:name="_Toc219133387"/>
      <w:bookmarkStart w:id="9" w:name="_Toc216541076"/>
      <w:bookmarkStart w:id="10" w:name="_Toc219709212"/>
      <w:bookmarkEnd w:id="7"/>
      <w:bookmarkEnd w:id="8"/>
      <w:r w:rsidRPr="0098262F">
        <w:t>Background</w:t>
      </w:r>
      <w:bookmarkEnd w:id="9"/>
      <w:bookmarkEnd w:id="10"/>
    </w:p>
    <w:p w14:paraId="143E3ABF" w14:textId="77777777" w:rsidR="00620C4B" w:rsidRPr="0098262F" w:rsidRDefault="00620C4B" w:rsidP="00620C4B">
      <w:pPr>
        <w:pStyle w:val="4-SubsectionHeading"/>
      </w:pPr>
      <w:bookmarkStart w:id="11" w:name="_Toc22897638"/>
      <w:bookmarkStart w:id="12" w:name="_Toc216541077"/>
      <w:bookmarkStart w:id="13" w:name="_Toc219709213"/>
      <w:r w:rsidRPr="0098262F">
        <w:t>Registration status</w:t>
      </w:r>
      <w:bookmarkEnd w:id="11"/>
      <w:bookmarkEnd w:id="12"/>
      <w:bookmarkEnd w:id="13"/>
    </w:p>
    <w:p w14:paraId="32607DAA" w14:textId="77777777" w:rsidR="00620C4B" w:rsidRPr="006628C4" w:rsidRDefault="00620C4B" w:rsidP="00620C4B">
      <w:pPr>
        <w:pStyle w:val="3-BodyText"/>
      </w:pPr>
      <w:r w:rsidRPr="006628C4">
        <w:t>Upadacitinib was approved by the Therapeutic Goods Administration (TGA) (28 April 2023) for the following indication: ‘the treatment of adult patients with moderately to severely active Crohn’s disease (CD), who have had an inadequate response, lost response or were intolerant to either conventional therapy or a biological medicine’.</w:t>
      </w:r>
    </w:p>
    <w:p w14:paraId="3AC1B927" w14:textId="6D7DE3E1" w:rsidR="00620C4B" w:rsidRPr="006628C4" w:rsidRDefault="00620C4B" w:rsidP="00620C4B">
      <w:pPr>
        <w:pStyle w:val="3-BodyText"/>
      </w:pPr>
      <w:r w:rsidRPr="006628C4">
        <w:t xml:space="preserve">A separate TGA approval request for upadacitinib in FCD was not proposed. The requested PBS restrictions for FCD were within the scope of the upadacitinib CD TGA indication. This approach was reasonable and aligns with the PBAC precedent that interpreted the TGA indication for moderate to severe CD as also covering fistulising </w:t>
      </w:r>
      <w:bookmarkStart w:id="14" w:name="_Hlk216691431"/>
      <w:r w:rsidRPr="006628C4">
        <w:t xml:space="preserve">disease (paragraph 3, adalimumab, Public Summary Document </w:t>
      </w:r>
      <w:r w:rsidR="00590109">
        <w:t>[</w:t>
      </w:r>
      <w:r w:rsidRPr="006628C4">
        <w:t>PSD</w:t>
      </w:r>
      <w:r w:rsidR="00590109">
        <w:t>]</w:t>
      </w:r>
      <w:r w:rsidRPr="006628C4">
        <w:t>, November 2010 PBAC Meeting; paragraph 2.2, ustekinumab, PSD, July 2023 PBAC Meeting).</w:t>
      </w:r>
      <w:bookmarkEnd w:id="14"/>
    </w:p>
    <w:p w14:paraId="34E8D134" w14:textId="23EB2652" w:rsidR="00620C4B" w:rsidRPr="006628C4" w:rsidRDefault="00620C4B" w:rsidP="00620C4B">
      <w:pPr>
        <w:pStyle w:val="3-BodyText"/>
      </w:pPr>
      <w:r w:rsidRPr="006628C4">
        <w:lastRenderedPageBreak/>
        <w:t>A class</w:t>
      </w:r>
      <w:r w:rsidR="00FC7500">
        <w:noBreakHyphen/>
      </w:r>
      <w:r w:rsidRPr="006628C4">
        <w:t>wide boxed warning for Janus Kinase (JAK) covering mortality, major cardiovascular events, thrombosis, mortality, infections and use in the elderly has been added to the Australian Product Information for baricitinib, tofacitinib and upadacitinib (TGA, Important safety information for JAK inhibitors, Medicines Safety Update, 2023).</w:t>
      </w:r>
      <w:r w:rsidRPr="006628C4">
        <w:rPr>
          <w:rStyle w:val="FootnoteReference"/>
        </w:rPr>
        <w:footnoteReference w:id="1"/>
      </w:r>
    </w:p>
    <w:p w14:paraId="7F7DB506" w14:textId="7714A8A0" w:rsidR="00BE7799" w:rsidRDefault="00BF41DF" w:rsidP="00BE7799">
      <w:pPr>
        <w:pStyle w:val="3-BodyText"/>
        <w:numPr>
          <w:ilvl w:val="0"/>
          <w:numId w:val="0"/>
        </w:numPr>
        <w:rPr>
          <w:rFonts w:eastAsiaTheme="majorEastAsia" w:cstheme="majorBidi"/>
          <w:b/>
          <w:i/>
          <w:color w:val="000000" w:themeColor="text1"/>
          <w:spacing w:val="5"/>
          <w:kern w:val="28"/>
          <w:sz w:val="28"/>
          <w:szCs w:val="36"/>
          <w:lang w:eastAsia="en-US"/>
        </w:rPr>
      </w:pPr>
      <w:r>
        <w:rPr>
          <w:rFonts w:eastAsiaTheme="majorEastAsia" w:cstheme="majorBidi"/>
          <w:b/>
          <w:i/>
          <w:color w:val="000000" w:themeColor="text1"/>
          <w:spacing w:val="5"/>
          <w:kern w:val="28"/>
          <w:sz w:val="28"/>
          <w:szCs w:val="36"/>
          <w:lang w:eastAsia="en-US"/>
        </w:rPr>
        <w:t xml:space="preserve">Previous </w:t>
      </w:r>
      <w:r w:rsidR="00BE7799" w:rsidRPr="00BE7799">
        <w:rPr>
          <w:rFonts w:eastAsiaTheme="majorEastAsia" w:cstheme="majorBidi"/>
          <w:b/>
          <w:i/>
          <w:color w:val="000000" w:themeColor="text1"/>
          <w:spacing w:val="5"/>
          <w:kern w:val="28"/>
          <w:sz w:val="28"/>
          <w:szCs w:val="36"/>
          <w:lang w:eastAsia="en-US"/>
        </w:rPr>
        <w:t>PBAC considerations</w:t>
      </w:r>
    </w:p>
    <w:p w14:paraId="694E6765" w14:textId="55BD4F74" w:rsidR="00BE7799" w:rsidRPr="00BE7799" w:rsidRDefault="00F06DCB" w:rsidP="00BE7799">
      <w:pPr>
        <w:pStyle w:val="3-BodyText"/>
        <w:rPr>
          <w:lang w:eastAsia="en-US"/>
        </w:rPr>
      </w:pPr>
      <w:r>
        <w:rPr>
          <w:lang w:eastAsia="en-US"/>
        </w:rPr>
        <w:t>Upadacitinib</w:t>
      </w:r>
      <w:r w:rsidR="00BE7799">
        <w:rPr>
          <w:lang w:eastAsia="en-US"/>
        </w:rPr>
        <w:t xml:space="preserve"> was </w:t>
      </w:r>
      <w:r w:rsidR="00794B4D">
        <w:rPr>
          <w:lang w:eastAsia="en-US"/>
        </w:rPr>
        <w:t>recommended by the PBAC for Crohn’s disease at its July 2023 meeting and was listed on the PBS on 1 December 2023.</w:t>
      </w:r>
      <w:r w:rsidR="00E63ECC">
        <w:rPr>
          <w:lang w:eastAsia="en-US"/>
        </w:rPr>
        <w:t xml:space="preserve"> </w:t>
      </w:r>
      <w:r>
        <w:rPr>
          <w:lang w:eastAsia="en-US"/>
        </w:rPr>
        <w:t>Upadacitinib</w:t>
      </w:r>
      <w:r w:rsidR="00E93884">
        <w:rPr>
          <w:lang w:eastAsia="en-US"/>
        </w:rPr>
        <w:t xml:space="preserve"> is also listed on the PBS for </w:t>
      </w:r>
      <w:r w:rsidR="00CD50B3">
        <w:rPr>
          <w:lang w:eastAsia="en-US"/>
        </w:rPr>
        <w:t xml:space="preserve">ulcerative colitis, </w:t>
      </w:r>
      <w:r w:rsidR="00E93884">
        <w:rPr>
          <w:lang w:eastAsia="en-US"/>
        </w:rPr>
        <w:t xml:space="preserve">rheumatoid arthritis, </w:t>
      </w:r>
      <w:r w:rsidR="00EC2276">
        <w:rPr>
          <w:lang w:eastAsia="en-US"/>
        </w:rPr>
        <w:t xml:space="preserve">psoriatic arthritis, </w:t>
      </w:r>
      <w:r w:rsidR="006F538E">
        <w:rPr>
          <w:lang w:eastAsia="en-US"/>
        </w:rPr>
        <w:t xml:space="preserve">atopic dermatitis, </w:t>
      </w:r>
      <w:r w:rsidR="00CD50B3">
        <w:rPr>
          <w:lang w:eastAsia="en-US"/>
        </w:rPr>
        <w:t xml:space="preserve">ankylosing spondylitis and </w:t>
      </w:r>
      <w:r w:rsidR="000F5865">
        <w:rPr>
          <w:lang w:eastAsia="en-US"/>
        </w:rPr>
        <w:t>n</w:t>
      </w:r>
      <w:r w:rsidR="000F5865" w:rsidRPr="000F5865">
        <w:rPr>
          <w:lang w:eastAsia="en-US"/>
        </w:rPr>
        <w:t>on</w:t>
      </w:r>
      <w:r w:rsidR="00FC7500">
        <w:rPr>
          <w:lang w:eastAsia="en-US"/>
        </w:rPr>
        <w:noBreakHyphen/>
      </w:r>
      <w:r w:rsidR="000F5865" w:rsidRPr="000F5865">
        <w:rPr>
          <w:lang w:eastAsia="en-US"/>
        </w:rPr>
        <w:t>radiographic axial spondyloarthritis</w:t>
      </w:r>
      <w:r w:rsidR="00CD50B3">
        <w:rPr>
          <w:lang w:eastAsia="en-US"/>
        </w:rPr>
        <w:t>.</w:t>
      </w:r>
    </w:p>
    <w:p w14:paraId="62AE8F08" w14:textId="2FD607DE" w:rsidR="00620C4B" w:rsidRDefault="00620C4B" w:rsidP="00620C4B">
      <w:pPr>
        <w:pStyle w:val="2-SectionHeading"/>
      </w:pPr>
      <w:bookmarkStart w:id="15" w:name="_Toc216541078"/>
      <w:bookmarkStart w:id="16" w:name="_Toc219709214"/>
      <w:r w:rsidRPr="0098262F">
        <w:t>Requested listing</w:t>
      </w:r>
      <w:bookmarkEnd w:id="15"/>
      <w:bookmarkEnd w:id="16"/>
    </w:p>
    <w:p w14:paraId="5DB20942" w14:textId="73BCD1CE" w:rsidR="00620C4B" w:rsidRPr="00A30295" w:rsidRDefault="00620C4B" w:rsidP="00620C4B">
      <w:pPr>
        <w:pStyle w:val="3-BodyText"/>
      </w:pPr>
      <w:r w:rsidRPr="00A30295">
        <w:t xml:space="preserve">For brevity, an abridged version of the restriction is presented below. </w:t>
      </w:r>
    </w:p>
    <w:p w14:paraId="3A3D496F" w14:textId="77777777" w:rsidR="006153BF" w:rsidRPr="00C01EBD" w:rsidRDefault="006153BF" w:rsidP="006153BF">
      <w:pPr>
        <w:pStyle w:val="3-BodyText"/>
        <w:numPr>
          <w:ilvl w:val="0"/>
          <w:numId w:val="0"/>
        </w:num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2269"/>
        <w:gridCol w:w="1134"/>
        <w:gridCol w:w="992"/>
        <w:gridCol w:w="709"/>
        <w:gridCol w:w="941"/>
      </w:tblGrid>
      <w:tr w:rsidR="00732B27" w:rsidRPr="0098262F" w14:paraId="3B610D51" w14:textId="77777777">
        <w:trPr>
          <w:cantSplit/>
          <w:trHeight w:val="20"/>
        </w:trPr>
        <w:tc>
          <w:tcPr>
            <w:tcW w:w="1648" w:type="pct"/>
            <w:vAlign w:val="center"/>
          </w:tcPr>
          <w:p w14:paraId="121A23A3" w14:textId="77777777" w:rsidR="00620C4B" w:rsidRPr="00EE7434" w:rsidRDefault="00620C4B">
            <w:pPr>
              <w:pStyle w:val="TableText0"/>
              <w:jc w:val="center"/>
              <w:rPr>
                <w:b/>
                <w:bCs w:val="0"/>
              </w:rPr>
            </w:pPr>
            <w:r w:rsidRPr="00EE7434">
              <w:rPr>
                <w:b/>
                <w:bCs w:val="0"/>
              </w:rPr>
              <w:t>MEDICINAL PRODUCT</w:t>
            </w:r>
          </w:p>
          <w:p w14:paraId="0FD5E4F5" w14:textId="77777777" w:rsidR="00620C4B" w:rsidRPr="00EE7434" w:rsidRDefault="00620C4B">
            <w:pPr>
              <w:pStyle w:val="TableText0"/>
              <w:jc w:val="center"/>
              <w:rPr>
                <w:b/>
                <w:bCs w:val="0"/>
              </w:rPr>
            </w:pPr>
            <w:r w:rsidRPr="00EE7434">
              <w:rPr>
                <w:b/>
                <w:bCs w:val="0"/>
              </w:rPr>
              <w:t>medicinal product pack</w:t>
            </w:r>
          </w:p>
        </w:tc>
        <w:tc>
          <w:tcPr>
            <w:tcW w:w="1258" w:type="pct"/>
            <w:vAlign w:val="center"/>
          </w:tcPr>
          <w:p w14:paraId="1BBD3C16" w14:textId="77777777" w:rsidR="00620C4B" w:rsidRPr="00EE7434" w:rsidRDefault="00620C4B">
            <w:pPr>
              <w:pStyle w:val="TableText0"/>
              <w:jc w:val="center"/>
              <w:rPr>
                <w:b/>
                <w:bCs w:val="0"/>
              </w:rPr>
            </w:pPr>
            <w:r w:rsidRPr="00EE7434">
              <w:rPr>
                <w:b/>
                <w:bCs w:val="0"/>
                <w:snapToGrid w:val="0"/>
              </w:rPr>
              <w:t>Dispensed Price for Max. Qty</w:t>
            </w:r>
          </w:p>
        </w:tc>
        <w:tc>
          <w:tcPr>
            <w:tcW w:w="629" w:type="pct"/>
            <w:vAlign w:val="center"/>
          </w:tcPr>
          <w:p w14:paraId="45B6CA7E" w14:textId="77777777" w:rsidR="00620C4B" w:rsidRPr="00EE7434" w:rsidRDefault="00620C4B">
            <w:pPr>
              <w:pStyle w:val="TableText0"/>
              <w:jc w:val="center"/>
              <w:rPr>
                <w:b/>
                <w:bCs w:val="0"/>
              </w:rPr>
            </w:pPr>
            <w:r w:rsidRPr="00EE7434">
              <w:rPr>
                <w:b/>
                <w:bCs w:val="0"/>
              </w:rPr>
              <w:t>Max. qty packs</w:t>
            </w:r>
          </w:p>
        </w:tc>
        <w:tc>
          <w:tcPr>
            <w:tcW w:w="550" w:type="pct"/>
            <w:vAlign w:val="center"/>
          </w:tcPr>
          <w:p w14:paraId="10832DF3" w14:textId="77777777" w:rsidR="00620C4B" w:rsidRPr="00EE7434" w:rsidRDefault="00620C4B">
            <w:pPr>
              <w:pStyle w:val="TableText0"/>
              <w:jc w:val="center"/>
              <w:rPr>
                <w:b/>
                <w:bCs w:val="0"/>
              </w:rPr>
            </w:pPr>
            <w:r w:rsidRPr="00EE7434">
              <w:rPr>
                <w:b/>
                <w:bCs w:val="0"/>
              </w:rPr>
              <w:t>Max. qty units</w:t>
            </w:r>
          </w:p>
        </w:tc>
        <w:tc>
          <w:tcPr>
            <w:tcW w:w="393" w:type="pct"/>
            <w:vAlign w:val="center"/>
          </w:tcPr>
          <w:p w14:paraId="13868584" w14:textId="77777777" w:rsidR="00620C4B" w:rsidRPr="00EE7434" w:rsidRDefault="00620C4B">
            <w:pPr>
              <w:pStyle w:val="TableText0"/>
              <w:jc w:val="center"/>
              <w:rPr>
                <w:b/>
                <w:bCs w:val="0"/>
              </w:rPr>
            </w:pPr>
            <w:r w:rsidRPr="00EE7434">
              <w:rPr>
                <w:b/>
                <w:bCs w:val="0"/>
              </w:rPr>
              <w:t>№.of</w:t>
            </w:r>
          </w:p>
          <w:p w14:paraId="2ABCE24F" w14:textId="77777777" w:rsidR="00620C4B" w:rsidRPr="00EE7434" w:rsidRDefault="00620C4B">
            <w:pPr>
              <w:pStyle w:val="TableText0"/>
              <w:jc w:val="center"/>
              <w:rPr>
                <w:b/>
                <w:bCs w:val="0"/>
              </w:rPr>
            </w:pPr>
            <w:r w:rsidRPr="00EE7434">
              <w:rPr>
                <w:b/>
                <w:bCs w:val="0"/>
              </w:rPr>
              <w:t>Rpts</w:t>
            </w:r>
          </w:p>
        </w:tc>
        <w:tc>
          <w:tcPr>
            <w:tcW w:w="522" w:type="pct"/>
            <w:vAlign w:val="center"/>
          </w:tcPr>
          <w:p w14:paraId="2B42C3DF" w14:textId="77777777" w:rsidR="00620C4B" w:rsidRPr="00EE7434" w:rsidRDefault="00620C4B">
            <w:pPr>
              <w:pStyle w:val="TableText0"/>
              <w:jc w:val="center"/>
              <w:rPr>
                <w:b/>
                <w:bCs w:val="0"/>
              </w:rPr>
            </w:pPr>
            <w:r w:rsidRPr="00EE7434">
              <w:rPr>
                <w:b/>
                <w:bCs w:val="0"/>
              </w:rPr>
              <w:t>Available brands</w:t>
            </w:r>
          </w:p>
        </w:tc>
      </w:tr>
      <w:tr w:rsidR="00620C4B" w:rsidRPr="0098262F" w14:paraId="1EED1E40" w14:textId="77777777">
        <w:trPr>
          <w:cantSplit/>
          <w:trHeight w:val="20"/>
        </w:trPr>
        <w:tc>
          <w:tcPr>
            <w:tcW w:w="5000" w:type="pct"/>
            <w:gridSpan w:val="6"/>
            <w:vAlign w:val="center"/>
          </w:tcPr>
          <w:p w14:paraId="1548A4F6" w14:textId="77777777" w:rsidR="00620C4B" w:rsidRPr="0098262F" w:rsidRDefault="00620C4B">
            <w:pPr>
              <w:pStyle w:val="TableText0"/>
              <w:rPr>
                <w:rFonts w:cs="Arial"/>
                <w:szCs w:val="20"/>
              </w:rPr>
            </w:pPr>
            <w:r>
              <w:t>UPADACITINIB</w:t>
            </w:r>
          </w:p>
        </w:tc>
      </w:tr>
      <w:tr w:rsidR="00732B27" w:rsidRPr="0098262F" w14:paraId="11834850" w14:textId="77777777">
        <w:trPr>
          <w:cantSplit/>
          <w:trHeight w:val="20"/>
        </w:trPr>
        <w:tc>
          <w:tcPr>
            <w:tcW w:w="1648" w:type="pct"/>
            <w:vAlign w:val="center"/>
          </w:tcPr>
          <w:p w14:paraId="09AE4F86" w14:textId="77777777" w:rsidR="00620C4B" w:rsidRPr="00A84917" w:rsidRDefault="00620C4B">
            <w:pPr>
              <w:pStyle w:val="TableText0"/>
              <w:rPr>
                <w:color w:val="000000" w:themeColor="text1"/>
              </w:rPr>
            </w:pPr>
            <w:r w:rsidRPr="00A84917">
              <w:rPr>
                <w:color w:val="000000" w:themeColor="text1"/>
              </w:rPr>
              <w:t>[Initial treatment]</w:t>
            </w:r>
          </w:p>
          <w:p w14:paraId="7F2D8C16" w14:textId="77777777" w:rsidR="00620C4B" w:rsidRPr="00A84917" w:rsidRDefault="00620C4B">
            <w:pPr>
              <w:pStyle w:val="TableText0"/>
              <w:rPr>
                <w:color w:val="0066FF"/>
                <w:szCs w:val="20"/>
              </w:rPr>
            </w:pPr>
            <w:r>
              <w:rPr>
                <w:color w:val="000000" w:themeColor="text1"/>
                <w:szCs w:val="20"/>
              </w:rPr>
              <w:t>U</w:t>
            </w:r>
            <w:r w:rsidRPr="00A84917">
              <w:rPr>
                <w:color w:val="000000" w:themeColor="text1"/>
                <w:szCs w:val="20"/>
              </w:rPr>
              <w:t xml:space="preserve">padacitinib 45 mg tablet, 28 </w:t>
            </w:r>
          </w:p>
        </w:tc>
        <w:tc>
          <w:tcPr>
            <w:tcW w:w="1258" w:type="pct"/>
            <w:vAlign w:val="center"/>
          </w:tcPr>
          <w:p w14:paraId="116421FB" w14:textId="77777777" w:rsidR="00620C4B" w:rsidRPr="0098262F" w:rsidRDefault="00620C4B">
            <w:pPr>
              <w:pStyle w:val="TableText0"/>
              <w:jc w:val="center"/>
            </w:pPr>
            <w:r w:rsidRPr="0098262F">
              <w:t>$</w:t>
            </w:r>
            <w:r w:rsidRPr="00844E4E">
              <w:t>2,717.78</w:t>
            </w:r>
            <w:r w:rsidRPr="0098262F">
              <w:t xml:space="preserve"> published price</w:t>
            </w:r>
          </w:p>
          <w:p w14:paraId="49784292" w14:textId="75A2BD59" w:rsidR="00620C4B" w:rsidRPr="0098262F" w:rsidRDefault="00620C4B">
            <w:pPr>
              <w:pStyle w:val="TableText0"/>
              <w:jc w:val="center"/>
              <w:rPr>
                <w:szCs w:val="20"/>
              </w:rPr>
            </w:pPr>
            <w:r w:rsidRPr="00084EB0">
              <w:t>$</w:t>
            </w:r>
            <w:r w:rsidR="00443A05" w:rsidRPr="00443A05">
              <w:rPr>
                <w:sz w:val="2"/>
                <w:highlight w:val="black"/>
              </w:rPr>
              <w:t>redacted content</w:t>
            </w:r>
            <w:r w:rsidRPr="0098262F">
              <w:t xml:space="preserve"> effective price</w:t>
            </w:r>
          </w:p>
        </w:tc>
        <w:tc>
          <w:tcPr>
            <w:tcW w:w="629" w:type="pct"/>
            <w:vAlign w:val="center"/>
          </w:tcPr>
          <w:p w14:paraId="259EB135" w14:textId="77777777" w:rsidR="00620C4B" w:rsidRPr="0098262F" w:rsidRDefault="00620C4B">
            <w:pPr>
              <w:pStyle w:val="TableText0"/>
              <w:jc w:val="center"/>
              <w:rPr>
                <w:szCs w:val="20"/>
              </w:rPr>
            </w:pPr>
            <w:r>
              <w:t>1</w:t>
            </w:r>
          </w:p>
        </w:tc>
        <w:tc>
          <w:tcPr>
            <w:tcW w:w="550" w:type="pct"/>
            <w:vAlign w:val="center"/>
          </w:tcPr>
          <w:p w14:paraId="540113BF" w14:textId="77777777" w:rsidR="00620C4B" w:rsidRPr="0098262F" w:rsidRDefault="00620C4B">
            <w:pPr>
              <w:pStyle w:val="TableText0"/>
              <w:jc w:val="center"/>
              <w:rPr>
                <w:szCs w:val="20"/>
              </w:rPr>
            </w:pPr>
            <w:r>
              <w:t>28</w:t>
            </w:r>
          </w:p>
        </w:tc>
        <w:tc>
          <w:tcPr>
            <w:tcW w:w="393" w:type="pct"/>
            <w:vAlign w:val="center"/>
          </w:tcPr>
          <w:p w14:paraId="485F69E4" w14:textId="77777777" w:rsidR="00620C4B" w:rsidRPr="0098262F" w:rsidRDefault="00620C4B">
            <w:pPr>
              <w:pStyle w:val="TableText0"/>
              <w:jc w:val="center"/>
              <w:rPr>
                <w:szCs w:val="20"/>
              </w:rPr>
            </w:pPr>
            <w:r>
              <w:t>2</w:t>
            </w:r>
          </w:p>
        </w:tc>
        <w:tc>
          <w:tcPr>
            <w:tcW w:w="522" w:type="pct"/>
            <w:vAlign w:val="center"/>
          </w:tcPr>
          <w:p w14:paraId="0F6E3210" w14:textId="77777777" w:rsidR="00620C4B" w:rsidRPr="0098262F" w:rsidRDefault="00620C4B">
            <w:pPr>
              <w:pStyle w:val="TableText0"/>
              <w:rPr>
                <w:color w:val="0066FF"/>
                <w:szCs w:val="20"/>
              </w:rPr>
            </w:pPr>
            <w:r w:rsidRPr="008C5D6D">
              <w:rPr>
                <w:color w:val="000000" w:themeColor="text1"/>
                <w:szCs w:val="20"/>
              </w:rPr>
              <w:t>Rinvoq</w:t>
            </w:r>
          </w:p>
        </w:tc>
      </w:tr>
      <w:tr w:rsidR="00732B27" w:rsidRPr="0098262F" w14:paraId="27004C80" w14:textId="77777777">
        <w:trPr>
          <w:cantSplit/>
          <w:trHeight w:val="20"/>
        </w:trPr>
        <w:tc>
          <w:tcPr>
            <w:tcW w:w="1648" w:type="pct"/>
            <w:vAlign w:val="center"/>
          </w:tcPr>
          <w:p w14:paraId="7479D6E3" w14:textId="7AE84231" w:rsidR="00620C4B" w:rsidRPr="00A84917" w:rsidRDefault="00620C4B">
            <w:pPr>
              <w:pStyle w:val="TableText0"/>
              <w:rPr>
                <w:color w:val="000000" w:themeColor="text1"/>
                <w:szCs w:val="20"/>
              </w:rPr>
            </w:pPr>
            <w:r w:rsidRPr="00A84917">
              <w:rPr>
                <w:color w:val="000000" w:themeColor="text1"/>
                <w:szCs w:val="20"/>
              </w:rPr>
              <w:t>[Initial treatment</w:t>
            </w:r>
            <w:r w:rsidR="00FC7500">
              <w:rPr>
                <w:color w:val="000000" w:themeColor="text1"/>
                <w:szCs w:val="20"/>
              </w:rPr>
              <w:noBreakHyphen/>
            </w:r>
            <w:r w:rsidRPr="00A84917">
              <w:rPr>
                <w:color w:val="000000" w:themeColor="text1"/>
                <w:szCs w:val="20"/>
              </w:rPr>
              <w:t>extended induction]</w:t>
            </w:r>
          </w:p>
          <w:p w14:paraId="0135BAA7" w14:textId="77777777" w:rsidR="00620C4B" w:rsidRPr="00A84917" w:rsidRDefault="00620C4B">
            <w:pPr>
              <w:pStyle w:val="TableText0"/>
              <w:rPr>
                <w:color w:val="0066FF"/>
                <w:szCs w:val="20"/>
              </w:rPr>
            </w:pPr>
            <w:r>
              <w:rPr>
                <w:color w:val="000000" w:themeColor="text1"/>
                <w:szCs w:val="20"/>
              </w:rPr>
              <w:t>U</w:t>
            </w:r>
            <w:r w:rsidRPr="00A84917">
              <w:rPr>
                <w:color w:val="000000" w:themeColor="text1"/>
                <w:szCs w:val="20"/>
              </w:rPr>
              <w:t>padacitinib 30 mg tablet, 28</w:t>
            </w:r>
          </w:p>
        </w:tc>
        <w:tc>
          <w:tcPr>
            <w:tcW w:w="1258" w:type="pct"/>
            <w:vAlign w:val="center"/>
          </w:tcPr>
          <w:p w14:paraId="054659A2" w14:textId="77777777" w:rsidR="00620C4B" w:rsidRPr="0098262F" w:rsidRDefault="00620C4B">
            <w:pPr>
              <w:pStyle w:val="TableText0"/>
              <w:jc w:val="center"/>
            </w:pPr>
            <w:r w:rsidRPr="0098262F">
              <w:t>$</w:t>
            </w:r>
            <w:r w:rsidRPr="00844E4E">
              <w:t>2,078.09</w:t>
            </w:r>
            <w:r w:rsidRPr="0098262F">
              <w:t xml:space="preserve"> published price</w:t>
            </w:r>
          </w:p>
          <w:p w14:paraId="76E961D5" w14:textId="5F5ED831" w:rsidR="00620C4B" w:rsidRPr="0098262F" w:rsidRDefault="00620C4B">
            <w:pPr>
              <w:pStyle w:val="TableText0"/>
              <w:jc w:val="center"/>
              <w:rPr>
                <w:szCs w:val="20"/>
              </w:rPr>
            </w:pPr>
            <w:r w:rsidRPr="00084EB0">
              <w:t>$</w:t>
            </w:r>
            <w:r w:rsidR="00443A05" w:rsidRPr="00443A05">
              <w:rPr>
                <w:sz w:val="2"/>
                <w:highlight w:val="black"/>
              </w:rPr>
              <w:t>redacted content</w:t>
            </w:r>
            <w:r w:rsidRPr="0098262F">
              <w:t xml:space="preserve"> effective price</w:t>
            </w:r>
          </w:p>
        </w:tc>
        <w:tc>
          <w:tcPr>
            <w:tcW w:w="629" w:type="pct"/>
            <w:vAlign w:val="center"/>
          </w:tcPr>
          <w:p w14:paraId="725B26BD" w14:textId="77777777" w:rsidR="00620C4B" w:rsidRPr="0098262F" w:rsidRDefault="00620C4B">
            <w:pPr>
              <w:pStyle w:val="TableText0"/>
              <w:jc w:val="center"/>
              <w:rPr>
                <w:szCs w:val="20"/>
              </w:rPr>
            </w:pPr>
            <w:r>
              <w:t>1</w:t>
            </w:r>
          </w:p>
        </w:tc>
        <w:tc>
          <w:tcPr>
            <w:tcW w:w="550" w:type="pct"/>
            <w:vAlign w:val="center"/>
          </w:tcPr>
          <w:p w14:paraId="2DEA1314" w14:textId="77777777" w:rsidR="00620C4B" w:rsidRPr="0098262F" w:rsidRDefault="00620C4B">
            <w:pPr>
              <w:pStyle w:val="TableText0"/>
              <w:jc w:val="center"/>
              <w:rPr>
                <w:szCs w:val="20"/>
              </w:rPr>
            </w:pPr>
            <w:r>
              <w:t>28</w:t>
            </w:r>
          </w:p>
        </w:tc>
        <w:tc>
          <w:tcPr>
            <w:tcW w:w="393" w:type="pct"/>
            <w:vAlign w:val="center"/>
          </w:tcPr>
          <w:p w14:paraId="07EAA7D5" w14:textId="77777777" w:rsidR="00620C4B" w:rsidRPr="0098262F" w:rsidRDefault="00620C4B">
            <w:pPr>
              <w:pStyle w:val="TableText0"/>
              <w:jc w:val="center"/>
              <w:rPr>
                <w:szCs w:val="20"/>
              </w:rPr>
            </w:pPr>
            <w:r>
              <w:t>2</w:t>
            </w:r>
          </w:p>
        </w:tc>
        <w:tc>
          <w:tcPr>
            <w:tcW w:w="522" w:type="pct"/>
            <w:vAlign w:val="center"/>
          </w:tcPr>
          <w:p w14:paraId="50354762" w14:textId="77777777" w:rsidR="00620C4B" w:rsidRPr="0098262F" w:rsidRDefault="00620C4B">
            <w:pPr>
              <w:pStyle w:val="TableText0"/>
              <w:rPr>
                <w:color w:val="0066FF"/>
                <w:szCs w:val="20"/>
              </w:rPr>
            </w:pPr>
            <w:r>
              <w:rPr>
                <w:szCs w:val="20"/>
              </w:rPr>
              <w:t>Rinvoq</w:t>
            </w:r>
          </w:p>
        </w:tc>
      </w:tr>
      <w:tr w:rsidR="00732B27" w:rsidRPr="0098262F" w14:paraId="3102FD76" w14:textId="77777777">
        <w:trPr>
          <w:cantSplit/>
          <w:trHeight w:val="20"/>
        </w:trPr>
        <w:tc>
          <w:tcPr>
            <w:tcW w:w="1648" w:type="pct"/>
            <w:vAlign w:val="center"/>
          </w:tcPr>
          <w:p w14:paraId="5183926E" w14:textId="77777777" w:rsidR="00620C4B" w:rsidRPr="00A84917" w:rsidRDefault="00620C4B">
            <w:pPr>
              <w:pStyle w:val="TableText0"/>
              <w:rPr>
                <w:color w:val="000000" w:themeColor="text1"/>
                <w:szCs w:val="20"/>
              </w:rPr>
            </w:pPr>
            <w:r w:rsidRPr="00A84917">
              <w:rPr>
                <w:color w:val="000000" w:themeColor="text1"/>
                <w:szCs w:val="20"/>
              </w:rPr>
              <w:t>[Continuing treatment]</w:t>
            </w:r>
          </w:p>
          <w:p w14:paraId="3F956E30" w14:textId="77777777" w:rsidR="00620C4B" w:rsidRPr="00A84917" w:rsidRDefault="00620C4B">
            <w:pPr>
              <w:pStyle w:val="TableText0"/>
              <w:rPr>
                <w:color w:val="0066FF"/>
                <w:szCs w:val="20"/>
              </w:rPr>
            </w:pPr>
            <w:r>
              <w:rPr>
                <w:color w:val="000000" w:themeColor="text1"/>
                <w:szCs w:val="20"/>
              </w:rPr>
              <w:t>U</w:t>
            </w:r>
            <w:r w:rsidRPr="00A84917">
              <w:rPr>
                <w:color w:val="000000" w:themeColor="text1"/>
                <w:szCs w:val="20"/>
              </w:rPr>
              <w:t>padacitinib 30 mg tablet, 28</w:t>
            </w:r>
          </w:p>
        </w:tc>
        <w:tc>
          <w:tcPr>
            <w:tcW w:w="1258" w:type="pct"/>
            <w:vAlign w:val="center"/>
          </w:tcPr>
          <w:p w14:paraId="62B0F450" w14:textId="77777777" w:rsidR="00620C4B" w:rsidRPr="00844E4E" w:rsidRDefault="00620C4B">
            <w:pPr>
              <w:pStyle w:val="TableText0"/>
              <w:jc w:val="center"/>
              <w:rPr>
                <w:szCs w:val="20"/>
              </w:rPr>
            </w:pPr>
            <w:r w:rsidRPr="00844E4E">
              <w:rPr>
                <w:szCs w:val="20"/>
              </w:rPr>
              <w:t>$2,078.09 published price</w:t>
            </w:r>
          </w:p>
          <w:p w14:paraId="399988D7" w14:textId="009C7FA6" w:rsidR="00620C4B" w:rsidRPr="0098262F" w:rsidRDefault="00620C4B">
            <w:pPr>
              <w:pStyle w:val="TableText0"/>
              <w:jc w:val="center"/>
              <w:rPr>
                <w:szCs w:val="20"/>
              </w:rPr>
            </w:pPr>
            <w:r w:rsidRPr="00084EB0">
              <w:rPr>
                <w:szCs w:val="20"/>
              </w:rPr>
              <w:t>$</w:t>
            </w:r>
            <w:r w:rsidR="00443A05" w:rsidRPr="00443A05">
              <w:rPr>
                <w:sz w:val="2"/>
                <w:szCs w:val="20"/>
                <w:highlight w:val="black"/>
              </w:rPr>
              <w:t>redacted content</w:t>
            </w:r>
            <w:r w:rsidR="00443A05" w:rsidRPr="00443A05">
              <w:rPr>
                <w:szCs w:val="20"/>
              </w:rPr>
              <w:t xml:space="preserve"> </w:t>
            </w:r>
            <w:r w:rsidRPr="00844E4E">
              <w:rPr>
                <w:szCs w:val="20"/>
              </w:rPr>
              <w:t>effective price</w:t>
            </w:r>
          </w:p>
        </w:tc>
        <w:tc>
          <w:tcPr>
            <w:tcW w:w="629" w:type="pct"/>
            <w:vAlign w:val="center"/>
          </w:tcPr>
          <w:p w14:paraId="52236989" w14:textId="77777777" w:rsidR="00620C4B" w:rsidRPr="0098262F" w:rsidRDefault="00620C4B">
            <w:pPr>
              <w:pStyle w:val="TableText0"/>
              <w:jc w:val="center"/>
              <w:rPr>
                <w:szCs w:val="20"/>
              </w:rPr>
            </w:pPr>
            <w:r>
              <w:t>1</w:t>
            </w:r>
          </w:p>
        </w:tc>
        <w:tc>
          <w:tcPr>
            <w:tcW w:w="550" w:type="pct"/>
            <w:vAlign w:val="center"/>
          </w:tcPr>
          <w:p w14:paraId="339486E9" w14:textId="77777777" w:rsidR="00620C4B" w:rsidRPr="0098262F" w:rsidRDefault="00620C4B">
            <w:pPr>
              <w:pStyle w:val="TableText0"/>
              <w:jc w:val="center"/>
              <w:rPr>
                <w:szCs w:val="20"/>
              </w:rPr>
            </w:pPr>
            <w:r>
              <w:t>28</w:t>
            </w:r>
          </w:p>
        </w:tc>
        <w:tc>
          <w:tcPr>
            <w:tcW w:w="393" w:type="pct"/>
            <w:vAlign w:val="center"/>
          </w:tcPr>
          <w:p w14:paraId="64085FD3" w14:textId="77777777" w:rsidR="00620C4B" w:rsidRPr="0098262F" w:rsidRDefault="00620C4B">
            <w:pPr>
              <w:pStyle w:val="TableText0"/>
              <w:jc w:val="center"/>
              <w:rPr>
                <w:szCs w:val="20"/>
              </w:rPr>
            </w:pPr>
            <w:r>
              <w:t>5</w:t>
            </w:r>
          </w:p>
        </w:tc>
        <w:tc>
          <w:tcPr>
            <w:tcW w:w="522" w:type="pct"/>
            <w:vAlign w:val="center"/>
          </w:tcPr>
          <w:p w14:paraId="305110EC" w14:textId="77777777" w:rsidR="00620C4B" w:rsidRPr="0098262F" w:rsidRDefault="00620C4B">
            <w:pPr>
              <w:pStyle w:val="TableText0"/>
              <w:rPr>
                <w:szCs w:val="20"/>
              </w:rPr>
            </w:pPr>
            <w:r w:rsidRPr="008C5D6D">
              <w:rPr>
                <w:szCs w:val="20"/>
              </w:rPr>
              <w:t>Rinvoq</w:t>
            </w:r>
          </w:p>
        </w:tc>
      </w:tr>
      <w:tr w:rsidR="00732B27" w:rsidRPr="0098262F" w14:paraId="0526BE2F" w14:textId="77777777">
        <w:trPr>
          <w:cantSplit/>
          <w:trHeight w:val="20"/>
        </w:trPr>
        <w:tc>
          <w:tcPr>
            <w:tcW w:w="1648" w:type="pct"/>
            <w:vAlign w:val="center"/>
          </w:tcPr>
          <w:p w14:paraId="5AC25588" w14:textId="77777777" w:rsidR="00620C4B" w:rsidRPr="00A84917" w:rsidRDefault="00620C4B">
            <w:pPr>
              <w:pStyle w:val="TableText0"/>
              <w:rPr>
                <w:color w:val="000000" w:themeColor="text1"/>
                <w:szCs w:val="20"/>
              </w:rPr>
            </w:pPr>
            <w:r w:rsidRPr="00A84917">
              <w:rPr>
                <w:color w:val="000000" w:themeColor="text1"/>
                <w:szCs w:val="20"/>
              </w:rPr>
              <w:t>[Continuing treatment]</w:t>
            </w:r>
          </w:p>
          <w:p w14:paraId="6C582F0D" w14:textId="77777777" w:rsidR="00620C4B" w:rsidRPr="00A84917" w:rsidRDefault="00620C4B">
            <w:pPr>
              <w:pStyle w:val="TableText0"/>
              <w:rPr>
                <w:color w:val="000000" w:themeColor="text1"/>
                <w:szCs w:val="20"/>
              </w:rPr>
            </w:pPr>
            <w:r>
              <w:rPr>
                <w:color w:val="000000" w:themeColor="text1"/>
                <w:szCs w:val="20"/>
              </w:rPr>
              <w:t>U</w:t>
            </w:r>
            <w:r w:rsidRPr="00A84917">
              <w:rPr>
                <w:color w:val="000000" w:themeColor="text1"/>
                <w:szCs w:val="20"/>
              </w:rPr>
              <w:t>padacitinib 15 mg tablet, 28</w:t>
            </w:r>
          </w:p>
        </w:tc>
        <w:tc>
          <w:tcPr>
            <w:tcW w:w="1258" w:type="pct"/>
            <w:vAlign w:val="center"/>
          </w:tcPr>
          <w:p w14:paraId="0E11EE1A" w14:textId="77777777" w:rsidR="00620C4B" w:rsidRPr="00844E4E" w:rsidRDefault="00620C4B">
            <w:pPr>
              <w:pStyle w:val="TableText0"/>
              <w:jc w:val="center"/>
              <w:rPr>
                <w:szCs w:val="20"/>
              </w:rPr>
            </w:pPr>
            <w:r w:rsidRPr="00844E4E">
              <w:rPr>
                <w:szCs w:val="20"/>
              </w:rPr>
              <w:t>$1,273.11 published price</w:t>
            </w:r>
          </w:p>
          <w:p w14:paraId="60E80FF8" w14:textId="524E5C6E" w:rsidR="00620C4B" w:rsidRPr="0098262F" w:rsidRDefault="00620C4B">
            <w:pPr>
              <w:pStyle w:val="TableText0"/>
              <w:jc w:val="center"/>
              <w:rPr>
                <w:szCs w:val="20"/>
              </w:rPr>
            </w:pPr>
            <w:r w:rsidRPr="00084EB0">
              <w:rPr>
                <w:szCs w:val="20"/>
              </w:rPr>
              <w:t>$</w:t>
            </w:r>
            <w:r w:rsidR="00443A05" w:rsidRPr="00443A05">
              <w:rPr>
                <w:sz w:val="2"/>
                <w:szCs w:val="20"/>
                <w:highlight w:val="black"/>
              </w:rPr>
              <w:t>redacted content</w:t>
            </w:r>
            <w:r w:rsidR="00443A05" w:rsidRPr="00443A05">
              <w:rPr>
                <w:szCs w:val="20"/>
              </w:rPr>
              <w:t xml:space="preserve"> </w:t>
            </w:r>
            <w:r w:rsidRPr="00844E4E">
              <w:rPr>
                <w:szCs w:val="20"/>
              </w:rPr>
              <w:t>effective price</w:t>
            </w:r>
          </w:p>
        </w:tc>
        <w:tc>
          <w:tcPr>
            <w:tcW w:w="629" w:type="pct"/>
            <w:vAlign w:val="center"/>
          </w:tcPr>
          <w:p w14:paraId="41B98399" w14:textId="77777777" w:rsidR="00620C4B" w:rsidRPr="0098262F" w:rsidRDefault="00620C4B">
            <w:pPr>
              <w:pStyle w:val="TableText0"/>
              <w:jc w:val="center"/>
              <w:rPr>
                <w:szCs w:val="20"/>
              </w:rPr>
            </w:pPr>
            <w:r>
              <w:t>1</w:t>
            </w:r>
          </w:p>
        </w:tc>
        <w:tc>
          <w:tcPr>
            <w:tcW w:w="550" w:type="pct"/>
            <w:vAlign w:val="center"/>
          </w:tcPr>
          <w:p w14:paraId="04FA4AA5" w14:textId="77777777" w:rsidR="00620C4B" w:rsidRPr="0098262F" w:rsidRDefault="00620C4B">
            <w:pPr>
              <w:pStyle w:val="TableText0"/>
              <w:jc w:val="center"/>
              <w:rPr>
                <w:szCs w:val="20"/>
              </w:rPr>
            </w:pPr>
            <w:r>
              <w:t>28</w:t>
            </w:r>
          </w:p>
        </w:tc>
        <w:tc>
          <w:tcPr>
            <w:tcW w:w="393" w:type="pct"/>
            <w:vAlign w:val="center"/>
          </w:tcPr>
          <w:p w14:paraId="110E490D" w14:textId="77777777" w:rsidR="00620C4B" w:rsidRPr="0098262F" w:rsidRDefault="00620C4B">
            <w:pPr>
              <w:pStyle w:val="TableText0"/>
              <w:jc w:val="center"/>
              <w:rPr>
                <w:szCs w:val="20"/>
              </w:rPr>
            </w:pPr>
            <w:r>
              <w:t>5</w:t>
            </w:r>
          </w:p>
        </w:tc>
        <w:tc>
          <w:tcPr>
            <w:tcW w:w="522" w:type="pct"/>
            <w:vAlign w:val="center"/>
          </w:tcPr>
          <w:p w14:paraId="6C153889" w14:textId="77777777" w:rsidR="00620C4B" w:rsidRPr="008C5D6D" w:rsidRDefault="00620C4B">
            <w:pPr>
              <w:pStyle w:val="TableText0"/>
              <w:rPr>
                <w:szCs w:val="20"/>
              </w:rPr>
            </w:pPr>
            <w:r w:rsidRPr="00844E4E">
              <w:rPr>
                <w:szCs w:val="20"/>
              </w:rPr>
              <w:t>Rinvoq</w:t>
            </w:r>
          </w:p>
        </w:tc>
      </w:tr>
    </w:tbl>
    <w:p w14:paraId="3A5ABF75" w14:textId="77777777" w:rsidR="00620C4B" w:rsidRPr="0098262F" w:rsidRDefault="00620C4B" w:rsidP="00620C4B"/>
    <w:tbl>
      <w:tblPr>
        <w:tblW w:w="5000" w:type="pct"/>
        <w:tblLook w:val="04A0" w:firstRow="1" w:lastRow="0" w:firstColumn="1" w:lastColumn="0" w:noHBand="0" w:noVBand="1"/>
      </w:tblPr>
      <w:tblGrid>
        <w:gridCol w:w="1729"/>
        <w:gridCol w:w="7288"/>
      </w:tblGrid>
      <w:tr w:rsidR="00620C4B" w:rsidRPr="00D158AD" w14:paraId="1F72EC91" w14:textId="77777777">
        <w:trPr>
          <w:trHeight w:val="122"/>
        </w:trPr>
        <w:tc>
          <w:tcPr>
            <w:tcW w:w="959" w:type="pct"/>
            <w:tcBorders>
              <w:top w:val="single" w:sz="4" w:space="0" w:color="auto"/>
              <w:left w:val="single" w:sz="4" w:space="0" w:color="auto"/>
              <w:bottom w:val="single" w:sz="4" w:space="0" w:color="auto"/>
              <w:right w:val="single" w:sz="4" w:space="0" w:color="auto"/>
            </w:tcBorders>
            <w:hideMark/>
          </w:tcPr>
          <w:p w14:paraId="466FAFB0" w14:textId="77777777" w:rsidR="00620C4B" w:rsidRPr="00D158AD" w:rsidRDefault="00620C4B">
            <w:pPr>
              <w:widowControl w:val="0"/>
              <w:jc w:val="left"/>
              <w:rPr>
                <w:rFonts w:ascii="Arial Narrow" w:eastAsia="Calibri" w:hAnsi="Arial Narrow" w:cs="Calibri"/>
                <w:b/>
                <w:sz w:val="20"/>
                <w:szCs w:val="20"/>
                <w:lang w:eastAsia="en-US" w:bidi="he-IL"/>
              </w:rPr>
            </w:pPr>
            <w:bookmarkStart w:id="17" w:name="_Hlk104809082"/>
            <w:r w:rsidRPr="00D158AD">
              <w:rPr>
                <w:rFonts w:ascii="Arial Narrow" w:eastAsia="Calibri" w:hAnsi="Arial Narrow" w:cs="Calibri"/>
                <w:b/>
                <w:sz w:val="20"/>
                <w:szCs w:val="20"/>
                <w:lang w:eastAsia="en-US" w:bidi="he-IL"/>
              </w:rPr>
              <w:t>Category/Program</w:t>
            </w:r>
          </w:p>
        </w:tc>
        <w:tc>
          <w:tcPr>
            <w:tcW w:w="4041" w:type="pct"/>
            <w:tcBorders>
              <w:top w:val="single" w:sz="4" w:space="0" w:color="auto"/>
              <w:left w:val="single" w:sz="4" w:space="0" w:color="auto"/>
              <w:bottom w:val="single" w:sz="4" w:space="0" w:color="auto"/>
              <w:right w:val="single" w:sz="4" w:space="0" w:color="auto"/>
            </w:tcBorders>
            <w:hideMark/>
          </w:tcPr>
          <w:p w14:paraId="45B3D804" w14:textId="77777777" w:rsidR="00620C4B" w:rsidRPr="00D158AD" w:rsidRDefault="00620C4B">
            <w:pPr>
              <w:widowControl w:val="0"/>
              <w:jc w:val="left"/>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t>Section 85 – General Schedule</w:t>
            </w:r>
          </w:p>
        </w:tc>
      </w:tr>
      <w:tr w:rsidR="00620C4B" w:rsidRPr="00D158AD" w14:paraId="6620BF83" w14:textId="77777777">
        <w:trPr>
          <w:trHeight w:val="122"/>
        </w:trPr>
        <w:tc>
          <w:tcPr>
            <w:tcW w:w="959" w:type="pct"/>
            <w:tcBorders>
              <w:top w:val="single" w:sz="4" w:space="0" w:color="auto"/>
              <w:left w:val="single" w:sz="4" w:space="0" w:color="auto"/>
              <w:bottom w:val="single" w:sz="4" w:space="0" w:color="auto"/>
              <w:right w:val="single" w:sz="4" w:space="0" w:color="auto"/>
            </w:tcBorders>
            <w:hideMark/>
          </w:tcPr>
          <w:p w14:paraId="16EA4BB9" w14:textId="77777777" w:rsidR="00620C4B" w:rsidRPr="00D158AD" w:rsidRDefault="00620C4B">
            <w:pPr>
              <w:widowControl w:val="0"/>
              <w:jc w:val="left"/>
              <w:rPr>
                <w:rFonts w:ascii="Arial Narrow" w:eastAsia="Calibri" w:hAnsi="Arial Narrow" w:cs="Calibri"/>
                <w:b/>
                <w:sz w:val="20"/>
                <w:szCs w:val="20"/>
                <w:lang w:eastAsia="en-US" w:bidi="he-IL"/>
              </w:rPr>
            </w:pPr>
            <w:r w:rsidRPr="00D158AD">
              <w:rPr>
                <w:rFonts w:ascii="Arial Narrow" w:eastAsia="Calibri" w:hAnsi="Arial Narrow" w:cs="Calibri"/>
                <w:b/>
                <w:sz w:val="20"/>
                <w:szCs w:val="20"/>
                <w:lang w:eastAsia="en-US" w:bidi="he-IL"/>
              </w:rPr>
              <w:t>Prescriber type</w:t>
            </w:r>
          </w:p>
        </w:tc>
        <w:tc>
          <w:tcPr>
            <w:tcW w:w="4041" w:type="pct"/>
            <w:tcBorders>
              <w:top w:val="single" w:sz="4" w:space="0" w:color="auto"/>
              <w:left w:val="single" w:sz="4" w:space="0" w:color="auto"/>
              <w:bottom w:val="single" w:sz="4" w:space="0" w:color="auto"/>
              <w:right w:val="single" w:sz="4" w:space="0" w:color="auto"/>
            </w:tcBorders>
            <w:hideMark/>
          </w:tcPr>
          <w:p w14:paraId="3567B1E7" w14:textId="77777777" w:rsidR="00620C4B" w:rsidRPr="00D158AD" w:rsidRDefault="00620C4B">
            <w:pPr>
              <w:widowControl w:val="0"/>
              <w:jc w:val="left"/>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t>Medical Practitioners</w:t>
            </w:r>
          </w:p>
        </w:tc>
      </w:tr>
      <w:tr w:rsidR="00620C4B" w:rsidRPr="00D158AD" w14:paraId="4B90B532" w14:textId="77777777">
        <w:trPr>
          <w:trHeight w:val="122"/>
        </w:trPr>
        <w:tc>
          <w:tcPr>
            <w:tcW w:w="959" w:type="pct"/>
            <w:tcBorders>
              <w:top w:val="single" w:sz="4" w:space="0" w:color="auto"/>
              <w:left w:val="single" w:sz="4" w:space="0" w:color="auto"/>
              <w:bottom w:val="single" w:sz="4" w:space="0" w:color="auto"/>
              <w:right w:val="single" w:sz="4" w:space="0" w:color="auto"/>
            </w:tcBorders>
            <w:hideMark/>
          </w:tcPr>
          <w:p w14:paraId="115FE134" w14:textId="77777777" w:rsidR="00620C4B" w:rsidRPr="00D158AD" w:rsidRDefault="00620C4B">
            <w:pPr>
              <w:widowControl w:val="0"/>
              <w:jc w:val="left"/>
              <w:rPr>
                <w:rFonts w:ascii="Arial Narrow" w:eastAsia="Calibri" w:hAnsi="Arial Narrow" w:cs="Calibri"/>
                <w:b/>
                <w:sz w:val="20"/>
                <w:szCs w:val="20"/>
                <w:lang w:eastAsia="en-US" w:bidi="he-IL"/>
              </w:rPr>
            </w:pPr>
            <w:r w:rsidRPr="00D158AD">
              <w:rPr>
                <w:rFonts w:ascii="Arial Narrow" w:eastAsia="Calibri" w:hAnsi="Arial Narrow" w:cs="Calibri"/>
                <w:b/>
                <w:sz w:val="20"/>
                <w:szCs w:val="20"/>
                <w:lang w:eastAsia="en-US" w:bidi="he-IL"/>
              </w:rPr>
              <w:t>Severity</w:t>
            </w:r>
          </w:p>
        </w:tc>
        <w:tc>
          <w:tcPr>
            <w:tcW w:w="4041" w:type="pct"/>
            <w:tcBorders>
              <w:top w:val="single" w:sz="4" w:space="0" w:color="auto"/>
              <w:left w:val="single" w:sz="4" w:space="0" w:color="auto"/>
              <w:bottom w:val="single" w:sz="4" w:space="0" w:color="auto"/>
              <w:right w:val="single" w:sz="4" w:space="0" w:color="auto"/>
            </w:tcBorders>
            <w:hideMark/>
          </w:tcPr>
          <w:p w14:paraId="264F4EDA" w14:textId="77777777" w:rsidR="00620C4B" w:rsidRPr="00D158AD" w:rsidRDefault="00620C4B">
            <w:pPr>
              <w:widowControl w:val="0"/>
              <w:jc w:val="left"/>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t xml:space="preserve">Complex refractory </w:t>
            </w:r>
          </w:p>
        </w:tc>
      </w:tr>
      <w:tr w:rsidR="00620C4B" w:rsidRPr="00D158AD" w14:paraId="6E015460" w14:textId="77777777">
        <w:trPr>
          <w:trHeight w:val="122"/>
        </w:trPr>
        <w:tc>
          <w:tcPr>
            <w:tcW w:w="959" w:type="pct"/>
            <w:tcBorders>
              <w:top w:val="single" w:sz="4" w:space="0" w:color="auto"/>
              <w:left w:val="single" w:sz="4" w:space="0" w:color="auto"/>
              <w:bottom w:val="single" w:sz="4" w:space="0" w:color="auto"/>
              <w:right w:val="single" w:sz="4" w:space="0" w:color="auto"/>
            </w:tcBorders>
            <w:hideMark/>
          </w:tcPr>
          <w:p w14:paraId="09841B41" w14:textId="77777777" w:rsidR="00620C4B" w:rsidRPr="00D158AD" w:rsidRDefault="00620C4B">
            <w:pPr>
              <w:widowControl w:val="0"/>
              <w:jc w:val="left"/>
              <w:rPr>
                <w:rFonts w:ascii="Arial Narrow" w:eastAsia="Calibri" w:hAnsi="Arial Narrow" w:cs="Calibri"/>
                <w:b/>
                <w:sz w:val="20"/>
                <w:szCs w:val="20"/>
                <w:lang w:eastAsia="en-US" w:bidi="he-IL"/>
              </w:rPr>
            </w:pPr>
            <w:r w:rsidRPr="00D158AD">
              <w:rPr>
                <w:rFonts w:ascii="Arial Narrow" w:eastAsia="Calibri" w:hAnsi="Arial Narrow" w:cs="Calibri"/>
                <w:b/>
                <w:sz w:val="20"/>
                <w:szCs w:val="20"/>
                <w:lang w:eastAsia="en-US" w:bidi="he-IL"/>
              </w:rPr>
              <w:t>Condition</w:t>
            </w:r>
          </w:p>
        </w:tc>
        <w:tc>
          <w:tcPr>
            <w:tcW w:w="4041" w:type="pct"/>
            <w:tcBorders>
              <w:top w:val="single" w:sz="4" w:space="0" w:color="auto"/>
              <w:left w:val="single" w:sz="4" w:space="0" w:color="auto"/>
              <w:bottom w:val="single" w:sz="4" w:space="0" w:color="auto"/>
              <w:right w:val="single" w:sz="4" w:space="0" w:color="auto"/>
            </w:tcBorders>
            <w:hideMark/>
          </w:tcPr>
          <w:p w14:paraId="2C164928" w14:textId="77777777" w:rsidR="00620C4B" w:rsidRPr="00D158AD" w:rsidRDefault="00620C4B">
            <w:pPr>
              <w:widowControl w:val="0"/>
              <w:jc w:val="left"/>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t>Fistulising Crohn disease</w:t>
            </w:r>
          </w:p>
        </w:tc>
      </w:tr>
      <w:tr w:rsidR="00620C4B" w:rsidRPr="00D158AD" w14:paraId="6AB36DDD" w14:textId="77777777">
        <w:trPr>
          <w:trHeight w:val="122"/>
        </w:trPr>
        <w:tc>
          <w:tcPr>
            <w:tcW w:w="959" w:type="pct"/>
            <w:tcBorders>
              <w:top w:val="single" w:sz="4" w:space="0" w:color="auto"/>
              <w:left w:val="single" w:sz="4" w:space="0" w:color="auto"/>
              <w:bottom w:val="single" w:sz="4" w:space="0" w:color="auto"/>
              <w:right w:val="single" w:sz="4" w:space="0" w:color="auto"/>
            </w:tcBorders>
            <w:hideMark/>
          </w:tcPr>
          <w:p w14:paraId="440EE6B4" w14:textId="77777777" w:rsidR="00620C4B" w:rsidRPr="00D158AD" w:rsidRDefault="00620C4B">
            <w:pPr>
              <w:widowControl w:val="0"/>
              <w:jc w:val="left"/>
              <w:rPr>
                <w:rFonts w:ascii="Arial Narrow" w:eastAsia="Calibri" w:hAnsi="Arial Narrow" w:cs="Calibri"/>
                <w:b/>
                <w:sz w:val="20"/>
                <w:szCs w:val="20"/>
                <w:lang w:eastAsia="en-US" w:bidi="he-IL"/>
              </w:rPr>
            </w:pPr>
            <w:r w:rsidRPr="00D158AD">
              <w:rPr>
                <w:rFonts w:ascii="Arial Narrow" w:eastAsia="Calibri" w:hAnsi="Arial Narrow" w:cs="Calibri"/>
                <w:b/>
                <w:sz w:val="20"/>
                <w:szCs w:val="20"/>
                <w:lang w:eastAsia="en-US" w:bidi="he-IL"/>
              </w:rPr>
              <w:t>PBS indication</w:t>
            </w:r>
          </w:p>
        </w:tc>
        <w:tc>
          <w:tcPr>
            <w:tcW w:w="4041" w:type="pct"/>
            <w:tcBorders>
              <w:top w:val="single" w:sz="4" w:space="0" w:color="auto"/>
              <w:left w:val="single" w:sz="4" w:space="0" w:color="auto"/>
              <w:bottom w:val="single" w:sz="4" w:space="0" w:color="auto"/>
              <w:right w:val="single" w:sz="4" w:space="0" w:color="auto"/>
            </w:tcBorders>
            <w:hideMark/>
          </w:tcPr>
          <w:p w14:paraId="0AB55CBD" w14:textId="77777777" w:rsidR="00620C4B" w:rsidRPr="00D158AD" w:rsidRDefault="00620C4B">
            <w:pPr>
              <w:widowControl w:val="0"/>
              <w:jc w:val="left"/>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t xml:space="preserve">Complex refractory fistulising Crohn disease </w:t>
            </w:r>
          </w:p>
        </w:tc>
      </w:tr>
      <w:tr w:rsidR="00620C4B" w:rsidRPr="00D158AD" w14:paraId="69704D5A" w14:textId="77777777">
        <w:trPr>
          <w:trHeight w:val="122"/>
        </w:trPr>
        <w:tc>
          <w:tcPr>
            <w:tcW w:w="959" w:type="pct"/>
            <w:tcBorders>
              <w:top w:val="single" w:sz="4" w:space="0" w:color="auto"/>
              <w:left w:val="single" w:sz="4" w:space="0" w:color="auto"/>
              <w:bottom w:val="single" w:sz="4" w:space="0" w:color="auto"/>
              <w:right w:val="single" w:sz="4" w:space="0" w:color="auto"/>
            </w:tcBorders>
          </w:tcPr>
          <w:p w14:paraId="008AA1C3" w14:textId="77777777" w:rsidR="00620C4B" w:rsidRPr="00D158AD" w:rsidRDefault="00620C4B">
            <w:pPr>
              <w:widowControl w:val="0"/>
              <w:jc w:val="left"/>
              <w:rPr>
                <w:rFonts w:ascii="Arial Narrow" w:eastAsia="Calibri" w:hAnsi="Arial Narrow" w:cs="Calibri"/>
                <w:b/>
                <w:sz w:val="20"/>
                <w:szCs w:val="20"/>
                <w:lang w:eastAsia="en-US" w:bidi="he-IL"/>
              </w:rPr>
            </w:pPr>
            <w:r w:rsidRPr="00D158AD">
              <w:rPr>
                <w:rFonts w:ascii="Arial Narrow" w:eastAsia="Calibri" w:hAnsi="Arial Narrow" w:cs="Calibri"/>
                <w:b/>
                <w:sz w:val="20"/>
                <w:szCs w:val="20"/>
                <w:lang w:eastAsia="en-US" w:bidi="he-IL"/>
              </w:rPr>
              <w:t>Restriction level</w:t>
            </w:r>
          </w:p>
          <w:p w14:paraId="616C6D96" w14:textId="77777777" w:rsidR="00620C4B" w:rsidRPr="00D158AD" w:rsidRDefault="00620C4B">
            <w:pPr>
              <w:widowControl w:val="0"/>
              <w:jc w:val="left"/>
              <w:rPr>
                <w:rFonts w:ascii="Arial Narrow" w:eastAsia="Calibri" w:hAnsi="Arial Narrow" w:cs="Calibri"/>
                <w:i/>
                <w:sz w:val="20"/>
                <w:szCs w:val="20"/>
                <w:lang w:eastAsia="en-US" w:bidi="he-IL"/>
              </w:rPr>
            </w:pPr>
          </w:p>
        </w:tc>
        <w:tc>
          <w:tcPr>
            <w:tcW w:w="4041" w:type="pct"/>
            <w:tcBorders>
              <w:top w:val="single" w:sz="4" w:space="0" w:color="auto"/>
              <w:left w:val="single" w:sz="4" w:space="0" w:color="auto"/>
              <w:bottom w:val="single" w:sz="4" w:space="0" w:color="auto"/>
              <w:right w:val="single" w:sz="4" w:space="0" w:color="auto"/>
            </w:tcBorders>
            <w:hideMark/>
          </w:tcPr>
          <w:p w14:paraId="17B4F2BB" w14:textId="77777777" w:rsidR="00620C4B" w:rsidRPr="00D158AD" w:rsidRDefault="00620C4B">
            <w:pPr>
              <w:widowControl w:val="0"/>
              <w:jc w:val="left"/>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fldChar w:fldCharType="begin">
                <w:ffData>
                  <w:name w:val="Check1"/>
                  <w:enabled/>
                  <w:calcOnExit w:val="0"/>
                  <w:checkBox>
                    <w:sizeAuto/>
                    <w:default w:val="0"/>
                  </w:checkBox>
                </w:ffData>
              </w:fldChar>
            </w:r>
            <w:r w:rsidRPr="00D158AD">
              <w:rPr>
                <w:rFonts w:ascii="Arial Narrow" w:eastAsia="Calibri" w:hAnsi="Arial Narrow" w:cs="Calibri"/>
                <w:sz w:val="20"/>
                <w:szCs w:val="20"/>
                <w:lang w:eastAsia="en-US" w:bidi="he-IL"/>
              </w:rPr>
              <w:instrText xml:space="preserve"> FORMCHECKBOX </w:instrText>
            </w:r>
            <w:r w:rsidRPr="00D158AD">
              <w:rPr>
                <w:rFonts w:ascii="Arial Narrow" w:eastAsia="Calibri" w:hAnsi="Arial Narrow" w:cs="Calibri"/>
                <w:sz w:val="20"/>
                <w:szCs w:val="20"/>
                <w:lang w:eastAsia="en-US" w:bidi="he-IL"/>
              </w:rPr>
            </w:r>
            <w:r w:rsidRPr="00D158AD">
              <w:rPr>
                <w:rFonts w:ascii="Arial Narrow" w:eastAsia="Calibri" w:hAnsi="Arial Narrow" w:cs="Calibri"/>
                <w:sz w:val="20"/>
                <w:szCs w:val="20"/>
                <w:lang w:eastAsia="en-US" w:bidi="he-IL"/>
              </w:rPr>
              <w:fldChar w:fldCharType="separate"/>
            </w:r>
            <w:r w:rsidRPr="00D158AD">
              <w:rPr>
                <w:rFonts w:ascii="Arial Narrow" w:eastAsia="Calibri" w:hAnsi="Arial Narrow" w:cs="Calibri"/>
                <w:sz w:val="20"/>
                <w:szCs w:val="20"/>
                <w:lang w:eastAsia="en-US" w:bidi="he-IL"/>
              </w:rPr>
              <w:fldChar w:fldCharType="end"/>
            </w:r>
            <w:r w:rsidRPr="00D158AD">
              <w:rPr>
                <w:rFonts w:ascii="Arial Narrow" w:eastAsia="Calibri" w:hAnsi="Arial Narrow" w:cs="Calibri"/>
                <w:sz w:val="20"/>
                <w:szCs w:val="20"/>
                <w:lang w:eastAsia="en-US" w:bidi="he-IL"/>
              </w:rPr>
              <w:t>Restricted benefit</w:t>
            </w:r>
          </w:p>
          <w:p w14:paraId="13D0A9B5" w14:textId="2EBBF4EC" w:rsidR="00620C4B" w:rsidRPr="00D158AD" w:rsidRDefault="00620C4B">
            <w:pPr>
              <w:widowControl w:val="0"/>
              <w:jc w:val="left"/>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fldChar w:fldCharType="begin">
                <w:ffData>
                  <w:name w:val=""/>
                  <w:enabled/>
                  <w:calcOnExit w:val="0"/>
                  <w:checkBox>
                    <w:sizeAuto/>
                    <w:default w:val="1"/>
                  </w:checkBox>
                </w:ffData>
              </w:fldChar>
            </w:r>
            <w:r w:rsidRPr="00D158AD">
              <w:rPr>
                <w:rFonts w:ascii="Arial Narrow" w:eastAsia="Calibri" w:hAnsi="Arial Narrow" w:cs="Calibri"/>
                <w:sz w:val="20"/>
                <w:szCs w:val="20"/>
                <w:lang w:eastAsia="en-US" w:bidi="he-IL"/>
              </w:rPr>
              <w:instrText xml:space="preserve"> FORMCHECKBOX </w:instrText>
            </w:r>
            <w:r w:rsidRPr="00D158AD">
              <w:rPr>
                <w:rFonts w:ascii="Arial Narrow" w:eastAsia="Calibri" w:hAnsi="Arial Narrow" w:cs="Calibri"/>
                <w:sz w:val="20"/>
                <w:szCs w:val="20"/>
                <w:lang w:eastAsia="en-US" w:bidi="he-IL"/>
              </w:rPr>
            </w:r>
            <w:r w:rsidRPr="00D158AD">
              <w:rPr>
                <w:rFonts w:ascii="Arial Narrow" w:eastAsia="Calibri" w:hAnsi="Arial Narrow" w:cs="Calibri"/>
                <w:sz w:val="20"/>
                <w:szCs w:val="20"/>
                <w:lang w:eastAsia="en-US" w:bidi="he-IL"/>
              </w:rPr>
              <w:fldChar w:fldCharType="separate"/>
            </w:r>
            <w:r w:rsidRPr="00D158AD">
              <w:rPr>
                <w:rFonts w:ascii="Arial Narrow" w:eastAsia="Calibri" w:hAnsi="Arial Narrow" w:cs="Calibri"/>
                <w:sz w:val="20"/>
                <w:szCs w:val="20"/>
                <w:lang w:eastAsia="en-US" w:bidi="he-IL"/>
              </w:rPr>
              <w:fldChar w:fldCharType="end"/>
            </w:r>
            <w:r w:rsidRPr="00D158AD">
              <w:rPr>
                <w:rFonts w:ascii="Arial Narrow" w:eastAsia="Calibri" w:hAnsi="Arial Narrow" w:cs="Calibri"/>
                <w:sz w:val="20"/>
                <w:szCs w:val="20"/>
                <w:lang w:eastAsia="en-US" w:bidi="he-IL"/>
              </w:rPr>
              <w:t xml:space="preserve">Authority Required </w:t>
            </w:r>
            <w:r w:rsidR="00FC7500">
              <w:rPr>
                <w:rFonts w:ascii="Arial Narrow" w:eastAsia="Calibri" w:hAnsi="Arial Narrow" w:cs="Calibri"/>
                <w:sz w:val="20"/>
                <w:szCs w:val="20"/>
                <w:lang w:eastAsia="en-US" w:bidi="he-IL"/>
              </w:rPr>
              <w:noBreakHyphen/>
            </w:r>
            <w:r w:rsidRPr="00D158AD">
              <w:rPr>
                <w:rFonts w:ascii="Arial Narrow" w:eastAsia="Calibri" w:hAnsi="Arial Narrow" w:cs="Calibri"/>
                <w:sz w:val="20"/>
                <w:szCs w:val="20"/>
                <w:lang w:eastAsia="en-US" w:bidi="he-IL"/>
              </w:rPr>
              <w:t xml:space="preserve"> In Writing</w:t>
            </w:r>
          </w:p>
          <w:p w14:paraId="470B39F4" w14:textId="2000FC32" w:rsidR="00620C4B" w:rsidRPr="00D158AD" w:rsidRDefault="00620C4B">
            <w:pPr>
              <w:widowControl w:val="0"/>
              <w:jc w:val="left"/>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fldChar w:fldCharType="begin">
                <w:ffData>
                  <w:name w:val="Check3"/>
                  <w:enabled/>
                  <w:calcOnExit w:val="0"/>
                  <w:checkBox>
                    <w:sizeAuto/>
                    <w:default w:val="0"/>
                  </w:checkBox>
                </w:ffData>
              </w:fldChar>
            </w:r>
            <w:bookmarkStart w:id="18" w:name="Check3"/>
            <w:r w:rsidRPr="00D158AD">
              <w:rPr>
                <w:rFonts w:ascii="Arial Narrow" w:eastAsia="Calibri" w:hAnsi="Arial Narrow" w:cs="Calibri"/>
                <w:sz w:val="20"/>
                <w:szCs w:val="20"/>
                <w:lang w:eastAsia="en-US" w:bidi="he-IL"/>
              </w:rPr>
              <w:instrText xml:space="preserve"> FORMCHECKBOX </w:instrText>
            </w:r>
            <w:r w:rsidRPr="00D158AD">
              <w:rPr>
                <w:rFonts w:ascii="Arial Narrow" w:eastAsia="Calibri" w:hAnsi="Arial Narrow" w:cs="Calibri"/>
                <w:sz w:val="20"/>
                <w:szCs w:val="20"/>
                <w:lang w:eastAsia="en-US" w:bidi="he-IL"/>
              </w:rPr>
            </w:r>
            <w:r w:rsidRPr="00D158AD">
              <w:rPr>
                <w:rFonts w:ascii="Arial Narrow" w:eastAsia="Calibri" w:hAnsi="Arial Narrow" w:cs="Calibri"/>
                <w:sz w:val="20"/>
                <w:szCs w:val="20"/>
                <w:lang w:eastAsia="en-US" w:bidi="he-IL"/>
              </w:rPr>
              <w:fldChar w:fldCharType="separate"/>
            </w:r>
            <w:r w:rsidRPr="00D158AD">
              <w:rPr>
                <w:rFonts w:ascii="Arial Narrow" w:eastAsia="Calibri" w:hAnsi="Arial Narrow"/>
                <w:sz w:val="20"/>
                <w:szCs w:val="20"/>
                <w:lang w:eastAsia="en-US" w:bidi="he-IL"/>
              </w:rPr>
              <w:fldChar w:fldCharType="end"/>
            </w:r>
            <w:bookmarkEnd w:id="18"/>
            <w:r w:rsidRPr="00D158AD">
              <w:rPr>
                <w:rFonts w:ascii="Arial Narrow" w:eastAsia="Calibri" w:hAnsi="Arial Narrow" w:cs="Calibri"/>
                <w:sz w:val="20"/>
                <w:szCs w:val="20"/>
                <w:lang w:eastAsia="en-US" w:bidi="he-IL"/>
              </w:rPr>
              <w:t xml:space="preserve">Authority Required </w:t>
            </w:r>
            <w:r w:rsidR="00FC7500">
              <w:rPr>
                <w:rFonts w:ascii="Arial Narrow" w:eastAsia="Calibri" w:hAnsi="Arial Narrow" w:cs="Calibri"/>
                <w:sz w:val="20"/>
                <w:szCs w:val="20"/>
                <w:lang w:eastAsia="en-US" w:bidi="he-IL"/>
              </w:rPr>
              <w:noBreakHyphen/>
            </w:r>
            <w:r w:rsidRPr="00D158AD">
              <w:rPr>
                <w:rFonts w:ascii="Arial Narrow" w:eastAsia="Calibri" w:hAnsi="Arial Narrow" w:cs="Calibri"/>
                <w:sz w:val="20"/>
                <w:szCs w:val="20"/>
                <w:lang w:eastAsia="en-US" w:bidi="he-IL"/>
              </w:rPr>
              <w:t xml:space="preserve"> Telephone</w:t>
            </w:r>
          </w:p>
          <w:p w14:paraId="14BB1E22" w14:textId="77777777" w:rsidR="00620C4B" w:rsidRPr="00D158AD" w:rsidRDefault="00620C4B">
            <w:pPr>
              <w:widowControl w:val="0"/>
              <w:jc w:val="left"/>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fldChar w:fldCharType="begin">
                <w:ffData>
                  <w:name w:val=""/>
                  <w:enabled/>
                  <w:calcOnExit w:val="0"/>
                  <w:checkBox>
                    <w:sizeAuto/>
                    <w:default w:val="0"/>
                  </w:checkBox>
                </w:ffData>
              </w:fldChar>
            </w:r>
            <w:r w:rsidRPr="00D158AD">
              <w:rPr>
                <w:rFonts w:ascii="Arial Narrow" w:eastAsia="Calibri" w:hAnsi="Arial Narrow" w:cs="Calibri"/>
                <w:sz w:val="20"/>
                <w:szCs w:val="20"/>
                <w:lang w:eastAsia="en-US" w:bidi="he-IL"/>
              </w:rPr>
              <w:instrText xml:space="preserve"> FORMCHECKBOX </w:instrText>
            </w:r>
            <w:r w:rsidRPr="00D158AD">
              <w:rPr>
                <w:rFonts w:ascii="Arial Narrow" w:eastAsia="Calibri" w:hAnsi="Arial Narrow" w:cs="Calibri"/>
                <w:sz w:val="20"/>
                <w:szCs w:val="20"/>
                <w:lang w:eastAsia="en-US" w:bidi="he-IL"/>
              </w:rPr>
            </w:r>
            <w:r w:rsidRPr="00D158AD">
              <w:rPr>
                <w:rFonts w:ascii="Arial Narrow" w:eastAsia="Calibri" w:hAnsi="Arial Narrow" w:cs="Calibri"/>
                <w:sz w:val="20"/>
                <w:szCs w:val="20"/>
                <w:lang w:eastAsia="en-US" w:bidi="he-IL"/>
              </w:rPr>
              <w:fldChar w:fldCharType="separate"/>
            </w:r>
            <w:r w:rsidRPr="00D158AD">
              <w:rPr>
                <w:rFonts w:ascii="Arial Narrow" w:eastAsia="Calibri" w:hAnsi="Arial Narrow" w:cs="Calibri"/>
                <w:sz w:val="20"/>
                <w:szCs w:val="20"/>
                <w:lang w:eastAsia="en-US" w:bidi="he-IL"/>
              </w:rPr>
              <w:fldChar w:fldCharType="end"/>
            </w:r>
            <w:r w:rsidRPr="00D158AD">
              <w:rPr>
                <w:rFonts w:ascii="Arial Narrow" w:eastAsia="Calibri" w:hAnsi="Arial Narrow" w:cs="Calibri"/>
                <w:sz w:val="20"/>
                <w:szCs w:val="20"/>
                <w:lang w:eastAsia="en-US" w:bidi="he-IL"/>
              </w:rPr>
              <w:t>Authority Required – Emergency</w:t>
            </w:r>
          </w:p>
          <w:p w14:paraId="697FC5AE" w14:textId="5130FBA0" w:rsidR="00620C4B" w:rsidRPr="00D158AD" w:rsidRDefault="00620C4B">
            <w:pPr>
              <w:widowControl w:val="0"/>
              <w:jc w:val="left"/>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fldChar w:fldCharType="begin">
                <w:ffData>
                  <w:name w:val="Check5"/>
                  <w:enabled/>
                  <w:calcOnExit w:val="0"/>
                  <w:checkBox>
                    <w:sizeAuto/>
                    <w:default w:val="0"/>
                  </w:checkBox>
                </w:ffData>
              </w:fldChar>
            </w:r>
            <w:r w:rsidRPr="00D158AD">
              <w:rPr>
                <w:rFonts w:ascii="Arial Narrow" w:eastAsia="Calibri" w:hAnsi="Arial Narrow" w:cs="Calibri"/>
                <w:sz w:val="20"/>
                <w:szCs w:val="20"/>
                <w:lang w:eastAsia="en-US" w:bidi="he-IL"/>
              </w:rPr>
              <w:instrText xml:space="preserve"> FORMCHECKBOX </w:instrText>
            </w:r>
            <w:r w:rsidRPr="00D158AD">
              <w:rPr>
                <w:rFonts w:ascii="Arial Narrow" w:eastAsia="Calibri" w:hAnsi="Arial Narrow" w:cs="Calibri"/>
                <w:sz w:val="20"/>
                <w:szCs w:val="20"/>
                <w:lang w:eastAsia="en-US" w:bidi="he-IL"/>
              </w:rPr>
            </w:r>
            <w:r w:rsidRPr="00D158AD">
              <w:rPr>
                <w:rFonts w:ascii="Arial Narrow" w:eastAsia="Calibri" w:hAnsi="Arial Narrow" w:cs="Calibri"/>
                <w:sz w:val="20"/>
                <w:szCs w:val="20"/>
                <w:lang w:eastAsia="en-US" w:bidi="he-IL"/>
              </w:rPr>
              <w:fldChar w:fldCharType="separate"/>
            </w:r>
            <w:r w:rsidRPr="00D158AD">
              <w:rPr>
                <w:rFonts w:ascii="Arial Narrow" w:eastAsia="Calibri" w:hAnsi="Arial Narrow" w:cs="Calibri"/>
                <w:sz w:val="20"/>
                <w:szCs w:val="20"/>
                <w:lang w:eastAsia="en-US" w:bidi="he-IL"/>
              </w:rPr>
              <w:fldChar w:fldCharType="end"/>
            </w:r>
            <w:r w:rsidRPr="00D158AD">
              <w:rPr>
                <w:rFonts w:ascii="Arial Narrow" w:eastAsia="Calibri" w:hAnsi="Arial Narrow" w:cs="Calibri"/>
                <w:sz w:val="20"/>
                <w:szCs w:val="20"/>
                <w:lang w:eastAsia="en-US" w:bidi="he-IL"/>
              </w:rPr>
              <w:t xml:space="preserve">Authority Required </w:t>
            </w:r>
            <w:r w:rsidR="00FC7500">
              <w:rPr>
                <w:rFonts w:ascii="Arial Narrow" w:eastAsia="Calibri" w:hAnsi="Arial Narrow" w:cs="Calibri"/>
                <w:sz w:val="20"/>
                <w:szCs w:val="20"/>
                <w:lang w:eastAsia="en-US" w:bidi="he-IL"/>
              </w:rPr>
              <w:noBreakHyphen/>
            </w:r>
            <w:r w:rsidRPr="00D158AD">
              <w:rPr>
                <w:rFonts w:ascii="Arial Narrow" w:eastAsia="Calibri" w:hAnsi="Arial Narrow" w:cs="Calibri"/>
                <w:sz w:val="20"/>
                <w:szCs w:val="20"/>
                <w:lang w:eastAsia="en-US" w:bidi="he-IL"/>
              </w:rPr>
              <w:t xml:space="preserve"> Electronic</w:t>
            </w:r>
          </w:p>
          <w:p w14:paraId="65CFA16A" w14:textId="77777777" w:rsidR="00620C4B" w:rsidRPr="00D158AD" w:rsidRDefault="00620C4B">
            <w:pPr>
              <w:widowControl w:val="0"/>
              <w:jc w:val="left"/>
              <w:rPr>
                <w:rFonts w:ascii="Arial Narrow" w:eastAsia="Calibri" w:hAnsi="Arial Narrow" w:cs="Calibri"/>
                <w:b/>
                <w:bCs/>
                <w:sz w:val="20"/>
                <w:szCs w:val="20"/>
                <w:lang w:eastAsia="en-US" w:bidi="he-IL"/>
              </w:rPr>
            </w:pPr>
            <w:r w:rsidRPr="00D158AD">
              <w:rPr>
                <w:rFonts w:ascii="Arial Narrow" w:eastAsia="Calibri" w:hAnsi="Arial Narrow" w:cs="Calibri"/>
                <w:sz w:val="20"/>
                <w:szCs w:val="20"/>
                <w:lang w:eastAsia="en-US" w:bidi="he-IL"/>
              </w:rPr>
              <w:fldChar w:fldCharType="begin">
                <w:ffData>
                  <w:name w:val="Check5"/>
                  <w:enabled/>
                  <w:calcOnExit w:val="0"/>
                  <w:checkBox>
                    <w:sizeAuto/>
                    <w:default w:val="0"/>
                  </w:checkBox>
                </w:ffData>
              </w:fldChar>
            </w:r>
            <w:r w:rsidRPr="00D158AD">
              <w:rPr>
                <w:rFonts w:ascii="Arial Narrow" w:eastAsia="Calibri" w:hAnsi="Arial Narrow" w:cs="Calibri"/>
                <w:sz w:val="20"/>
                <w:szCs w:val="20"/>
                <w:lang w:eastAsia="en-US" w:bidi="he-IL"/>
              </w:rPr>
              <w:instrText xml:space="preserve"> FORMCHECKBOX </w:instrText>
            </w:r>
            <w:r w:rsidRPr="00D158AD">
              <w:rPr>
                <w:rFonts w:ascii="Arial Narrow" w:eastAsia="Calibri" w:hAnsi="Arial Narrow" w:cs="Calibri"/>
                <w:sz w:val="20"/>
                <w:szCs w:val="20"/>
                <w:lang w:eastAsia="en-US" w:bidi="he-IL"/>
              </w:rPr>
            </w:r>
            <w:r w:rsidRPr="00D158AD">
              <w:rPr>
                <w:rFonts w:ascii="Arial Narrow" w:eastAsia="Calibri" w:hAnsi="Arial Narrow" w:cs="Calibri"/>
                <w:sz w:val="20"/>
                <w:szCs w:val="20"/>
                <w:lang w:eastAsia="en-US" w:bidi="he-IL"/>
              </w:rPr>
              <w:fldChar w:fldCharType="separate"/>
            </w:r>
            <w:r w:rsidRPr="00D158AD">
              <w:rPr>
                <w:rFonts w:ascii="Arial Narrow" w:eastAsia="Calibri" w:hAnsi="Arial Narrow" w:cs="Calibri"/>
                <w:sz w:val="20"/>
                <w:szCs w:val="20"/>
                <w:lang w:eastAsia="en-US" w:bidi="he-IL"/>
              </w:rPr>
              <w:fldChar w:fldCharType="end"/>
            </w:r>
            <w:r w:rsidRPr="00D158AD">
              <w:rPr>
                <w:rFonts w:ascii="Arial Narrow" w:eastAsia="Calibri" w:hAnsi="Arial Narrow" w:cs="Calibri"/>
                <w:sz w:val="20"/>
                <w:szCs w:val="20"/>
                <w:lang w:eastAsia="en-US" w:bidi="he-IL"/>
              </w:rPr>
              <w:t>Streamlined</w:t>
            </w:r>
          </w:p>
        </w:tc>
      </w:tr>
      <w:tr w:rsidR="00620C4B" w:rsidRPr="00D158AD" w14:paraId="7A84477E" w14:textId="77777777">
        <w:trPr>
          <w:trHeight w:val="122"/>
        </w:trPr>
        <w:tc>
          <w:tcPr>
            <w:tcW w:w="959" w:type="pct"/>
            <w:tcBorders>
              <w:top w:val="single" w:sz="4" w:space="0" w:color="auto"/>
              <w:left w:val="single" w:sz="4" w:space="0" w:color="auto"/>
              <w:bottom w:val="single" w:sz="4" w:space="0" w:color="auto"/>
              <w:right w:val="single" w:sz="4" w:space="0" w:color="auto"/>
            </w:tcBorders>
            <w:hideMark/>
          </w:tcPr>
          <w:p w14:paraId="14545A7A" w14:textId="77777777" w:rsidR="00620C4B" w:rsidRPr="00D158AD" w:rsidRDefault="00620C4B">
            <w:pPr>
              <w:widowControl w:val="0"/>
              <w:jc w:val="left"/>
              <w:rPr>
                <w:rFonts w:ascii="Arial Narrow" w:eastAsia="Calibri" w:hAnsi="Arial Narrow" w:cs="Calibri"/>
                <w:b/>
                <w:sz w:val="20"/>
                <w:szCs w:val="20"/>
                <w:lang w:eastAsia="en-US" w:bidi="he-IL"/>
              </w:rPr>
            </w:pPr>
            <w:r w:rsidRPr="00D158AD">
              <w:rPr>
                <w:rFonts w:ascii="Arial Narrow" w:eastAsia="Calibri" w:hAnsi="Arial Narrow" w:cs="Calibri"/>
                <w:b/>
                <w:sz w:val="20"/>
                <w:szCs w:val="20"/>
                <w:lang w:eastAsia="en-US" w:bidi="he-IL"/>
              </w:rPr>
              <w:t>Treatment criteria</w:t>
            </w:r>
          </w:p>
        </w:tc>
        <w:tc>
          <w:tcPr>
            <w:tcW w:w="4041" w:type="pct"/>
            <w:tcBorders>
              <w:top w:val="single" w:sz="4" w:space="0" w:color="auto"/>
              <w:left w:val="single" w:sz="4" w:space="0" w:color="auto"/>
              <w:bottom w:val="single" w:sz="4" w:space="0" w:color="auto"/>
              <w:right w:val="single" w:sz="4" w:space="0" w:color="auto"/>
            </w:tcBorders>
            <w:hideMark/>
          </w:tcPr>
          <w:p w14:paraId="031FB990" w14:textId="77777777" w:rsidR="00620C4B" w:rsidRPr="00D158AD" w:rsidRDefault="00620C4B">
            <w:pPr>
              <w:widowControl w:val="0"/>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t>Must be treated by a gastroenterologist (code 87); OR</w:t>
            </w:r>
          </w:p>
          <w:p w14:paraId="731E8879" w14:textId="77777777" w:rsidR="00620C4B" w:rsidRPr="00D158AD" w:rsidRDefault="00620C4B">
            <w:pPr>
              <w:widowControl w:val="0"/>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t>Must be treated by a consultant physician [internal medicine specialising in gastroenterology (code 81)]; OR</w:t>
            </w:r>
          </w:p>
          <w:p w14:paraId="75668EE1" w14:textId="77777777" w:rsidR="00620C4B" w:rsidRPr="00D158AD" w:rsidRDefault="00620C4B">
            <w:pPr>
              <w:widowControl w:val="0"/>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t>Must be treated by a consultant physician [general medicine specialising in gastroenterology (code 82)].</w:t>
            </w:r>
          </w:p>
        </w:tc>
      </w:tr>
      <w:tr w:rsidR="00620C4B" w:rsidRPr="00D158AD" w14:paraId="73F061A1" w14:textId="77777777">
        <w:trPr>
          <w:trHeight w:val="122"/>
        </w:trPr>
        <w:tc>
          <w:tcPr>
            <w:tcW w:w="959" w:type="pct"/>
            <w:tcBorders>
              <w:top w:val="single" w:sz="4" w:space="0" w:color="auto"/>
              <w:left w:val="single" w:sz="4" w:space="0" w:color="auto"/>
              <w:bottom w:val="single" w:sz="4" w:space="0" w:color="auto"/>
              <w:right w:val="single" w:sz="4" w:space="0" w:color="auto"/>
            </w:tcBorders>
            <w:hideMark/>
          </w:tcPr>
          <w:p w14:paraId="3FB7B36C" w14:textId="77777777" w:rsidR="00620C4B" w:rsidRPr="00D158AD" w:rsidRDefault="00620C4B">
            <w:pPr>
              <w:widowControl w:val="0"/>
              <w:jc w:val="left"/>
              <w:rPr>
                <w:rFonts w:ascii="Arial Narrow" w:eastAsia="Calibri" w:hAnsi="Arial Narrow" w:cs="Calibri"/>
                <w:b/>
                <w:sz w:val="20"/>
                <w:szCs w:val="20"/>
                <w:lang w:eastAsia="en-US" w:bidi="he-IL"/>
              </w:rPr>
            </w:pPr>
            <w:r w:rsidRPr="00D158AD">
              <w:rPr>
                <w:rFonts w:ascii="Arial Narrow" w:eastAsia="Calibri" w:hAnsi="Arial Narrow" w:cs="Calibri"/>
                <w:b/>
                <w:sz w:val="20"/>
                <w:szCs w:val="20"/>
                <w:lang w:eastAsia="en-US" w:bidi="he-IL"/>
              </w:rPr>
              <w:t>Population criteria</w:t>
            </w:r>
          </w:p>
        </w:tc>
        <w:tc>
          <w:tcPr>
            <w:tcW w:w="4041" w:type="pct"/>
            <w:tcBorders>
              <w:top w:val="single" w:sz="4" w:space="0" w:color="auto"/>
              <w:left w:val="single" w:sz="4" w:space="0" w:color="auto"/>
              <w:bottom w:val="single" w:sz="4" w:space="0" w:color="auto"/>
              <w:right w:val="single" w:sz="4" w:space="0" w:color="auto"/>
            </w:tcBorders>
            <w:hideMark/>
          </w:tcPr>
          <w:p w14:paraId="056AF973" w14:textId="77777777" w:rsidR="00620C4B" w:rsidRPr="00D158AD" w:rsidRDefault="00620C4B">
            <w:pPr>
              <w:widowControl w:val="0"/>
              <w:jc w:val="left"/>
              <w:rPr>
                <w:rFonts w:ascii="Arial Narrow" w:hAnsi="Arial Narrow" w:cs="Calibri"/>
                <w:color w:val="222222"/>
                <w:sz w:val="20"/>
                <w:szCs w:val="20"/>
                <w:lang w:bidi="he-IL"/>
              </w:rPr>
            </w:pPr>
            <w:r w:rsidRPr="00D158AD">
              <w:rPr>
                <w:rFonts w:ascii="Arial Narrow" w:eastAsia="Calibri" w:hAnsi="Arial Narrow" w:cs="Calibri"/>
                <w:sz w:val="20"/>
                <w:szCs w:val="20"/>
                <w:lang w:eastAsia="en-US" w:bidi="he-IL"/>
              </w:rPr>
              <w:t>Patient must be aged 18 years or older.</w:t>
            </w:r>
          </w:p>
        </w:tc>
      </w:tr>
      <w:tr w:rsidR="00620C4B" w:rsidRPr="00D158AD" w14:paraId="5575C6CF" w14:textId="77777777">
        <w:trPr>
          <w:trHeight w:val="122"/>
        </w:trPr>
        <w:tc>
          <w:tcPr>
            <w:tcW w:w="5000" w:type="pct"/>
            <w:gridSpan w:val="2"/>
            <w:tcBorders>
              <w:top w:val="single" w:sz="4" w:space="0" w:color="auto"/>
              <w:left w:val="single" w:sz="4" w:space="0" w:color="auto"/>
              <w:bottom w:val="single" w:sz="4" w:space="0" w:color="auto"/>
              <w:right w:val="single" w:sz="4" w:space="0" w:color="auto"/>
            </w:tcBorders>
            <w:hideMark/>
          </w:tcPr>
          <w:p w14:paraId="67DE47CF" w14:textId="77777777" w:rsidR="00620C4B" w:rsidRPr="00D158AD" w:rsidRDefault="00620C4B">
            <w:pPr>
              <w:widowControl w:val="0"/>
              <w:spacing w:before="120" w:after="120"/>
              <w:jc w:val="left"/>
              <w:rPr>
                <w:rFonts w:ascii="Arial Narrow" w:eastAsia="Calibri" w:hAnsi="Arial Narrow" w:cs="Calibri"/>
                <w:i/>
                <w:iCs/>
                <w:sz w:val="20"/>
                <w:szCs w:val="20"/>
                <w:lang w:eastAsia="en-US" w:bidi="he-IL"/>
              </w:rPr>
            </w:pPr>
            <w:r w:rsidRPr="00D158AD">
              <w:rPr>
                <w:rFonts w:ascii="Arial Narrow" w:eastAsia="Calibri" w:hAnsi="Arial Narrow" w:cs="Calibri"/>
                <w:i/>
                <w:iCs/>
                <w:sz w:val="20"/>
                <w:szCs w:val="20"/>
                <w:lang w:eastAsia="en-US" w:bidi="he-IL"/>
              </w:rPr>
              <w:lastRenderedPageBreak/>
              <w:t>The above criteria apply to all treatment phases outlined below:</w:t>
            </w:r>
          </w:p>
        </w:tc>
      </w:tr>
      <w:tr w:rsidR="00620C4B" w:rsidRPr="00D158AD" w14:paraId="7F07ABA7" w14:textId="77777777">
        <w:trPr>
          <w:trHeight w:val="122"/>
        </w:trPr>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58E1A5" w14:textId="77777777" w:rsidR="00620C4B" w:rsidRPr="00D158AD" w:rsidRDefault="00620C4B">
            <w:pPr>
              <w:widowControl w:val="0"/>
              <w:jc w:val="left"/>
              <w:rPr>
                <w:rFonts w:ascii="Arial Narrow" w:eastAsia="Calibri" w:hAnsi="Arial Narrow" w:cs="Calibri"/>
                <w:b/>
                <w:sz w:val="20"/>
                <w:szCs w:val="20"/>
                <w:lang w:eastAsia="en-US" w:bidi="he-IL"/>
              </w:rPr>
            </w:pPr>
            <w:r w:rsidRPr="00D158AD">
              <w:rPr>
                <w:rFonts w:ascii="Arial Narrow" w:eastAsia="Calibri" w:hAnsi="Arial Narrow" w:cs="Calibri"/>
                <w:b/>
                <w:sz w:val="20"/>
                <w:szCs w:val="20"/>
                <w:lang w:eastAsia="en-US" w:bidi="he-IL"/>
              </w:rPr>
              <w:t>Treatment phase</w:t>
            </w:r>
          </w:p>
        </w:tc>
        <w:tc>
          <w:tcPr>
            <w:tcW w:w="40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6D546BD" w14:textId="1FA52D01" w:rsidR="00620C4B" w:rsidRPr="00D158AD" w:rsidRDefault="00620C4B">
            <w:pPr>
              <w:widowControl w:val="0"/>
              <w:jc w:val="left"/>
              <w:rPr>
                <w:rFonts w:ascii="Arial Narrow" w:eastAsia="Calibri" w:hAnsi="Arial Narrow" w:cs="Calibri"/>
                <w:b/>
                <w:bCs/>
                <w:sz w:val="20"/>
                <w:szCs w:val="20"/>
                <w:lang w:eastAsia="en-US" w:bidi="he-IL"/>
              </w:rPr>
            </w:pPr>
            <w:r w:rsidRPr="00D158AD">
              <w:rPr>
                <w:rFonts w:ascii="Arial Narrow" w:eastAsia="Calibri" w:hAnsi="Arial Narrow" w:cs="Calibri"/>
                <w:b/>
                <w:bCs/>
                <w:sz w:val="20"/>
                <w:szCs w:val="20"/>
                <w:lang w:eastAsia="en-US" w:bidi="he-IL"/>
              </w:rPr>
              <w:t>Initial treatment 1 (new patient, or change or re</w:t>
            </w:r>
            <w:r w:rsidR="00FC7500">
              <w:rPr>
                <w:rFonts w:ascii="Arial Narrow" w:eastAsia="Calibri" w:hAnsi="Arial Narrow" w:cs="Calibri"/>
                <w:b/>
                <w:bCs/>
                <w:sz w:val="20"/>
                <w:szCs w:val="20"/>
                <w:lang w:eastAsia="en-US" w:bidi="he-IL"/>
              </w:rPr>
              <w:noBreakHyphen/>
            </w:r>
            <w:r w:rsidRPr="00D158AD">
              <w:rPr>
                <w:rFonts w:ascii="Arial Narrow" w:eastAsia="Calibri" w:hAnsi="Arial Narrow" w:cs="Calibri"/>
                <w:b/>
                <w:bCs/>
                <w:sz w:val="20"/>
                <w:szCs w:val="20"/>
                <w:lang w:eastAsia="en-US" w:bidi="he-IL"/>
              </w:rPr>
              <w:t xml:space="preserve">commencement of treatment after break &gt; 5 years) </w:t>
            </w:r>
          </w:p>
        </w:tc>
      </w:tr>
      <w:tr w:rsidR="00620C4B" w:rsidRPr="00D158AD" w14:paraId="50DA0296" w14:textId="77777777">
        <w:trPr>
          <w:trHeight w:val="122"/>
        </w:trPr>
        <w:tc>
          <w:tcPr>
            <w:tcW w:w="959" w:type="pct"/>
            <w:tcBorders>
              <w:top w:val="single" w:sz="4" w:space="0" w:color="auto"/>
              <w:left w:val="single" w:sz="4" w:space="0" w:color="auto"/>
              <w:bottom w:val="single" w:sz="4" w:space="0" w:color="auto"/>
              <w:right w:val="single" w:sz="4" w:space="0" w:color="auto"/>
            </w:tcBorders>
            <w:hideMark/>
          </w:tcPr>
          <w:p w14:paraId="6451348E" w14:textId="77777777" w:rsidR="00620C4B" w:rsidRPr="00D158AD" w:rsidRDefault="00620C4B">
            <w:pPr>
              <w:widowControl w:val="0"/>
              <w:jc w:val="left"/>
              <w:rPr>
                <w:rFonts w:ascii="Arial Narrow" w:eastAsia="Calibri" w:hAnsi="Arial Narrow" w:cs="Calibri"/>
                <w:b/>
                <w:sz w:val="20"/>
                <w:szCs w:val="20"/>
                <w:lang w:eastAsia="en-US" w:bidi="he-IL"/>
              </w:rPr>
            </w:pPr>
            <w:r w:rsidRPr="00D158AD">
              <w:rPr>
                <w:rFonts w:ascii="Arial Narrow" w:eastAsia="Calibri" w:hAnsi="Arial Narrow" w:cs="Calibri"/>
                <w:b/>
                <w:sz w:val="20"/>
                <w:szCs w:val="20"/>
                <w:lang w:eastAsia="en-US" w:bidi="he-IL"/>
              </w:rPr>
              <w:t>Clinical criteria</w:t>
            </w:r>
          </w:p>
        </w:tc>
        <w:tc>
          <w:tcPr>
            <w:tcW w:w="4041" w:type="pct"/>
            <w:tcBorders>
              <w:top w:val="single" w:sz="4" w:space="0" w:color="auto"/>
              <w:left w:val="single" w:sz="4" w:space="0" w:color="auto"/>
              <w:bottom w:val="single" w:sz="4" w:space="0" w:color="auto"/>
              <w:right w:val="single" w:sz="4" w:space="0" w:color="auto"/>
            </w:tcBorders>
            <w:hideMark/>
          </w:tcPr>
          <w:p w14:paraId="1A5A146A" w14:textId="77777777" w:rsidR="00620C4B" w:rsidRPr="00D158AD" w:rsidRDefault="00620C4B">
            <w:pPr>
              <w:widowControl w:val="0"/>
              <w:rPr>
                <w:rFonts w:ascii="Arial Narrow" w:hAnsi="Arial Narrow" w:cs="Calibri"/>
                <w:color w:val="222222"/>
                <w:sz w:val="20"/>
                <w:szCs w:val="20"/>
                <w:lang w:bidi="he-IL"/>
              </w:rPr>
            </w:pPr>
            <w:r w:rsidRPr="00D158AD">
              <w:rPr>
                <w:rFonts w:ascii="Arial Narrow" w:hAnsi="Arial Narrow" w:cs="Calibri"/>
                <w:color w:val="222222"/>
                <w:sz w:val="20"/>
                <w:szCs w:val="20"/>
                <w:lang w:bidi="he-IL"/>
              </w:rPr>
              <w:t>Patient must have confirmed Crohn disease, defined by standard clinical, endoscopic and/or imaging features, including histological evidence, with the diagnosis confirmed by a gastroenterologist or a consultant physician, AND</w:t>
            </w:r>
          </w:p>
          <w:p w14:paraId="0CCDDE68" w14:textId="77777777" w:rsidR="00620C4B" w:rsidRPr="00D158AD" w:rsidRDefault="00620C4B">
            <w:pPr>
              <w:widowControl w:val="0"/>
              <w:rPr>
                <w:rFonts w:ascii="Arial Narrow" w:hAnsi="Arial Narrow" w:cs="Calibri"/>
                <w:color w:val="222222"/>
                <w:sz w:val="20"/>
                <w:szCs w:val="20"/>
                <w:lang w:bidi="he-IL"/>
              </w:rPr>
            </w:pPr>
            <w:r w:rsidRPr="00D158AD">
              <w:rPr>
                <w:rFonts w:ascii="Arial Narrow" w:hAnsi="Arial Narrow" w:cs="Calibri"/>
                <w:color w:val="222222"/>
                <w:sz w:val="20"/>
                <w:szCs w:val="20"/>
                <w:lang w:bidi="he-IL"/>
              </w:rPr>
              <w:t>Patient must have an externally draining enterocutaneous or rectovaginal fistula.</w:t>
            </w:r>
          </w:p>
        </w:tc>
      </w:tr>
      <w:tr w:rsidR="00620C4B" w:rsidRPr="00D158AD" w14:paraId="13B4AD8B" w14:textId="77777777">
        <w:trPr>
          <w:trHeight w:val="122"/>
        </w:trPr>
        <w:tc>
          <w:tcPr>
            <w:tcW w:w="959" w:type="pct"/>
            <w:tcBorders>
              <w:top w:val="single" w:sz="4" w:space="0" w:color="auto"/>
              <w:left w:val="single" w:sz="4" w:space="0" w:color="auto"/>
              <w:bottom w:val="single" w:sz="4" w:space="0" w:color="auto"/>
              <w:right w:val="single" w:sz="4" w:space="0" w:color="auto"/>
            </w:tcBorders>
            <w:hideMark/>
          </w:tcPr>
          <w:p w14:paraId="56A22748" w14:textId="77777777" w:rsidR="00620C4B" w:rsidRPr="00D158AD" w:rsidRDefault="00620C4B">
            <w:pPr>
              <w:widowControl w:val="0"/>
              <w:jc w:val="left"/>
              <w:rPr>
                <w:rFonts w:ascii="Arial Narrow" w:eastAsia="Calibri" w:hAnsi="Arial Narrow" w:cs="Calibri"/>
                <w:b/>
                <w:sz w:val="20"/>
                <w:szCs w:val="20"/>
                <w:lang w:eastAsia="en-US" w:bidi="he-IL"/>
              </w:rPr>
            </w:pPr>
            <w:r w:rsidRPr="00D158AD">
              <w:rPr>
                <w:rFonts w:ascii="Arial Narrow" w:eastAsia="Calibri" w:hAnsi="Arial Narrow" w:cs="Calibri"/>
                <w:b/>
                <w:sz w:val="20"/>
                <w:szCs w:val="20"/>
                <w:lang w:eastAsia="en-US" w:bidi="he-IL"/>
              </w:rPr>
              <w:t>Prescriber instructions</w:t>
            </w:r>
          </w:p>
        </w:tc>
        <w:tc>
          <w:tcPr>
            <w:tcW w:w="4041" w:type="pct"/>
            <w:tcBorders>
              <w:top w:val="single" w:sz="4" w:space="0" w:color="auto"/>
              <w:left w:val="single" w:sz="4" w:space="0" w:color="auto"/>
              <w:bottom w:val="single" w:sz="4" w:space="0" w:color="auto"/>
              <w:right w:val="single" w:sz="4" w:space="0" w:color="auto"/>
            </w:tcBorders>
            <w:hideMark/>
          </w:tcPr>
          <w:p w14:paraId="25C9D97D" w14:textId="77777777" w:rsidR="00620C4B" w:rsidRPr="00D158AD" w:rsidRDefault="00620C4B">
            <w:pPr>
              <w:widowControl w:val="0"/>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t>Applications for authorisation must be made in writing and must include:</w:t>
            </w:r>
          </w:p>
          <w:p w14:paraId="4BA94C34" w14:textId="77777777" w:rsidR="00620C4B" w:rsidRPr="00D158AD" w:rsidRDefault="00620C4B">
            <w:pPr>
              <w:widowControl w:val="0"/>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t>(1) two completed authority prescription forms; and,</w:t>
            </w:r>
          </w:p>
          <w:p w14:paraId="38DD3EC8" w14:textId="77777777" w:rsidR="00620C4B" w:rsidRPr="00D158AD" w:rsidRDefault="00620C4B">
            <w:pPr>
              <w:widowControl w:val="0"/>
              <w:spacing w:after="120"/>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t>(2) a completed authority application form relevant to the indication and treatment phase (the latest version is located on the website specified in the Administrative Advice) which includes a completed current Fistula Assessment Form including the date of assessment of the patient's condition of no more than 4 weeks old at the time of application.</w:t>
            </w:r>
          </w:p>
          <w:p w14:paraId="1ABE5AF8" w14:textId="77777777" w:rsidR="00620C4B" w:rsidRPr="00D158AD" w:rsidRDefault="00620C4B">
            <w:pPr>
              <w:widowControl w:val="0"/>
              <w:spacing w:after="120"/>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t>A maximum quantity and number of repeats to provide for an initial 12 week course of this drug will be authorised under this item code.</w:t>
            </w:r>
          </w:p>
        </w:tc>
      </w:tr>
      <w:tr w:rsidR="00620C4B" w:rsidRPr="00D158AD" w14:paraId="1D716A90" w14:textId="77777777">
        <w:trPr>
          <w:trHeight w:val="122"/>
        </w:trPr>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7271FC" w14:textId="77777777" w:rsidR="00620C4B" w:rsidRPr="00D158AD" w:rsidRDefault="00620C4B">
            <w:pPr>
              <w:widowControl w:val="0"/>
              <w:jc w:val="left"/>
              <w:rPr>
                <w:rFonts w:ascii="Arial Narrow" w:eastAsia="Calibri" w:hAnsi="Arial Narrow" w:cs="Calibri"/>
                <w:b/>
                <w:sz w:val="20"/>
                <w:szCs w:val="20"/>
                <w:lang w:eastAsia="en-US" w:bidi="he-IL"/>
              </w:rPr>
            </w:pPr>
            <w:r w:rsidRPr="00D158AD">
              <w:rPr>
                <w:rFonts w:ascii="Arial Narrow" w:eastAsia="Calibri" w:hAnsi="Arial Narrow" w:cs="Calibri"/>
                <w:b/>
                <w:sz w:val="20"/>
                <w:szCs w:val="20"/>
                <w:lang w:eastAsia="en-US" w:bidi="he-IL"/>
              </w:rPr>
              <w:t>Treatment phase</w:t>
            </w:r>
          </w:p>
        </w:tc>
        <w:tc>
          <w:tcPr>
            <w:tcW w:w="40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28B84C5" w14:textId="3758985C" w:rsidR="00620C4B" w:rsidRPr="00D158AD" w:rsidRDefault="00620C4B">
            <w:pPr>
              <w:widowControl w:val="0"/>
              <w:jc w:val="left"/>
              <w:rPr>
                <w:rFonts w:ascii="Arial Narrow" w:eastAsia="Calibri" w:hAnsi="Arial Narrow" w:cs="Calibri"/>
                <w:b/>
                <w:bCs/>
                <w:sz w:val="20"/>
                <w:szCs w:val="20"/>
                <w:lang w:eastAsia="en-US" w:bidi="he-IL"/>
              </w:rPr>
            </w:pPr>
            <w:r w:rsidRPr="00D158AD">
              <w:rPr>
                <w:rFonts w:ascii="Arial Narrow" w:eastAsia="Calibri" w:hAnsi="Arial Narrow" w:cs="Calibri"/>
                <w:b/>
                <w:bCs/>
                <w:sz w:val="20"/>
                <w:szCs w:val="20"/>
                <w:lang w:eastAsia="en-US" w:bidi="he-IL"/>
              </w:rPr>
              <w:t>Initial treatment 2 (change or re</w:t>
            </w:r>
            <w:r w:rsidR="00FC7500">
              <w:rPr>
                <w:rFonts w:ascii="Arial Narrow" w:eastAsia="Calibri" w:hAnsi="Arial Narrow" w:cs="Calibri"/>
                <w:b/>
                <w:bCs/>
                <w:sz w:val="20"/>
                <w:szCs w:val="20"/>
                <w:lang w:eastAsia="en-US" w:bidi="he-IL"/>
              </w:rPr>
              <w:noBreakHyphen/>
            </w:r>
            <w:r w:rsidRPr="00D158AD">
              <w:rPr>
                <w:rFonts w:ascii="Arial Narrow" w:eastAsia="Calibri" w:hAnsi="Arial Narrow" w:cs="Calibri"/>
                <w:b/>
                <w:bCs/>
                <w:sz w:val="20"/>
                <w:szCs w:val="20"/>
                <w:lang w:eastAsia="en-US" w:bidi="he-IL"/>
              </w:rPr>
              <w:t xml:space="preserve">commencement of treatment after break &lt; 5 years) </w:t>
            </w:r>
          </w:p>
        </w:tc>
      </w:tr>
      <w:tr w:rsidR="00620C4B" w:rsidRPr="00D158AD" w14:paraId="54A82E3F" w14:textId="77777777">
        <w:trPr>
          <w:trHeight w:val="122"/>
        </w:trPr>
        <w:tc>
          <w:tcPr>
            <w:tcW w:w="959" w:type="pct"/>
            <w:tcBorders>
              <w:top w:val="single" w:sz="4" w:space="0" w:color="auto"/>
              <w:left w:val="single" w:sz="4" w:space="0" w:color="auto"/>
              <w:bottom w:val="single" w:sz="4" w:space="0" w:color="auto"/>
              <w:right w:val="single" w:sz="4" w:space="0" w:color="auto"/>
            </w:tcBorders>
            <w:hideMark/>
          </w:tcPr>
          <w:p w14:paraId="2311C67E" w14:textId="77777777" w:rsidR="00620C4B" w:rsidRPr="00D158AD" w:rsidRDefault="00620C4B">
            <w:pPr>
              <w:widowControl w:val="0"/>
              <w:jc w:val="left"/>
              <w:rPr>
                <w:rFonts w:ascii="Arial Narrow" w:eastAsia="Calibri" w:hAnsi="Arial Narrow" w:cs="Calibri"/>
                <w:b/>
                <w:sz w:val="20"/>
                <w:szCs w:val="20"/>
                <w:lang w:eastAsia="en-US" w:bidi="he-IL"/>
              </w:rPr>
            </w:pPr>
            <w:r w:rsidRPr="00D158AD">
              <w:rPr>
                <w:rFonts w:ascii="Arial Narrow" w:eastAsia="Calibri" w:hAnsi="Arial Narrow" w:cs="Calibri"/>
                <w:b/>
                <w:sz w:val="20"/>
                <w:szCs w:val="20"/>
                <w:lang w:eastAsia="en-US" w:bidi="he-IL"/>
              </w:rPr>
              <w:t>Clinical criteria</w:t>
            </w:r>
          </w:p>
        </w:tc>
        <w:tc>
          <w:tcPr>
            <w:tcW w:w="4041" w:type="pct"/>
            <w:tcBorders>
              <w:top w:val="single" w:sz="4" w:space="0" w:color="auto"/>
              <w:left w:val="single" w:sz="4" w:space="0" w:color="auto"/>
              <w:bottom w:val="single" w:sz="4" w:space="0" w:color="auto"/>
              <w:right w:val="single" w:sz="4" w:space="0" w:color="auto"/>
            </w:tcBorders>
            <w:hideMark/>
          </w:tcPr>
          <w:p w14:paraId="7BF8A1BE" w14:textId="2DF99CCA" w:rsidR="00620C4B" w:rsidRPr="00D158AD" w:rsidRDefault="00620C4B">
            <w:pPr>
              <w:widowControl w:val="0"/>
              <w:rPr>
                <w:rFonts w:ascii="Arial Narrow" w:hAnsi="Arial Narrow" w:cs="Calibri"/>
                <w:color w:val="222222"/>
                <w:sz w:val="20"/>
                <w:szCs w:val="20"/>
                <w:lang w:bidi="he-IL"/>
              </w:rPr>
            </w:pPr>
            <w:r w:rsidRPr="00D158AD">
              <w:rPr>
                <w:rFonts w:ascii="Arial Narrow" w:hAnsi="Arial Narrow" w:cs="Calibri"/>
                <w:color w:val="222222"/>
                <w:sz w:val="20"/>
                <w:szCs w:val="20"/>
                <w:lang w:bidi="he-IL"/>
              </w:rPr>
              <w:t>Patient must have received prior PBS</w:t>
            </w:r>
            <w:r w:rsidR="00FC7500">
              <w:rPr>
                <w:rFonts w:ascii="Arial Narrow" w:hAnsi="Arial Narrow" w:cs="Calibri"/>
                <w:color w:val="222222"/>
                <w:sz w:val="20"/>
                <w:szCs w:val="20"/>
                <w:lang w:bidi="he-IL"/>
              </w:rPr>
              <w:noBreakHyphen/>
            </w:r>
            <w:r w:rsidRPr="00D158AD">
              <w:rPr>
                <w:rFonts w:ascii="Arial Narrow" w:hAnsi="Arial Narrow" w:cs="Calibri"/>
                <w:color w:val="222222"/>
                <w:sz w:val="20"/>
                <w:szCs w:val="20"/>
                <w:lang w:bidi="he-IL"/>
              </w:rPr>
              <w:t>subsidised treatment with a biologic for this condition in this treatment cycle; AND</w:t>
            </w:r>
          </w:p>
          <w:p w14:paraId="09B8E08B" w14:textId="77777777" w:rsidR="00443A05" w:rsidRPr="00443A05" w:rsidRDefault="00620C4B">
            <w:pPr>
              <w:widowControl w:val="0"/>
              <w:rPr>
                <w:rFonts w:ascii="Arial Narrow" w:hAnsi="Arial Narrow" w:cs="Calibri"/>
                <w:color w:val="222222"/>
                <w:sz w:val="20"/>
                <w:szCs w:val="20"/>
                <w:lang w:bidi="he-IL"/>
              </w:rPr>
            </w:pPr>
            <w:r w:rsidRPr="00D158AD">
              <w:rPr>
                <w:rFonts w:ascii="Arial Narrow" w:hAnsi="Arial Narrow" w:cs="Calibri"/>
                <w:color w:val="222222"/>
                <w:sz w:val="20"/>
                <w:szCs w:val="20"/>
                <w:lang w:bidi="he-IL"/>
              </w:rPr>
              <w:t>Patient must not have failed PBS</w:t>
            </w:r>
            <w:r w:rsidR="00FC7500">
              <w:rPr>
                <w:rFonts w:ascii="Arial Narrow" w:hAnsi="Arial Narrow" w:cs="Calibri"/>
                <w:color w:val="222222"/>
                <w:sz w:val="20"/>
                <w:szCs w:val="20"/>
                <w:lang w:bidi="he-IL"/>
              </w:rPr>
              <w:noBreakHyphen/>
            </w:r>
            <w:r w:rsidRPr="00D158AD">
              <w:rPr>
                <w:rFonts w:ascii="Arial Narrow" w:hAnsi="Arial Narrow" w:cs="Calibri"/>
                <w:color w:val="222222"/>
                <w:sz w:val="20"/>
                <w:szCs w:val="20"/>
                <w:lang w:bidi="he-IL"/>
              </w:rPr>
              <w:t>subsidised therapy with this drug for this condition more than once in the current treatment cycle; AND</w:t>
            </w:r>
          </w:p>
          <w:p w14:paraId="238C33B3" w14:textId="2E2983FA" w:rsidR="00620C4B" w:rsidRPr="00D158AD" w:rsidRDefault="00620C4B">
            <w:pPr>
              <w:widowControl w:val="0"/>
              <w:rPr>
                <w:rFonts w:ascii="Arial Narrow" w:hAnsi="Arial Narrow" w:cs="Calibri"/>
                <w:color w:val="222222"/>
                <w:sz w:val="20"/>
                <w:szCs w:val="20"/>
              </w:rPr>
            </w:pPr>
            <w:r w:rsidRPr="00D158AD">
              <w:rPr>
                <w:rFonts w:ascii="Arial Narrow" w:hAnsi="Arial Narrow" w:cs="Calibri"/>
                <w:color w:val="222222"/>
                <w:sz w:val="20"/>
                <w:szCs w:val="20"/>
              </w:rPr>
              <w:t>The treatment must not exceed 12 weeks under this restriction.</w:t>
            </w:r>
          </w:p>
        </w:tc>
      </w:tr>
      <w:tr w:rsidR="00620C4B" w:rsidRPr="00D158AD" w14:paraId="169A2FBB" w14:textId="77777777">
        <w:trPr>
          <w:trHeight w:val="122"/>
        </w:trPr>
        <w:tc>
          <w:tcPr>
            <w:tcW w:w="959" w:type="pct"/>
            <w:tcBorders>
              <w:top w:val="single" w:sz="4" w:space="0" w:color="auto"/>
              <w:left w:val="single" w:sz="4" w:space="0" w:color="auto"/>
              <w:bottom w:val="single" w:sz="4" w:space="0" w:color="auto"/>
              <w:right w:val="single" w:sz="4" w:space="0" w:color="auto"/>
            </w:tcBorders>
            <w:hideMark/>
          </w:tcPr>
          <w:p w14:paraId="53030705" w14:textId="77777777" w:rsidR="00620C4B" w:rsidRPr="00D158AD" w:rsidRDefault="00620C4B">
            <w:pPr>
              <w:widowControl w:val="0"/>
              <w:jc w:val="left"/>
              <w:rPr>
                <w:rFonts w:ascii="Arial Narrow" w:eastAsia="Calibri" w:hAnsi="Arial Narrow" w:cs="Calibri"/>
                <w:b/>
                <w:sz w:val="20"/>
                <w:szCs w:val="20"/>
                <w:lang w:eastAsia="en-US" w:bidi="he-IL"/>
              </w:rPr>
            </w:pPr>
            <w:r w:rsidRPr="00D158AD">
              <w:rPr>
                <w:rFonts w:ascii="Arial Narrow" w:eastAsia="Calibri" w:hAnsi="Arial Narrow" w:cs="Calibri"/>
                <w:b/>
                <w:sz w:val="20"/>
                <w:szCs w:val="20"/>
                <w:lang w:eastAsia="en-US" w:bidi="he-IL"/>
              </w:rPr>
              <w:t>Prescriber instructions</w:t>
            </w:r>
          </w:p>
        </w:tc>
        <w:tc>
          <w:tcPr>
            <w:tcW w:w="4041" w:type="pct"/>
            <w:tcBorders>
              <w:top w:val="single" w:sz="4" w:space="0" w:color="auto"/>
              <w:left w:val="single" w:sz="4" w:space="0" w:color="auto"/>
              <w:bottom w:val="single" w:sz="4" w:space="0" w:color="auto"/>
              <w:right w:val="single" w:sz="4" w:space="0" w:color="auto"/>
            </w:tcBorders>
            <w:hideMark/>
          </w:tcPr>
          <w:p w14:paraId="36312661" w14:textId="77777777" w:rsidR="00620C4B" w:rsidRPr="00D158AD" w:rsidRDefault="00620C4B">
            <w:pPr>
              <w:widowControl w:val="0"/>
              <w:jc w:val="left"/>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t>As per initial treatment 1</w:t>
            </w:r>
          </w:p>
        </w:tc>
      </w:tr>
      <w:tr w:rsidR="00620C4B" w:rsidRPr="00D158AD" w14:paraId="65A62D57" w14:textId="77777777">
        <w:trPr>
          <w:trHeight w:val="122"/>
        </w:trPr>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425E044" w14:textId="77777777" w:rsidR="00620C4B" w:rsidRPr="00D158AD" w:rsidRDefault="00620C4B">
            <w:pPr>
              <w:widowControl w:val="0"/>
              <w:jc w:val="left"/>
              <w:rPr>
                <w:rFonts w:ascii="Arial Narrow" w:eastAsia="Calibri" w:hAnsi="Arial Narrow" w:cs="Calibri"/>
                <w:b/>
                <w:sz w:val="20"/>
                <w:szCs w:val="20"/>
                <w:lang w:eastAsia="en-US" w:bidi="he-IL"/>
              </w:rPr>
            </w:pPr>
            <w:r w:rsidRPr="00D158AD">
              <w:rPr>
                <w:rFonts w:ascii="Arial Narrow" w:eastAsia="Calibri" w:hAnsi="Arial Narrow" w:cs="Calibri"/>
                <w:b/>
                <w:sz w:val="20"/>
                <w:szCs w:val="20"/>
                <w:lang w:eastAsia="en-US" w:bidi="he-IL"/>
              </w:rPr>
              <w:t>Treatment phase</w:t>
            </w:r>
          </w:p>
        </w:tc>
        <w:tc>
          <w:tcPr>
            <w:tcW w:w="404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C19678C" w14:textId="77777777" w:rsidR="00620C4B" w:rsidRPr="00D158AD" w:rsidRDefault="00620C4B">
            <w:pPr>
              <w:widowControl w:val="0"/>
              <w:jc w:val="left"/>
              <w:rPr>
                <w:rFonts w:ascii="Arial Narrow" w:eastAsia="Calibri" w:hAnsi="Arial Narrow" w:cs="Calibri"/>
                <w:b/>
                <w:bCs/>
                <w:sz w:val="20"/>
                <w:szCs w:val="20"/>
                <w:lang w:eastAsia="en-US" w:bidi="he-IL"/>
              </w:rPr>
            </w:pPr>
            <w:r w:rsidRPr="00D158AD">
              <w:rPr>
                <w:rFonts w:ascii="Arial Narrow" w:eastAsia="Calibri" w:hAnsi="Arial Narrow" w:cs="Calibri"/>
                <w:b/>
                <w:bCs/>
                <w:sz w:val="20"/>
                <w:szCs w:val="20"/>
                <w:lang w:eastAsia="en-US" w:bidi="he-IL"/>
              </w:rPr>
              <w:t xml:space="preserve">Initial treatment – balance of </w:t>
            </w:r>
            <w:r w:rsidRPr="00D158AD">
              <w:rPr>
                <w:rFonts w:ascii="Arial Narrow" w:eastAsia="Calibri" w:hAnsi="Arial Narrow" w:cs="Calibri"/>
                <w:b/>
                <w:sz w:val="20"/>
                <w:szCs w:val="20"/>
                <w:lang w:eastAsia="en-US" w:bidi="he-IL"/>
              </w:rPr>
              <w:t>supply</w:t>
            </w:r>
            <w:r w:rsidRPr="00D158AD">
              <w:rPr>
                <w:rFonts w:ascii="Arial Narrow" w:eastAsia="Calibri" w:hAnsi="Arial Narrow" w:cs="Calibri"/>
                <w:b/>
                <w:bCs/>
                <w:sz w:val="20"/>
                <w:szCs w:val="20"/>
                <w:lang w:eastAsia="en-US" w:bidi="he-IL"/>
              </w:rPr>
              <w:t xml:space="preserve"> for initial (induction) treatment phases</w:t>
            </w:r>
          </w:p>
        </w:tc>
      </w:tr>
      <w:tr w:rsidR="00620C4B" w:rsidRPr="00D158AD" w14:paraId="1DF98AA1" w14:textId="77777777">
        <w:trPr>
          <w:trHeight w:val="122"/>
        </w:trPr>
        <w:tc>
          <w:tcPr>
            <w:tcW w:w="959" w:type="pct"/>
            <w:tcBorders>
              <w:top w:val="single" w:sz="4" w:space="0" w:color="auto"/>
              <w:left w:val="single" w:sz="4" w:space="0" w:color="auto"/>
              <w:bottom w:val="single" w:sz="4" w:space="0" w:color="auto"/>
              <w:right w:val="single" w:sz="4" w:space="0" w:color="auto"/>
            </w:tcBorders>
            <w:hideMark/>
          </w:tcPr>
          <w:p w14:paraId="33264763" w14:textId="77777777" w:rsidR="00620C4B" w:rsidRPr="00D158AD" w:rsidRDefault="00620C4B">
            <w:pPr>
              <w:widowControl w:val="0"/>
              <w:jc w:val="left"/>
              <w:rPr>
                <w:rFonts w:ascii="Arial Narrow" w:eastAsia="Calibri" w:hAnsi="Arial Narrow" w:cs="Calibri"/>
                <w:b/>
                <w:sz w:val="20"/>
                <w:szCs w:val="20"/>
                <w:lang w:eastAsia="en-US" w:bidi="he-IL"/>
              </w:rPr>
            </w:pPr>
            <w:r w:rsidRPr="00D158AD">
              <w:rPr>
                <w:rFonts w:ascii="Arial Narrow" w:eastAsia="Calibri" w:hAnsi="Arial Narrow" w:cs="Calibri"/>
                <w:b/>
                <w:sz w:val="20"/>
                <w:szCs w:val="20"/>
                <w:lang w:eastAsia="en-US" w:bidi="he-IL"/>
              </w:rPr>
              <w:t>Clinical criteria</w:t>
            </w:r>
          </w:p>
        </w:tc>
        <w:tc>
          <w:tcPr>
            <w:tcW w:w="4041" w:type="pct"/>
            <w:tcBorders>
              <w:top w:val="single" w:sz="4" w:space="0" w:color="auto"/>
              <w:left w:val="single" w:sz="4" w:space="0" w:color="auto"/>
              <w:bottom w:val="single" w:sz="4" w:space="0" w:color="auto"/>
              <w:right w:val="single" w:sz="4" w:space="0" w:color="auto"/>
            </w:tcBorders>
            <w:hideMark/>
          </w:tcPr>
          <w:p w14:paraId="5E8D6034" w14:textId="77777777" w:rsidR="00620C4B" w:rsidRPr="00D158AD" w:rsidRDefault="00620C4B">
            <w:pPr>
              <w:widowControl w:val="0"/>
              <w:jc w:val="left"/>
              <w:rPr>
                <w:rFonts w:ascii="Arial Narrow" w:hAnsi="Arial Narrow" w:cs="Calibri"/>
                <w:color w:val="222222"/>
                <w:sz w:val="20"/>
                <w:szCs w:val="20"/>
                <w:lang w:bidi="he-IL"/>
              </w:rPr>
            </w:pPr>
            <w:r w:rsidRPr="00D158AD">
              <w:rPr>
                <w:rFonts w:ascii="Arial Narrow" w:hAnsi="Arial Narrow" w:cs="Calibri"/>
                <w:color w:val="222222"/>
                <w:sz w:val="20"/>
                <w:szCs w:val="20"/>
                <w:lang w:bidi="he-IL"/>
              </w:rPr>
              <w:t xml:space="preserve">The treatment must have been prescribed in a quantity in the most recent prescription which did not seek the full quantity available </w:t>
            </w:r>
            <w:proofErr w:type="gramStart"/>
            <w:r w:rsidRPr="00D158AD">
              <w:rPr>
                <w:rFonts w:ascii="Arial Narrow" w:hAnsi="Arial Narrow" w:cs="Calibri"/>
                <w:color w:val="222222"/>
                <w:sz w:val="20"/>
                <w:szCs w:val="20"/>
                <w:lang w:bidi="he-IL"/>
              </w:rPr>
              <w:t>in regards to</w:t>
            </w:r>
            <w:proofErr w:type="gramEnd"/>
            <w:r w:rsidRPr="00D158AD">
              <w:rPr>
                <w:rFonts w:ascii="Arial Narrow" w:hAnsi="Arial Narrow" w:cs="Calibri"/>
                <w:color w:val="222222"/>
                <w:sz w:val="20"/>
                <w:szCs w:val="20"/>
                <w:lang w:bidi="he-IL"/>
              </w:rPr>
              <w:t xml:space="preserve"> any of:</w:t>
            </w:r>
          </w:p>
          <w:p w14:paraId="70B0906A" w14:textId="77777777" w:rsidR="00620C4B" w:rsidRPr="00D158AD" w:rsidRDefault="00620C4B">
            <w:pPr>
              <w:widowControl w:val="0"/>
              <w:jc w:val="left"/>
              <w:rPr>
                <w:rFonts w:ascii="Arial Narrow" w:hAnsi="Arial Narrow" w:cs="Calibri"/>
                <w:color w:val="222222"/>
                <w:sz w:val="20"/>
                <w:szCs w:val="20"/>
                <w:lang w:val="it-IT" w:bidi="he-IL"/>
              </w:rPr>
            </w:pPr>
            <w:r w:rsidRPr="00D158AD">
              <w:rPr>
                <w:rFonts w:ascii="Arial Narrow" w:hAnsi="Arial Narrow" w:cs="Calibri"/>
                <w:color w:val="222222"/>
                <w:sz w:val="20"/>
                <w:szCs w:val="20"/>
                <w:lang w:val="it-IT" w:bidi="he-IL"/>
              </w:rPr>
              <w:t>(i) the quantity per dispensing,</w:t>
            </w:r>
          </w:p>
          <w:p w14:paraId="40A1376E" w14:textId="77777777" w:rsidR="00620C4B" w:rsidRPr="00D158AD" w:rsidRDefault="00620C4B">
            <w:pPr>
              <w:widowControl w:val="0"/>
              <w:jc w:val="left"/>
              <w:rPr>
                <w:rFonts w:ascii="Arial Narrow" w:hAnsi="Arial Narrow" w:cs="Calibri"/>
                <w:color w:val="222222"/>
                <w:sz w:val="20"/>
                <w:szCs w:val="20"/>
                <w:lang w:bidi="he-IL"/>
              </w:rPr>
            </w:pPr>
            <w:r w:rsidRPr="00D158AD">
              <w:rPr>
                <w:rFonts w:ascii="Arial Narrow" w:hAnsi="Arial Narrow" w:cs="Calibri"/>
                <w:color w:val="222222"/>
                <w:sz w:val="20"/>
                <w:szCs w:val="20"/>
                <w:lang w:bidi="he-IL"/>
              </w:rPr>
              <w:t>(ii) repeat prescriptions</w:t>
            </w:r>
          </w:p>
          <w:p w14:paraId="03D859CC" w14:textId="77777777" w:rsidR="00620C4B" w:rsidRPr="00D158AD" w:rsidRDefault="00620C4B">
            <w:pPr>
              <w:widowControl w:val="0"/>
              <w:jc w:val="left"/>
              <w:rPr>
                <w:rFonts w:ascii="Arial Narrow" w:hAnsi="Arial Narrow" w:cs="Calibri"/>
                <w:color w:val="222222"/>
                <w:sz w:val="20"/>
                <w:szCs w:val="20"/>
                <w:lang w:bidi="he-IL"/>
              </w:rPr>
            </w:pPr>
            <w:r w:rsidRPr="00D158AD">
              <w:rPr>
                <w:rFonts w:ascii="Arial Narrow" w:hAnsi="Arial Narrow" w:cs="Calibri"/>
                <w:color w:val="222222"/>
                <w:sz w:val="20"/>
                <w:szCs w:val="20"/>
                <w:lang w:bidi="he-IL"/>
              </w:rPr>
              <w:t>The treatment must provide no more than the balance available under the treatment phase from which the immediately preceding supply was obtained under.</w:t>
            </w:r>
          </w:p>
        </w:tc>
      </w:tr>
      <w:tr w:rsidR="00620C4B" w:rsidRPr="00D158AD" w14:paraId="1FF5B558" w14:textId="77777777">
        <w:trPr>
          <w:trHeight w:val="122"/>
        </w:trPr>
        <w:tc>
          <w:tcPr>
            <w:tcW w:w="959" w:type="pct"/>
            <w:tcBorders>
              <w:top w:val="single" w:sz="4" w:space="0" w:color="auto"/>
              <w:left w:val="single" w:sz="4" w:space="0" w:color="auto"/>
              <w:bottom w:val="single" w:sz="4" w:space="0" w:color="auto"/>
              <w:right w:val="single" w:sz="4" w:space="0" w:color="auto"/>
            </w:tcBorders>
            <w:hideMark/>
          </w:tcPr>
          <w:p w14:paraId="0947F9B7" w14:textId="77777777" w:rsidR="00620C4B" w:rsidRPr="00D158AD" w:rsidRDefault="00620C4B">
            <w:pPr>
              <w:widowControl w:val="0"/>
              <w:jc w:val="left"/>
              <w:rPr>
                <w:rFonts w:ascii="Arial Narrow" w:eastAsia="Calibri" w:hAnsi="Arial Narrow" w:cs="Calibri"/>
                <w:b/>
                <w:sz w:val="20"/>
                <w:szCs w:val="20"/>
                <w:lang w:eastAsia="en-US" w:bidi="he-IL"/>
              </w:rPr>
            </w:pPr>
            <w:r w:rsidRPr="00D158AD">
              <w:rPr>
                <w:rFonts w:ascii="Arial Narrow" w:eastAsia="Calibri" w:hAnsi="Arial Narrow" w:cs="Calibri"/>
                <w:b/>
                <w:sz w:val="20"/>
                <w:szCs w:val="20"/>
                <w:lang w:eastAsia="en-US" w:bidi="he-IL"/>
              </w:rPr>
              <w:t>Prescriber instructions</w:t>
            </w:r>
          </w:p>
        </w:tc>
        <w:tc>
          <w:tcPr>
            <w:tcW w:w="4041" w:type="pct"/>
            <w:tcBorders>
              <w:top w:val="single" w:sz="4" w:space="0" w:color="auto"/>
              <w:left w:val="single" w:sz="4" w:space="0" w:color="auto"/>
              <w:bottom w:val="single" w:sz="4" w:space="0" w:color="auto"/>
              <w:right w:val="single" w:sz="4" w:space="0" w:color="auto"/>
            </w:tcBorders>
            <w:hideMark/>
          </w:tcPr>
          <w:p w14:paraId="29438FF0" w14:textId="77777777" w:rsidR="00620C4B" w:rsidRPr="00D158AD" w:rsidRDefault="00620C4B">
            <w:pPr>
              <w:widowControl w:val="0"/>
              <w:jc w:val="left"/>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t>Initial (induction) treatment phases and ‘Extended induction’ treatment phases for this benefit aim to provide 12 weeks treatment duration.</w:t>
            </w:r>
          </w:p>
        </w:tc>
      </w:tr>
    </w:tbl>
    <w:p w14:paraId="303AAB90" w14:textId="77777777" w:rsidR="00620C4B" w:rsidRDefault="00620C4B" w:rsidP="00620C4B">
      <w:pPr>
        <w:rPr>
          <w:lang w:val="da-DK"/>
        </w:rPr>
      </w:pPr>
    </w:p>
    <w:tbl>
      <w:tblPr>
        <w:tblW w:w="0" w:type="auto"/>
        <w:tblInd w:w="-5" w:type="dxa"/>
        <w:tblLook w:val="04A0" w:firstRow="1" w:lastRow="0" w:firstColumn="1" w:lastColumn="0" w:noHBand="0" w:noVBand="1"/>
        <w:tblCaption w:val="Requested listing"/>
      </w:tblPr>
      <w:tblGrid>
        <w:gridCol w:w="1715"/>
        <w:gridCol w:w="7307"/>
      </w:tblGrid>
      <w:tr w:rsidR="00620C4B" w:rsidRPr="00722F47" w14:paraId="33134517" w14:textId="77777777">
        <w:trPr>
          <w:trHeight w:val="122"/>
        </w:trPr>
        <w:tc>
          <w:tcPr>
            <w:tcW w:w="0" w:type="auto"/>
            <w:tcBorders>
              <w:top w:val="single" w:sz="4" w:space="0" w:color="auto"/>
              <w:left w:val="single" w:sz="4" w:space="0" w:color="auto"/>
              <w:bottom w:val="single" w:sz="4" w:space="0" w:color="auto"/>
              <w:right w:val="single" w:sz="4" w:space="0" w:color="auto"/>
            </w:tcBorders>
            <w:hideMark/>
          </w:tcPr>
          <w:p w14:paraId="55D48ECD" w14:textId="77777777" w:rsidR="00620C4B" w:rsidRPr="00D158AD" w:rsidRDefault="00620C4B">
            <w:pPr>
              <w:widowControl w:val="0"/>
              <w:jc w:val="left"/>
              <w:rPr>
                <w:rFonts w:ascii="Arial Narrow" w:eastAsia="Calibri" w:hAnsi="Arial Narrow" w:cs="Calibri"/>
                <w:b/>
                <w:sz w:val="20"/>
                <w:szCs w:val="20"/>
                <w:lang w:eastAsia="en-US" w:bidi="he-IL"/>
              </w:rPr>
            </w:pPr>
            <w:r w:rsidRPr="00D158AD">
              <w:rPr>
                <w:rFonts w:ascii="Arial Narrow" w:eastAsia="Calibri" w:hAnsi="Arial Narrow" w:cs="Calibri"/>
                <w:b/>
                <w:sz w:val="20"/>
                <w:szCs w:val="20"/>
                <w:lang w:eastAsia="en-US" w:bidi="he-IL"/>
              </w:rPr>
              <w:t>Category/Program</w:t>
            </w:r>
          </w:p>
        </w:tc>
        <w:tc>
          <w:tcPr>
            <w:tcW w:w="0" w:type="auto"/>
            <w:tcBorders>
              <w:top w:val="single" w:sz="4" w:space="0" w:color="auto"/>
              <w:left w:val="single" w:sz="4" w:space="0" w:color="auto"/>
              <w:bottom w:val="single" w:sz="4" w:space="0" w:color="auto"/>
              <w:right w:val="single" w:sz="4" w:space="0" w:color="auto"/>
            </w:tcBorders>
            <w:hideMark/>
          </w:tcPr>
          <w:p w14:paraId="56771FFE" w14:textId="77777777" w:rsidR="00620C4B" w:rsidRPr="00D158AD" w:rsidRDefault="00620C4B">
            <w:pPr>
              <w:widowControl w:val="0"/>
              <w:jc w:val="left"/>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t>Section 85 – General Schedule</w:t>
            </w:r>
          </w:p>
        </w:tc>
      </w:tr>
      <w:tr w:rsidR="00620C4B" w:rsidRPr="00722F47" w14:paraId="7B17060C" w14:textId="77777777">
        <w:trPr>
          <w:trHeight w:val="122"/>
        </w:trPr>
        <w:tc>
          <w:tcPr>
            <w:tcW w:w="0" w:type="auto"/>
            <w:tcBorders>
              <w:top w:val="single" w:sz="4" w:space="0" w:color="auto"/>
              <w:left w:val="single" w:sz="4" w:space="0" w:color="auto"/>
              <w:bottom w:val="single" w:sz="4" w:space="0" w:color="auto"/>
              <w:right w:val="single" w:sz="4" w:space="0" w:color="auto"/>
            </w:tcBorders>
            <w:hideMark/>
          </w:tcPr>
          <w:p w14:paraId="054E59D4" w14:textId="77777777" w:rsidR="00620C4B" w:rsidRPr="00D158AD" w:rsidRDefault="00620C4B">
            <w:pPr>
              <w:widowControl w:val="0"/>
              <w:jc w:val="left"/>
              <w:rPr>
                <w:rFonts w:ascii="Arial Narrow" w:eastAsia="Calibri" w:hAnsi="Arial Narrow" w:cs="Calibri"/>
                <w:b/>
                <w:sz w:val="20"/>
                <w:szCs w:val="20"/>
                <w:lang w:eastAsia="en-US" w:bidi="he-IL"/>
              </w:rPr>
            </w:pPr>
            <w:r w:rsidRPr="00D158AD">
              <w:rPr>
                <w:rFonts w:ascii="Arial Narrow" w:eastAsia="Calibri" w:hAnsi="Arial Narrow" w:cs="Calibri"/>
                <w:b/>
                <w:sz w:val="20"/>
                <w:szCs w:val="20"/>
                <w:lang w:eastAsia="en-US" w:bidi="he-IL"/>
              </w:rPr>
              <w:t>Prescriber type</w:t>
            </w:r>
          </w:p>
        </w:tc>
        <w:tc>
          <w:tcPr>
            <w:tcW w:w="0" w:type="auto"/>
            <w:tcBorders>
              <w:top w:val="single" w:sz="4" w:space="0" w:color="auto"/>
              <w:left w:val="single" w:sz="4" w:space="0" w:color="auto"/>
              <w:bottom w:val="single" w:sz="4" w:space="0" w:color="auto"/>
              <w:right w:val="single" w:sz="4" w:space="0" w:color="auto"/>
            </w:tcBorders>
            <w:hideMark/>
          </w:tcPr>
          <w:p w14:paraId="29D8BEA8" w14:textId="77777777" w:rsidR="00620C4B" w:rsidRPr="00D158AD" w:rsidRDefault="00620C4B">
            <w:pPr>
              <w:widowControl w:val="0"/>
              <w:jc w:val="left"/>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t>Medical Practitioners</w:t>
            </w:r>
          </w:p>
        </w:tc>
      </w:tr>
      <w:tr w:rsidR="00620C4B" w:rsidRPr="00722F47" w14:paraId="235E1160" w14:textId="77777777">
        <w:trPr>
          <w:trHeight w:val="122"/>
        </w:trPr>
        <w:tc>
          <w:tcPr>
            <w:tcW w:w="0" w:type="auto"/>
            <w:tcBorders>
              <w:top w:val="single" w:sz="4" w:space="0" w:color="auto"/>
              <w:left w:val="single" w:sz="4" w:space="0" w:color="auto"/>
              <w:bottom w:val="single" w:sz="4" w:space="0" w:color="auto"/>
              <w:right w:val="single" w:sz="4" w:space="0" w:color="auto"/>
            </w:tcBorders>
            <w:hideMark/>
          </w:tcPr>
          <w:p w14:paraId="3D500474" w14:textId="77777777" w:rsidR="00620C4B" w:rsidRPr="00D158AD" w:rsidRDefault="00620C4B">
            <w:pPr>
              <w:widowControl w:val="0"/>
              <w:jc w:val="left"/>
              <w:rPr>
                <w:rFonts w:ascii="Arial Narrow" w:eastAsia="Calibri" w:hAnsi="Arial Narrow" w:cs="Calibri"/>
                <w:b/>
                <w:sz w:val="20"/>
                <w:szCs w:val="20"/>
                <w:lang w:eastAsia="en-US" w:bidi="he-IL"/>
              </w:rPr>
            </w:pPr>
            <w:r w:rsidRPr="00D158AD">
              <w:rPr>
                <w:rFonts w:ascii="Arial Narrow" w:eastAsia="Calibri" w:hAnsi="Arial Narrow" w:cs="Calibri"/>
                <w:b/>
                <w:sz w:val="20"/>
                <w:szCs w:val="20"/>
                <w:lang w:eastAsia="en-US" w:bidi="he-IL"/>
              </w:rPr>
              <w:t>Severity</w:t>
            </w:r>
          </w:p>
        </w:tc>
        <w:tc>
          <w:tcPr>
            <w:tcW w:w="0" w:type="auto"/>
            <w:tcBorders>
              <w:top w:val="single" w:sz="4" w:space="0" w:color="auto"/>
              <w:left w:val="single" w:sz="4" w:space="0" w:color="auto"/>
              <w:bottom w:val="single" w:sz="4" w:space="0" w:color="auto"/>
              <w:right w:val="single" w:sz="4" w:space="0" w:color="auto"/>
            </w:tcBorders>
            <w:hideMark/>
          </w:tcPr>
          <w:p w14:paraId="41C7A6FD" w14:textId="77777777" w:rsidR="00620C4B" w:rsidRPr="00D158AD" w:rsidRDefault="00620C4B">
            <w:pPr>
              <w:widowControl w:val="0"/>
              <w:jc w:val="left"/>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t xml:space="preserve">Complex refractory </w:t>
            </w:r>
          </w:p>
        </w:tc>
      </w:tr>
      <w:tr w:rsidR="00620C4B" w:rsidRPr="00722F47" w14:paraId="15A40357" w14:textId="77777777">
        <w:trPr>
          <w:trHeight w:val="122"/>
        </w:trPr>
        <w:tc>
          <w:tcPr>
            <w:tcW w:w="0" w:type="auto"/>
            <w:tcBorders>
              <w:top w:val="single" w:sz="4" w:space="0" w:color="auto"/>
              <w:left w:val="single" w:sz="4" w:space="0" w:color="auto"/>
              <w:bottom w:val="single" w:sz="4" w:space="0" w:color="auto"/>
              <w:right w:val="single" w:sz="4" w:space="0" w:color="auto"/>
            </w:tcBorders>
            <w:hideMark/>
          </w:tcPr>
          <w:p w14:paraId="6ACD6511" w14:textId="77777777" w:rsidR="00620C4B" w:rsidRPr="00D158AD" w:rsidRDefault="00620C4B">
            <w:pPr>
              <w:widowControl w:val="0"/>
              <w:jc w:val="left"/>
              <w:rPr>
                <w:rFonts w:ascii="Arial Narrow" w:eastAsia="Calibri" w:hAnsi="Arial Narrow" w:cs="Calibri"/>
                <w:b/>
                <w:sz w:val="20"/>
                <w:szCs w:val="20"/>
                <w:lang w:eastAsia="en-US" w:bidi="he-IL"/>
              </w:rPr>
            </w:pPr>
            <w:r w:rsidRPr="00D158AD">
              <w:rPr>
                <w:rFonts w:ascii="Arial Narrow" w:eastAsia="Calibri" w:hAnsi="Arial Narrow" w:cs="Calibri"/>
                <w:b/>
                <w:sz w:val="20"/>
                <w:szCs w:val="20"/>
                <w:lang w:eastAsia="en-US" w:bidi="he-IL"/>
              </w:rPr>
              <w:t>Condition</w:t>
            </w:r>
          </w:p>
        </w:tc>
        <w:tc>
          <w:tcPr>
            <w:tcW w:w="0" w:type="auto"/>
            <w:tcBorders>
              <w:top w:val="single" w:sz="4" w:space="0" w:color="auto"/>
              <w:left w:val="single" w:sz="4" w:space="0" w:color="auto"/>
              <w:bottom w:val="single" w:sz="4" w:space="0" w:color="auto"/>
              <w:right w:val="single" w:sz="4" w:space="0" w:color="auto"/>
            </w:tcBorders>
            <w:hideMark/>
          </w:tcPr>
          <w:p w14:paraId="64AB2B2B" w14:textId="77777777" w:rsidR="00620C4B" w:rsidRPr="00D158AD" w:rsidRDefault="00620C4B">
            <w:pPr>
              <w:widowControl w:val="0"/>
              <w:jc w:val="left"/>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t>Fistulising Crohn disease</w:t>
            </w:r>
          </w:p>
        </w:tc>
      </w:tr>
      <w:tr w:rsidR="00620C4B" w:rsidRPr="00722F47" w14:paraId="5FC70339" w14:textId="77777777">
        <w:trPr>
          <w:trHeight w:val="122"/>
        </w:trPr>
        <w:tc>
          <w:tcPr>
            <w:tcW w:w="0" w:type="auto"/>
            <w:tcBorders>
              <w:top w:val="single" w:sz="4" w:space="0" w:color="auto"/>
              <w:left w:val="single" w:sz="4" w:space="0" w:color="auto"/>
              <w:bottom w:val="single" w:sz="4" w:space="0" w:color="auto"/>
              <w:right w:val="single" w:sz="4" w:space="0" w:color="auto"/>
            </w:tcBorders>
            <w:hideMark/>
          </w:tcPr>
          <w:p w14:paraId="5020D79A" w14:textId="77777777" w:rsidR="00620C4B" w:rsidRPr="00D158AD" w:rsidRDefault="00620C4B">
            <w:pPr>
              <w:widowControl w:val="0"/>
              <w:jc w:val="left"/>
              <w:rPr>
                <w:rFonts w:ascii="Arial Narrow" w:eastAsia="Calibri" w:hAnsi="Arial Narrow" w:cs="Calibri"/>
                <w:b/>
                <w:sz w:val="20"/>
                <w:szCs w:val="20"/>
                <w:lang w:eastAsia="en-US" w:bidi="he-IL"/>
              </w:rPr>
            </w:pPr>
            <w:r w:rsidRPr="00D158AD">
              <w:rPr>
                <w:rFonts w:ascii="Arial Narrow" w:eastAsia="Calibri" w:hAnsi="Arial Narrow" w:cs="Calibri"/>
                <w:b/>
                <w:sz w:val="20"/>
                <w:szCs w:val="20"/>
                <w:lang w:eastAsia="en-US" w:bidi="he-IL"/>
              </w:rPr>
              <w:t>PBS indication</w:t>
            </w:r>
          </w:p>
        </w:tc>
        <w:tc>
          <w:tcPr>
            <w:tcW w:w="0" w:type="auto"/>
            <w:tcBorders>
              <w:top w:val="single" w:sz="4" w:space="0" w:color="auto"/>
              <w:left w:val="single" w:sz="4" w:space="0" w:color="auto"/>
              <w:bottom w:val="single" w:sz="4" w:space="0" w:color="auto"/>
              <w:right w:val="single" w:sz="4" w:space="0" w:color="auto"/>
            </w:tcBorders>
            <w:hideMark/>
          </w:tcPr>
          <w:p w14:paraId="16FC153A" w14:textId="77777777" w:rsidR="00620C4B" w:rsidRPr="00D158AD" w:rsidRDefault="00620C4B">
            <w:pPr>
              <w:widowControl w:val="0"/>
              <w:jc w:val="left"/>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t xml:space="preserve">Complex refractory fistulising Crohn disease </w:t>
            </w:r>
          </w:p>
        </w:tc>
      </w:tr>
      <w:tr w:rsidR="00620C4B" w:rsidRPr="00722F47" w14:paraId="1D2E01E2" w14:textId="77777777">
        <w:trPr>
          <w:trHeight w:val="122"/>
        </w:trPr>
        <w:tc>
          <w:tcPr>
            <w:tcW w:w="0" w:type="auto"/>
            <w:tcBorders>
              <w:top w:val="single" w:sz="4" w:space="0" w:color="auto"/>
              <w:left w:val="single" w:sz="4" w:space="0" w:color="auto"/>
              <w:bottom w:val="single" w:sz="4" w:space="0" w:color="auto"/>
              <w:right w:val="single" w:sz="4" w:space="0" w:color="auto"/>
            </w:tcBorders>
          </w:tcPr>
          <w:p w14:paraId="70D3818A" w14:textId="77777777" w:rsidR="00620C4B" w:rsidRPr="00D158AD" w:rsidRDefault="00620C4B">
            <w:pPr>
              <w:widowControl w:val="0"/>
              <w:jc w:val="left"/>
              <w:rPr>
                <w:rFonts w:ascii="Arial Narrow" w:eastAsia="Calibri" w:hAnsi="Arial Narrow" w:cs="Calibri"/>
                <w:b/>
                <w:sz w:val="20"/>
                <w:szCs w:val="20"/>
                <w:lang w:eastAsia="en-US" w:bidi="he-IL"/>
              </w:rPr>
            </w:pPr>
            <w:r w:rsidRPr="00D158AD">
              <w:rPr>
                <w:rFonts w:ascii="Arial Narrow" w:eastAsia="Calibri" w:hAnsi="Arial Narrow" w:cs="Calibri"/>
                <w:b/>
                <w:sz w:val="20"/>
                <w:szCs w:val="20"/>
                <w:lang w:eastAsia="en-US" w:bidi="he-IL"/>
              </w:rPr>
              <w:t>Restriction level</w:t>
            </w:r>
          </w:p>
          <w:p w14:paraId="7D1D712F" w14:textId="77777777" w:rsidR="00620C4B" w:rsidRPr="00D158AD" w:rsidRDefault="00620C4B">
            <w:pPr>
              <w:widowControl w:val="0"/>
              <w:jc w:val="left"/>
              <w:rPr>
                <w:rFonts w:ascii="Arial Narrow" w:eastAsia="Calibri" w:hAnsi="Arial Narrow" w:cs="Calibri"/>
                <w:i/>
                <w:sz w:val="20"/>
                <w:szCs w:val="20"/>
                <w:lang w:eastAsia="en-US" w:bidi="he-IL"/>
              </w:rPr>
            </w:pPr>
          </w:p>
        </w:tc>
        <w:tc>
          <w:tcPr>
            <w:tcW w:w="0" w:type="auto"/>
            <w:tcBorders>
              <w:top w:val="single" w:sz="4" w:space="0" w:color="auto"/>
              <w:left w:val="single" w:sz="4" w:space="0" w:color="auto"/>
              <w:bottom w:val="single" w:sz="4" w:space="0" w:color="auto"/>
              <w:right w:val="single" w:sz="4" w:space="0" w:color="auto"/>
            </w:tcBorders>
            <w:hideMark/>
          </w:tcPr>
          <w:p w14:paraId="6D8C0132" w14:textId="77777777" w:rsidR="00620C4B" w:rsidRPr="00D158AD" w:rsidRDefault="00620C4B">
            <w:pPr>
              <w:widowControl w:val="0"/>
              <w:jc w:val="left"/>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fldChar w:fldCharType="begin">
                <w:ffData>
                  <w:name w:val="Check1"/>
                  <w:enabled/>
                  <w:calcOnExit w:val="0"/>
                  <w:checkBox>
                    <w:sizeAuto/>
                    <w:default w:val="0"/>
                  </w:checkBox>
                </w:ffData>
              </w:fldChar>
            </w:r>
            <w:r w:rsidRPr="00D158AD">
              <w:rPr>
                <w:rFonts w:ascii="Arial Narrow" w:eastAsia="Calibri" w:hAnsi="Arial Narrow" w:cs="Calibri"/>
                <w:sz w:val="20"/>
                <w:szCs w:val="20"/>
                <w:lang w:eastAsia="en-US" w:bidi="he-IL"/>
              </w:rPr>
              <w:instrText xml:space="preserve"> FORMCHECKBOX </w:instrText>
            </w:r>
            <w:r w:rsidRPr="00D158AD">
              <w:rPr>
                <w:rFonts w:ascii="Arial Narrow" w:eastAsia="Calibri" w:hAnsi="Arial Narrow" w:cs="Calibri"/>
                <w:sz w:val="20"/>
                <w:szCs w:val="20"/>
                <w:lang w:eastAsia="en-US" w:bidi="he-IL"/>
              </w:rPr>
            </w:r>
            <w:r w:rsidRPr="00D158AD">
              <w:rPr>
                <w:rFonts w:ascii="Arial Narrow" w:eastAsia="Calibri" w:hAnsi="Arial Narrow" w:cs="Calibri"/>
                <w:sz w:val="20"/>
                <w:szCs w:val="20"/>
                <w:lang w:eastAsia="en-US" w:bidi="he-IL"/>
              </w:rPr>
              <w:fldChar w:fldCharType="separate"/>
            </w:r>
            <w:r w:rsidRPr="00D158AD">
              <w:rPr>
                <w:rFonts w:ascii="Arial Narrow" w:eastAsia="Calibri" w:hAnsi="Arial Narrow" w:cs="Calibri"/>
                <w:sz w:val="20"/>
                <w:szCs w:val="20"/>
                <w:lang w:eastAsia="en-US" w:bidi="he-IL"/>
              </w:rPr>
              <w:fldChar w:fldCharType="end"/>
            </w:r>
            <w:r w:rsidRPr="00D158AD">
              <w:rPr>
                <w:rFonts w:ascii="Arial Narrow" w:eastAsia="Calibri" w:hAnsi="Arial Narrow" w:cs="Calibri"/>
                <w:sz w:val="20"/>
                <w:szCs w:val="20"/>
                <w:lang w:eastAsia="en-US" w:bidi="he-IL"/>
              </w:rPr>
              <w:t>Restricted benefit</w:t>
            </w:r>
          </w:p>
          <w:p w14:paraId="2F16D560" w14:textId="768BE5BD" w:rsidR="00620C4B" w:rsidRPr="00D158AD" w:rsidRDefault="00620C4B">
            <w:pPr>
              <w:widowControl w:val="0"/>
              <w:jc w:val="left"/>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fldChar w:fldCharType="begin">
                <w:ffData>
                  <w:name w:val=""/>
                  <w:enabled/>
                  <w:calcOnExit w:val="0"/>
                  <w:checkBox>
                    <w:sizeAuto/>
                    <w:default w:val="0"/>
                  </w:checkBox>
                </w:ffData>
              </w:fldChar>
            </w:r>
            <w:r w:rsidRPr="00D158AD">
              <w:rPr>
                <w:rFonts w:ascii="Arial Narrow" w:eastAsia="Calibri" w:hAnsi="Arial Narrow" w:cs="Calibri"/>
                <w:sz w:val="20"/>
                <w:szCs w:val="20"/>
                <w:lang w:eastAsia="en-US" w:bidi="he-IL"/>
              </w:rPr>
              <w:instrText xml:space="preserve"> FORMCHECKBOX </w:instrText>
            </w:r>
            <w:r w:rsidRPr="00D158AD">
              <w:rPr>
                <w:rFonts w:ascii="Arial Narrow" w:eastAsia="Calibri" w:hAnsi="Arial Narrow" w:cs="Calibri"/>
                <w:sz w:val="20"/>
                <w:szCs w:val="20"/>
                <w:lang w:eastAsia="en-US" w:bidi="he-IL"/>
              </w:rPr>
            </w:r>
            <w:r w:rsidRPr="00D158AD">
              <w:rPr>
                <w:rFonts w:ascii="Arial Narrow" w:eastAsia="Calibri" w:hAnsi="Arial Narrow" w:cs="Calibri"/>
                <w:sz w:val="20"/>
                <w:szCs w:val="20"/>
                <w:lang w:eastAsia="en-US" w:bidi="he-IL"/>
              </w:rPr>
              <w:fldChar w:fldCharType="separate"/>
            </w:r>
            <w:r w:rsidRPr="00D158AD">
              <w:rPr>
                <w:rFonts w:ascii="Arial Narrow" w:eastAsia="Calibri" w:hAnsi="Arial Narrow" w:cs="Calibri"/>
                <w:sz w:val="20"/>
                <w:szCs w:val="20"/>
                <w:lang w:eastAsia="en-US" w:bidi="he-IL"/>
              </w:rPr>
              <w:fldChar w:fldCharType="end"/>
            </w:r>
            <w:r w:rsidRPr="00D158AD">
              <w:rPr>
                <w:rFonts w:ascii="Arial Narrow" w:eastAsia="Calibri" w:hAnsi="Arial Narrow" w:cs="Calibri"/>
                <w:sz w:val="20"/>
                <w:szCs w:val="20"/>
                <w:lang w:eastAsia="en-US" w:bidi="he-IL"/>
              </w:rPr>
              <w:t xml:space="preserve">Authority Required </w:t>
            </w:r>
            <w:r w:rsidR="00FC7500">
              <w:rPr>
                <w:rFonts w:ascii="Arial Narrow" w:eastAsia="Calibri" w:hAnsi="Arial Narrow" w:cs="Calibri"/>
                <w:sz w:val="20"/>
                <w:szCs w:val="20"/>
                <w:lang w:eastAsia="en-US" w:bidi="he-IL"/>
              </w:rPr>
              <w:noBreakHyphen/>
            </w:r>
            <w:r w:rsidRPr="00D158AD">
              <w:rPr>
                <w:rFonts w:ascii="Arial Narrow" w:eastAsia="Calibri" w:hAnsi="Arial Narrow" w:cs="Calibri"/>
                <w:sz w:val="20"/>
                <w:szCs w:val="20"/>
                <w:lang w:eastAsia="en-US" w:bidi="he-IL"/>
              </w:rPr>
              <w:t xml:space="preserve"> In Writing</w:t>
            </w:r>
          </w:p>
          <w:p w14:paraId="1A04813E" w14:textId="4FB52485" w:rsidR="00620C4B" w:rsidRPr="00D158AD" w:rsidRDefault="00620C4B">
            <w:pPr>
              <w:widowControl w:val="0"/>
              <w:jc w:val="left"/>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fldChar w:fldCharType="begin">
                <w:ffData>
                  <w:name w:val=""/>
                  <w:enabled/>
                  <w:calcOnExit w:val="0"/>
                  <w:checkBox>
                    <w:sizeAuto/>
                    <w:default w:val="1"/>
                  </w:checkBox>
                </w:ffData>
              </w:fldChar>
            </w:r>
            <w:r w:rsidRPr="00D158AD">
              <w:rPr>
                <w:rFonts w:ascii="Arial Narrow" w:eastAsia="Calibri" w:hAnsi="Arial Narrow" w:cs="Calibri"/>
                <w:sz w:val="20"/>
                <w:szCs w:val="20"/>
                <w:lang w:eastAsia="en-US" w:bidi="he-IL"/>
              </w:rPr>
              <w:instrText xml:space="preserve"> FORMCHECKBOX </w:instrText>
            </w:r>
            <w:r w:rsidRPr="00D158AD">
              <w:rPr>
                <w:rFonts w:ascii="Arial Narrow" w:eastAsia="Calibri" w:hAnsi="Arial Narrow" w:cs="Calibri"/>
                <w:sz w:val="20"/>
                <w:szCs w:val="20"/>
                <w:lang w:eastAsia="en-US" w:bidi="he-IL"/>
              </w:rPr>
            </w:r>
            <w:r w:rsidRPr="00D158AD">
              <w:rPr>
                <w:rFonts w:ascii="Arial Narrow" w:eastAsia="Calibri" w:hAnsi="Arial Narrow" w:cs="Calibri"/>
                <w:sz w:val="20"/>
                <w:szCs w:val="20"/>
                <w:lang w:eastAsia="en-US" w:bidi="he-IL"/>
              </w:rPr>
              <w:fldChar w:fldCharType="separate"/>
            </w:r>
            <w:r w:rsidRPr="00D158AD">
              <w:rPr>
                <w:rFonts w:ascii="Arial Narrow" w:eastAsia="Calibri" w:hAnsi="Arial Narrow" w:cs="Calibri"/>
                <w:sz w:val="20"/>
                <w:szCs w:val="20"/>
                <w:lang w:eastAsia="en-US" w:bidi="he-IL"/>
              </w:rPr>
              <w:fldChar w:fldCharType="end"/>
            </w:r>
            <w:r w:rsidRPr="00D158AD">
              <w:rPr>
                <w:rFonts w:ascii="Arial Narrow" w:eastAsia="Calibri" w:hAnsi="Arial Narrow" w:cs="Calibri"/>
                <w:sz w:val="20"/>
                <w:szCs w:val="20"/>
                <w:lang w:eastAsia="en-US" w:bidi="he-IL"/>
              </w:rPr>
              <w:t xml:space="preserve">Authority Required </w:t>
            </w:r>
            <w:r w:rsidR="00FC7500">
              <w:rPr>
                <w:rFonts w:ascii="Arial Narrow" w:eastAsia="Calibri" w:hAnsi="Arial Narrow" w:cs="Calibri"/>
                <w:sz w:val="20"/>
                <w:szCs w:val="20"/>
                <w:lang w:eastAsia="en-US" w:bidi="he-IL"/>
              </w:rPr>
              <w:noBreakHyphen/>
            </w:r>
            <w:r w:rsidRPr="00D158AD">
              <w:rPr>
                <w:rFonts w:ascii="Arial Narrow" w:eastAsia="Calibri" w:hAnsi="Arial Narrow" w:cs="Calibri"/>
                <w:sz w:val="20"/>
                <w:szCs w:val="20"/>
                <w:lang w:eastAsia="en-US" w:bidi="he-IL"/>
              </w:rPr>
              <w:t xml:space="preserve"> Telephone</w:t>
            </w:r>
          </w:p>
          <w:p w14:paraId="39DEF84C" w14:textId="77777777" w:rsidR="00620C4B" w:rsidRPr="00D158AD" w:rsidRDefault="00620C4B">
            <w:pPr>
              <w:widowControl w:val="0"/>
              <w:jc w:val="left"/>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fldChar w:fldCharType="begin">
                <w:ffData>
                  <w:name w:val=""/>
                  <w:enabled/>
                  <w:calcOnExit w:val="0"/>
                  <w:checkBox>
                    <w:sizeAuto/>
                    <w:default w:val="0"/>
                  </w:checkBox>
                </w:ffData>
              </w:fldChar>
            </w:r>
            <w:r w:rsidRPr="00D158AD">
              <w:rPr>
                <w:rFonts w:ascii="Arial Narrow" w:eastAsia="Calibri" w:hAnsi="Arial Narrow" w:cs="Calibri"/>
                <w:sz w:val="20"/>
                <w:szCs w:val="20"/>
                <w:lang w:eastAsia="en-US" w:bidi="he-IL"/>
              </w:rPr>
              <w:instrText xml:space="preserve"> FORMCHECKBOX </w:instrText>
            </w:r>
            <w:r w:rsidRPr="00D158AD">
              <w:rPr>
                <w:rFonts w:ascii="Arial Narrow" w:eastAsia="Calibri" w:hAnsi="Arial Narrow" w:cs="Calibri"/>
                <w:sz w:val="20"/>
                <w:szCs w:val="20"/>
                <w:lang w:eastAsia="en-US" w:bidi="he-IL"/>
              </w:rPr>
            </w:r>
            <w:r w:rsidRPr="00D158AD">
              <w:rPr>
                <w:rFonts w:ascii="Arial Narrow" w:eastAsia="Calibri" w:hAnsi="Arial Narrow" w:cs="Calibri"/>
                <w:sz w:val="20"/>
                <w:szCs w:val="20"/>
                <w:lang w:eastAsia="en-US" w:bidi="he-IL"/>
              </w:rPr>
              <w:fldChar w:fldCharType="separate"/>
            </w:r>
            <w:r w:rsidRPr="00D158AD">
              <w:rPr>
                <w:rFonts w:ascii="Arial Narrow" w:eastAsia="Calibri" w:hAnsi="Arial Narrow" w:cs="Calibri"/>
                <w:sz w:val="20"/>
                <w:szCs w:val="20"/>
                <w:lang w:eastAsia="en-US" w:bidi="he-IL"/>
              </w:rPr>
              <w:fldChar w:fldCharType="end"/>
            </w:r>
            <w:r w:rsidRPr="00D158AD">
              <w:rPr>
                <w:rFonts w:ascii="Arial Narrow" w:eastAsia="Calibri" w:hAnsi="Arial Narrow" w:cs="Calibri"/>
                <w:sz w:val="20"/>
                <w:szCs w:val="20"/>
                <w:lang w:eastAsia="en-US" w:bidi="he-IL"/>
              </w:rPr>
              <w:t>Authority Required – Emergency</w:t>
            </w:r>
          </w:p>
          <w:p w14:paraId="39E84E1B" w14:textId="7E8A5272" w:rsidR="00620C4B" w:rsidRPr="00D158AD" w:rsidRDefault="00620C4B">
            <w:pPr>
              <w:widowControl w:val="0"/>
              <w:jc w:val="left"/>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fldChar w:fldCharType="begin">
                <w:ffData>
                  <w:name w:val="Check5"/>
                  <w:enabled/>
                  <w:calcOnExit w:val="0"/>
                  <w:checkBox>
                    <w:sizeAuto/>
                    <w:default w:val="1"/>
                  </w:checkBox>
                </w:ffData>
              </w:fldChar>
            </w:r>
            <w:r w:rsidRPr="00D158AD">
              <w:rPr>
                <w:rFonts w:ascii="Arial Narrow" w:eastAsia="Calibri" w:hAnsi="Arial Narrow" w:cs="Calibri"/>
                <w:sz w:val="20"/>
                <w:szCs w:val="20"/>
                <w:lang w:eastAsia="en-US" w:bidi="he-IL"/>
              </w:rPr>
              <w:instrText xml:space="preserve"> </w:instrText>
            </w:r>
            <w:bookmarkStart w:id="19" w:name="Check5"/>
            <w:r w:rsidRPr="00D158AD">
              <w:rPr>
                <w:rFonts w:ascii="Arial Narrow" w:eastAsia="Calibri" w:hAnsi="Arial Narrow" w:cs="Calibri"/>
                <w:sz w:val="20"/>
                <w:szCs w:val="20"/>
                <w:lang w:eastAsia="en-US" w:bidi="he-IL"/>
              </w:rPr>
              <w:instrText xml:space="preserve">FORMCHECKBOX </w:instrText>
            </w:r>
            <w:r w:rsidRPr="00D158AD">
              <w:rPr>
                <w:rFonts w:ascii="Arial Narrow" w:eastAsia="Calibri" w:hAnsi="Arial Narrow" w:cs="Calibri"/>
                <w:sz w:val="20"/>
                <w:szCs w:val="20"/>
                <w:lang w:eastAsia="en-US" w:bidi="he-IL"/>
              </w:rPr>
            </w:r>
            <w:r w:rsidRPr="00D158AD">
              <w:rPr>
                <w:rFonts w:ascii="Arial Narrow" w:eastAsia="Calibri" w:hAnsi="Arial Narrow" w:cs="Calibri"/>
                <w:sz w:val="20"/>
                <w:szCs w:val="20"/>
                <w:lang w:eastAsia="en-US" w:bidi="he-IL"/>
              </w:rPr>
              <w:fldChar w:fldCharType="separate"/>
            </w:r>
            <w:r w:rsidRPr="00D158AD">
              <w:rPr>
                <w:rFonts w:ascii="Arial Narrow" w:eastAsia="Calibri" w:hAnsi="Arial Narrow" w:cs="Calibri"/>
                <w:sz w:val="20"/>
                <w:szCs w:val="20"/>
                <w:lang w:eastAsia="en-US" w:bidi="he-IL"/>
              </w:rPr>
              <w:fldChar w:fldCharType="end"/>
            </w:r>
            <w:bookmarkEnd w:id="19"/>
            <w:r w:rsidRPr="00D158AD">
              <w:rPr>
                <w:rFonts w:ascii="Arial Narrow" w:eastAsia="Calibri" w:hAnsi="Arial Narrow" w:cs="Calibri"/>
                <w:sz w:val="20"/>
                <w:szCs w:val="20"/>
                <w:lang w:eastAsia="en-US" w:bidi="he-IL"/>
              </w:rPr>
              <w:t xml:space="preserve">Authority Required </w:t>
            </w:r>
            <w:r w:rsidR="00FC7500">
              <w:rPr>
                <w:rFonts w:ascii="Arial Narrow" w:eastAsia="Calibri" w:hAnsi="Arial Narrow" w:cs="Calibri"/>
                <w:sz w:val="20"/>
                <w:szCs w:val="20"/>
                <w:lang w:eastAsia="en-US" w:bidi="he-IL"/>
              </w:rPr>
              <w:noBreakHyphen/>
            </w:r>
            <w:r w:rsidRPr="00D158AD">
              <w:rPr>
                <w:rFonts w:ascii="Arial Narrow" w:eastAsia="Calibri" w:hAnsi="Arial Narrow" w:cs="Calibri"/>
                <w:sz w:val="20"/>
                <w:szCs w:val="20"/>
                <w:lang w:eastAsia="en-US" w:bidi="he-IL"/>
              </w:rPr>
              <w:t xml:space="preserve"> Electronic</w:t>
            </w:r>
          </w:p>
          <w:p w14:paraId="20093B20" w14:textId="77777777" w:rsidR="00620C4B" w:rsidRPr="00D158AD" w:rsidRDefault="00620C4B">
            <w:pPr>
              <w:widowControl w:val="0"/>
              <w:jc w:val="left"/>
              <w:rPr>
                <w:rFonts w:ascii="Arial Narrow" w:eastAsia="Calibri" w:hAnsi="Arial Narrow" w:cs="Calibri"/>
                <w:b/>
                <w:bCs/>
                <w:sz w:val="20"/>
                <w:szCs w:val="20"/>
                <w:lang w:eastAsia="en-US" w:bidi="he-IL"/>
              </w:rPr>
            </w:pPr>
            <w:r w:rsidRPr="00D158AD">
              <w:rPr>
                <w:rFonts w:ascii="Arial Narrow" w:eastAsia="Calibri" w:hAnsi="Arial Narrow" w:cs="Calibri"/>
                <w:sz w:val="20"/>
                <w:szCs w:val="20"/>
                <w:lang w:eastAsia="en-US" w:bidi="he-IL"/>
              </w:rPr>
              <w:fldChar w:fldCharType="begin">
                <w:ffData>
                  <w:name w:val="Check5"/>
                  <w:enabled/>
                  <w:calcOnExit w:val="0"/>
                  <w:checkBox>
                    <w:sizeAuto/>
                    <w:default w:val="0"/>
                  </w:checkBox>
                </w:ffData>
              </w:fldChar>
            </w:r>
            <w:r w:rsidRPr="00D158AD">
              <w:rPr>
                <w:rFonts w:ascii="Arial Narrow" w:eastAsia="Calibri" w:hAnsi="Arial Narrow" w:cs="Calibri"/>
                <w:sz w:val="20"/>
                <w:szCs w:val="20"/>
                <w:lang w:eastAsia="en-US" w:bidi="he-IL"/>
              </w:rPr>
              <w:instrText xml:space="preserve"> FORMCHECKBOX </w:instrText>
            </w:r>
            <w:r w:rsidRPr="00D158AD">
              <w:rPr>
                <w:rFonts w:ascii="Arial Narrow" w:eastAsia="Calibri" w:hAnsi="Arial Narrow" w:cs="Calibri"/>
                <w:sz w:val="20"/>
                <w:szCs w:val="20"/>
                <w:lang w:eastAsia="en-US" w:bidi="he-IL"/>
              </w:rPr>
            </w:r>
            <w:r w:rsidRPr="00D158AD">
              <w:rPr>
                <w:rFonts w:ascii="Arial Narrow" w:eastAsia="Calibri" w:hAnsi="Arial Narrow" w:cs="Calibri"/>
                <w:sz w:val="20"/>
                <w:szCs w:val="20"/>
                <w:lang w:eastAsia="en-US" w:bidi="he-IL"/>
              </w:rPr>
              <w:fldChar w:fldCharType="separate"/>
            </w:r>
            <w:r w:rsidRPr="00D158AD">
              <w:rPr>
                <w:rFonts w:ascii="Arial Narrow" w:eastAsia="Calibri" w:hAnsi="Arial Narrow" w:cs="Calibri"/>
                <w:sz w:val="20"/>
                <w:szCs w:val="20"/>
                <w:lang w:eastAsia="en-US" w:bidi="he-IL"/>
              </w:rPr>
              <w:fldChar w:fldCharType="end"/>
            </w:r>
            <w:r w:rsidRPr="00D158AD">
              <w:rPr>
                <w:rFonts w:ascii="Arial Narrow" w:eastAsia="Calibri" w:hAnsi="Arial Narrow" w:cs="Calibri"/>
                <w:sz w:val="20"/>
                <w:szCs w:val="20"/>
                <w:lang w:eastAsia="en-US" w:bidi="he-IL"/>
              </w:rPr>
              <w:t>Streamlined</w:t>
            </w:r>
          </w:p>
        </w:tc>
      </w:tr>
      <w:tr w:rsidR="00620C4B" w:rsidRPr="00722F47" w14:paraId="34DD7A60" w14:textId="77777777">
        <w:trPr>
          <w:trHeight w:val="122"/>
        </w:trPr>
        <w:tc>
          <w:tcPr>
            <w:tcW w:w="0" w:type="auto"/>
            <w:tcBorders>
              <w:top w:val="single" w:sz="4" w:space="0" w:color="auto"/>
              <w:left w:val="single" w:sz="4" w:space="0" w:color="auto"/>
              <w:bottom w:val="single" w:sz="4" w:space="0" w:color="auto"/>
              <w:right w:val="single" w:sz="4" w:space="0" w:color="auto"/>
            </w:tcBorders>
            <w:hideMark/>
          </w:tcPr>
          <w:p w14:paraId="090B0AFB" w14:textId="77777777" w:rsidR="00620C4B" w:rsidRPr="00D158AD" w:rsidRDefault="00620C4B">
            <w:pPr>
              <w:widowControl w:val="0"/>
              <w:jc w:val="left"/>
              <w:rPr>
                <w:rFonts w:ascii="Arial Narrow" w:eastAsia="Calibri" w:hAnsi="Arial Narrow" w:cs="Calibri"/>
                <w:b/>
                <w:sz w:val="20"/>
                <w:szCs w:val="20"/>
                <w:lang w:eastAsia="en-US" w:bidi="he-IL"/>
              </w:rPr>
            </w:pPr>
            <w:r w:rsidRPr="00D158AD">
              <w:rPr>
                <w:rFonts w:ascii="Arial Narrow" w:eastAsia="Calibri" w:hAnsi="Arial Narrow" w:cs="Calibri"/>
                <w:b/>
                <w:sz w:val="20"/>
                <w:szCs w:val="20"/>
                <w:lang w:eastAsia="en-US" w:bidi="he-IL"/>
              </w:rPr>
              <w:t>Treatment criteria</w:t>
            </w:r>
          </w:p>
        </w:tc>
        <w:tc>
          <w:tcPr>
            <w:tcW w:w="0" w:type="auto"/>
            <w:tcBorders>
              <w:top w:val="single" w:sz="4" w:space="0" w:color="auto"/>
              <w:left w:val="single" w:sz="4" w:space="0" w:color="auto"/>
              <w:bottom w:val="single" w:sz="4" w:space="0" w:color="auto"/>
              <w:right w:val="single" w:sz="4" w:space="0" w:color="auto"/>
            </w:tcBorders>
            <w:hideMark/>
          </w:tcPr>
          <w:p w14:paraId="07B0E46D" w14:textId="77777777" w:rsidR="00620C4B" w:rsidRPr="00D158AD" w:rsidRDefault="00620C4B">
            <w:pPr>
              <w:widowControl w:val="0"/>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t>Must be treated by a gastroenterologist (code 87); OR</w:t>
            </w:r>
          </w:p>
          <w:p w14:paraId="2837E7A4" w14:textId="77777777" w:rsidR="00620C4B" w:rsidRPr="00D158AD" w:rsidRDefault="00620C4B">
            <w:pPr>
              <w:widowControl w:val="0"/>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t>Must be treated by a consultant physician [internal medicine specialising in gastroenterology (code 81)]; OR</w:t>
            </w:r>
          </w:p>
          <w:p w14:paraId="03BE4158" w14:textId="77777777" w:rsidR="00620C4B" w:rsidRPr="00D158AD" w:rsidRDefault="00620C4B">
            <w:pPr>
              <w:widowControl w:val="0"/>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t>Must be treated by a consultant physician [general medicine specialising in gastroenterology (code 82)].</w:t>
            </w:r>
          </w:p>
        </w:tc>
      </w:tr>
      <w:tr w:rsidR="00620C4B" w:rsidRPr="00722F47" w14:paraId="15AA6D68" w14:textId="77777777">
        <w:trPr>
          <w:trHeight w:val="122"/>
        </w:trPr>
        <w:tc>
          <w:tcPr>
            <w:tcW w:w="0" w:type="auto"/>
            <w:tcBorders>
              <w:top w:val="single" w:sz="4" w:space="0" w:color="auto"/>
              <w:left w:val="single" w:sz="4" w:space="0" w:color="auto"/>
              <w:bottom w:val="single" w:sz="4" w:space="0" w:color="auto"/>
              <w:right w:val="single" w:sz="4" w:space="0" w:color="auto"/>
            </w:tcBorders>
            <w:hideMark/>
          </w:tcPr>
          <w:p w14:paraId="2FAC9190" w14:textId="77777777" w:rsidR="00620C4B" w:rsidRPr="00D158AD" w:rsidRDefault="00620C4B">
            <w:pPr>
              <w:widowControl w:val="0"/>
              <w:jc w:val="left"/>
              <w:rPr>
                <w:rFonts w:ascii="Arial Narrow" w:eastAsia="Calibri" w:hAnsi="Arial Narrow" w:cs="Calibri"/>
                <w:b/>
                <w:sz w:val="20"/>
                <w:szCs w:val="20"/>
                <w:lang w:eastAsia="en-US" w:bidi="he-IL"/>
              </w:rPr>
            </w:pPr>
            <w:r w:rsidRPr="00D158AD">
              <w:rPr>
                <w:rFonts w:ascii="Arial Narrow" w:eastAsia="Calibri" w:hAnsi="Arial Narrow" w:cs="Calibri"/>
                <w:b/>
                <w:sz w:val="20"/>
                <w:szCs w:val="20"/>
                <w:lang w:eastAsia="en-US" w:bidi="he-IL"/>
              </w:rPr>
              <w:t>Population criteria</w:t>
            </w:r>
          </w:p>
        </w:tc>
        <w:tc>
          <w:tcPr>
            <w:tcW w:w="0" w:type="auto"/>
            <w:tcBorders>
              <w:top w:val="single" w:sz="4" w:space="0" w:color="auto"/>
              <w:left w:val="single" w:sz="4" w:space="0" w:color="auto"/>
              <w:bottom w:val="single" w:sz="4" w:space="0" w:color="auto"/>
              <w:right w:val="single" w:sz="4" w:space="0" w:color="auto"/>
            </w:tcBorders>
            <w:hideMark/>
          </w:tcPr>
          <w:p w14:paraId="0A590F3E" w14:textId="77777777" w:rsidR="00620C4B" w:rsidRPr="00D158AD" w:rsidRDefault="00620C4B">
            <w:pPr>
              <w:widowControl w:val="0"/>
              <w:jc w:val="left"/>
              <w:rPr>
                <w:rFonts w:ascii="Arial Narrow" w:hAnsi="Arial Narrow" w:cs="Calibri"/>
                <w:color w:val="222222"/>
                <w:sz w:val="20"/>
                <w:szCs w:val="20"/>
                <w:lang w:bidi="he-IL"/>
              </w:rPr>
            </w:pPr>
            <w:r w:rsidRPr="00D158AD">
              <w:rPr>
                <w:rFonts w:ascii="Arial Narrow" w:eastAsia="Calibri" w:hAnsi="Arial Narrow" w:cs="Calibri"/>
                <w:sz w:val="20"/>
                <w:szCs w:val="20"/>
                <w:lang w:eastAsia="en-US" w:bidi="he-IL"/>
              </w:rPr>
              <w:t>Patient must be aged 18 years or older.</w:t>
            </w:r>
          </w:p>
        </w:tc>
      </w:tr>
      <w:tr w:rsidR="00620C4B" w:rsidRPr="00722F47" w14:paraId="6F7A66DD" w14:textId="77777777">
        <w:trPr>
          <w:trHeight w:val="122"/>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4633E4E1" w14:textId="77777777" w:rsidR="00620C4B" w:rsidRPr="00D158AD" w:rsidRDefault="00620C4B">
            <w:pPr>
              <w:widowControl w:val="0"/>
              <w:jc w:val="left"/>
              <w:rPr>
                <w:rFonts w:ascii="Arial Narrow" w:eastAsia="Calibri" w:hAnsi="Arial Narrow" w:cs="Calibri"/>
                <w:b/>
                <w:sz w:val="20"/>
                <w:szCs w:val="20"/>
                <w:lang w:eastAsia="en-US" w:bidi="he-IL"/>
              </w:rPr>
            </w:pPr>
            <w:r w:rsidRPr="00D158AD">
              <w:rPr>
                <w:rFonts w:ascii="Arial Narrow" w:eastAsia="Calibri" w:hAnsi="Arial Narrow" w:cs="Calibri"/>
                <w:b/>
                <w:sz w:val="20"/>
                <w:szCs w:val="20"/>
                <w:lang w:eastAsia="en-US" w:bidi="he-IL"/>
              </w:rPr>
              <w:t>Treatment phase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hideMark/>
          </w:tcPr>
          <w:p w14:paraId="4FE06B1F" w14:textId="77777777" w:rsidR="00620C4B" w:rsidRPr="00D158AD" w:rsidRDefault="00620C4B">
            <w:pPr>
              <w:widowControl w:val="0"/>
              <w:jc w:val="left"/>
              <w:rPr>
                <w:rFonts w:ascii="Arial Narrow" w:eastAsia="Calibri" w:hAnsi="Arial Narrow" w:cs="Calibri"/>
                <w:b/>
                <w:bCs/>
                <w:sz w:val="20"/>
                <w:szCs w:val="20"/>
                <w:lang w:eastAsia="en-US" w:bidi="he-IL"/>
              </w:rPr>
            </w:pPr>
            <w:r w:rsidRPr="00D158AD">
              <w:rPr>
                <w:rFonts w:ascii="Arial Narrow" w:eastAsia="Calibri" w:hAnsi="Arial Narrow" w:cs="Calibri"/>
                <w:b/>
                <w:bCs/>
                <w:sz w:val="20"/>
                <w:szCs w:val="20"/>
                <w:lang w:eastAsia="en-US" w:bidi="he-IL"/>
              </w:rPr>
              <w:t xml:space="preserve">Extended induction period (optional) from weeks 12 to 24 </w:t>
            </w:r>
          </w:p>
        </w:tc>
      </w:tr>
      <w:tr w:rsidR="00620C4B" w:rsidRPr="00722F47" w14:paraId="18750F56" w14:textId="77777777">
        <w:trPr>
          <w:trHeight w:val="122"/>
        </w:trPr>
        <w:tc>
          <w:tcPr>
            <w:tcW w:w="0" w:type="auto"/>
            <w:tcBorders>
              <w:top w:val="single" w:sz="4" w:space="0" w:color="auto"/>
              <w:left w:val="single" w:sz="4" w:space="0" w:color="auto"/>
              <w:bottom w:val="single" w:sz="4" w:space="0" w:color="auto"/>
              <w:right w:val="single" w:sz="4" w:space="0" w:color="auto"/>
            </w:tcBorders>
            <w:hideMark/>
          </w:tcPr>
          <w:p w14:paraId="45C92DFC" w14:textId="77777777" w:rsidR="00620C4B" w:rsidRPr="00D158AD" w:rsidRDefault="00620C4B">
            <w:pPr>
              <w:widowControl w:val="0"/>
              <w:jc w:val="left"/>
              <w:rPr>
                <w:rFonts w:ascii="Arial Narrow" w:eastAsia="Calibri" w:hAnsi="Arial Narrow" w:cs="Calibri"/>
                <w:b/>
                <w:sz w:val="20"/>
                <w:szCs w:val="20"/>
                <w:lang w:eastAsia="en-US" w:bidi="he-IL"/>
              </w:rPr>
            </w:pPr>
            <w:r w:rsidRPr="00D158AD">
              <w:rPr>
                <w:rFonts w:ascii="Arial Narrow" w:eastAsia="Calibri" w:hAnsi="Arial Narrow" w:cs="Calibri"/>
                <w:b/>
                <w:sz w:val="20"/>
                <w:szCs w:val="20"/>
                <w:lang w:eastAsia="en-US" w:bidi="he-IL"/>
              </w:rPr>
              <w:t>Clinical criteria</w:t>
            </w:r>
          </w:p>
        </w:tc>
        <w:tc>
          <w:tcPr>
            <w:tcW w:w="0" w:type="auto"/>
            <w:tcBorders>
              <w:top w:val="single" w:sz="4" w:space="0" w:color="auto"/>
              <w:left w:val="single" w:sz="4" w:space="0" w:color="auto"/>
              <w:bottom w:val="single" w:sz="4" w:space="0" w:color="auto"/>
              <w:right w:val="single" w:sz="4" w:space="0" w:color="auto"/>
            </w:tcBorders>
            <w:hideMark/>
          </w:tcPr>
          <w:p w14:paraId="51F60692" w14:textId="77777777" w:rsidR="00620C4B" w:rsidRPr="00D158AD" w:rsidRDefault="00620C4B">
            <w:pPr>
              <w:widowControl w:val="0"/>
              <w:rPr>
                <w:rFonts w:ascii="Arial Narrow" w:hAnsi="Arial Narrow" w:cs="Calibri"/>
                <w:color w:val="222222"/>
                <w:sz w:val="20"/>
                <w:szCs w:val="20"/>
                <w:lang w:bidi="he-IL"/>
              </w:rPr>
            </w:pPr>
            <w:r w:rsidRPr="00D158AD">
              <w:rPr>
                <w:rFonts w:ascii="Arial Narrow" w:hAnsi="Arial Narrow" w:cs="Calibri"/>
                <w:color w:val="222222"/>
                <w:sz w:val="20"/>
                <w:szCs w:val="20"/>
                <w:lang w:bidi="he-IL"/>
              </w:rPr>
              <w:t>Patient must have experienced an inadequate therapeutic benefit following at least one of:</w:t>
            </w:r>
          </w:p>
          <w:p w14:paraId="6666E9B3" w14:textId="1046A553" w:rsidR="00620C4B" w:rsidRPr="00D158AD" w:rsidRDefault="00620C4B">
            <w:pPr>
              <w:widowControl w:val="0"/>
              <w:rPr>
                <w:rFonts w:ascii="Arial Narrow" w:hAnsi="Arial Narrow" w:cs="Calibri"/>
                <w:color w:val="222222"/>
                <w:sz w:val="20"/>
                <w:szCs w:val="20"/>
                <w:lang w:bidi="he-IL"/>
              </w:rPr>
            </w:pPr>
            <w:r w:rsidRPr="00D158AD">
              <w:rPr>
                <w:rFonts w:ascii="Arial Narrow" w:hAnsi="Arial Narrow" w:cs="Calibri"/>
                <w:color w:val="222222"/>
                <w:sz w:val="20"/>
                <w:szCs w:val="20"/>
                <w:lang w:bidi="he-IL"/>
              </w:rPr>
              <w:lastRenderedPageBreak/>
              <w:t>i) dosing with 45 mg daily in the initial 12</w:t>
            </w:r>
            <w:r w:rsidR="00FC7500">
              <w:rPr>
                <w:rFonts w:ascii="Arial Narrow" w:hAnsi="Arial Narrow" w:cs="Calibri"/>
                <w:color w:val="222222"/>
                <w:sz w:val="20"/>
                <w:szCs w:val="20"/>
                <w:lang w:bidi="he-IL"/>
              </w:rPr>
              <w:noBreakHyphen/>
            </w:r>
            <w:r w:rsidRPr="00D158AD">
              <w:rPr>
                <w:rFonts w:ascii="Arial Narrow" w:hAnsi="Arial Narrow" w:cs="Calibri"/>
                <w:color w:val="222222"/>
                <w:sz w:val="20"/>
                <w:szCs w:val="20"/>
                <w:lang w:bidi="he-IL"/>
              </w:rPr>
              <w:t>week induction period</w:t>
            </w:r>
          </w:p>
          <w:p w14:paraId="15206FFE" w14:textId="77777777" w:rsidR="00620C4B" w:rsidRPr="00D158AD" w:rsidRDefault="00620C4B">
            <w:pPr>
              <w:widowControl w:val="0"/>
              <w:rPr>
                <w:rFonts w:ascii="Arial Narrow" w:hAnsi="Arial Narrow" w:cs="Calibri"/>
                <w:color w:val="222222"/>
                <w:sz w:val="20"/>
                <w:szCs w:val="20"/>
                <w:lang w:bidi="he-IL"/>
              </w:rPr>
            </w:pPr>
            <w:r w:rsidRPr="00D158AD">
              <w:rPr>
                <w:rFonts w:ascii="Arial Narrow" w:hAnsi="Arial Narrow" w:cs="Calibri"/>
                <w:color w:val="222222"/>
                <w:sz w:val="20"/>
                <w:szCs w:val="20"/>
                <w:lang w:bidi="he-IL"/>
              </w:rPr>
              <w:t>ii) dosing with 15 mg daily</w:t>
            </w:r>
          </w:p>
        </w:tc>
      </w:tr>
      <w:tr w:rsidR="00620C4B" w:rsidRPr="00722F47" w14:paraId="5BDFD7EA" w14:textId="77777777">
        <w:trPr>
          <w:trHeight w:val="122"/>
        </w:trPr>
        <w:tc>
          <w:tcPr>
            <w:tcW w:w="0" w:type="auto"/>
            <w:tcBorders>
              <w:top w:val="single" w:sz="4" w:space="0" w:color="auto"/>
              <w:left w:val="single" w:sz="4" w:space="0" w:color="auto"/>
              <w:bottom w:val="single" w:sz="4" w:space="0" w:color="auto"/>
              <w:right w:val="single" w:sz="4" w:space="0" w:color="auto"/>
            </w:tcBorders>
            <w:hideMark/>
          </w:tcPr>
          <w:p w14:paraId="5DDA0239" w14:textId="77777777" w:rsidR="00620C4B" w:rsidRPr="00D158AD" w:rsidRDefault="00620C4B">
            <w:pPr>
              <w:widowControl w:val="0"/>
              <w:jc w:val="left"/>
              <w:rPr>
                <w:rFonts w:ascii="Arial Narrow" w:eastAsia="Calibri" w:hAnsi="Arial Narrow" w:cs="Calibri"/>
                <w:b/>
                <w:sz w:val="20"/>
                <w:szCs w:val="20"/>
                <w:lang w:eastAsia="en-US" w:bidi="he-IL"/>
              </w:rPr>
            </w:pPr>
            <w:r w:rsidRPr="00D158AD">
              <w:rPr>
                <w:rFonts w:ascii="Arial Narrow" w:eastAsia="Calibri" w:hAnsi="Arial Narrow" w:cs="Calibri"/>
                <w:b/>
                <w:sz w:val="20"/>
                <w:szCs w:val="20"/>
                <w:lang w:eastAsia="en-US" w:bidi="he-IL"/>
              </w:rPr>
              <w:lastRenderedPageBreak/>
              <w:t>Prescriber instructions</w:t>
            </w:r>
          </w:p>
        </w:tc>
        <w:tc>
          <w:tcPr>
            <w:tcW w:w="0" w:type="auto"/>
            <w:tcBorders>
              <w:top w:val="single" w:sz="4" w:space="0" w:color="auto"/>
              <w:left w:val="single" w:sz="4" w:space="0" w:color="auto"/>
              <w:bottom w:val="single" w:sz="4" w:space="0" w:color="auto"/>
              <w:right w:val="single" w:sz="4" w:space="0" w:color="auto"/>
            </w:tcBorders>
            <w:hideMark/>
          </w:tcPr>
          <w:p w14:paraId="0F943674" w14:textId="77777777" w:rsidR="00620C4B" w:rsidRPr="00D158AD" w:rsidRDefault="00620C4B">
            <w:pPr>
              <w:widowControl w:val="0"/>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t>Applications for authorisation under this restriction may be made in real time using the Online PBS Authorities system (see www.servicesaustralia.gov.au/HPOS) or by telephone by contacting Services Australia on 1800 700 270 (hours of operation 8 a.m. to 5 p.m. Monday to Friday). No increase in the maximum quantity or number of units may be authorised.</w:t>
            </w:r>
          </w:p>
          <w:p w14:paraId="43F9A947" w14:textId="77777777" w:rsidR="00620C4B" w:rsidRPr="00D158AD" w:rsidRDefault="00620C4B">
            <w:pPr>
              <w:widowControl w:val="0"/>
              <w:rPr>
                <w:rFonts w:ascii="Arial Narrow" w:eastAsia="Calibri" w:hAnsi="Arial Narrow" w:cs="Calibri"/>
                <w:sz w:val="20"/>
                <w:szCs w:val="20"/>
                <w:lang w:eastAsia="en-US" w:bidi="he-IL"/>
              </w:rPr>
            </w:pPr>
            <w:r w:rsidRPr="00D158AD">
              <w:rPr>
                <w:rFonts w:ascii="Arial Narrow" w:eastAsia="Calibri" w:hAnsi="Arial Narrow" w:cs="Calibri"/>
                <w:sz w:val="20"/>
                <w:szCs w:val="20"/>
                <w:lang w:eastAsia="en-US" w:bidi="he-IL"/>
              </w:rPr>
              <w:t>No increase in the maximum number of repeats may be authorised.</w:t>
            </w:r>
          </w:p>
        </w:tc>
      </w:tr>
    </w:tbl>
    <w:p w14:paraId="356B2505" w14:textId="77777777" w:rsidR="00620C4B" w:rsidRDefault="00620C4B" w:rsidP="00620C4B">
      <w:pPr>
        <w:rPr>
          <w:lang w:val="da-DK"/>
        </w:rPr>
      </w:pPr>
    </w:p>
    <w:tbl>
      <w:tblPr>
        <w:tblW w:w="5000" w:type="pct"/>
        <w:tblLook w:val="04A0" w:firstRow="1" w:lastRow="0" w:firstColumn="1" w:lastColumn="0" w:noHBand="0" w:noVBand="1"/>
        <w:tblCaption w:val="Requested listing"/>
      </w:tblPr>
      <w:tblGrid>
        <w:gridCol w:w="1794"/>
        <w:gridCol w:w="7223"/>
      </w:tblGrid>
      <w:tr w:rsidR="00620C4B" w:rsidRPr="00722F47" w14:paraId="57B33530" w14:textId="77777777">
        <w:trPr>
          <w:trHeight w:val="122"/>
        </w:trPr>
        <w:tc>
          <w:tcPr>
            <w:tcW w:w="995" w:type="pct"/>
            <w:tcBorders>
              <w:top w:val="single" w:sz="4" w:space="0" w:color="auto"/>
              <w:left w:val="single" w:sz="4" w:space="0" w:color="auto"/>
              <w:bottom w:val="single" w:sz="4" w:space="0" w:color="auto"/>
              <w:right w:val="single" w:sz="4" w:space="0" w:color="auto"/>
            </w:tcBorders>
            <w:hideMark/>
          </w:tcPr>
          <w:p w14:paraId="6A77F1B4" w14:textId="77777777" w:rsidR="00620C4B" w:rsidRPr="00722F47" w:rsidRDefault="00620C4B">
            <w:pPr>
              <w:widowControl w:val="0"/>
              <w:jc w:val="left"/>
              <w:rPr>
                <w:rFonts w:ascii="Arial Narrow" w:eastAsia="Calibri" w:hAnsi="Arial Narrow" w:cs="Calibri"/>
                <w:b/>
                <w:sz w:val="20"/>
                <w:szCs w:val="20"/>
                <w:lang w:eastAsia="en-US" w:bidi="he-IL"/>
              </w:rPr>
            </w:pPr>
            <w:r w:rsidRPr="00722F47">
              <w:rPr>
                <w:rFonts w:ascii="Arial Narrow" w:eastAsia="Calibri" w:hAnsi="Arial Narrow" w:cs="Calibri"/>
                <w:b/>
                <w:sz w:val="20"/>
                <w:szCs w:val="20"/>
                <w:lang w:eastAsia="en-US" w:bidi="he-IL"/>
              </w:rPr>
              <w:t>Category/Program</w:t>
            </w:r>
          </w:p>
        </w:tc>
        <w:tc>
          <w:tcPr>
            <w:tcW w:w="4005" w:type="pct"/>
            <w:tcBorders>
              <w:top w:val="single" w:sz="4" w:space="0" w:color="auto"/>
              <w:left w:val="single" w:sz="4" w:space="0" w:color="auto"/>
              <w:bottom w:val="single" w:sz="4" w:space="0" w:color="auto"/>
              <w:right w:val="single" w:sz="4" w:space="0" w:color="auto"/>
            </w:tcBorders>
          </w:tcPr>
          <w:p w14:paraId="16806BC5" w14:textId="77777777" w:rsidR="00620C4B" w:rsidRPr="00722F47" w:rsidRDefault="00620C4B">
            <w:pPr>
              <w:widowControl w:val="0"/>
              <w:jc w:val="left"/>
              <w:rPr>
                <w:rFonts w:ascii="Arial Narrow" w:eastAsia="Calibri" w:hAnsi="Arial Narrow" w:cs="Calibri"/>
                <w:sz w:val="20"/>
                <w:szCs w:val="20"/>
                <w:lang w:eastAsia="en-US" w:bidi="he-IL"/>
              </w:rPr>
            </w:pPr>
            <w:r w:rsidRPr="00722F47">
              <w:rPr>
                <w:rFonts w:ascii="Arial Narrow" w:eastAsia="Calibri" w:hAnsi="Arial Narrow" w:cs="Calibri"/>
                <w:sz w:val="20"/>
                <w:szCs w:val="20"/>
                <w:lang w:eastAsia="en-US" w:bidi="he-IL"/>
              </w:rPr>
              <w:t>Section 85 – General Schedule</w:t>
            </w:r>
          </w:p>
        </w:tc>
      </w:tr>
      <w:tr w:rsidR="00620C4B" w:rsidRPr="00722F47" w14:paraId="4F7C2AB1" w14:textId="77777777">
        <w:trPr>
          <w:trHeight w:val="122"/>
        </w:trPr>
        <w:tc>
          <w:tcPr>
            <w:tcW w:w="995" w:type="pct"/>
            <w:tcBorders>
              <w:top w:val="single" w:sz="4" w:space="0" w:color="auto"/>
              <w:left w:val="single" w:sz="4" w:space="0" w:color="auto"/>
              <w:bottom w:val="single" w:sz="4" w:space="0" w:color="auto"/>
              <w:right w:val="single" w:sz="4" w:space="0" w:color="auto"/>
            </w:tcBorders>
            <w:hideMark/>
          </w:tcPr>
          <w:p w14:paraId="110C5D5D" w14:textId="77777777" w:rsidR="00620C4B" w:rsidRPr="00722F47" w:rsidRDefault="00620C4B">
            <w:pPr>
              <w:widowControl w:val="0"/>
              <w:jc w:val="left"/>
              <w:rPr>
                <w:rFonts w:ascii="Arial Narrow" w:eastAsia="Calibri" w:hAnsi="Arial Narrow" w:cs="Calibri"/>
                <w:b/>
                <w:sz w:val="20"/>
                <w:szCs w:val="20"/>
                <w:lang w:eastAsia="en-US" w:bidi="he-IL"/>
              </w:rPr>
            </w:pPr>
            <w:r w:rsidRPr="00722F47">
              <w:rPr>
                <w:rFonts w:ascii="Arial Narrow" w:eastAsia="Calibri" w:hAnsi="Arial Narrow" w:cs="Calibri"/>
                <w:b/>
                <w:sz w:val="20"/>
                <w:szCs w:val="20"/>
                <w:lang w:eastAsia="en-US" w:bidi="he-IL"/>
              </w:rPr>
              <w:t>Prescriber type</w:t>
            </w:r>
          </w:p>
        </w:tc>
        <w:tc>
          <w:tcPr>
            <w:tcW w:w="4005" w:type="pct"/>
            <w:tcBorders>
              <w:top w:val="single" w:sz="4" w:space="0" w:color="auto"/>
              <w:left w:val="single" w:sz="4" w:space="0" w:color="auto"/>
              <w:bottom w:val="single" w:sz="4" w:space="0" w:color="auto"/>
              <w:right w:val="single" w:sz="4" w:space="0" w:color="auto"/>
            </w:tcBorders>
          </w:tcPr>
          <w:p w14:paraId="226673FB" w14:textId="77777777" w:rsidR="00620C4B" w:rsidRPr="00722F47" w:rsidRDefault="00620C4B">
            <w:pPr>
              <w:widowControl w:val="0"/>
              <w:jc w:val="left"/>
              <w:rPr>
                <w:rFonts w:ascii="Arial Narrow" w:eastAsia="Calibri" w:hAnsi="Arial Narrow" w:cs="Calibri"/>
                <w:sz w:val="20"/>
                <w:szCs w:val="20"/>
                <w:lang w:eastAsia="en-US" w:bidi="he-IL"/>
              </w:rPr>
            </w:pPr>
            <w:r w:rsidRPr="00722F47">
              <w:rPr>
                <w:rFonts w:ascii="Arial Narrow" w:eastAsia="Calibri" w:hAnsi="Arial Narrow" w:cs="Calibri"/>
                <w:sz w:val="20"/>
                <w:szCs w:val="20"/>
                <w:lang w:eastAsia="en-US" w:bidi="he-IL"/>
              </w:rPr>
              <w:t>Medical Practitioners</w:t>
            </w:r>
          </w:p>
        </w:tc>
      </w:tr>
      <w:tr w:rsidR="00620C4B" w:rsidRPr="00722F47" w14:paraId="08184D68" w14:textId="77777777">
        <w:trPr>
          <w:trHeight w:val="122"/>
        </w:trPr>
        <w:tc>
          <w:tcPr>
            <w:tcW w:w="995" w:type="pct"/>
            <w:tcBorders>
              <w:top w:val="single" w:sz="4" w:space="0" w:color="auto"/>
              <w:left w:val="single" w:sz="4" w:space="0" w:color="auto"/>
              <w:bottom w:val="single" w:sz="4" w:space="0" w:color="auto"/>
              <w:right w:val="single" w:sz="4" w:space="0" w:color="auto"/>
            </w:tcBorders>
            <w:hideMark/>
          </w:tcPr>
          <w:p w14:paraId="697E9F37" w14:textId="77777777" w:rsidR="00620C4B" w:rsidRPr="00722F47" w:rsidRDefault="00620C4B">
            <w:pPr>
              <w:widowControl w:val="0"/>
              <w:jc w:val="left"/>
              <w:rPr>
                <w:rFonts w:ascii="Arial Narrow" w:eastAsia="Calibri" w:hAnsi="Arial Narrow" w:cs="Calibri"/>
                <w:b/>
                <w:sz w:val="20"/>
                <w:szCs w:val="20"/>
                <w:lang w:eastAsia="en-US" w:bidi="he-IL"/>
              </w:rPr>
            </w:pPr>
            <w:r w:rsidRPr="00722F47">
              <w:rPr>
                <w:rFonts w:ascii="Arial Narrow" w:eastAsia="Calibri" w:hAnsi="Arial Narrow" w:cs="Calibri"/>
                <w:b/>
                <w:sz w:val="20"/>
                <w:szCs w:val="20"/>
                <w:lang w:eastAsia="en-US" w:bidi="he-IL"/>
              </w:rPr>
              <w:t>Severity</w:t>
            </w:r>
          </w:p>
        </w:tc>
        <w:tc>
          <w:tcPr>
            <w:tcW w:w="4005" w:type="pct"/>
            <w:tcBorders>
              <w:top w:val="single" w:sz="4" w:space="0" w:color="auto"/>
              <w:left w:val="single" w:sz="4" w:space="0" w:color="auto"/>
              <w:bottom w:val="single" w:sz="4" w:space="0" w:color="auto"/>
              <w:right w:val="single" w:sz="4" w:space="0" w:color="auto"/>
            </w:tcBorders>
          </w:tcPr>
          <w:p w14:paraId="39AEF5CB" w14:textId="77777777" w:rsidR="00620C4B" w:rsidRPr="00722F47" w:rsidRDefault="00620C4B">
            <w:pPr>
              <w:widowControl w:val="0"/>
              <w:jc w:val="left"/>
              <w:rPr>
                <w:rFonts w:ascii="Arial Narrow" w:eastAsia="Calibri" w:hAnsi="Arial Narrow" w:cs="Calibri"/>
                <w:sz w:val="20"/>
                <w:szCs w:val="20"/>
                <w:lang w:eastAsia="en-US" w:bidi="he-IL"/>
              </w:rPr>
            </w:pPr>
            <w:r w:rsidRPr="00722F47">
              <w:rPr>
                <w:rFonts w:ascii="Arial Narrow" w:eastAsia="Calibri" w:hAnsi="Arial Narrow" w:cs="Calibri"/>
                <w:sz w:val="20"/>
                <w:szCs w:val="20"/>
                <w:lang w:eastAsia="en-US" w:bidi="he-IL"/>
              </w:rPr>
              <w:t xml:space="preserve">Complex refractory </w:t>
            </w:r>
          </w:p>
        </w:tc>
      </w:tr>
      <w:tr w:rsidR="00620C4B" w:rsidRPr="00722F47" w14:paraId="578E4EFB" w14:textId="77777777">
        <w:trPr>
          <w:trHeight w:val="122"/>
        </w:trPr>
        <w:tc>
          <w:tcPr>
            <w:tcW w:w="995" w:type="pct"/>
            <w:tcBorders>
              <w:top w:val="single" w:sz="4" w:space="0" w:color="auto"/>
              <w:left w:val="single" w:sz="4" w:space="0" w:color="auto"/>
              <w:bottom w:val="single" w:sz="4" w:space="0" w:color="auto"/>
              <w:right w:val="single" w:sz="4" w:space="0" w:color="auto"/>
            </w:tcBorders>
            <w:hideMark/>
          </w:tcPr>
          <w:p w14:paraId="275E4E66" w14:textId="77777777" w:rsidR="00620C4B" w:rsidRPr="00722F47" w:rsidRDefault="00620C4B">
            <w:pPr>
              <w:widowControl w:val="0"/>
              <w:jc w:val="left"/>
              <w:rPr>
                <w:rFonts w:ascii="Arial Narrow" w:eastAsia="Calibri" w:hAnsi="Arial Narrow" w:cs="Calibri"/>
                <w:b/>
                <w:sz w:val="20"/>
                <w:szCs w:val="20"/>
                <w:lang w:eastAsia="en-US" w:bidi="he-IL"/>
              </w:rPr>
            </w:pPr>
            <w:r w:rsidRPr="00722F47">
              <w:rPr>
                <w:rFonts w:ascii="Arial Narrow" w:eastAsia="Calibri" w:hAnsi="Arial Narrow" w:cs="Calibri"/>
                <w:b/>
                <w:sz w:val="20"/>
                <w:szCs w:val="20"/>
                <w:lang w:eastAsia="en-US" w:bidi="he-IL"/>
              </w:rPr>
              <w:t>Condition</w:t>
            </w:r>
          </w:p>
        </w:tc>
        <w:tc>
          <w:tcPr>
            <w:tcW w:w="4005" w:type="pct"/>
            <w:tcBorders>
              <w:top w:val="single" w:sz="4" w:space="0" w:color="auto"/>
              <w:left w:val="single" w:sz="4" w:space="0" w:color="auto"/>
              <w:bottom w:val="single" w:sz="4" w:space="0" w:color="auto"/>
              <w:right w:val="single" w:sz="4" w:space="0" w:color="auto"/>
            </w:tcBorders>
          </w:tcPr>
          <w:p w14:paraId="67F25AB2" w14:textId="77777777" w:rsidR="00620C4B" w:rsidRPr="00722F47" w:rsidRDefault="00620C4B">
            <w:pPr>
              <w:widowControl w:val="0"/>
              <w:jc w:val="left"/>
              <w:rPr>
                <w:rFonts w:ascii="Arial Narrow" w:eastAsia="Calibri" w:hAnsi="Arial Narrow" w:cs="Calibri"/>
                <w:sz w:val="20"/>
                <w:szCs w:val="20"/>
                <w:lang w:eastAsia="en-US" w:bidi="he-IL"/>
              </w:rPr>
            </w:pPr>
            <w:r w:rsidRPr="00722F47">
              <w:rPr>
                <w:rFonts w:ascii="Arial Narrow" w:eastAsia="Calibri" w:hAnsi="Arial Narrow" w:cs="Calibri"/>
                <w:sz w:val="20"/>
                <w:szCs w:val="20"/>
                <w:lang w:eastAsia="en-US" w:bidi="he-IL"/>
              </w:rPr>
              <w:t>Fistulising Crohn disease</w:t>
            </w:r>
          </w:p>
        </w:tc>
      </w:tr>
      <w:tr w:rsidR="00620C4B" w:rsidRPr="00722F47" w14:paraId="23DA1AF4" w14:textId="77777777">
        <w:trPr>
          <w:trHeight w:val="122"/>
        </w:trPr>
        <w:tc>
          <w:tcPr>
            <w:tcW w:w="995" w:type="pct"/>
            <w:tcBorders>
              <w:top w:val="single" w:sz="4" w:space="0" w:color="auto"/>
              <w:left w:val="single" w:sz="4" w:space="0" w:color="auto"/>
              <w:bottom w:val="single" w:sz="4" w:space="0" w:color="auto"/>
              <w:right w:val="single" w:sz="4" w:space="0" w:color="auto"/>
            </w:tcBorders>
            <w:hideMark/>
          </w:tcPr>
          <w:p w14:paraId="0978D7BE" w14:textId="77777777" w:rsidR="00620C4B" w:rsidRPr="00722F47" w:rsidRDefault="00620C4B">
            <w:pPr>
              <w:widowControl w:val="0"/>
              <w:jc w:val="left"/>
              <w:rPr>
                <w:rFonts w:ascii="Arial Narrow" w:eastAsia="Calibri" w:hAnsi="Arial Narrow" w:cs="Calibri"/>
                <w:b/>
                <w:sz w:val="20"/>
                <w:szCs w:val="20"/>
                <w:lang w:eastAsia="en-US" w:bidi="he-IL"/>
              </w:rPr>
            </w:pPr>
            <w:r w:rsidRPr="00722F47">
              <w:rPr>
                <w:rFonts w:ascii="Arial Narrow" w:eastAsia="Calibri" w:hAnsi="Arial Narrow" w:cs="Calibri"/>
                <w:b/>
                <w:sz w:val="20"/>
                <w:szCs w:val="20"/>
                <w:lang w:eastAsia="en-US" w:bidi="he-IL"/>
              </w:rPr>
              <w:t>PBS indication</w:t>
            </w:r>
          </w:p>
        </w:tc>
        <w:tc>
          <w:tcPr>
            <w:tcW w:w="4005" w:type="pct"/>
            <w:tcBorders>
              <w:top w:val="single" w:sz="4" w:space="0" w:color="auto"/>
              <w:left w:val="single" w:sz="4" w:space="0" w:color="auto"/>
              <w:bottom w:val="single" w:sz="4" w:space="0" w:color="auto"/>
              <w:right w:val="single" w:sz="4" w:space="0" w:color="auto"/>
            </w:tcBorders>
          </w:tcPr>
          <w:p w14:paraId="7BF93E5B" w14:textId="77777777" w:rsidR="00620C4B" w:rsidRPr="00722F47" w:rsidRDefault="00620C4B">
            <w:pPr>
              <w:widowControl w:val="0"/>
              <w:jc w:val="left"/>
              <w:rPr>
                <w:rFonts w:ascii="Arial Narrow" w:eastAsia="Calibri" w:hAnsi="Arial Narrow" w:cs="Calibri"/>
                <w:sz w:val="20"/>
                <w:szCs w:val="20"/>
                <w:lang w:eastAsia="en-US" w:bidi="he-IL"/>
              </w:rPr>
            </w:pPr>
            <w:r w:rsidRPr="00722F47">
              <w:rPr>
                <w:rFonts w:ascii="Arial Narrow" w:eastAsia="Calibri" w:hAnsi="Arial Narrow" w:cs="Calibri"/>
                <w:sz w:val="20"/>
                <w:szCs w:val="20"/>
                <w:lang w:eastAsia="en-US" w:bidi="he-IL"/>
              </w:rPr>
              <w:t xml:space="preserve">Complex refractory fistulising Crohn disease </w:t>
            </w:r>
          </w:p>
        </w:tc>
      </w:tr>
      <w:tr w:rsidR="00620C4B" w:rsidRPr="00722F47" w14:paraId="5F65B059" w14:textId="77777777">
        <w:trPr>
          <w:trHeight w:val="122"/>
        </w:trPr>
        <w:tc>
          <w:tcPr>
            <w:tcW w:w="995" w:type="pct"/>
            <w:tcBorders>
              <w:top w:val="single" w:sz="4" w:space="0" w:color="auto"/>
              <w:left w:val="single" w:sz="4" w:space="0" w:color="auto"/>
              <w:bottom w:val="single" w:sz="4" w:space="0" w:color="auto"/>
              <w:right w:val="single" w:sz="4" w:space="0" w:color="auto"/>
            </w:tcBorders>
          </w:tcPr>
          <w:p w14:paraId="0148B9B8" w14:textId="77777777" w:rsidR="00620C4B" w:rsidRPr="00722F47" w:rsidRDefault="00620C4B">
            <w:pPr>
              <w:widowControl w:val="0"/>
              <w:jc w:val="left"/>
              <w:rPr>
                <w:rFonts w:ascii="Arial Narrow" w:eastAsia="Calibri" w:hAnsi="Arial Narrow" w:cs="Calibri"/>
                <w:b/>
                <w:sz w:val="20"/>
                <w:szCs w:val="20"/>
                <w:lang w:eastAsia="en-US" w:bidi="he-IL"/>
              </w:rPr>
            </w:pPr>
            <w:r w:rsidRPr="00722F47">
              <w:rPr>
                <w:rFonts w:ascii="Arial Narrow" w:eastAsia="Calibri" w:hAnsi="Arial Narrow" w:cs="Calibri"/>
                <w:b/>
                <w:sz w:val="20"/>
                <w:szCs w:val="20"/>
                <w:lang w:eastAsia="en-US" w:bidi="he-IL"/>
              </w:rPr>
              <w:t>Restriction level</w:t>
            </w:r>
          </w:p>
          <w:p w14:paraId="5E09685C" w14:textId="77777777" w:rsidR="00620C4B" w:rsidRPr="00722F47" w:rsidRDefault="00620C4B">
            <w:pPr>
              <w:widowControl w:val="0"/>
              <w:jc w:val="left"/>
              <w:rPr>
                <w:rFonts w:ascii="Arial Narrow" w:eastAsia="Calibri" w:hAnsi="Arial Narrow" w:cs="Calibri"/>
                <w:i/>
                <w:sz w:val="20"/>
                <w:szCs w:val="20"/>
                <w:lang w:eastAsia="en-US" w:bidi="he-IL"/>
              </w:rPr>
            </w:pPr>
          </w:p>
        </w:tc>
        <w:tc>
          <w:tcPr>
            <w:tcW w:w="4005" w:type="pct"/>
            <w:tcBorders>
              <w:top w:val="single" w:sz="4" w:space="0" w:color="auto"/>
              <w:left w:val="single" w:sz="4" w:space="0" w:color="auto"/>
              <w:bottom w:val="single" w:sz="4" w:space="0" w:color="auto"/>
              <w:right w:val="single" w:sz="4" w:space="0" w:color="auto"/>
            </w:tcBorders>
          </w:tcPr>
          <w:p w14:paraId="29F58B2F" w14:textId="77777777" w:rsidR="00620C4B" w:rsidRPr="00722F47" w:rsidRDefault="00620C4B">
            <w:pPr>
              <w:widowControl w:val="0"/>
              <w:jc w:val="left"/>
              <w:rPr>
                <w:rFonts w:ascii="Arial Narrow" w:eastAsia="Calibri" w:hAnsi="Arial Narrow" w:cs="Calibri"/>
                <w:sz w:val="20"/>
                <w:szCs w:val="20"/>
                <w:lang w:eastAsia="en-US" w:bidi="he-IL"/>
              </w:rPr>
            </w:pPr>
            <w:r w:rsidRPr="00722F47">
              <w:rPr>
                <w:rFonts w:ascii="Arial Narrow" w:eastAsia="Calibri" w:hAnsi="Arial Narrow" w:cs="Calibri"/>
                <w:sz w:val="20"/>
                <w:szCs w:val="20"/>
                <w:lang w:eastAsia="en-US" w:bidi="he-IL"/>
              </w:rPr>
              <w:fldChar w:fldCharType="begin">
                <w:ffData>
                  <w:name w:val="Check1"/>
                  <w:enabled/>
                  <w:calcOnExit w:val="0"/>
                  <w:checkBox>
                    <w:sizeAuto/>
                    <w:default w:val="0"/>
                  </w:checkBox>
                </w:ffData>
              </w:fldChar>
            </w:r>
            <w:r w:rsidRPr="00722F47">
              <w:rPr>
                <w:rFonts w:ascii="Arial Narrow" w:eastAsia="Calibri" w:hAnsi="Arial Narrow" w:cs="Calibri"/>
                <w:sz w:val="20"/>
                <w:szCs w:val="20"/>
                <w:lang w:eastAsia="en-US" w:bidi="he-IL"/>
              </w:rPr>
              <w:instrText xml:space="preserve"> FORMCHECKBOX </w:instrText>
            </w:r>
            <w:r w:rsidRPr="00722F47">
              <w:rPr>
                <w:rFonts w:ascii="Arial Narrow" w:eastAsia="Calibri" w:hAnsi="Arial Narrow" w:cs="Calibri"/>
                <w:sz w:val="20"/>
                <w:szCs w:val="20"/>
                <w:lang w:eastAsia="en-US" w:bidi="he-IL"/>
              </w:rPr>
            </w:r>
            <w:r w:rsidRPr="00722F47">
              <w:rPr>
                <w:rFonts w:ascii="Arial Narrow" w:eastAsia="Calibri" w:hAnsi="Arial Narrow" w:cs="Calibri"/>
                <w:sz w:val="20"/>
                <w:szCs w:val="20"/>
                <w:lang w:eastAsia="en-US" w:bidi="he-IL"/>
              </w:rPr>
              <w:fldChar w:fldCharType="separate"/>
            </w:r>
            <w:r w:rsidRPr="00722F47">
              <w:rPr>
                <w:rFonts w:ascii="Arial Narrow" w:eastAsia="Calibri" w:hAnsi="Arial Narrow" w:cs="Calibri"/>
                <w:sz w:val="20"/>
                <w:szCs w:val="20"/>
                <w:lang w:eastAsia="en-US" w:bidi="he-IL"/>
              </w:rPr>
              <w:fldChar w:fldCharType="end"/>
            </w:r>
            <w:r w:rsidRPr="00722F47">
              <w:rPr>
                <w:rFonts w:ascii="Arial Narrow" w:eastAsia="Calibri" w:hAnsi="Arial Narrow" w:cs="Calibri"/>
                <w:sz w:val="20"/>
                <w:szCs w:val="20"/>
                <w:lang w:eastAsia="en-US" w:bidi="he-IL"/>
              </w:rPr>
              <w:t>Restricted benefit</w:t>
            </w:r>
          </w:p>
          <w:p w14:paraId="4BE94F62" w14:textId="3AFD3C6D" w:rsidR="00620C4B" w:rsidRPr="00722F47" w:rsidRDefault="00620C4B">
            <w:pPr>
              <w:widowControl w:val="0"/>
              <w:jc w:val="left"/>
              <w:rPr>
                <w:rFonts w:ascii="Arial Narrow" w:eastAsia="Calibri" w:hAnsi="Arial Narrow" w:cs="Calibri"/>
                <w:sz w:val="20"/>
                <w:szCs w:val="20"/>
                <w:lang w:eastAsia="en-US" w:bidi="he-IL"/>
              </w:rPr>
            </w:pPr>
            <w:r w:rsidRPr="00722F47">
              <w:rPr>
                <w:rFonts w:ascii="Arial Narrow" w:eastAsia="Calibri" w:hAnsi="Arial Narrow" w:cs="Calibri"/>
                <w:sz w:val="20"/>
                <w:szCs w:val="20"/>
                <w:lang w:eastAsia="en-US" w:bidi="he-IL"/>
              </w:rPr>
              <w:fldChar w:fldCharType="begin">
                <w:ffData>
                  <w:name w:val=""/>
                  <w:enabled/>
                  <w:calcOnExit w:val="0"/>
                  <w:checkBox>
                    <w:sizeAuto/>
                    <w:default w:val="1"/>
                  </w:checkBox>
                </w:ffData>
              </w:fldChar>
            </w:r>
            <w:r w:rsidRPr="00722F47">
              <w:rPr>
                <w:rFonts w:ascii="Arial Narrow" w:eastAsia="Calibri" w:hAnsi="Arial Narrow" w:cs="Calibri"/>
                <w:sz w:val="20"/>
                <w:szCs w:val="20"/>
                <w:lang w:eastAsia="en-US" w:bidi="he-IL"/>
              </w:rPr>
              <w:instrText xml:space="preserve"> FORMCHECKBOX </w:instrText>
            </w:r>
            <w:r w:rsidRPr="00722F47">
              <w:rPr>
                <w:rFonts w:ascii="Arial Narrow" w:eastAsia="Calibri" w:hAnsi="Arial Narrow" w:cs="Calibri"/>
                <w:sz w:val="20"/>
                <w:szCs w:val="20"/>
                <w:lang w:eastAsia="en-US" w:bidi="he-IL"/>
              </w:rPr>
            </w:r>
            <w:r w:rsidRPr="00722F47">
              <w:rPr>
                <w:rFonts w:ascii="Arial Narrow" w:eastAsia="Calibri" w:hAnsi="Arial Narrow" w:cs="Calibri"/>
                <w:sz w:val="20"/>
                <w:szCs w:val="20"/>
                <w:lang w:eastAsia="en-US" w:bidi="he-IL"/>
              </w:rPr>
              <w:fldChar w:fldCharType="separate"/>
            </w:r>
            <w:r w:rsidRPr="00722F47">
              <w:rPr>
                <w:rFonts w:ascii="Arial Narrow" w:eastAsia="Calibri" w:hAnsi="Arial Narrow" w:cs="Calibri"/>
                <w:sz w:val="20"/>
                <w:szCs w:val="20"/>
                <w:lang w:eastAsia="en-US" w:bidi="he-IL"/>
              </w:rPr>
              <w:fldChar w:fldCharType="end"/>
            </w:r>
            <w:r w:rsidRPr="00722F47">
              <w:rPr>
                <w:rFonts w:ascii="Arial Narrow" w:eastAsia="Calibri" w:hAnsi="Arial Narrow" w:cs="Calibri"/>
                <w:sz w:val="20"/>
                <w:szCs w:val="20"/>
                <w:lang w:eastAsia="en-US" w:bidi="he-IL"/>
              </w:rPr>
              <w:t xml:space="preserve">Authority Required </w:t>
            </w:r>
            <w:r w:rsidR="00FC7500">
              <w:rPr>
                <w:rFonts w:ascii="Arial Narrow" w:eastAsia="Calibri" w:hAnsi="Arial Narrow" w:cs="Calibri"/>
                <w:sz w:val="20"/>
                <w:szCs w:val="20"/>
                <w:lang w:eastAsia="en-US" w:bidi="he-IL"/>
              </w:rPr>
              <w:noBreakHyphen/>
            </w:r>
            <w:r w:rsidRPr="00722F47">
              <w:rPr>
                <w:rFonts w:ascii="Arial Narrow" w:eastAsia="Calibri" w:hAnsi="Arial Narrow" w:cs="Calibri"/>
                <w:sz w:val="20"/>
                <w:szCs w:val="20"/>
                <w:lang w:eastAsia="en-US" w:bidi="he-IL"/>
              </w:rPr>
              <w:t xml:space="preserve"> Telephone</w:t>
            </w:r>
          </w:p>
          <w:p w14:paraId="50973D1D" w14:textId="77777777" w:rsidR="00620C4B" w:rsidRPr="00722F47" w:rsidRDefault="00620C4B">
            <w:pPr>
              <w:widowControl w:val="0"/>
              <w:jc w:val="left"/>
              <w:rPr>
                <w:rFonts w:ascii="Arial Narrow" w:eastAsia="Calibri" w:hAnsi="Arial Narrow" w:cs="Calibri"/>
                <w:sz w:val="20"/>
                <w:szCs w:val="20"/>
                <w:lang w:eastAsia="en-US" w:bidi="he-IL"/>
              </w:rPr>
            </w:pPr>
            <w:r w:rsidRPr="00722F47">
              <w:rPr>
                <w:rFonts w:ascii="Arial Narrow" w:eastAsia="Calibri" w:hAnsi="Arial Narrow" w:cs="Calibri"/>
                <w:sz w:val="20"/>
                <w:szCs w:val="20"/>
                <w:lang w:eastAsia="en-US" w:bidi="he-IL"/>
              </w:rPr>
              <w:fldChar w:fldCharType="begin">
                <w:ffData>
                  <w:name w:val=""/>
                  <w:enabled/>
                  <w:calcOnExit w:val="0"/>
                  <w:checkBox>
                    <w:sizeAuto/>
                    <w:default w:val="0"/>
                  </w:checkBox>
                </w:ffData>
              </w:fldChar>
            </w:r>
            <w:r w:rsidRPr="00722F47">
              <w:rPr>
                <w:rFonts w:ascii="Arial Narrow" w:eastAsia="Calibri" w:hAnsi="Arial Narrow" w:cs="Calibri"/>
                <w:sz w:val="20"/>
                <w:szCs w:val="20"/>
                <w:lang w:eastAsia="en-US" w:bidi="he-IL"/>
              </w:rPr>
              <w:instrText xml:space="preserve"> FORMCHECKBOX </w:instrText>
            </w:r>
            <w:r w:rsidRPr="00722F47">
              <w:rPr>
                <w:rFonts w:ascii="Arial Narrow" w:eastAsia="Calibri" w:hAnsi="Arial Narrow" w:cs="Calibri"/>
                <w:sz w:val="20"/>
                <w:szCs w:val="20"/>
                <w:lang w:eastAsia="en-US" w:bidi="he-IL"/>
              </w:rPr>
            </w:r>
            <w:r w:rsidRPr="00722F47">
              <w:rPr>
                <w:rFonts w:ascii="Arial Narrow" w:eastAsia="Calibri" w:hAnsi="Arial Narrow" w:cs="Calibri"/>
                <w:sz w:val="20"/>
                <w:szCs w:val="20"/>
                <w:lang w:eastAsia="en-US" w:bidi="he-IL"/>
              </w:rPr>
              <w:fldChar w:fldCharType="separate"/>
            </w:r>
            <w:r w:rsidRPr="00722F47">
              <w:rPr>
                <w:rFonts w:ascii="Arial Narrow" w:eastAsia="Calibri" w:hAnsi="Arial Narrow" w:cs="Calibri"/>
                <w:sz w:val="20"/>
                <w:szCs w:val="20"/>
                <w:lang w:eastAsia="en-US" w:bidi="he-IL"/>
              </w:rPr>
              <w:fldChar w:fldCharType="end"/>
            </w:r>
            <w:r w:rsidRPr="00722F47">
              <w:rPr>
                <w:rFonts w:ascii="Arial Narrow" w:eastAsia="Calibri" w:hAnsi="Arial Narrow" w:cs="Calibri"/>
                <w:sz w:val="20"/>
                <w:szCs w:val="20"/>
                <w:lang w:eastAsia="en-US" w:bidi="he-IL"/>
              </w:rPr>
              <w:t>Authority Required – In Writing</w:t>
            </w:r>
          </w:p>
          <w:p w14:paraId="55106B8F" w14:textId="77777777" w:rsidR="00620C4B" w:rsidRPr="00722F47" w:rsidRDefault="00620C4B">
            <w:pPr>
              <w:widowControl w:val="0"/>
              <w:jc w:val="left"/>
              <w:rPr>
                <w:rFonts w:ascii="Arial Narrow" w:eastAsia="Calibri" w:hAnsi="Arial Narrow" w:cs="Calibri"/>
                <w:sz w:val="20"/>
                <w:szCs w:val="20"/>
                <w:lang w:eastAsia="en-US" w:bidi="he-IL"/>
              </w:rPr>
            </w:pPr>
            <w:r w:rsidRPr="00722F47">
              <w:rPr>
                <w:rFonts w:ascii="Arial Narrow" w:eastAsia="Calibri" w:hAnsi="Arial Narrow" w:cs="Calibri"/>
                <w:sz w:val="20"/>
                <w:szCs w:val="20"/>
                <w:lang w:eastAsia="en-US" w:bidi="he-IL"/>
              </w:rPr>
              <w:fldChar w:fldCharType="begin">
                <w:ffData>
                  <w:name w:val=""/>
                  <w:enabled/>
                  <w:calcOnExit w:val="0"/>
                  <w:checkBox>
                    <w:sizeAuto/>
                    <w:default w:val="0"/>
                  </w:checkBox>
                </w:ffData>
              </w:fldChar>
            </w:r>
            <w:r w:rsidRPr="00722F47">
              <w:rPr>
                <w:rFonts w:ascii="Arial Narrow" w:eastAsia="Calibri" w:hAnsi="Arial Narrow" w:cs="Calibri"/>
                <w:sz w:val="20"/>
                <w:szCs w:val="20"/>
                <w:lang w:eastAsia="en-US" w:bidi="he-IL"/>
              </w:rPr>
              <w:instrText xml:space="preserve"> FORMCHECKBOX </w:instrText>
            </w:r>
            <w:r w:rsidRPr="00722F47">
              <w:rPr>
                <w:rFonts w:ascii="Arial Narrow" w:eastAsia="Calibri" w:hAnsi="Arial Narrow" w:cs="Calibri"/>
                <w:sz w:val="20"/>
                <w:szCs w:val="20"/>
                <w:lang w:eastAsia="en-US" w:bidi="he-IL"/>
              </w:rPr>
            </w:r>
            <w:r w:rsidRPr="00722F47">
              <w:rPr>
                <w:rFonts w:ascii="Arial Narrow" w:eastAsia="Calibri" w:hAnsi="Arial Narrow" w:cs="Calibri"/>
                <w:sz w:val="20"/>
                <w:szCs w:val="20"/>
                <w:lang w:eastAsia="en-US" w:bidi="he-IL"/>
              </w:rPr>
              <w:fldChar w:fldCharType="separate"/>
            </w:r>
            <w:r w:rsidRPr="00722F47">
              <w:rPr>
                <w:rFonts w:ascii="Arial Narrow" w:eastAsia="Calibri" w:hAnsi="Arial Narrow" w:cs="Calibri"/>
                <w:sz w:val="20"/>
                <w:szCs w:val="20"/>
                <w:lang w:eastAsia="en-US" w:bidi="he-IL"/>
              </w:rPr>
              <w:fldChar w:fldCharType="end"/>
            </w:r>
            <w:r w:rsidRPr="00722F47">
              <w:rPr>
                <w:rFonts w:ascii="Arial Narrow" w:eastAsia="Calibri" w:hAnsi="Arial Narrow" w:cs="Calibri"/>
                <w:sz w:val="20"/>
                <w:szCs w:val="20"/>
                <w:lang w:eastAsia="en-US" w:bidi="he-IL"/>
              </w:rPr>
              <w:t>Authority Required – Emergency</w:t>
            </w:r>
          </w:p>
          <w:p w14:paraId="71FB279C" w14:textId="5195CE8F" w:rsidR="00620C4B" w:rsidRPr="00722F47" w:rsidRDefault="00620C4B">
            <w:pPr>
              <w:widowControl w:val="0"/>
              <w:jc w:val="left"/>
              <w:rPr>
                <w:rFonts w:ascii="Arial Narrow" w:eastAsia="Calibri" w:hAnsi="Arial Narrow" w:cs="Calibri"/>
                <w:sz w:val="20"/>
                <w:szCs w:val="20"/>
                <w:lang w:eastAsia="en-US" w:bidi="he-IL"/>
              </w:rPr>
            </w:pPr>
            <w:r w:rsidRPr="00722F47">
              <w:rPr>
                <w:rFonts w:ascii="Arial Narrow" w:eastAsia="Calibri" w:hAnsi="Arial Narrow" w:cs="Calibri"/>
                <w:sz w:val="20"/>
                <w:szCs w:val="20"/>
                <w:lang w:eastAsia="en-US"/>
              </w:rPr>
              <w:fldChar w:fldCharType="begin">
                <w:ffData>
                  <w:name w:val=""/>
                  <w:enabled/>
                  <w:calcOnExit w:val="0"/>
                  <w:checkBox>
                    <w:sizeAuto/>
                    <w:default w:val="1"/>
                  </w:checkBox>
                </w:ffData>
              </w:fldChar>
            </w:r>
            <w:r w:rsidRPr="00722F47">
              <w:rPr>
                <w:rFonts w:ascii="Arial Narrow" w:eastAsia="Calibri" w:hAnsi="Arial Narrow" w:cs="Calibri"/>
                <w:sz w:val="20"/>
                <w:szCs w:val="20"/>
                <w:lang w:eastAsia="en-US"/>
              </w:rPr>
              <w:instrText xml:space="preserve"> FORMCHECKBOX </w:instrText>
            </w:r>
            <w:r w:rsidRPr="00722F47">
              <w:rPr>
                <w:rFonts w:ascii="Arial Narrow" w:eastAsia="Calibri" w:hAnsi="Arial Narrow" w:cs="Calibri"/>
                <w:sz w:val="20"/>
                <w:szCs w:val="20"/>
                <w:lang w:eastAsia="en-US"/>
              </w:rPr>
            </w:r>
            <w:r w:rsidRPr="00722F47">
              <w:rPr>
                <w:rFonts w:ascii="Arial Narrow" w:eastAsia="Calibri" w:hAnsi="Arial Narrow" w:cs="Calibri"/>
                <w:sz w:val="20"/>
                <w:szCs w:val="20"/>
                <w:lang w:eastAsia="en-US"/>
              </w:rPr>
              <w:fldChar w:fldCharType="separate"/>
            </w:r>
            <w:r w:rsidRPr="00722F47">
              <w:rPr>
                <w:rFonts w:ascii="Arial Narrow" w:eastAsia="Calibri" w:hAnsi="Arial Narrow" w:cs="Calibri"/>
                <w:sz w:val="20"/>
                <w:szCs w:val="20"/>
                <w:lang w:eastAsia="en-US"/>
              </w:rPr>
              <w:fldChar w:fldCharType="end"/>
            </w:r>
            <w:r w:rsidRPr="00722F47">
              <w:rPr>
                <w:rFonts w:ascii="Arial Narrow" w:eastAsia="Calibri" w:hAnsi="Arial Narrow" w:cs="Calibri"/>
                <w:sz w:val="20"/>
                <w:szCs w:val="20"/>
                <w:lang w:eastAsia="en-US" w:bidi="he-IL"/>
              </w:rPr>
              <w:t xml:space="preserve">Authority Required </w:t>
            </w:r>
            <w:r w:rsidR="00FC7500">
              <w:rPr>
                <w:rFonts w:ascii="Arial Narrow" w:eastAsia="Calibri" w:hAnsi="Arial Narrow" w:cs="Calibri"/>
                <w:sz w:val="20"/>
                <w:szCs w:val="20"/>
                <w:lang w:eastAsia="en-US" w:bidi="he-IL"/>
              </w:rPr>
              <w:noBreakHyphen/>
            </w:r>
            <w:r w:rsidRPr="00722F47">
              <w:rPr>
                <w:rFonts w:ascii="Arial Narrow" w:eastAsia="Calibri" w:hAnsi="Arial Narrow" w:cs="Calibri"/>
                <w:sz w:val="20"/>
                <w:szCs w:val="20"/>
                <w:lang w:eastAsia="en-US" w:bidi="he-IL"/>
              </w:rPr>
              <w:t xml:space="preserve"> Electronic</w:t>
            </w:r>
          </w:p>
          <w:p w14:paraId="4B2B83A2" w14:textId="77777777" w:rsidR="00620C4B" w:rsidRPr="00722F47" w:rsidRDefault="00620C4B">
            <w:pPr>
              <w:widowControl w:val="0"/>
              <w:jc w:val="left"/>
              <w:rPr>
                <w:rFonts w:ascii="Arial Narrow" w:eastAsia="Calibri" w:hAnsi="Arial Narrow" w:cs="Calibri"/>
                <w:b/>
                <w:bCs/>
                <w:sz w:val="20"/>
                <w:szCs w:val="20"/>
                <w:lang w:eastAsia="en-US" w:bidi="he-IL"/>
              </w:rPr>
            </w:pPr>
            <w:r w:rsidRPr="00722F47">
              <w:rPr>
                <w:rFonts w:ascii="Arial Narrow" w:eastAsia="Calibri" w:hAnsi="Arial Narrow" w:cs="Calibri"/>
                <w:sz w:val="20"/>
                <w:szCs w:val="20"/>
                <w:lang w:eastAsia="en-US" w:bidi="he-IL"/>
              </w:rPr>
              <w:fldChar w:fldCharType="begin">
                <w:ffData>
                  <w:name w:val="Check5"/>
                  <w:enabled/>
                  <w:calcOnExit w:val="0"/>
                  <w:checkBox>
                    <w:sizeAuto/>
                    <w:default w:val="0"/>
                  </w:checkBox>
                </w:ffData>
              </w:fldChar>
            </w:r>
            <w:r w:rsidRPr="00722F47">
              <w:rPr>
                <w:rFonts w:ascii="Arial Narrow" w:eastAsia="Calibri" w:hAnsi="Arial Narrow" w:cs="Calibri"/>
                <w:sz w:val="20"/>
                <w:szCs w:val="20"/>
                <w:lang w:eastAsia="en-US" w:bidi="he-IL"/>
              </w:rPr>
              <w:instrText xml:space="preserve"> FORMCHECKBOX </w:instrText>
            </w:r>
            <w:r w:rsidRPr="00722F47">
              <w:rPr>
                <w:rFonts w:ascii="Arial Narrow" w:eastAsia="Calibri" w:hAnsi="Arial Narrow" w:cs="Calibri"/>
                <w:sz w:val="20"/>
                <w:szCs w:val="20"/>
                <w:lang w:eastAsia="en-US" w:bidi="he-IL"/>
              </w:rPr>
            </w:r>
            <w:r w:rsidRPr="00722F47">
              <w:rPr>
                <w:rFonts w:ascii="Arial Narrow" w:eastAsia="Calibri" w:hAnsi="Arial Narrow" w:cs="Calibri"/>
                <w:sz w:val="20"/>
                <w:szCs w:val="20"/>
                <w:lang w:eastAsia="en-US" w:bidi="he-IL"/>
              </w:rPr>
              <w:fldChar w:fldCharType="separate"/>
            </w:r>
            <w:r w:rsidRPr="00722F47">
              <w:rPr>
                <w:rFonts w:ascii="Arial Narrow" w:eastAsia="Calibri" w:hAnsi="Arial Narrow" w:cs="Calibri"/>
                <w:sz w:val="20"/>
                <w:szCs w:val="20"/>
                <w:lang w:eastAsia="en-US" w:bidi="he-IL"/>
              </w:rPr>
              <w:fldChar w:fldCharType="end"/>
            </w:r>
            <w:r w:rsidRPr="00722F47">
              <w:rPr>
                <w:rFonts w:ascii="Arial Narrow" w:eastAsia="Calibri" w:hAnsi="Arial Narrow" w:cs="Calibri"/>
                <w:sz w:val="20"/>
                <w:szCs w:val="20"/>
                <w:lang w:eastAsia="en-US" w:bidi="he-IL"/>
              </w:rPr>
              <w:t>Streamlined</w:t>
            </w:r>
          </w:p>
        </w:tc>
      </w:tr>
      <w:tr w:rsidR="00620C4B" w:rsidRPr="00722F47" w14:paraId="75956309" w14:textId="77777777">
        <w:trPr>
          <w:trHeight w:val="122"/>
        </w:trPr>
        <w:tc>
          <w:tcPr>
            <w:tcW w:w="995" w:type="pct"/>
            <w:tcBorders>
              <w:top w:val="single" w:sz="4" w:space="0" w:color="auto"/>
              <w:left w:val="single" w:sz="4" w:space="0" w:color="auto"/>
              <w:bottom w:val="single" w:sz="4" w:space="0" w:color="auto"/>
              <w:right w:val="single" w:sz="4" w:space="0" w:color="auto"/>
            </w:tcBorders>
            <w:hideMark/>
          </w:tcPr>
          <w:p w14:paraId="5B2B1FA5" w14:textId="77777777" w:rsidR="00620C4B" w:rsidRPr="00722F47" w:rsidRDefault="00620C4B">
            <w:pPr>
              <w:widowControl w:val="0"/>
              <w:jc w:val="left"/>
              <w:rPr>
                <w:rFonts w:ascii="Arial Narrow" w:eastAsia="Calibri" w:hAnsi="Arial Narrow" w:cs="Calibri"/>
                <w:b/>
                <w:sz w:val="20"/>
                <w:szCs w:val="20"/>
                <w:lang w:eastAsia="en-US" w:bidi="he-IL"/>
              </w:rPr>
            </w:pPr>
            <w:r w:rsidRPr="00722F47">
              <w:rPr>
                <w:rFonts w:ascii="Arial Narrow" w:eastAsia="Calibri" w:hAnsi="Arial Narrow" w:cs="Calibri"/>
                <w:b/>
                <w:sz w:val="20"/>
                <w:szCs w:val="20"/>
                <w:lang w:eastAsia="en-US" w:bidi="he-IL"/>
              </w:rPr>
              <w:t>Treatment criteria</w:t>
            </w:r>
          </w:p>
        </w:tc>
        <w:tc>
          <w:tcPr>
            <w:tcW w:w="4005" w:type="pct"/>
            <w:tcBorders>
              <w:top w:val="single" w:sz="4" w:space="0" w:color="auto"/>
              <w:left w:val="single" w:sz="4" w:space="0" w:color="auto"/>
              <w:bottom w:val="single" w:sz="4" w:space="0" w:color="auto"/>
              <w:right w:val="single" w:sz="4" w:space="0" w:color="auto"/>
            </w:tcBorders>
          </w:tcPr>
          <w:p w14:paraId="2069EA90" w14:textId="77777777" w:rsidR="00620C4B" w:rsidRPr="00722F47" w:rsidRDefault="00620C4B">
            <w:pPr>
              <w:widowControl w:val="0"/>
              <w:rPr>
                <w:rFonts w:ascii="Arial Narrow" w:eastAsia="Calibri" w:hAnsi="Arial Narrow" w:cs="Calibri"/>
                <w:sz w:val="20"/>
                <w:szCs w:val="20"/>
                <w:lang w:eastAsia="en-US" w:bidi="he-IL"/>
              </w:rPr>
            </w:pPr>
            <w:r w:rsidRPr="00722F47">
              <w:rPr>
                <w:rFonts w:ascii="Arial Narrow" w:eastAsia="Calibri" w:hAnsi="Arial Narrow" w:cs="Calibri"/>
                <w:sz w:val="20"/>
                <w:szCs w:val="20"/>
                <w:lang w:eastAsia="en-US" w:bidi="he-IL"/>
              </w:rPr>
              <w:t>Must be treated by a gastroenterologist (code 87); OR</w:t>
            </w:r>
          </w:p>
          <w:p w14:paraId="1A586630" w14:textId="77777777" w:rsidR="00620C4B" w:rsidRPr="00722F47" w:rsidRDefault="00620C4B">
            <w:pPr>
              <w:widowControl w:val="0"/>
              <w:rPr>
                <w:rFonts w:ascii="Arial Narrow" w:eastAsia="Calibri" w:hAnsi="Arial Narrow" w:cs="Calibri"/>
                <w:sz w:val="20"/>
                <w:szCs w:val="20"/>
                <w:lang w:eastAsia="en-US" w:bidi="he-IL"/>
              </w:rPr>
            </w:pPr>
            <w:r w:rsidRPr="00722F47">
              <w:rPr>
                <w:rFonts w:ascii="Arial Narrow" w:eastAsia="Calibri" w:hAnsi="Arial Narrow" w:cs="Calibri"/>
                <w:sz w:val="20"/>
                <w:szCs w:val="20"/>
                <w:lang w:eastAsia="en-US" w:bidi="he-IL"/>
              </w:rPr>
              <w:t>Must be treated by a consultant physician [internal medicine specialising in gastroenterology (code 81)]; OR</w:t>
            </w:r>
          </w:p>
          <w:p w14:paraId="4C550B0A" w14:textId="77777777" w:rsidR="00620C4B" w:rsidRPr="00722F47" w:rsidRDefault="00620C4B">
            <w:pPr>
              <w:widowControl w:val="0"/>
              <w:rPr>
                <w:rFonts w:ascii="Arial Narrow" w:eastAsia="Calibri" w:hAnsi="Arial Narrow" w:cs="Calibri"/>
                <w:sz w:val="20"/>
                <w:szCs w:val="20"/>
                <w:lang w:eastAsia="en-US" w:bidi="he-IL"/>
              </w:rPr>
            </w:pPr>
            <w:r w:rsidRPr="00722F47">
              <w:rPr>
                <w:rFonts w:ascii="Arial Narrow" w:eastAsia="Calibri" w:hAnsi="Arial Narrow" w:cs="Calibri"/>
                <w:sz w:val="20"/>
                <w:szCs w:val="20"/>
                <w:lang w:eastAsia="en-US" w:bidi="he-IL"/>
              </w:rPr>
              <w:t>Must be treated by a consultant physician [general medicine specialising in gastroenterology (code 82)].</w:t>
            </w:r>
          </w:p>
        </w:tc>
      </w:tr>
      <w:tr w:rsidR="00620C4B" w:rsidRPr="00722F47" w14:paraId="37FC8A80" w14:textId="77777777">
        <w:trPr>
          <w:trHeight w:val="122"/>
        </w:trPr>
        <w:tc>
          <w:tcPr>
            <w:tcW w:w="995" w:type="pct"/>
            <w:tcBorders>
              <w:top w:val="single" w:sz="4" w:space="0" w:color="auto"/>
              <w:left w:val="single" w:sz="4" w:space="0" w:color="auto"/>
              <w:bottom w:val="single" w:sz="4" w:space="0" w:color="auto"/>
              <w:right w:val="single" w:sz="4" w:space="0" w:color="auto"/>
            </w:tcBorders>
            <w:hideMark/>
          </w:tcPr>
          <w:p w14:paraId="7F053964" w14:textId="77777777" w:rsidR="00620C4B" w:rsidRPr="00722F47" w:rsidRDefault="00620C4B">
            <w:pPr>
              <w:widowControl w:val="0"/>
              <w:jc w:val="left"/>
              <w:rPr>
                <w:rFonts w:ascii="Arial Narrow" w:eastAsia="Calibri" w:hAnsi="Arial Narrow" w:cs="Calibri"/>
                <w:b/>
                <w:sz w:val="20"/>
                <w:szCs w:val="20"/>
                <w:lang w:eastAsia="en-US" w:bidi="he-IL"/>
              </w:rPr>
            </w:pPr>
            <w:r w:rsidRPr="00722F47">
              <w:rPr>
                <w:rFonts w:ascii="Arial Narrow" w:eastAsia="Calibri" w:hAnsi="Arial Narrow" w:cs="Calibri"/>
                <w:b/>
                <w:sz w:val="20"/>
                <w:szCs w:val="20"/>
                <w:lang w:eastAsia="en-US" w:bidi="he-IL"/>
              </w:rPr>
              <w:t>Population criteria</w:t>
            </w:r>
          </w:p>
        </w:tc>
        <w:tc>
          <w:tcPr>
            <w:tcW w:w="4005" w:type="pct"/>
            <w:tcBorders>
              <w:top w:val="single" w:sz="4" w:space="0" w:color="auto"/>
              <w:left w:val="single" w:sz="4" w:space="0" w:color="auto"/>
              <w:bottom w:val="single" w:sz="4" w:space="0" w:color="auto"/>
              <w:right w:val="single" w:sz="4" w:space="0" w:color="auto"/>
            </w:tcBorders>
          </w:tcPr>
          <w:p w14:paraId="0677AB8A" w14:textId="77777777" w:rsidR="00620C4B" w:rsidRPr="00722F47" w:rsidRDefault="00620C4B">
            <w:pPr>
              <w:widowControl w:val="0"/>
              <w:jc w:val="left"/>
              <w:rPr>
                <w:rFonts w:ascii="Arial Narrow" w:hAnsi="Arial Narrow" w:cs="Calibri"/>
                <w:color w:val="222222"/>
                <w:sz w:val="20"/>
                <w:szCs w:val="20"/>
                <w:lang w:bidi="he-IL"/>
              </w:rPr>
            </w:pPr>
            <w:r w:rsidRPr="00722F47">
              <w:rPr>
                <w:rFonts w:ascii="Arial Narrow" w:eastAsia="Calibri" w:hAnsi="Arial Narrow" w:cs="Calibri"/>
                <w:sz w:val="20"/>
                <w:szCs w:val="20"/>
                <w:lang w:eastAsia="en-US" w:bidi="he-IL"/>
              </w:rPr>
              <w:t>Patient must be aged 18 years or older.</w:t>
            </w:r>
          </w:p>
        </w:tc>
      </w:tr>
      <w:tr w:rsidR="00620C4B" w:rsidRPr="00722F47" w14:paraId="3682F97D" w14:textId="77777777">
        <w:trPr>
          <w:trHeight w:val="122"/>
        </w:trPr>
        <w:tc>
          <w:tcPr>
            <w:tcW w:w="99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E5A2145" w14:textId="77777777" w:rsidR="00620C4B" w:rsidRPr="00722F47" w:rsidRDefault="00620C4B">
            <w:pPr>
              <w:widowControl w:val="0"/>
              <w:jc w:val="left"/>
              <w:rPr>
                <w:rFonts w:ascii="Arial Narrow" w:eastAsia="Calibri" w:hAnsi="Arial Narrow" w:cs="Calibri"/>
                <w:b/>
                <w:sz w:val="20"/>
                <w:szCs w:val="20"/>
                <w:lang w:eastAsia="en-US" w:bidi="he-IL"/>
              </w:rPr>
            </w:pPr>
            <w:r w:rsidRPr="00722F47">
              <w:rPr>
                <w:rFonts w:ascii="Arial Narrow" w:eastAsia="Calibri" w:hAnsi="Arial Narrow" w:cs="Calibri"/>
                <w:b/>
                <w:sz w:val="20"/>
                <w:szCs w:val="20"/>
                <w:lang w:eastAsia="en-US" w:bidi="he-IL"/>
              </w:rPr>
              <w:t>Treatment phase</w:t>
            </w:r>
          </w:p>
        </w:tc>
        <w:tc>
          <w:tcPr>
            <w:tcW w:w="4005" w:type="pct"/>
            <w:tcBorders>
              <w:top w:val="single" w:sz="4" w:space="0" w:color="auto"/>
              <w:left w:val="single" w:sz="4" w:space="0" w:color="auto"/>
              <w:bottom w:val="single" w:sz="4" w:space="0" w:color="auto"/>
              <w:right w:val="single" w:sz="4" w:space="0" w:color="auto"/>
            </w:tcBorders>
            <w:shd w:val="clear" w:color="auto" w:fill="FFFFFF" w:themeFill="background1"/>
          </w:tcPr>
          <w:p w14:paraId="12BB4CEE" w14:textId="77777777" w:rsidR="00620C4B" w:rsidRPr="00722F47" w:rsidRDefault="00620C4B">
            <w:pPr>
              <w:widowControl w:val="0"/>
              <w:jc w:val="left"/>
              <w:rPr>
                <w:rFonts w:ascii="Arial Narrow" w:eastAsia="Calibri" w:hAnsi="Arial Narrow" w:cs="Calibri"/>
                <w:b/>
                <w:bCs/>
                <w:sz w:val="20"/>
                <w:szCs w:val="20"/>
                <w:lang w:eastAsia="en-US" w:bidi="he-IL"/>
              </w:rPr>
            </w:pPr>
            <w:r w:rsidRPr="00722F47">
              <w:rPr>
                <w:rFonts w:ascii="Arial Narrow" w:eastAsia="Calibri" w:hAnsi="Arial Narrow" w:cs="Calibri"/>
                <w:b/>
                <w:bCs/>
                <w:sz w:val="20"/>
                <w:szCs w:val="20"/>
                <w:lang w:eastAsia="en-US" w:bidi="he-IL"/>
              </w:rPr>
              <w:t xml:space="preserve">Continuing (maintenance) treatment </w:t>
            </w:r>
          </w:p>
        </w:tc>
      </w:tr>
      <w:tr w:rsidR="00620C4B" w:rsidRPr="00722F47" w14:paraId="22E406C1" w14:textId="77777777">
        <w:trPr>
          <w:trHeight w:val="122"/>
        </w:trPr>
        <w:tc>
          <w:tcPr>
            <w:tcW w:w="995" w:type="pct"/>
            <w:tcBorders>
              <w:top w:val="single" w:sz="4" w:space="0" w:color="auto"/>
              <w:left w:val="single" w:sz="4" w:space="0" w:color="auto"/>
              <w:bottom w:val="single" w:sz="4" w:space="0" w:color="auto"/>
              <w:right w:val="single" w:sz="4" w:space="0" w:color="auto"/>
            </w:tcBorders>
            <w:hideMark/>
          </w:tcPr>
          <w:p w14:paraId="59A9FEA2" w14:textId="77777777" w:rsidR="00620C4B" w:rsidRPr="00722F47" w:rsidRDefault="00620C4B">
            <w:pPr>
              <w:widowControl w:val="0"/>
              <w:jc w:val="left"/>
              <w:rPr>
                <w:rFonts w:ascii="Arial Narrow" w:eastAsia="Calibri" w:hAnsi="Arial Narrow" w:cs="Calibri"/>
                <w:b/>
                <w:sz w:val="20"/>
                <w:szCs w:val="20"/>
                <w:lang w:eastAsia="en-US" w:bidi="he-IL"/>
              </w:rPr>
            </w:pPr>
            <w:r w:rsidRPr="00722F47">
              <w:rPr>
                <w:rFonts w:ascii="Arial Narrow" w:eastAsia="Calibri" w:hAnsi="Arial Narrow" w:cs="Calibri"/>
                <w:b/>
                <w:sz w:val="20"/>
                <w:szCs w:val="20"/>
                <w:lang w:eastAsia="en-US" w:bidi="he-IL"/>
              </w:rPr>
              <w:t>Clinical criteria</w:t>
            </w:r>
          </w:p>
        </w:tc>
        <w:tc>
          <w:tcPr>
            <w:tcW w:w="4005" w:type="pct"/>
            <w:tcBorders>
              <w:top w:val="single" w:sz="4" w:space="0" w:color="auto"/>
              <w:left w:val="single" w:sz="4" w:space="0" w:color="auto"/>
              <w:bottom w:val="single" w:sz="4" w:space="0" w:color="auto"/>
              <w:right w:val="single" w:sz="4" w:space="0" w:color="auto"/>
            </w:tcBorders>
          </w:tcPr>
          <w:p w14:paraId="699A7EF7" w14:textId="67C395B5" w:rsidR="00620C4B" w:rsidRPr="00722F47" w:rsidRDefault="00620C4B">
            <w:pPr>
              <w:widowControl w:val="0"/>
              <w:jc w:val="left"/>
              <w:rPr>
                <w:rFonts w:ascii="Arial Narrow" w:hAnsi="Arial Narrow" w:cs="Calibri"/>
                <w:color w:val="222222"/>
                <w:sz w:val="20"/>
                <w:szCs w:val="20"/>
                <w:lang w:bidi="he-IL"/>
              </w:rPr>
            </w:pPr>
            <w:r w:rsidRPr="00722F47">
              <w:rPr>
                <w:rFonts w:ascii="Arial Narrow" w:hAnsi="Arial Narrow" w:cs="Calibri"/>
                <w:color w:val="222222"/>
                <w:sz w:val="20"/>
                <w:szCs w:val="20"/>
                <w:lang w:bidi="he-IL"/>
              </w:rPr>
              <w:t>Patient must have received this drug as their most recent course of PBS</w:t>
            </w:r>
            <w:r w:rsidR="00FC7500">
              <w:rPr>
                <w:rFonts w:ascii="Arial Narrow" w:hAnsi="Arial Narrow" w:cs="Calibri"/>
                <w:color w:val="222222"/>
                <w:sz w:val="20"/>
                <w:szCs w:val="20"/>
                <w:lang w:bidi="he-IL"/>
              </w:rPr>
              <w:noBreakHyphen/>
            </w:r>
            <w:r w:rsidRPr="00722F47">
              <w:rPr>
                <w:rFonts w:ascii="Arial Narrow" w:hAnsi="Arial Narrow" w:cs="Calibri"/>
                <w:color w:val="222222"/>
                <w:sz w:val="20"/>
                <w:szCs w:val="20"/>
                <w:lang w:bidi="he-IL"/>
              </w:rPr>
              <w:t>subsidised biological medicine treatment for this condition; AND</w:t>
            </w:r>
          </w:p>
          <w:p w14:paraId="6705BC12" w14:textId="77777777" w:rsidR="00620C4B" w:rsidRPr="00722F47" w:rsidRDefault="00620C4B">
            <w:pPr>
              <w:widowControl w:val="0"/>
              <w:rPr>
                <w:rFonts w:ascii="Arial Narrow" w:eastAsia="Calibri" w:hAnsi="Arial Narrow" w:cs="Calibri"/>
                <w:sz w:val="20"/>
                <w:szCs w:val="20"/>
                <w:lang w:eastAsia="en-US" w:bidi="he-IL"/>
              </w:rPr>
            </w:pPr>
            <w:r w:rsidRPr="00722F47">
              <w:rPr>
                <w:rFonts w:ascii="Arial Narrow" w:hAnsi="Arial Narrow" w:cs="Calibri"/>
                <w:color w:val="222222"/>
                <w:sz w:val="20"/>
                <w:szCs w:val="20"/>
                <w:lang w:bidi="he-IL"/>
              </w:rPr>
              <w:t>Patient must have demonstrated an adequate response to treatment with this drug</w:t>
            </w:r>
            <w:r w:rsidRPr="00722F47">
              <w:rPr>
                <w:rFonts w:ascii="Arial Narrow" w:eastAsia="Calibri" w:hAnsi="Arial Narrow" w:cs="Calibri"/>
                <w:sz w:val="20"/>
                <w:szCs w:val="20"/>
                <w:lang w:eastAsia="en-US" w:bidi="he-IL"/>
              </w:rPr>
              <w:t>; OR</w:t>
            </w:r>
          </w:p>
          <w:p w14:paraId="620CDF6B" w14:textId="727A7081" w:rsidR="00620C4B" w:rsidRPr="00722F47" w:rsidRDefault="00620C4B">
            <w:pPr>
              <w:widowControl w:val="0"/>
              <w:rPr>
                <w:rFonts w:ascii="Arial Narrow" w:hAnsi="Arial Narrow" w:cs="Calibri"/>
                <w:color w:val="222222"/>
                <w:sz w:val="20"/>
                <w:szCs w:val="20"/>
                <w:lang w:bidi="he-IL"/>
              </w:rPr>
            </w:pPr>
            <w:r w:rsidRPr="00722F47">
              <w:rPr>
                <w:rFonts w:ascii="Arial Narrow" w:eastAsia="Calibri" w:hAnsi="Arial Narrow" w:cs="Calibri"/>
                <w:sz w:val="20"/>
                <w:szCs w:val="20"/>
                <w:lang w:eastAsia="en-US" w:bidi="he-IL"/>
              </w:rPr>
              <w:t xml:space="preserve">The condition must have not met the improvements specified below due to the prescribed dose being too low </w:t>
            </w:r>
            <w:r w:rsidR="00FC7500">
              <w:rPr>
                <w:rFonts w:ascii="Arial Narrow" w:eastAsia="Calibri" w:hAnsi="Arial Narrow" w:cs="Calibri"/>
                <w:sz w:val="20"/>
                <w:szCs w:val="20"/>
                <w:lang w:eastAsia="en-US" w:bidi="he-IL"/>
              </w:rPr>
              <w:noBreakHyphen/>
            </w:r>
            <w:r w:rsidRPr="00722F47">
              <w:rPr>
                <w:rFonts w:ascii="Arial Narrow" w:eastAsia="Calibri" w:hAnsi="Arial Narrow" w:cs="Calibri"/>
                <w:sz w:val="20"/>
                <w:szCs w:val="20"/>
                <w:lang w:eastAsia="en-US" w:bidi="he-IL"/>
              </w:rPr>
              <w:t xml:space="preserve"> this authority application seeks higher dosing.</w:t>
            </w:r>
          </w:p>
        </w:tc>
      </w:tr>
      <w:tr w:rsidR="00620C4B" w:rsidRPr="00722F47" w14:paraId="25055B23" w14:textId="77777777">
        <w:trPr>
          <w:trHeight w:val="122"/>
        </w:trPr>
        <w:tc>
          <w:tcPr>
            <w:tcW w:w="995" w:type="pct"/>
            <w:tcBorders>
              <w:top w:val="single" w:sz="4" w:space="0" w:color="auto"/>
              <w:left w:val="single" w:sz="4" w:space="0" w:color="auto"/>
              <w:bottom w:val="single" w:sz="4" w:space="0" w:color="auto"/>
              <w:right w:val="single" w:sz="4" w:space="0" w:color="auto"/>
            </w:tcBorders>
            <w:hideMark/>
          </w:tcPr>
          <w:p w14:paraId="20E3EFC2" w14:textId="77777777" w:rsidR="00620C4B" w:rsidRPr="00722F47" w:rsidRDefault="00620C4B">
            <w:pPr>
              <w:widowControl w:val="0"/>
              <w:jc w:val="left"/>
              <w:rPr>
                <w:rFonts w:ascii="Arial Narrow" w:eastAsia="Calibri" w:hAnsi="Arial Narrow" w:cs="Calibri"/>
                <w:b/>
                <w:sz w:val="20"/>
                <w:szCs w:val="20"/>
                <w:lang w:eastAsia="en-US" w:bidi="he-IL"/>
              </w:rPr>
            </w:pPr>
            <w:r w:rsidRPr="00722F47">
              <w:rPr>
                <w:rFonts w:ascii="Arial Narrow" w:eastAsia="Calibri" w:hAnsi="Arial Narrow" w:cs="Calibri"/>
                <w:b/>
                <w:sz w:val="20"/>
                <w:szCs w:val="20"/>
                <w:lang w:eastAsia="en-US" w:bidi="he-IL"/>
              </w:rPr>
              <w:t>Prescriber instructions</w:t>
            </w:r>
          </w:p>
        </w:tc>
        <w:tc>
          <w:tcPr>
            <w:tcW w:w="4005" w:type="pct"/>
            <w:tcBorders>
              <w:top w:val="single" w:sz="4" w:space="0" w:color="auto"/>
              <w:left w:val="single" w:sz="4" w:space="0" w:color="auto"/>
              <w:bottom w:val="single" w:sz="4" w:space="0" w:color="auto"/>
              <w:right w:val="single" w:sz="4" w:space="0" w:color="auto"/>
            </w:tcBorders>
          </w:tcPr>
          <w:p w14:paraId="6371B08E" w14:textId="77777777" w:rsidR="00620C4B" w:rsidRPr="00722F47" w:rsidRDefault="00620C4B">
            <w:pPr>
              <w:widowControl w:val="0"/>
              <w:rPr>
                <w:rFonts w:ascii="Arial Narrow" w:eastAsia="Calibri" w:hAnsi="Arial Narrow" w:cs="Calibri"/>
                <w:sz w:val="20"/>
                <w:szCs w:val="20"/>
                <w:lang w:eastAsia="en-US" w:bidi="he-IL"/>
              </w:rPr>
            </w:pPr>
            <w:r w:rsidRPr="00722F47">
              <w:rPr>
                <w:rFonts w:ascii="Arial Narrow" w:eastAsia="Calibri" w:hAnsi="Arial Narrow" w:cs="Calibri"/>
                <w:sz w:val="20"/>
                <w:szCs w:val="20"/>
                <w:lang w:eastAsia="en-US" w:bidi="he-IL"/>
              </w:rPr>
              <w:t>An adequate response is defined as:</w:t>
            </w:r>
          </w:p>
          <w:p w14:paraId="1B8F1194" w14:textId="77777777" w:rsidR="00620C4B" w:rsidRPr="00722F47" w:rsidRDefault="00620C4B">
            <w:pPr>
              <w:widowControl w:val="0"/>
              <w:rPr>
                <w:rFonts w:ascii="Arial Narrow" w:eastAsia="Calibri" w:hAnsi="Arial Narrow" w:cs="Calibri"/>
                <w:sz w:val="20"/>
                <w:szCs w:val="20"/>
                <w:lang w:eastAsia="en-US" w:bidi="he-IL"/>
              </w:rPr>
            </w:pPr>
            <w:r w:rsidRPr="00722F47">
              <w:rPr>
                <w:rFonts w:ascii="Arial Narrow" w:eastAsia="Calibri" w:hAnsi="Arial Narrow" w:cs="Calibri"/>
                <w:sz w:val="20"/>
                <w:szCs w:val="20"/>
                <w:lang w:eastAsia="en-US" w:bidi="he-IL"/>
              </w:rPr>
              <w:t>a) a decrease from baseline in the number of open draining fistulae of greater than or equal to 50%; AND/OR</w:t>
            </w:r>
          </w:p>
          <w:p w14:paraId="5AA21402" w14:textId="77777777" w:rsidR="00620C4B" w:rsidRPr="00722F47" w:rsidRDefault="00620C4B">
            <w:pPr>
              <w:widowControl w:val="0"/>
              <w:rPr>
                <w:rFonts w:ascii="Arial Narrow" w:eastAsia="Calibri" w:hAnsi="Arial Narrow" w:cs="Calibri"/>
                <w:sz w:val="20"/>
                <w:szCs w:val="20"/>
                <w:lang w:eastAsia="en-US" w:bidi="he-IL"/>
              </w:rPr>
            </w:pPr>
            <w:r w:rsidRPr="00722F47">
              <w:rPr>
                <w:rFonts w:ascii="Arial Narrow" w:eastAsia="Calibri" w:hAnsi="Arial Narrow" w:cs="Calibri"/>
                <w:sz w:val="20"/>
                <w:szCs w:val="20"/>
                <w:lang w:eastAsia="en-US" w:bidi="he-IL"/>
              </w:rPr>
              <w:t>b) a marked reduction in drainage of all fistula(e) from baseline, together with less pain and induration as reported by the patient.</w:t>
            </w:r>
          </w:p>
          <w:p w14:paraId="16E6883D" w14:textId="77777777" w:rsidR="00620C4B" w:rsidRPr="00722F47" w:rsidRDefault="00620C4B">
            <w:pPr>
              <w:widowControl w:val="0"/>
              <w:rPr>
                <w:rFonts w:ascii="Arial Narrow" w:eastAsia="Calibri" w:hAnsi="Arial Narrow" w:cs="Calibri"/>
                <w:sz w:val="20"/>
                <w:szCs w:val="20"/>
                <w:lang w:eastAsia="en-US" w:bidi="he-IL"/>
              </w:rPr>
            </w:pPr>
            <w:r w:rsidRPr="00722F47">
              <w:rPr>
                <w:rFonts w:ascii="Arial Narrow" w:eastAsia="Calibri" w:hAnsi="Arial Narrow" w:cs="Calibri"/>
                <w:sz w:val="20"/>
                <w:szCs w:val="20"/>
                <w:lang w:eastAsia="en-US" w:bidi="he-IL"/>
              </w:rPr>
              <w:t xml:space="preserve">The most recent fistula assessment must be no more than 1 month old at the time of application. </w:t>
            </w:r>
          </w:p>
        </w:tc>
      </w:tr>
      <w:tr w:rsidR="00620C4B" w:rsidRPr="00722F47" w14:paraId="7ABECC32" w14:textId="77777777">
        <w:trPr>
          <w:trHeight w:val="122"/>
        </w:trPr>
        <w:tc>
          <w:tcPr>
            <w:tcW w:w="995" w:type="pct"/>
            <w:tcBorders>
              <w:top w:val="single" w:sz="4" w:space="0" w:color="auto"/>
              <w:left w:val="single" w:sz="4" w:space="0" w:color="auto"/>
              <w:bottom w:val="single" w:sz="4" w:space="0" w:color="auto"/>
              <w:right w:val="single" w:sz="4" w:space="0" w:color="auto"/>
            </w:tcBorders>
            <w:shd w:val="clear" w:color="auto" w:fill="FFFFFF" w:themeFill="background1"/>
          </w:tcPr>
          <w:p w14:paraId="5986126C" w14:textId="77777777" w:rsidR="00620C4B" w:rsidRPr="00722F47" w:rsidRDefault="00620C4B">
            <w:pPr>
              <w:widowControl w:val="0"/>
              <w:jc w:val="left"/>
              <w:rPr>
                <w:rFonts w:ascii="Arial Narrow" w:eastAsia="Calibri" w:hAnsi="Arial Narrow" w:cs="Calibri"/>
                <w:b/>
                <w:sz w:val="20"/>
                <w:szCs w:val="20"/>
                <w:lang w:eastAsia="en-US" w:bidi="he-IL"/>
              </w:rPr>
            </w:pPr>
            <w:r w:rsidRPr="00722F47">
              <w:rPr>
                <w:rFonts w:ascii="Arial Narrow" w:eastAsia="Calibri" w:hAnsi="Arial Narrow" w:cs="Calibri"/>
                <w:b/>
                <w:sz w:val="20"/>
                <w:szCs w:val="20"/>
                <w:lang w:eastAsia="en-US" w:bidi="he-IL"/>
              </w:rPr>
              <w:t>Treatment phase</w:t>
            </w:r>
          </w:p>
        </w:tc>
        <w:tc>
          <w:tcPr>
            <w:tcW w:w="4005" w:type="pct"/>
            <w:tcBorders>
              <w:top w:val="single" w:sz="4" w:space="0" w:color="auto"/>
              <w:left w:val="single" w:sz="4" w:space="0" w:color="auto"/>
              <w:bottom w:val="single" w:sz="4" w:space="0" w:color="auto"/>
              <w:right w:val="single" w:sz="4" w:space="0" w:color="auto"/>
            </w:tcBorders>
            <w:shd w:val="clear" w:color="auto" w:fill="FFFFFF" w:themeFill="background1"/>
          </w:tcPr>
          <w:p w14:paraId="077DA8BB" w14:textId="77777777" w:rsidR="00620C4B" w:rsidRPr="00722F47" w:rsidRDefault="00620C4B">
            <w:pPr>
              <w:widowControl w:val="0"/>
              <w:rPr>
                <w:rFonts w:ascii="Arial Narrow" w:eastAsia="Calibri" w:hAnsi="Arial Narrow" w:cs="Calibri"/>
                <w:b/>
                <w:bCs/>
                <w:sz w:val="20"/>
                <w:szCs w:val="20"/>
                <w:lang w:eastAsia="en-US" w:bidi="he-IL"/>
              </w:rPr>
            </w:pPr>
            <w:r w:rsidRPr="00722F47">
              <w:rPr>
                <w:rFonts w:ascii="Arial Narrow" w:eastAsia="Calibri" w:hAnsi="Arial Narrow" w:cs="Calibri"/>
                <w:b/>
                <w:bCs/>
                <w:sz w:val="20"/>
                <w:szCs w:val="20"/>
                <w:lang w:eastAsia="en-US" w:bidi="he-IL"/>
              </w:rPr>
              <w:t>Balance of supply for the continuing (maintenance) treatment phase</w:t>
            </w:r>
          </w:p>
        </w:tc>
      </w:tr>
      <w:tr w:rsidR="00620C4B" w:rsidRPr="00722F47" w14:paraId="66876D7C" w14:textId="77777777">
        <w:trPr>
          <w:trHeight w:val="122"/>
        </w:trPr>
        <w:tc>
          <w:tcPr>
            <w:tcW w:w="995" w:type="pct"/>
            <w:tcBorders>
              <w:top w:val="single" w:sz="4" w:space="0" w:color="auto"/>
              <w:left w:val="single" w:sz="4" w:space="0" w:color="auto"/>
              <w:bottom w:val="single" w:sz="4" w:space="0" w:color="auto"/>
              <w:right w:val="single" w:sz="4" w:space="0" w:color="auto"/>
            </w:tcBorders>
          </w:tcPr>
          <w:p w14:paraId="04AC9833" w14:textId="77777777" w:rsidR="00620C4B" w:rsidRPr="00722F47" w:rsidRDefault="00620C4B">
            <w:pPr>
              <w:widowControl w:val="0"/>
              <w:jc w:val="left"/>
              <w:rPr>
                <w:rFonts w:ascii="Arial Narrow" w:eastAsia="Calibri" w:hAnsi="Arial Narrow" w:cs="Calibri"/>
                <w:b/>
                <w:sz w:val="20"/>
                <w:szCs w:val="20"/>
                <w:lang w:eastAsia="en-US" w:bidi="he-IL"/>
              </w:rPr>
            </w:pPr>
            <w:r w:rsidRPr="00722F47">
              <w:rPr>
                <w:rFonts w:ascii="Arial Narrow" w:eastAsia="Calibri" w:hAnsi="Arial Narrow" w:cs="Calibri"/>
                <w:b/>
                <w:sz w:val="20"/>
                <w:szCs w:val="20"/>
                <w:lang w:eastAsia="en-US" w:bidi="he-IL"/>
              </w:rPr>
              <w:t>Clinical criteria</w:t>
            </w:r>
          </w:p>
        </w:tc>
        <w:tc>
          <w:tcPr>
            <w:tcW w:w="4005" w:type="pct"/>
            <w:tcBorders>
              <w:top w:val="single" w:sz="4" w:space="0" w:color="auto"/>
              <w:left w:val="single" w:sz="4" w:space="0" w:color="auto"/>
              <w:bottom w:val="single" w:sz="4" w:space="0" w:color="auto"/>
              <w:right w:val="single" w:sz="4" w:space="0" w:color="auto"/>
            </w:tcBorders>
          </w:tcPr>
          <w:p w14:paraId="6C577DB8" w14:textId="77777777" w:rsidR="00620C4B" w:rsidRPr="00722F47" w:rsidRDefault="00620C4B">
            <w:pPr>
              <w:widowControl w:val="0"/>
              <w:rPr>
                <w:rFonts w:ascii="Arial Narrow" w:eastAsia="Calibri" w:hAnsi="Arial Narrow" w:cs="Calibri"/>
                <w:sz w:val="20"/>
                <w:szCs w:val="20"/>
                <w:lang w:eastAsia="en-US" w:bidi="he-IL"/>
              </w:rPr>
            </w:pPr>
            <w:r w:rsidRPr="00722F47">
              <w:rPr>
                <w:rFonts w:ascii="Arial Narrow" w:eastAsia="Calibri" w:hAnsi="Arial Narrow" w:cs="Calibri"/>
                <w:sz w:val="20"/>
                <w:szCs w:val="20"/>
                <w:lang w:eastAsia="en-US" w:bidi="he-IL"/>
              </w:rPr>
              <w:t xml:space="preserve">The treatment must have been prescribed in a quantity in the most recent prescription which did not seek the full quantity available </w:t>
            </w:r>
            <w:proofErr w:type="gramStart"/>
            <w:r w:rsidRPr="00722F47">
              <w:rPr>
                <w:rFonts w:ascii="Arial Narrow" w:eastAsia="Calibri" w:hAnsi="Arial Narrow" w:cs="Calibri"/>
                <w:sz w:val="20"/>
                <w:szCs w:val="20"/>
                <w:lang w:eastAsia="en-US" w:bidi="he-IL"/>
              </w:rPr>
              <w:t>in regards to</w:t>
            </w:r>
            <w:proofErr w:type="gramEnd"/>
            <w:r w:rsidRPr="00722F47">
              <w:rPr>
                <w:rFonts w:ascii="Arial Narrow" w:eastAsia="Calibri" w:hAnsi="Arial Narrow" w:cs="Calibri"/>
                <w:sz w:val="20"/>
                <w:szCs w:val="20"/>
                <w:lang w:eastAsia="en-US" w:bidi="he-IL"/>
              </w:rPr>
              <w:t xml:space="preserve"> any of: (i) the quantity per dispensing, (ii) repeat prescriptions; AND</w:t>
            </w:r>
          </w:p>
          <w:p w14:paraId="737EE796" w14:textId="77777777" w:rsidR="00620C4B" w:rsidRPr="00722F47" w:rsidRDefault="00620C4B">
            <w:pPr>
              <w:widowControl w:val="0"/>
              <w:rPr>
                <w:rFonts w:ascii="Arial Narrow" w:eastAsia="Calibri" w:hAnsi="Arial Narrow" w:cs="Calibri"/>
                <w:sz w:val="20"/>
                <w:szCs w:val="20"/>
                <w:lang w:eastAsia="en-US" w:bidi="he-IL"/>
              </w:rPr>
            </w:pPr>
            <w:r w:rsidRPr="00722F47">
              <w:rPr>
                <w:rFonts w:ascii="Arial Narrow" w:eastAsia="Calibri" w:hAnsi="Arial Narrow" w:cs="Calibri"/>
                <w:sz w:val="20"/>
                <w:szCs w:val="20"/>
                <w:lang w:eastAsia="en-US" w:bidi="he-IL"/>
              </w:rPr>
              <w:t>The treatment must provide no more than the balance available under the treatment phase from which the immediately preceding supply was obtained under.</w:t>
            </w:r>
          </w:p>
        </w:tc>
      </w:tr>
    </w:tbl>
    <w:bookmarkEnd w:id="17"/>
    <w:p w14:paraId="51F0B46D" w14:textId="07F47592" w:rsidR="006201F2" w:rsidRPr="006201F2" w:rsidRDefault="00620C4B" w:rsidP="00620C4B">
      <w:pPr>
        <w:pStyle w:val="3-BodyText"/>
        <w:rPr>
          <w:color w:val="0066FF"/>
        </w:rPr>
      </w:pPr>
      <w:r w:rsidRPr="006628C4">
        <w:t>A Special Pricing Arrangement (SPA) was requested for upadacitinib.</w:t>
      </w:r>
      <w:bookmarkStart w:id="20" w:name="_Hlk216691635"/>
      <w:r w:rsidRPr="006628C4">
        <w:t xml:space="preserve"> </w:t>
      </w:r>
      <w:bookmarkEnd w:id="20"/>
    </w:p>
    <w:p w14:paraId="0D424735" w14:textId="38DAA21A" w:rsidR="00620C4B" w:rsidRPr="00936479" w:rsidRDefault="006C1E30" w:rsidP="00620C4B">
      <w:pPr>
        <w:pStyle w:val="3-BodyText"/>
        <w:rPr>
          <w:color w:val="0066FF"/>
        </w:rPr>
      </w:pPr>
      <w:r w:rsidRPr="006628C4">
        <w:t>The submission requested</w:t>
      </w:r>
      <w:r w:rsidR="00F2277E" w:rsidRPr="006628C4">
        <w:t xml:space="preserve"> </w:t>
      </w:r>
      <w:r w:rsidR="00620C4B" w:rsidRPr="006628C4">
        <w:t xml:space="preserve">the Authority level for continuing prescriptions be reduced to real time Online and Telephone Authority, aligned with the restriction level already in place for the PBS listing for upadacitinib in moderate to severe ulcerative colitis. </w:t>
      </w:r>
      <w:r w:rsidR="00F0166D" w:rsidRPr="00F5408F">
        <w:t>T</w:t>
      </w:r>
      <w:r w:rsidR="00620C4B" w:rsidRPr="00F5408F">
        <w:t>h</w:t>
      </w:r>
      <w:r w:rsidR="00D5214A" w:rsidRPr="00F5408F">
        <w:t>e evaluation noted this</w:t>
      </w:r>
      <w:r w:rsidR="00620C4B" w:rsidRPr="00F5408F">
        <w:t xml:space="preserve"> would be inconsistent with the authority requirements applied to the existing complex fistulising CD therapies</w:t>
      </w:r>
      <w:r w:rsidR="00586527" w:rsidRPr="00F5408F">
        <w:t xml:space="preserve"> for </w:t>
      </w:r>
      <w:r w:rsidR="00E77537">
        <w:t>originator</w:t>
      </w:r>
      <w:r w:rsidR="00586527" w:rsidRPr="00F5408F">
        <w:t xml:space="preserve"> brands</w:t>
      </w:r>
      <w:r w:rsidR="00E77537">
        <w:t xml:space="preserve"> (where a biosimilar is listed)</w:t>
      </w:r>
      <w:r w:rsidR="00620C4B" w:rsidRPr="00F5408F">
        <w:t>, which require authority applications to be made in writing</w:t>
      </w:r>
      <w:r w:rsidR="00BB7C4D" w:rsidRPr="00F5408F">
        <w:t>.</w:t>
      </w:r>
      <w:r w:rsidR="00243BAA" w:rsidRPr="00F5408F">
        <w:t xml:space="preserve"> The </w:t>
      </w:r>
      <w:r w:rsidR="006F6557">
        <w:t>Pre-Sub-Committee Response (</w:t>
      </w:r>
      <w:r w:rsidR="00243BAA" w:rsidRPr="00F5408F">
        <w:t>PSCR</w:t>
      </w:r>
      <w:r w:rsidR="006F6557">
        <w:t>)</w:t>
      </w:r>
      <w:r w:rsidR="00243BAA" w:rsidRPr="00F5408F">
        <w:t xml:space="preserve"> </w:t>
      </w:r>
      <w:r w:rsidR="00383116">
        <w:t>and Pre</w:t>
      </w:r>
      <w:r w:rsidR="00FC7500">
        <w:noBreakHyphen/>
      </w:r>
      <w:r w:rsidR="00383116">
        <w:t xml:space="preserve">PBAC Response </w:t>
      </w:r>
      <w:r w:rsidR="00242478" w:rsidRPr="00F5408F">
        <w:t xml:space="preserve">reiterated this request </w:t>
      </w:r>
      <w:r w:rsidR="00242478" w:rsidRPr="00F5408F">
        <w:lastRenderedPageBreak/>
        <w:t xml:space="preserve">and noted </w:t>
      </w:r>
      <w:r w:rsidR="00B407C1" w:rsidRPr="00F5408F">
        <w:t>the disparity in authority levels</w:t>
      </w:r>
      <w:r w:rsidR="00931398" w:rsidRPr="00F5408F">
        <w:t xml:space="preserve"> for continuing treatment</w:t>
      </w:r>
      <w:r w:rsidR="00B407C1" w:rsidRPr="00F5408F">
        <w:t xml:space="preserve"> between CD/FCD and ulcerative colitis (UC) and </w:t>
      </w:r>
      <w:r w:rsidR="00931398" w:rsidRPr="00F5408F">
        <w:t xml:space="preserve">argued consistency across inflammatory bowel disease </w:t>
      </w:r>
      <w:r w:rsidR="00D5214A" w:rsidRPr="00F5408F">
        <w:t xml:space="preserve">(IBD) indications would enhance quality use of medicines by reducing unnecessary delays and ensuring patient equity. </w:t>
      </w:r>
    </w:p>
    <w:p w14:paraId="012BECB5" w14:textId="5B0A13C3" w:rsidR="00936479" w:rsidRPr="006628C4" w:rsidRDefault="00936479" w:rsidP="00936479">
      <w:pPr>
        <w:pStyle w:val="3-BodyText"/>
        <w:numPr>
          <w:ilvl w:val="0"/>
          <w:numId w:val="0"/>
        </w:numPr>
        <w:ind w:left="720"/>
        <w:rPr>
          <w:color w:val="0066FF"/>
        </w:rPr>
      </w:pPr>
      <w:r w:rsidRPr="00C33D30">
        <w:rPr>
          <w:i/>
        </w:rPr>
        <w:t>For more detail on PBAC’s view, see section 7 PBAC outcome.</w:t>
      </w:r>
    </w:p>
    <w:p w14:paraId="42B2816A" w14:textId="085B23FC" w:rsidR="00620C4B" w:rsidRPr="006628C4" w:rsidDel="00195452" w:rsidRDefault="00620C4B" w:rsidP="00620C4B">
      <w:pPr>
        <w:pStyle w:val="2-SectionHeading"/>
      </w:pPr>
      <w:bookmarkStart w:id="21" w:name="_Toc216541079"/>
      <w:bookmarkStart w:id="22" w:name="_Toc219709215"/>
      <w:r w:rsidRPr="006628C4" w:rsidDel="00195452">
        <w:t>Population and disease</w:t>
      </w:r>
      <w:bookmarkEnd w:id="21"/>
      <w:bookmarkEnd w:id="22"/>
    </w:p>
    <w:p w14:paraId="551B8C15" w14:textId="56F08C05" w:rsidR="00620C4B" w:rsidRPr="006628C4" w:rsidRDefault="00620C4B" w:rsidP="00620C4B">
      <w:pPr>
        <w:pStyle w:val="3-BodyText"/>
      </w:pPr>
      <w:r w:rsidRPr="006628C4">
        <w:t>CD is an incurable, progressive, inflammatory gastrointestinal disorder, characterised by relapsing and remitting episodes of inflammation. FCD is a complication of CD, where an abnormal passageway forms between an organ and another part of the body. Anal or perianal fistulas are the most common type</w:t>
      </w:r>
      <w:r w:rsidR="008C58CB" w:rsidRPr="006628C4">
        <w:t xml:space="preserve"> </w:t>
      </w:r>
      <w:bookmarkStart w:id="23" w:name="_Hlk218778727"/>
      <w:r w:rsidR="008C58CB" w:rsidRPr="006628C4">
        <w:t>of fistul</w:t>
      </w:r>
      <w:r w:rsidR="00E36429" w:rsidRPr="006628C4">
        <w:t xml:space="preserve">ising </w:t>
      </w:r>
      <w:r w:rsidR="000211FF" w:rsidRPr="006628C4">
        <w:t>Crohn’s</w:t>
      </w:r>
      <w:r w:rsidR="00E36429" w:rsidRPr="006628C4">
        <w:t xml:space="preserve"> disease</w:t>
      </w:r>
      <w:r w:rsidR="003F5E16" w:rsidRPr="006628C4">
        <w:t xml:space="preserve"> and</w:t>
      </w:r>
      <w:r w:rsidRPr="006628C4">
        <w:t xml:space="preserve"> </w:t>
      </w:r>
      <w:bookmarkEnd w:id="23"/>
      <w:r w:rsidRPr="006628C4">
        <w:t xml:space="preserve">typically </w:t>
      </w:r>
      <w:r w:rsidR="003F5E16" w:rsidRPr="006628C4">
        <w:t>develop</w:t>
      </w:r>
      <w:r w:rsidR="00C068D9" w:rsidRPr="006628C4">
        <w:t xml:space="preserve"> </w:t>
      </w:r>
      <w:r w:rsidRPr="006628C4">
        <w:t xml:space="preserve">as a complication </w:t>
      </w:r>
      <w:r w:rsidR="00C068D9" w:rsidRPr="006628C4">
        <w:t xml:space="preserve">of </w:t>
      </w:r>
      <w:r w:rsidRPr="006628C4">
        <w:t xml:space="preserve">a perianal abscess. Abscesses </w:t>
      </w:r>
      <w:r w:rsidR="004C3523" w:rsidRPr="006628C4">
        <w:t>occur</w:t>
      </w:r>
      <w:r w:rsidRPr="006628C4">
        <w:t xml:space="preserve"> </w:t>
      </w:r>
      <w:r w:rsidR="00672DA7" w:rsidRPr="006628C4">
        <w:t>when</w:t>
      </w:r>
      <w:r w:rsidRPr="006628C4">
        <w:t xml:space="preserve"> inflammation </w:t>
      </w:r>
      <w:r w:rsidR="00672DA7" w:rsidRPr="006628C4">
        <w:t xml:space="preserve">penetrates the </w:t>
      </w:r>
      <w:r w:rsidRPr="006628C4">
        <w:t>bowel wall</w:t>
      </w:r>
      <w:r w:rsidR="00D454C9" w:rsidRPr="006628C4">
        <w:t xml:space="preserve"> layers</w:t>
      </w:r>
      <w:r w:rsidRPr="006628C4">
        <w:t xml:space="preserve">, leading to a </w:t>
      </w:r>
      <w:r w:rsidR="00A42BA7" w:rsidRPr="006628C4">
        <w:t xml:space="preserve">collection </w:t>
      </w:r>
      <w:r w:rsidRPr="006628C4">
        <w:t xml:space="preserve">of pus. As </w:t>
      </w:r>
      <w:r w:rsidR="005717B0" w:rsidRPr="006628C4">
        <w:t xml:space="preserve">the </w:t>
      </w:r>
      <w:r w:rsidRPr="006628C4">
        <w:t xml:space="preserve">abscess </w:t>
      </w:r>
      <w:r w:rsidR="00D2581E" w:rsidRPr="006628C4">
        <w:t xml:space="preserve">enlarges </w:t>
      </w:r>
      <w:r w:rsidRPr="006628C4">
        <w:t xml:space="preserve">it </w:t>
      </w:r>
      <w:r w:rsidR="00F03606" w:rsidRPr="006628C4">
        <w:t>can create a tract</w:t>
      </w:r>
      <w:r w:rsidR="00810E3C" w:rsidRPr="006628C4">
        <w:t xml:space="preserve"> or tunnel that evolves into </w:t>
      </w:r>
      <w:r w:rsidRPr="006628C4">
        <w:t xml:space="preserve">a fistula </w:t>
      </w:r>
      <w:r w:rsidR="007422EB" w:rsidRPr="006628C4">
        <w:t xml:space="preserve">allowing the passage of </w:t>
      </w:r>
      <w:r w:rsidRPr="006628C4">
        <w:t>pus, blood</w:t>
      </w:r>
      <w:r w:rsidR="00E97A47" w:rsidRPr="006628C4">
        <w:t>, mucous</w:t>
      </w:r>
      <w:r w:rsidRPr="006628C4">
        <w:t xml:space="preserve"> and faecal matter </w:t>
      </w:r>
      <w:r w:rsidR="00EE1CCB" w:rsidRPr="006628C4">
        <w:t>either externally</w:t>
      </w:r>
      <w:r w:rsidR="007C0E49" w:rsidRPr="006628C4">
        <w:t xml:space="preserve"> or into adjacent organs. </w:t>
      </w:r>
    </w:p>
    <w:p w14:paraId="1CD9F3E6" w14:textId="56F69E56" w:rsidR="00620C4B" w:rsidRPr="006628C4" w:rsidRDefault="00620C4B" w:rsidP="00620C4B">
      <w:pPr>
        <w:pStyle w:val="3-BodyText"/>
      </w:pPr>
      <w:r w:rsidRPr="006628C4">
        <w:t>Fistulas are associated with significant morbidity and have a marked impact on patients’ quality of life. Fistula</w:t>
      </w:r>
      <w:r w:rsidR="00FC7500">
        <w:noBreakHyphen/>
      </w:r>
      <w:r w:rsidRPr="006628C4">
        <w:t>related pain and discharge are prominent symptoms faced by patients daily and are considerable sources of impaired wellbeing. Simple activities such as standing and sitting have been described as unbearable, and many patients report experiencing social isolation, restricted participation in daily life, diminished body image and adverse effects on sexual health and interpersonal relationships. In comparison to the general CD cohort, fistulising patients experience higher rates of hospitalisation, with longer admission times, and more frequent outpatient appointments.</w:t>
      </w:r>
    </w:p>
    <w:p w14:paraId="706E721A" w14:textId="04C20BA5" w:rsidR="00620C4B" w:rsidRPr="006628C4" w:rsidRDefault="00620C4B" w:rsidP="00620C4B">
      <w:pPr>
        <w:pStyle w:val="3-BodyText"/>
      </w:pPr>
      <w:r w:rsidRPr="006628C4">
        <w:t>The presence of an actively draining fistula contributes only 20 points to the Crohn’s disease activity index (CDAI) score, meaning a substantial proportion of patients with this debilitating manifestation of CD are unable to access advanced therapies subsidised under the severe CD PBS criteria</w:t>
      </w:r>
      <w:r w:rsidR="00181D80" w:rsidRPr="006628C4">
        <w:t xml:space="preserve"> (which requires a CDAI of </w:t>
      </w:r>
      <w:r w:rsidR="00156213" w:rsidRPr="006628C4">
        <w:rPr>
          <w:rFonts w:cstheme="minorHAnsi"/>
        </w:rPr>
        <w:t>≥</w:t>
      </w:r>
      <w:r w:rsidR="00156213" w:rsidRPr="006628C4">
        <w:t xml:space="preserve"> </w:t>
      </w:r>
      <w:r w:rsidR="00181D80" w:rsidRPr="006628C4">
        <w:t>300</w:t>
      </w:r>
      <w:r w:rsidR="00156213" w:rsidRPr="006628C4">
        <w:t xml:space="preserve"> or </w:t>
      </w:r>
      <w:r w:rsidR="00156213" w:rsidRPr="006628C4">
        <w:rPr>
          <w:rFonts w:cstheme="minorHAnsi"/>
        </w:rPr>
        <w:t>≥ 220 with extensive intestinal inflammation)</w:t>
      </w:r>
      <w:r w:rsidRPr="006628C4">
        <w:t>. Fistula treatment is challenging, and recurrence is common. Despite optimal medical and surgical management, up to 70% of patients do not achieve remission, and fistula relapse occurs in 20</w:t>
      </w:r>
      <w:r w:rsidR="00FC7500">
        <w:noBreakHyphen/>
      </w:r>
      <w:r w:rsidRPr="006628C4">
        <w:t>30% of cases. The submission stated that access to additional advanced treatments under specific FCD PBS criteria was therefore essential to ensure equity for affected patients, to address the unmet clinical need, and improve outcomes for those facing this particularly severe and distressing presentation</w:t>
      </w:r>
      <w:r w:rsidR="00DD4BFC" w:rsidRPr="006628C4">
        <w:t xml:space="preserve"> </w:t>
      </w:r>
      <w:r w:rsidRPr="006628C4">
        <w:t>of CD.</w:t>
      </w:r>
      <w:r w:rsidR="008F08A7" w:rsidRPr="006628C4">
        <w:t xml:space="preserve"> This has been previously acknowledged by the PBAC (adalimumab PSD, November 2010 PBAC meeting). </w:t>
      </w:r>
    </w:p>
    <w:p w14:paraId="3BDB39B4" w14:textId="3A82495A" w:rsidR="00697620" w:rsidRPr="006628C4" w:rsidRDefault="00697620" w:rsidP="00A70D2B">
      <w:pPr>
        <w:pStyle w:val="3-BodyText"/>
      </w:pPr>
      <w:r w:rsidRPr="006628C4">
        <w:t xml:space="preserve">The </w:t>
      </w:r>
      <w:r w:rsidR="00C0119B" w:rsidRPr="006628C4">
        <w:t xml:space="preserve">2025 </w:t>
      </w:r>
      <w:r w:rsidRPr="006628C4">
        <w:t xml:space="preserve">American </w:t>
      </w:r>
      <w:r w:rsidR="00BC5A65" w:rsidRPr="006628C4">
        <w:t xml:space="preserve">College of </w:t>
      </w:r>
      <w:r w:rsidRPr="006628C4">
        <w:t xml:space="preserve">Gastroenterology, </w:t>
      </w:r>
      <w:r w:rsidR="00D03E81" w:rsidRPr="006628C4">
        <w:t xml:space="preserve">Management of Crohn’s Disease in Adults </w:t>
      </w:r>
      <w:r w:rsidRPr="006628C4">
        <w:t xml:space="preserve">guidelines </w:t>
      </w:r>
      <w:r w:rsidR="00A508DD" w:rsidRPr="006628C4">
        <w:t>suggest upadacitinib for induction of remission of perianal fistuli</w:t>
      </w:r>
      <w:r w:rsidR="004E6BA9">
        <w:t>s</w:t>
      </w:r>
      <w:r w:rsidR="00A508DD" w:rsidRPr="006628C4">
        <w:t xml:space="preserve">ing </w:t>
      </w:r>
      <w:r w:rsidR="00A508DD" w:rsidRPr="006628C4">
        <w:lastRenderedPageBreak/>
        <w:t>CD.</w:t>
      </w:r>
      <w:r w:rsidR="00C0119B" w:rsidRPr="006628C4">
        <w:rPr>
          <w:rStyle w:val="FootnoteReference"/>
        </w:rPr>
        <w:footnoteReference w:id="2"/>
      </w:r>
      <w:r w:rsidR="00A508DD" w:rsidRPr="006628C4">
        <w:t xml:space="preserve"> </w:t>
      </w:r>
      <w:r w:rsidR="00CF4D68" w:rsidRPr="006628C4">
        <w:t xml:space="preserve">The </w:t>
      </w:r>
      <w:r w:rsidR="00C0119B" w:rsidRPr="006628C4">
        <w:t xml:space="preserve">2024 </w:t>
      </w:r>
      <w:r w:rsidR="008B33F4" w:rsidRPr="006628C4">
        <w:t>European Crohn’s and Colitis Organisation</w:t>
      </w:r>
      <w:r w:rsidR="00DC1651" w:rsidRPr="006628C4">
        <w:t xml:space="preserve"> Guidelines on Therapeutics in Crohn’s Disease state</w:t>
      </w:r>
      <w:r w:rsidR="000603A4" w:rsidRPr="006628C4">
        <w:t xml:space="preserve"> </w:t>
      </w:r>
      <w:r w:rsidR="00C0119B" w:rsidRPr="006628C4">
        <w:t>u</w:t>
      </w:r>
      <w:r w:rsidR="00A70D2B" w:rsidRPr="006628C4">
        <w:t>padacitinib may represent a therapeutic alternative in patients with prior anti</w:t>
      </w:r>
      <w:r w:rsidR="00FC7500">
        <w:noBreakHyphen/>
      </w:r>
      <w:r w:rsidR="00A70D2B" w:rsidRPr="006628C4">
        <w:t xml:space="preserve">tumour necrosis factor </w:t>
      </w:r>
      <w:r w:rsidR="0025521E" w:rsidRPr="006628C4">
        <w:t>(</w:t>
      </w:r>
      <w:r w:rsidR="00A70D2B" w:rsidRPr="006628C4">
        <w:t>TNF</w:t>
      </w:r>
      <w:r w:rsidR="0025521E" w:rsidRPr="006628C4">
        <w:t>)</w:t>
      </w:r>
      <w:r w:rsidR="00A70D2B" w:rsidRPr="006628C4">
        <w:t xml:space="preserve"> failure, intolerance, or contraindications.</w:t>
      </w:r>
      <w:r w:rsidR="0059264F" w:rsidRPr="006628C4">
        <w:rPr>
          <w:rStyle w:val="FootnoteReference"/>
        </w:rPr>
        <w:footnoteReference w:id="3"/>
      </w:r>
    </w:p>
    <w:p w14:paraId="581C4E73" w14:textId="77777777" w:rsidR="00620C4B" w:rsidRPr="006628C4" w:rsidRDefault="00620C4B" w:rsidP="00620C4B">
      <w:pPr>
        <w:pStyle w:val="3-BodyText"/>
      </w:pPr>
      <w:r w:rsidRPr="006628C4">
        <w:t>The submission proposed the target PBS population for upadacitinib was identical to the existing PBS population for other advanced therapies (i.e., PBS listed infliximab, adalimumab, and ustekinumab) in FCD.</w:t>
      </w:r>
    </w:p>
    <w:p w14:paraId="50FA671F" w14:textId="1B9FA2D3" w:rsidR="00620C4B" w:rsidRDefault="00620C4B" w:rsidP="00620C4B">
      <w:pPr>
        <w:pStyle w:val="3-BodyText"/>
      </w:pPr>
      <w:r w:rsidRPr="006628C4">
        <w:t>Upadacitinib is an orally administered, small molecule that works by inhibiting members of the JAK family of enzymes.</w:t>
      </w:r>
      <w:r w:rsidR="00936479">
        <w:t xml:space="preserve"> </w:t>
      </w:r>
    </w:p>
    <w:p w14:paraId="7576CA70" w14:textId="794CB1DA" w:rsidR="00936479" w:rsidRPr="006628C4" w:rsidRDefault="00936479" w:rsidP="00936479">
      <w:pPr>
        <w:pStyle w:val="3-BodyText"/>
        <w:numPr>
          <w:ilvl w:val="0"/>
          <w:numId w:val="0"/>
        </w:numPr>
        <w:ind w:left="720"/>
      </w:pPr>
      <w:r w:rsidRPr="00C33D30">
        <w:rPr>
          <w:i/>
        </w:rPr>
        <w:t>For more detail on PBAC’s view, see section 7 PBAC outcome.</w:t>
      </w:r>
    </w:p>
    <w:p w14:paraId="3152E5D5" w14:textId="77777777" w:rsidR="00620C4B" w:rsidRPr="006628C4" w:rsidRDefault="00620C4B" w:rsidP="00620C4B">
      <w:pPr>
        <w:pStyle w:val="2-SectionHeading"/>
      </w:pPr>
      <w:bookmarkStart w:id="24" w:name="_Toc216541080"/>
      <w:bookmarkStart w:id="25" w:name="_Toc219709216"/>
      <w:r w:rsidRPr="006628C4">
        <w:t>Comparator</w:t>
      </w:r>
      <w:bookmarkEnd w:id="24"/>
      <w:bookmarkEnd w:id="25"/>
    </w:p>
    <w:p w14:paraId="5447E07D" w14:textId="77777777" w:rsidR="00620C4B" w:rsidRPr="006628C4" w:rsidRDefault="00620C4B" w:rsidP="00620C4B">
      <w:pPr>
        <w:pStyle w:val="3-BodyText"/>
      </w:pPr>
      <w:r w:rsidRPr="006628C4">
        <w:t>The submission nominated infliximab as the main comparator and adalimumab, ustekinumab as additional comparators. The main arguments provided in support of this nomination were:</w:t>
      </w:r>
    </w:p>
    <w:p w14:paraId="647BF985" w14:textId="77777777" w:rsidR="00620C4B" w:rsidRPr="006628C4" w:rsidRDefault="00620C4B" w:rsidP="00620C4B">
      <w:pPr>
        <w:pStyle w:val="ListParagraph"/>
        <w:ind w:left="1080"/>
      </w:pPr>
      <w:r w:rsidRPr="006628C4">
        <w:t>Infliximab was chosen as the main comparator based on market utilisation, as it represents the medicine that was prescribed on the PBS for the largest number of patients in the target population.</w:t>
      </w:r>
    </w:p>
    <w:p w14:paraId="0320428E" w14:textId="6C0C2E54" w:rsidR="00620C4B" w:rsidRPr="006628C4" w:rsidRDefault="00F81AB4" w:rsidP="00620C4B">
      <w:pPr>
        <w:pStyle w:val="ListParagraph"/>
        <w:ind w:left="1080"/>
      </w:pPr>
      <w:r>
        <w:t>A</w:t>
      </w:r>
      <w:r w:rsidR="00620C4B" w:rsidRPr="006628C4">
        <w:t>dalimumab and ustekinumab were presented as additional comparators.</w:t>
      </w:r>
    </w:p>
    <w:p w14:paraId="20412E34" w14:textId="73D4E65F" w:rsidR="00CA78E1" w:rsidRDefault="00620C4B" w:rsidP="00620C4B">
      <w:pPr>
        <w:pStyle w:val="3-BodyText"/>
      </w:pPr>
      <w:r w:rsidRPr="006628C4">
        <w:t>In the context of the cost</w:t>
      </w:r>
      <w:r w:rsidR="00FC7500">
        <w:noBreakHyphen/>
      </w:r>
      <w:r w:rsidRPr="006628C4">
        <w:t xml:space="preserve">minimisation approach taken by the submission, a further consideration for PBAC is that, under Section 101(3B) of the </w:t>
      </w:r>
      <w:r w:rsidRPr="00FE52BF">
        <w:rPr>
          <w:i/>
          <w:iCs/>
        </w:rPr>
        <w:t>National Health Act 1953</w:t>
      </w:r>
      <w:r w:rsidRPr="006628C4">
        <w:t xml:space="preserve">,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 </w:t>
      </w:r>
    </w:p>
    <w:p w14:paraId="03F0E16A" w14:textId="2A873677" w:rsidR="00620C4B" w:rsidRDefault="00620C4B" w:rsidP="00620C4B">
      <w:pPr>
        <w:pStyle w:val="3-BodyText"/>
      </w:pPr>
      <w:r w:rsidRPr="006628C4">
        <w:t>For the requested population, the following PBS listed medicines may be considered alternative therapies because they could be replaced in practice: infliximab, adalimumab and ustekinumab. Some of these alternative therapies may be less costly than upadacitinib.</w:t>
      </w:r>
      <w:r w:rsidR="00936479">
        <w:t xml:space="preserve"> </w:t>
      </w:r>
    </w:p>
    <w:p w14:paraId="3C8B8E04" w14:textId="406D3EA9" w:rsidR="00936479" w:rsidRPr="006628C4" w:rsidRDefault="00936479" w:rsidP="00936479">
      <w:pPr>
        <w:pStyle w:val="3-BodyText"/>
        <w:numPr>
          <w:ilvl w:val="0"/>
          <w:numId w:val="0"/>
        </w:numPr>
        <w:ind w:left="720"/>
      </w:pPr>
      <w:r w:rsidRPr="00C33D30">
        <w:rPr>
          <w:i/>
        </w:rPr>
        <w:t>For more detail on PBAC’s view, see section 7 PBAC outcome.</w:t>
      </w:r>
    </w:p>
    <w:p w14:paraId="4B0452F9" w14:textId="77777777" w:rsidR="00620C4B" w:rsidRPr="006628C4" w:rsidRDefault="00620C4B" w:rsidP="00620C4B">
      <w:pPr>
        <w:pStyle w:val="2-SectionHeading"/>
        <w:numPr>
          <w:ilvl w:val="0"/>
          <w:numId w:val="1"/>
        </w:numPr>
      </w:pPr>
      <w:bookmarkStart w:id="26" w:name="_Toc216541081"/>
      <w:bookmarkStart w:id="27" w:name="_Toc219709217"/>
      <w:bookmarkStart w:id="28" w:name="_Toc22897640"/>
      <w:r w:rsidRPr="006628C4">
        <w:t>Consideration of the evidence</w:t>
      </w:r>
      <w:bookmarkEnd w:id="26"/>
      <w:bookmarkEnd w:id="27"/>
    </w:p>
    <w:p w14:paraId="43E762BF" w14:textId="77777777" w:rsidR="00147AAC" w:rsidRPr="006E1229" w:rsidRDefault="00147AAC" w:rsidP="006A093C">
      <w:pPr>
        <w:pStyle w:val="4-SubsectionHeading"/>
        <w:rPr>
          <w:lang w:eastAsia="en-AU"/>
        </w:rPr>
      </w:pPr>
      <w:bookmarkStart w:id="29" w:name="_Hlk76375935"/>
      <w:bookmarkStart w:id="30" w:name="_Toc216541082"/>
      <w:bookmarkStart w:id="31" w:name="_Toc219709218"/>
      <w:r w:rsidRPr="006E1229">
        <w:rPr>
          <w:lang w:eastAsia="en-AU"/>
        </w:rPr>
        <w:t>Sponsor hearing</w:t>
      </w:r>
    </w:p>
    <w:p w14:paraId="0550EF4D" w14:textId="19BBF36A" w:rsidR="00147AAC" w:rsidRPr="00C6490D" w:rsidRDefault="00C6490D" w:rsidP="00C6490D">
      <w:pPr>
        <w:widowControl w:val="0"/>
        <w:numPr>
          <w:ilvl w:val="1"/>
          <w:numId w:val="1"/>
        </w:numPr>
        <w:spacing w:after="120"/>
        <w:rPr>
          <w:rFonts w:cs="Calibri"/>
          <w:bCs/>
          <w:snapToGrid w:val="0"/>
        </w:rPr>
      </w:pPr>
      <w:r w:rsidRPr="00C6490D">
        <w:rPr>
          <w:rFonts w:asciiTheme="minorHAnsi" w:hAnsiTheme="minorHAnsi"/>
          <w:bCs/>
          <w:snapToGrid w:val="0"/>
        </w:rPr>
        <w:t xml:space="preserve">The Sponsor requested a hearing for this item. The clinician discussed the severe and </w:t>
      </w:r>
      <w:r w:rsidRPr="00C6490D">
        <w:rPr>
          <w:rFonts w:asciiTheme="minorHAnsi" w:hAnsiTheme="minorHAnsi"/>
          <w:bCs/>
          <w:snapToGrid w:val="0"/>
        </w:rPr>
        <w:lastRenderedPageBreak/>
        <w:t>debilitating impacts of FCD for patients, which often include</w:t>
      </w:r>
      <w:r w:rsidR="00126C79">
        <w:rPr>
          <w:rFonts w:asciiTheme="minorHAnsi" w:hAnsiTheme="minorHAnsi"/>
          <w:bCs/>
          <w:snapToGrid w:val="0"/>
        </w:rPr>
        <w:t>s</w:t>
      </w:r>
      <w:r w:rsidRPr="00C6490D">
        <w:rPr>
          <w:rFonts w:asciiTheme="minorHAnsi" w:hAnsiTheme="minorHAnsi"/>
          <w:bCs/>
          <w:snapToGrid w:val="0"/>
        </w:rPr>
        <w:t xml:space="preserve"> surgery with poor wound healing, scarring and disfigurement, and highlighted the importance of additional treatment options, as current biologic options do not work for all patients and effectiveness can wane over time. The clinician also highlighted that the clinical trial data for upadacitinib found a substantial number of patients had resolution of drainage and closure of external fistula openings, with many responders sustaining a response out to 52 weeks. In addition, the clinician discussed the adverse event profile of upadacitinib being well established, allowing clinicians to proactively manage expected side effects.</w:t>
      </w:r>
    </w:p>
    <w:p w14:paraId="0CF921FC" w14:textId="3B84B917" w:rsidR="00147AAC" w:rsidRPr="006E1229" w:rsidRDefault="00147AAC" w:rsidP="006A093C">
      <w:pPr>
        <w:pStyle w:val="4-SubsectionHeading"/>
      </w:pPr>
      <w:r w:rsidRPr="006E1229">
        <w:t xml:space="preserve">Consumer </w:t>
      </w:r>
      <w:r>
        <w:t>input</w:t>
      </w:r>
      <w:r w:rsidRPr="006E1229">
        <w:t>s</w:t>
      </w:r>
    </w:p>
    <w:p w14:paraId="0D8A9883" w14:textId="3C660281" w:rsidR="00461E09" w:rsidRPr="00461E09" w:rsidRDefault="00461E09" w:rsidP="00147AAC">
      <w:pPr>
        <w:widowControl w:val="0"/>
        <w:numPr>
          <w:ilvl w:val="1"/>
          <w:numId w:val="1"/>
        </w:numPr>
        <w:spacing w:after="120"/>
        <w:rPr>
          <w:rFonts w:asciiTheme="minorHAnsi" w:hAnsiTheme="minorHAnsi"/>
          <w:bCs/>
          <w:snapToGrid w:val="0"/>
        </w:rPr>
      </w:pPr>
      <w:bookmarkStart w:id="32" w:name="_Hlk97141415"/>
      <w:bookmarkStart w:id="33" w:name="_Hlk76382618"/>
      <w:r w:rsidRPr="00461E09">
        <w:rPr>
          <w:rFonts w:asciiTheme="minorHAnsi" w:hAnsiTheme="minorHAnsi"/>
          <w:bCs/>
          <w:iCs/>
          <w:snapToGrid w:val="0"/>
        </w:rPr>
        <w:t>The PBAC noted and welcomed the input from health care professionals (3) and a consumer organisation</w:t>
      </w:r>
      <w:r w:rsidR="008A4CE4">
        <w:rPr>
          <w:rFonts w:asciiTheme="minorHAnsi" w:hAnsiTheme="minorHAnsi"/>
          <w:bCs/>
          <w:iCs/>
          <w:snapToGrid w:val="0"/>
        </w:rPr>
        <w:t xml:space="preserve"> </w:t>
      </w:r>
      <w:r w:rsidR="008A4CE4" w:rsidRPr="008A4CE4">
        <w:rPr>
          <w:rFonts w:asciiTheme="minorHAnsi" w:hAnsiTheme="minorHAnsi"/>
          <w:bCs/>
          <w:iCs/>
          <w:snapToGrid w:val="0"/>
        </w:rPr>
        <w:t>via the Office of Health Technology Assessment Consultation Hub</w:t>
      </w:r>
      <w:r w:rsidRPr="00461E09">
        <w:rPr>
          <w:rFonts w:asciiTheme="minorHAnsi" w:hAnsiTheme="minorHAnsi"/>
          <w:bCs/>
          <w:iCs/>
          <w:snapToGrid w:val="0"/>
        </w:rPr>
        <w:t>, all strongly supportive of the submission. The PBAC noted the input from health care professionals highlighted the effectiveness of upadacitinib in FCD, including in patients who had previously not responded to or lost response to tumour necrosis factor inhibitors (such as adalimumab and infliximab), and outlined that many patients do not respond to currently available therapies. The input also noted the safety profile of upadacitinib does mean it may not be the preferred therapy for all patients, but noted the safety profile is considered acceptable in younger patients, where FCD is most prevalent</w:t>
      </w:r>
      <w:r w:rsidR="00AA06FD">
        <w:rPr>
          <w:rFonts w:asciiTheme="minorHAnsi" w:hAnsiTheme="minorHAnsi"/>
          <w:bCs/>
          <w:iCs/>
          <w:snapToGrid w:val="0"/>
        </w:rPr>
        <w:t xml:space="preserve"> (noting </w:t>
      </w:r>
      <w:r w:rsidRPr="00461E09">
        <w:rPr>
          <w:rFonts w:asciiTheme="minorHAnsi" w:hAnsiTheme="minorHAnsi"/>
          <w:bCs/>
          <w:iCs/>
          <w:snapToGrid w:val="0"/>
        </w:rPr>
        <w:t>it should not be used in pregnancy</w:t>
      </w:r>
      <w:r w:rsidR="00AA06FD">
        <w:rPr>
          <w:rFonts w:asciiTheme="minorHAnsi" w:hAnsiTheme="minorHAnsi"/>
          <w:bCs/>
          <w:iCs/>
          <w:snapToGrid w:val="0"/>
        </w:rPr>
        <w:t>)</w:t>
      </w:r>
      <w:r w:rsidRPr="00461E09">
        <w:rPr>
          <w:rFonts w:asciiTheme="minorHAnsi" w:hAnsiTheme="minorHAnsi"/>
          <w:bCs/>
          <w:iCs/>
          <w:snapToGrid w:val="0"/>
        </w:rPr>
        <w:t xml:space="preserve">. </w:t>
      </w:r>
    </w:p>
    <w:bookmarkEnd w:id="32"/>
    <w:p w14:paraId="383E89DC" w14:textId="34B89099" w:rsidR="00854C5C" w:rsidRDefault="00854C5C" w:rsidP="00147AAC">
      <w:pPr>
        <w:widowControl w:val="0"/>
        <w:numPr>
          <w:ilvl w:val="1"/>
          <w:numId w:val="1"/>
        </w:numPr>
        <w:spacing w:after="120"/>
        <w:rPr>
          <w:rFonts w:asciiTheme="minorHAnsi" w:hAnsiTheme="minorHAnsi"/>
          <w:bCs/>
          <w:snapToGrid w:val="0"/>
        </w:rPr>
      </w:pPr>
      <w:r w:rsidRPr="00854C5C">
        <w:rPr>
          <w:rFonts w:asciiTheme="minorHAnsi" w:hAnsiTheme="minorHAnsi"/>
          <w:bCs/>
          <w:snapToGrid w:val="0"/>
        </w:rPr>
        <w:t xml:space="preserve">The PBAC also welcomed the input from Crohn's and colitis Australia (CCA) supported the listing, and highlighted the patient benefits of having an oral treatment option available and presented </w:t>
      </w:r>
      <w:r w:rsidR="00D50481">
        <w:rPr>
          <w:rFonts w:asciiTheme="minorHAnsi" w:hAnsiTheme="minorHAnsi"/>
          <w:bCs/>
          <w:snapToGrid w:val="0"/>
        </w:rPr>
        <w:t xml:space="preserve">a </w:t>
      </w:r>
      <w:r w:rsidRPr="00854C5C">
        <w:rPr>
          <w:rFonts w:asciiTheme="minorHAnsi" w:hAnsiTheme="minorHAnsi"/>
          <w:bCs/>
          <w:snapToGrid w:val="0"/>
        </w:rPr>
        <w:t>patient testimonial discussing the life</w:t>
      </w:r>
      <w:r w:rsidR="00FC7500">
        <w:rPr>
          <w:rFonts w:asciiTheme="minorHAnsi" w:hAnsiTheme="minorHAnsi"/>
          <w:bCs/>
          <w:snapToGrid w:val="0"/>
        </w:rPr>
        <w:noBreakHyphen/>
      </w:r>
      <w:r w:rsidRPr="00854C5C">
        <w:rPr>
          <w:rFonts w:asciiTheme="minorHAnsi" w:hAnsiTheme="minorHAnsi"/>
          <w:bCs/>
          <w:snapToGrid w:val="0"/>
        </w:rPr>
        <w:t>changing impacts of upadacitinib for their ulcerative colitis and the hope it can provide similar benefits for patients with FCD.</w:t>
      </w:r>
      <w:r>
        <w:rPr>
          <w:rFonts w:asciiTheme="minorHAnsi" w:hAnsiTheme="minorHAnsi"/>
          <w:bCs/>
          <w:snapToGrid w:val="0"/>
        </w:rPr>
        <w:t xml:space="preserve"> </w:t>
      </w:r>
    </w:p>
    <w:bookmarkEnd w:id="29"/>
    <w:bookmarkEnd w:id="33"/>
    <w:p w14:paraId="7FF0033B" w14:textId="77777777" w:rsidR="00620C4B" w:rsidRPr="0098262F" w:rsidRDefault="00620C4B" w:rsidP="00620C4B">
      <w:pPr>
        <w:pStyle w:val="4-SubsectionHeading"/>
      </w:pPr>
      <w:r w:rsidRPr="0098262F">
        <w:t>Clinical trial</w:t>
      </w:r>
      <w:bookmarkEnd w:id="28"/>
      <w:bookmarkEnd w:id="30"/>
      <w:r>
        <w:t>s</w:t>
      </w:r>
      <w:bookmarkEnd w:id="31"/>
    </w:p>
    <w:p w14:paraId="35B8F382" w14:textId="39FF6035" w:rsidR="00620C4B" w:rsidRPr="006628C4" w:rsidRDefault="00620C4B" w:rsidP="00620C4B">
      <w:pPr>
        <w:pStyle w:val="3-BodyText"/>
      </w:pPr>
      <w:r w:rsidRPr="006628C4">
        <w:t>No head</w:t>
      </w:r>
      <w:r w:rsidR="00FC7500">
        <w:noBreakHyphen/>
      </w:r>
      <w:r w:rsidRPr="006628C4">
        <w:t>to</w:t>
      </w:r>
      <w:r w:rsidR="00FC7500">
        <w:noBreakHyphen/>
      </w:r>
      <w:r w:rsidRPr="006628C4">
        <w:t>head trials comparing upadacitinib with infliximab, adalimumab or ustekinumab were identified. The submission conducted a series of pairwise, indirect treatment comparisons using meta</w:t>
      </w:r>
      <w:r w:rsidR="00FC7500">
        <w:noBreakHyphen/>
      </w:r>
      <w:r w:rsidRPr="006628C4">
        <w:t>analysed outcomes for upadacitinib and infliximab, adalimumab and ustekinumab in patients with the FCD subgroup using placebo as the common reference. The submission was based on:</w:t>
      </w:r>
    </w:p>
    <w:p w14:paraId="13628C7C" w14:textId="77777777" w:rsidR="00620C4B" w:rsidRPr="006628C4" w:rsidRDefault="00620C4B" w:rsidP="00EB69AD">
      <w:pPr>
        <w:numPr>
          <w:ilvl w:val="0"/>
          <w:numId w:val="9"/>
        </w:numPr>
        <w:shd w:val="clear" w:color="auto" w:fill="FFFFFF" w:themeFill="background1"/>
        <w:spacing w:after="120"/>
        <w:jc w:val="left"/>
        <w:rPr>
          <w:rFonts w:asciiTheme="minorHAnsi" w:hAnsiTheme="minorHAnsi"/>
          <w:snapToGrid w:val="0"/>
        </w:rPr>
      </w:pPr>
      <w:bookmarkStart w:id="34" w:name="_Hlk216445319"/>
      <w:r w:rsidRPr="006628C4">
        <w:rPr>
          <w:rFonts w:asciiTheme="minorHAnsi" w:hAnsiTheme="minorHAnsi"/>
          <w:snapToGrid w:val="0"/>
        </w:rPr>
        <w:t>Induction therapy evidence (7 randomised controlled trials vs placebo)</w:t>
      </w:r>
    </w:p>
    <w:p w14:paraId="46B424BF" w14:textId="77777777" w:rsidR="00620C4B" w:rsidRPr="006628C4" w:rsidRDefault="00620C4B" w:rsidP="00EB69AD">
      <w:pPr>
        <w:numPr>
          <w:ilvl w:val="1"/>
          <w:numId w:val="9"/>
        </w:numPr>
        <w:spacing w:after="120"/>
        <w:jc w:val="left"/>
        <w:rPr>
          <w:rFonts w:asciiTheme="minorHAnsi" w:hAnsiTheme="minorHAnsi"/>
          <w:snapToGrid w:val="0"/>
        </w:rPr>
      </w:pPr>
      <w:r w:rsidRPr="006628C4">
        <w:rPr>
          <w:rFonts w:asciiTheme="minorHAnsi" w:hAnsiTheme="minorHAnsi"/>
          <w:snapToGrid w:val="0"/>
        </w:rPr>
        <w:t>Upadacitinib:</w:t>
      </w:r>
    </w:p>
    <w:p w14:paraId="07F299F8" w14:textId="3BF45FF3" w:rsidR="00620C4B" w:rsidRPr="006628C4" w:rsidRDefault="00620C4B" w:rsidP="00EB69AD">
      <w:pPr>
        <w:numPr>
          <w:ilvl w:val="2"/>
          <w:numId w:val="9"/>
        </w:numPr>
        <w:spacing w:after="120"/>
        <w:jc w:val="left"/>
        <w:rPr>
          <w:rFonts w:asciiTheme="minorHAnsi" w:hAnsiTheme="minorHAnsi"/>
          <w:snapToGrid w:val="0"/>
        </w:rPr>
      </w:pPr>
      <w:r w:rsidRPr="006628C4">
        <w:rPr>
          <w:rFonts w:asciiTheme="minorHAnsi" w:hAnsiTheme="minorHAnsi"/>
          <w:snapToGrid w:val="0"/>
        </w:rPr>
        <w:t>U</w:t>
      </w:r>
      <w:r w:rsidR="00FC7500">
        <w:rPr>
          <w:rFonts w:asciiTheme="minorHAnsi" w:hAnsiTheme="minorHAnsi"/>
          <w:snapToGrid w:val="0"/>
        </w:rPr>
        <w:noBreakHyphen/>
      </w:r>
      <w:r w:rsidRPr="006628C4">
        <w:rPr>
          <w:rFonts w:asciiTheme="minorHAnsi" w:hAnsiTheme="minorHAnsi"/>
          <w:snapToGrid w:val="0"/>
        </w:rPr>
        <w:t>EXCEED (N=495);</w:t>
      </w:r>
    </w:p>
    <w:p w14:paraId="010965C3" w14:textId="2AE831DF" w:rsidR="00620C4B" w:rsidRPr="006628C4" w:rsidRDefault="00620C4B" w:rsidP="00EB69AD">
      <w:pPr>
        <w:numPr>
          <w:ilvl w:val="2"/>
          <w:numId w:val="9"/>
        </w:numPr>
        <w:spacing w:after="120"/>
        <w:jc w:val="left"/>
        <w:rPr>
          <w:rFonts w:asciiTheme="minorHAnsi" w:hAnsiTheme="minorHAnsi"/>
          <w:snapToGrid w:val="0"/>
        </w:rPr>
      </w:pPr>
      <w:r w:rsidRPr="006628C4">
        <w:rPr>
          <w:rFonts w:asciiTheme="minorHAnsi" w:hAnsiTheme="minorHAnsi"/>
          <w:snapToGrid w:val="0"/>
        </w:rPr>
        <w:t>U</w:t>
      </w:r>
      <w:r w:rsidR="00FC7500">
        <w:rPr>
          <w:rFonts w:asciiTheme="minorHAnsi" w:hAnsiTheme="minorHAnsi"/>
          <w:snapToGrid w:val="0"/>
        </w:rPr>
        <w:noBreakHyphen/>
      </w:r>
      <w:r w:rsidRPr="006628C4">
        <w:rPr>
          <w:rFonts w:asciiTheme="minorHAnsi" w:hAnsiTheme="minorHAnsi"/>
          <w:snapToGrid w:val="0"/>
        </w:rPr>
        <w:t>EXCEL (N=526);</w:t>
      </w:r>
    </w:p>
    <w:p w14:paraId="609192D3" w14:textId="1B64EDC4" w:rsidR="00620C4B" w:rsidRPr="006628C4" w:rsidRDefault="00620C4B" w:rsidP="00EB69AD">
      <w:pPr>
        <w:numPr>
          <w:ilvl w:val="2"/>
          <w:numId w:val="9"/>
        </w:numPr>
        <w:spacing w:after="120"/>
        <w:jc w:val="left"/>
        <w:rPr>
          <w:rFonts w:asciiTheme="minorHAnsi" w:hAnsiTheme="minorHAnsi"/>
          <w:snapToGrid w:val="0"/>
        </w:rPr>
      </w:pPr>
      <w:r w:rsidRPr="006628C4">
        <w:rPr>
          <w:rFonts w:asciiTheme="minorHAnsi" w:hAnsiTheme="minorHAnsi"/>
          <w:snapToGrid w:val="0"/>
        </w:rPr>
        <w:lastRenderedPageBreak/>
        <w:t>U</w:t>
      </w:r>
      <w:r w:rsidR="00FC7500">
        <w:rPr>
          <w:rFonts w:asciiTheme="minorHAnsi" w:hAnsiTheme="minorHAnsi"/>
          <w:snapToGrid w:val="0"/>
        </w:rPr>
        <w:noBreakHyphen/>
      </w:r>
      <w:r w:rsidRPr="006628C4">
        <w:rPr>
          <w:rFonts w:asciiTheme="minorHAnsi" w:hAnsiTheme="minorHAnsi"/>
          <w:snapToGrid w:val="0"/>
        </w:rPr>
        <w:t>EXCEED and U</w:t>
      </w:r>
      <w:r w:rsidR="00FC7500">
        <w:rPr>
          <w:rFonts w:asciiTheme="minorHAnsi" w:hAnsiTheme="minorHAnsi"/>
          <w:snapToGrid w:val="0"/>
        </w:rPr>
        <w:noBreakHyphen/>
      </w:r>
      <w:r w:rsidRPr="006628C4">
        <w:rPr>
          <w:rFonts w:asciiTheme="minorHAnsi" w:hAnsiTheme="minorHAnsi"/>
          <w:snapToGrid w:val="0"/>
        </w:rPr>
        <w:t xml:space="preserve">EXCEL </w:t>
      </w:r>
      <w:bookmarkStart w:id="35" w:name="_Hlk214682075"/>
      <w:r w:rsidRPr="006628C4">
        <w:rPr>
          <w:rFonts w:asciiTheme="minorHAnsi" w:hAnsiTheme="minorHAnsi"/>
          <w:snapToGrid w:val="0"/>
        </w:rPr>
        <w:t>pooled FCD subgroup</w:t>
      </w:r>
      <w:r w:rsidRPr="006628C4">
        <w:rPr>
          <w:rFonts w:asciiTheme="minorHAnsi" w:hAnsiTheme="minorHAnsi"/>
          <w:snapToGrid w:val="0"/>
          <w:vertAlign w:val="superscript"/>
        </w:rPr>
        <w:footnoteReference w:id="4"/>
      </w:r>
      <w:r w:rsidRPr="006628C4">
        <w:rPr>
          <w:rFonts w:asciiTheme="minorHAnsi" w:hAnsiTheme="minorHAnsi"/>
          <w:snapToGrid w:val="0"/>
        </w:rPr>
        <w:t xml:space="preserve"> (n=66</w:t>
      </w:r>
      <w:r w:rsidRPr="006628C4">
        <w:rPr>
          <w:rStyle w:val="FootnoteReference"/>
          <w:rFonts w:asciiTheme="minorHAnsi" w:hAnsiTheme="minorHAnsi"/>
          <w:snapToGrid w:val="0"/>
        </w:rPr>
        <w:footnoteReference w:id="5"/>
      </w:r>
      <w:r w:rsidRPr="006628C4">
        <w:rPr>
          <w:rFonts w:asciiTheme="minorHAnsi" w:hAnsiTheme="minorHAnsi"/>
          <w:snapToGrid w:val="0"/>
        </w:rPr>
        <w:t>).</w:t>
      </w:r>
      <w:bookmarkEnd w:id="35"/>
    </w:p>
    <w:p w14:paraId="4BBA9034" w14:textId="6C6B467E" w:rsidR="00620C4B" w:rsidRPr="006628C4" w:rsidRDefault="00620C4B" w:rsidP="00EB69AD">
      <w:pPr>
        <w:numPr>
          <w:ilvl w:val="1"/>
          <w:numId w:val="9"/>
        </w:numPr>
        <w:spacing w:after="120"/>
        <w:jc w:val="left"/>
        <w:rPr>
          <w:rFonts w:asciiTheme="minorHAnsi" w:hAnsiTheme="minorHAnsi"/>
          <w:snapToGrid w:val="0"/>
        </w:rPr>
      </w:pPr>
      <w:r w:rsidRPr="006628C4">
        <w:rPr>
          <w:rFonts w:asciiTheme="minorHAnsi" w:hAnsiTheme="minorHAnsi"/>
          <w:snapToGrid w:val="0"/>
        </w:rPr>
        <w:t>Infliximab:</w:t>
      </w:r>
    </w:p>
    <w:p w14:paraId="4F3B013E" w14:textId="77777777" w:rsidR="00620C4B" w:rsidRPr="006628C4" w:rsidRDefault="00620C4B" w:rsidP="00EB69AD">
      <w:pPr>
        <w:numPr>
          <w:ilvl w:val="2"/>
          <w:numId w:val="9"/>
        </w:numPr>
        <w:spacing w:after="120"/>
        <w:jc w:val="left"/>
        <w:rPr>
          <w:rFonts w:asciiTheme="minorHAnsi" w:hAnsiTheme="minorHAnsi"/>
          <w:snapToGrid w:val="0"/>
        </w:rPr>
      </w:pPr>
      <w:r w:rsidRPr="006628C4">
        <w:rPr>
          <w:rFonts w:asciiTheme="minorHAnsi" w:hAnsiTheme="minorHAnsi"/>
          <w:snapToGrid w:val="0"/>
        </w:rPr>
        <w:t>T20 (N=94; FCD subgroup analysed n=62</w:t>
      </w:r>
      <w:r w:rsidRPr="006628C4">
        <w:rPr>
          <w:rStyle w:val="FootnoteReference"/>
          <w:rFonts w:asciiTheme="minorHAnsi" w:hAnsiTheme="minorHAnsi"/>
          <w:snapToGrid w:val="0"/>
        </w:rPr>
        <w:footnoteReference w:id="6"/>
      </w:r>
      <w:r w:rsidRPr="006628C4">
        <w:rPr>
          <w:rFonts w:asciiTheme="minorHAnsi" w:hAnsiTheme="minorHAnsi"/>
          <w:snapToGrid w:val="0"/>
        </w:rPr>
        <w:t>).</w:t>
      </w:r>
    </w:p>
    <w:p w14:paraId="25AB8603" w14:textId="77777777" w:rsidR="00620C4B" w:rsidRPr="006628C4" w:rsidRDefault="00620C4B" w:rsidP="00EB69AD">
      <w:pPr>
        <w:numPr>
          <w:ilvl w:val="1"/>
          <w:numId w:val="9"/>
        </w:numPr>
        <w:spacing w:after="120"/>
        <w:jc w:val="left"/>
        <w:rPr>
          <w:rFonts w:asciiTheme="minorHAnsi" w:hAnsiTheme="minorHAnsi"/>
          <w:snapToGrid w:val="0"/>
        </w:rPr>
      </w:pPr>
      <w:r w:rsidRPr="006628C4">
        <w:rPr>
          <w:rFonts w:asciiTheme="minorHAnsi" w:hAnsiTheme="minorHAnsi"/>
          <w:snapToGrid w:val="0"/>
        </w:rPr>
        <w:t>Adalimumab:</w:t>
      </w:r>
    </w:p>
    <w:p w14:paraId="4040D670" w14:textId="0F6F851B" w:rsidR="00620C4B" w:rsidRPr="006628C4" w:rsidRDefault="00620C4B" w:rsidP="00EB69AD">
      <w:pPr>
        <w:numPr>
          <w:ilvl w:val="2"/>
          <w:numId w:val="9"/>
        </w:numPr>
        <w:spacing w:after="120"/>
        <w:jc w:val="left"/>
        <w:rPr>
          <w:rFonts w:asciiTheme="minorHAnsi" w:hAnsiTheme="minorHAnsi"/>
          <w:snapToGrid w:val="0"/>
        </w:rPr>
      </w:pPr>
      <w:r w:rsidRPr="006628C4">
        <w:rPr>
          <w:rFonts w:asciiTheme="minorHAnsi" w:hAnsiTheme="minorHAnsi"/>
          <w:snapToGrid w:val="0"/>
        </w:rPr>
        <w:t xml:space="preserve"> CLASSIC</w:t>
      </w:r>
      <w:r w:rsidR="00FC7500">
        <w:rPr>
          <w:rFonts w:asciiTheme="minorHAnsi" w:hAnsiTheme="minorHAnsi"/>
          <w:snapToGrid w:val="0"/>
        </w:rPr>
        <w:noBreakHyphen/>
      </w:r>
      <w:r w:rsidRPr="006628C4">
        <w:rPr>
          <w:rFonts w:asciiTheme="minorHAnsi" w:hAnsiTheme="minorHAnsi"/>
          <w:snapToGrid w:val="0"/>
        </w:rPr>
        <w:t>I (N=150</w:t>
      </w:r>
      <w:r w:rsidRPr="006628C4">
        <w:rPr>
          <w:rStyle w:val="FootnoteReference"/>
          <w:rFonts w:asciiTheme="minorHAnsi" w:hAnsiTheme="minorHAnsi"/>
          <w:snapToGrid w:val="0"/>
        </w:rPr>
        <w:footnoteReference w:id="7"/>
      </w:r>
      <w:r w:rsidRPr="006628C4">
        <w:rPr>
          <w:rFonts w:asciiTheme="minorHAnsi" w:hAnsiTheme="minorHAnsi"/>
          <w:snapToGrid w:val="0"/>
        </w:rPr>
        <w:t>; FCD subgroup n=18);</w:t>
      </w:r>
    </w:p>
    <w:p w14:paraId="126F6D1E" w14:textId="77777777" w:rsidR="00620C4B" w:rsidRPr="006628C4" w:rsidRDefault="00620C4B" w:rsidP="00EB69AD">
      <w:pPr>
        <w:numPr>
          <w:ilvl w:val="2"/>
          <w:numId w:val="9"/>
        </w:numPr>
        <w:spacing w:after="120"/>
        <w:jc w:val="left"/>
        <w:rPr>
          <w:rFonts w:asciiTheme="minorHAnsi" w:hAnsiTheme="minorHAnsi"/>
          <w:snapToGrid w:val="0"/>
        </w:rPr>
      </w:pPr>
      <w:r w:rsidRPr="006628C4">
        <w:rPr>
          <w:rFonts w:asciiTheme="minorHAnsi" w:hAnsiTheme="minorHAnsi"/>
          <w:snapToGrid w:val="0"/>
        </w:rPr>
        <w:t xml:space="preserve"> GAIN (N=325</w:t>
      </w:r>
      <w:r w:rsidRPr="006628C4">
        <w:rPr>
          <w:rStyle w:val="FootnoteReference"/>
          <w:rFonts w:asciiTheme="minorHAnsi" w:hAnsiTheme="minorHAnsi"/>
          <w:snapToGrid w:val="0"/>
        </w:rPr>
        <w:footnoteReference w:id="8"/>
      </w:r>
      <w:r w:rsidRPr="006628C4">
        <w:rPr>
          <w:rFonts w:asciiTheme="minorHAnsi" w:hAnsiTheme="minorHAnsi"/>
          <w:snapToGrid w:val="0"/>
        </w:rPr>
        <w:t>; FCD subgroup n=45).</w:t>
      </w:r>
    </w:p>
    <w:p w14:paraId="57B9D6FD" w14:textId="77777777" w:rsidR="00620C4B" w:rsidRPr="006628C4" w:rsidRDefault="00620C4B" w:rsidP="00EB69AD">
      <w:pPr>
        <w:numPr>
          <w:ilvl w:val="1"/>
          <w:numId w:val="9"/>
        </w:numPr>
        <w:spacing w:after="120"/>
        <w:jc w:val="left"/>
        <w:rPr>
          <w:rFonts w:asciiTheme="minorHAnsi" w:hAnsiTheme="minorHAnsi"/>
          <w:snapToGrid w:val="0"/>
        </w:rPr>
      </w:pPr>
      <w:r w:rsidRPr="006628C4">
        <w:rPr>
          <w:rFonts w:asciiTheme="minorHAnsi" w:hAnsiTheme="minorHAnsi"/>
          <w:snapToGrid w:val="0"/>
        </w:rPr>
        <w:t>Ustekinumab:</w:t>
      </w:r>
    </w:p>
    <w:p w14:paraId="0F797F81" w14:textId="1CA6426B" w:rsidR="00620C4B" w:rsidRPr="006628C4" w:rsidRDefault="00620C4B" w:rsidP="00EB69AD">
      <w:pPr>
        <w:numPr>
          <w:ilvl w:val="2"/>
          <w:numId w:val="9"/>
        </w:numPr>
        <w:spacing w:after="120"/>
        <w:jc w:val="left"/>
        <w:rPr>
          <w:rFonts w:asciiTheme="minorHAnsi" w:hAnsiTheme="minorHAnsi"/>
          <w:snapToGrid w:val="0"/>
          <w:lang w:val="pt-BR"/>
        </w:rPr>
      </w:pPr>
      <w:r w:rsidRPr="006628C4">
        <w:rPr>
          <w:rFonts w:asciiTheme="minorHAnsi" w:hAnsiTheme="minorHAnsi"/>
          <w:snapToGrid w:val="0"/>
          <w:lang w:val="pt-BR"/>
        </w:rPr>
        <w:t>UNITI</w:t>
      </w:r>
      <w:r w:rsidR="00FC7500">
        <w:rPr>
          <w:rFonts w:asciiTheme="minorHAnsi" w:hAnsiTheme="minorHAnsi"/>
          <w:snapToGrid w:val="0"/>
          <w:lang w:val="pt-BR"/>
        </w:rPr>
        <w:noBreakHyphen/>
      </w:r>
      <w:r w:rsidRPr="006628C4">
        <w:rPr>
          <w:rFonts w:asciiTheme="minorHAnsi" w:hAnsiTheme="minorHAnsi"/>
          <w:snapToGrid w:val="0"/>
          <w:lang w:val="pt-BR"/>
        </w:rPr>
        <w:t>1 (N=496</w:t>
      </w:r>
      <w:r w:rsidRPr="006628C4">
        <w:rPr>
          <w:rStyle w:val="FootnoteReference"/>
          <w:rFonts w:asciiTheme="minorHAnsi" w:hAnsiTheme="minorHAnsi"/>
          <w:snapToGrid w:val="0"/>
        </w:rPr>
        <w:footnoteReference w:id="9"/>
      </w:r>
      <w:r w:rsidRPr="006628C4">
        <w:rPr>
          <w:rFonts w:asciiTheme="minorHAnsi" w:hAnsiTheme="minorHAnsi"/>
          <w:snapToGrid w:val="0"/>
          <w:lang w:val="pt-BR"/>
        </w:rPr>
        <w:t>; FCD subgroup n=63);</w:t>
      </w:r>
    </w:p>
    <w:p w14:paraId="431D384D" w14:textId="3309CDC4" w:rsidR="00620C4B" w:rsidRPr="006628C4" w:rsidRDefault="00620C4B" w:rsidP="00EB69AD">
      <w:pPr>
        <w:numPr>
          <w:ilvl w:val="2"/>
          <w:numId w:val="9"/>
        </w:numPr>
        <w:spacing w:after="120"/>
        <w:jc w:val="left"/>
        <w:rPr>
          <w:rFonts w:asciiTheme="minorHAnsi" w:hAnsiTheme="minorHAnsi"/>
          <w:snapToGrid w:val="0"/>
          <w:lang w:val="pt-BR"/>
        </w:rPr>
      </w:pPr>
      <w:r w:rsidRPr="006628C4">
        <w:rPr>
          <w:rFonts w:asciiTheme="minorHAnsi" w:hAnsiTheme="minorHAnsi"/>
          <w:snapToGrid w:val="0"/>
          <w:lang w:val="pt-BR"/>
        </w:rPr>
        <w:t>UNITI</w:t>
      </w:r>
      <w:r w:rsidR="00FC7500">
        <w:rPr>
          <w:rFonts w:asciiTheme="minorHAnsi" w:hAnsiTheme="minorHAnsi"/>
          <w:snapToGrid w:val="0"/>
          <w:lang w:val="pt-BR"/>
        </w:rPr>
        <w:noBreakHyphen/>
      </w:r>
      <w:r w:rsidRPr="006628C4">
        <w:rPr>
          <w:rFonts w:asciiTheme="minorHAnsi" w:hAnsiTheme="minorHAnsi"/>
          <w:snapToGrid w:val="0"/>
          <w:lang w:val="pt-BR"/>
        </w:rPr>
        <w:t>2 (N=419</w:t>
      </w:r>
      <w:r w:rsidRPr="006628C4">
        <w:rPr>
          <w:rStyle w:val="FootnoteReference"/>
          <w:rFonts w:asciiTheme="minorHAnsi" w:hAnsiTheme="minorHAnsi"/>
          <w:snapToGrid w:val="0"/>
        </w:rPr>
        <w:footnoteReference w:id="10"/>
      </w:r>
      <w:r w:rsidRPr="006628C4">
        <w:rPr>
          <w:rFonts w:asciiTheme="minorHAnsi" w:hAnsiTheme="minorHAnsi"/>
          <w:snapToGrid w:val="0"/>
          <w:lang w:val="pt-BR"/>
        </w:rPr>
        <w:t>; FCD subgroup n=42).</w:t>
      </w:r>
    </w:p>
    <w:p w14:paraId="5305C3E7" w14:textId="77777777" w:rsidR="00620C4B" w:rsidRPr="006628C4" w:rsidRDefault="00620C4B" w:rsidP="00EB69AD">
      <w:pPr>
        <w:numPr>
          <w:ilvl w:val="0"/>
          <w:numId w:val="9"/>
        </w:numPr>
        <w:spacing w:after="120"/>
        <w:jc w:val="left"/>
        <w:rPr>
          <w:rFonts w:asciiTheme="minorHAnsi" w:hAnsiTheme="minorHAnsi"/>
          <w:snapToGrid w:val="0"/>
        </w:rPr>
      </w:pPr>
      <w:r w:rsidRPr="006628C4">
        <w:rPr>
          <w:rFonts w:asciiTheme="minorHAnsi" w:hAnsiTheme="minorHAnsi"/>
          <w:snapToGrid w:val="0"/>
        </w:rPr>
        <w:t>Maintenance therapy (4 randomised controlled trials vs placebo)</w:t>
      </w:r>
    </w:p>
    <w:p w14:paraId="1F395E45" w14:textId="77777777" w:rsidR="00620C4B" w:rsidRPr="006628C4" w:rsidRDefault="00620C4B" w:rsidP="00EB69AD">
      <w:pPr>
        <w:numPr>
          <w:ilvl w:val="1"/>
          <w:numId w:val="9"/>
        </w:numPr>
        <w:spacing w:after="120"/>
        <w:jc w:val="left"/>
        <w:rPr>
          <w:rFonts w:asciiTheme="minorHAnsi" w:hAnsiTheme="minorHAnsi"/>
          <w:snapToGrid w:val="0"/>
        </w:rPr>
      </w:pPr>
      <w:r w:rsidRPr="006628C4">
        <w:rPr>
          <w:rFonts w:asciiTheme="minorHAnsi" w:hAnsiTheme="minorHAnsi"/>
          <w:snapToGrid w:val="0"/>
        </w:rPr>
        <w:t>Upadacitinib:</w:t>
      </w:r>
    </w:p>
    <w:p w14:paraId="76E23F60" w14:textId="7CA4872B" w:rsidR="00620C4B" w:rsidRPr="00E22309" w:rsidRDefault="00620C4B" w:rsidP="00EB69AD">
      <w:pPr>
        <w:numPr>
          <w:ilvl w:val="2"/>
          <w:numId w:val="9"/>
        </w:numPr>
        <w:spacing w:after="120"/>
        <w:jc w:val="left"/>
        <w:rPr>
          <w:rFonts w:asciiTheme="minorHAnsi" w:hAnsiTheme="minorHAnsi"/>
          <w:snapToGrid w:val="0"/>
        </w:rPr>
      </w:pPr>
      <w:r w:rsidRPr="00E22309">
        <w:rPr>
          <w:rFonts w:asciiTheme="minorHAnsi" w:hAnsiTheme="minorHAnsi"/>
          <w:snapToGrid w:val="0"/>
        </w:rPr>
        <w:t>U</w:t>
      </w:r>
      <w:r w:rsidR="00FC7500">
        <w:rPr>
          <w:rFonts w:asciiTheme="minorHAnsi" w:hAnsiTheme="minorHAnsi"/>
          <w:snapToGrid w:val="0"/>
        </w:rPr>
        <w:noBreakHyphen/>
      </w:r>
      <w:r w:rsidRPr="00E22309">
        <w:rPr>
          <w:rFonts w:asciiTheme="minorHAnsi" w:hAnsiTheme="minorHAnsi"/>
          <w:snapToGrid w:val="0"/>
        </w:rPr>
        <w:t>ENDURE (N=</w:t>
      </w:r>
      <w:r>
        <w:rPr>
          <w:rFonts w:asciiTheme="minorHAnsi" w:hAnsiTheme="minorHAnsi"/>
          <w:snapToGrid w:val="0"/>
        </w:rPr>
        <w:t>502</w:t>
      </w:r>
      <w:r w:rsidRPr="00E22309">
        <w:rPr>
          <w:rFonts w:asciiTheme="minorHAnsi" w:hAnsiTheme="minorHAnsi"/>
          <w:snapToGrid w:val="0"/>
        </w:rPr>
        <w:t>; FCD subgroup n=</w:t>
      </w:r>
      <w:r>
        <w:rPr>
          <w:rFonts w:asciiTheme="minorHAnsi" w:hAnsiTheme="minorHAnsi"/>
          <w:snapToGrid w:val="0"/>
        </w:rPr>
        <w:t>36)</w:t>
      </w:r>
      <w:r w:rsidRPr="00E22309">
        <w:rPr>
          <w:rFonts w:asciiTheme="minorHAnsi" w:hAnsiTheme="minorHAnsi"/>
          <w:snapToGrid w:val="0"/>
        </w:rPr>
        <w:t>.</w:t>
      </w:r>
    </w:p>
    <w:p w14:paraId="60A63C8F" w14:textId="77777777" w:rsidR="00620C4B" w:rsidRPr="00E22309" w:rsidRDefault="00620C4B" w:rsidP="00EB69AD">
      <w:pPr>
        <w:numPr>
          <w:ilvl w:val="1"/>
          <w:numId w:val="9"/>
        </w:numPr>
        <w:spacing w:after="120"/>
        <w:jc w:val="left"/>
        <w:rPr>
          <w:rFonts w:asciiTheme="minorHAnsi" w:hAnsiTheme="minorHAnsi"/>
          <w:snapToGrid w:val="0"/>
        </w:rPr>
      </w:pPr>
      <w:r w:rsidRPr="00E22309">
        <w:rPr>
          <w:rFonts w:asciiTheme="minorHAnsi" w:hAnsiTheme="minorHAnsi"/>
          <w:snapToGrid w:val="0"/>
        </w:rPr>
        <w:t>Infliximab:</w:t>
      </w:r>
    </w:p>
    <w:p w14:paraId="646E2F5C" w14:textId="77777777" w:rsidR="00620C4B" w:rsidRPr="00E22309" w:rsidRDefault="00620C4B" w:rsidP="00EB69AD">
      <w:pPr>
        <w:numPr>
          <w:ilvl w:val="2"/>
          <w:numId w:val="9"/>
        </w:numPr>
        <w:spacing w:after="120"/>
        <w:jc w:val="left"/>
        <w:rPr>
          <w:rFonts w:asciiTheme="minorHAnsi" w:hAnsiTheme="minorHAnsi"/>
          <w:snapToGrid w:val="0"/>
        </w:rPr>
      </w:pPr>
      <w:r w:rsidRPr="00E22309">
        <w:rPr>
          <w:rFonts w:asciiTheme="minorHAnsi" w:hAnsiTheme="minorHAnsi"/>
          <w:snapToGrid w:val="0"/>
        </w:rPr>
        <w:t>ACCENT II (N=</w:t>
      </w:r>
      <w:r>
        <w:rPr>
          <w:rFonts w:asciiTheme="minorHAnsi" w:hAnsiTheme="minorHAnsi"/>
          <w:snapToGrid w:val="0"/>
        </w:rPr>
        <w:t>282</w:t>
      </w:r>
      <w:r>
        <w:rPr>
          <w:rStyle w:val="FootnoteReference"/>
          <w:rFonts w:asciiTheme="minorHAnsi" w:hAnsiTheme="minorHAnsi"/>
          <w:snapToGrid w:val="0"/>
        </w:rPr>
        <w:footnoteReference w:id="11"/>
      </w:r>
      <w:r>
        <w:rPr>
          <w:rFonts w:asciiTheme="minorHAnsi" w:hAnsiTheme="minorHAnsi"/>
          <w:snapToGrid w:val="0"/>
        </w:rPr>
        <w:t>; evaluated for maintenance response n=276</w:t>
      </w:r>
      <w:r w:rsidRPr="00E22309">
        <w:rPr>
          <w:rFonts w:asciiTheme="minorHAnsi" w:hAnsiTheme="minorHAnsi"/>
          <w:snapToGrid w:val="0"/>
        </w:rPr>
        <w:t>).</w:t>
      </w:r>
    </w:p>
    <w:p w14:paraId="721BCE76" w14:textId="77777777" w:rsidR="00620C4B" w:rsidRPr="00E22309" w:rsidRDefault="00620C4B" w:rsidP="00EB69AD">
      <w:pPr>
        <w:numPr>
          <w:ilvl w:val="1"/>
          <w:numId w:val="9"/>
        </w:numPr>
        <w:spacing w:after="120"/>
        <w:jc w:val="left"/>
        <w:rPr>
          <w:rFonts w:asciiTheme="minorHAnsi" w:hAnsiTheme="minorHAnsi"/>
          <w:snapToGrid w:val="0"/>
        </w:rPr>
      </w:pPr>
      <w:r w:rsidRPr="00E22309">
        <w:rPr>
          <w:rFonts w:asciiTheme="minorHAnsi" w:hAnsiTheme="minorHAnsi"/>
          <w:snapToGrid w:val="0"/>
        </w:rPr>
        <w:t>Adalimumab:</w:t>
      </w:r>
    </w:p>
    <w:p w14:paraId="2FCC703E" w14:textId="77777777" w:rsidR="00620C4B" w:rsidRPr="00E22309" w:rsidRDefault="00620C4B" w:rsidP="00EB69AD">
      <w:pPr>
        <w:numPr>
          <w:ilvl w:val="2"/>
          <w:numId w:val="9"/>
        </w:numPr>
        <w:spacing w:after="120"/>
        <w:jc w:val="left"/>
        <w:rPr>
          <w:rFonts w:asciiTheme="minorHAnsi" w:hAnsiTheme="minorHAnsi"/>
          <w:snapToGrid w:val="0"/>
        </w:rPr>
      </w:pPr>
      <w:r w:rsidRPr="00E22309">
        <w:rPr>
          <w:rFonts w:asciiTheme="minorHAnsi" w:hAnsiTheme="minorHAnsi"/>
          <w:snapToGrid w:val="0"/>
        </w:rPr>
        <w:t>CHARM (N=</w:t>
      </w:r>
      <w:r>
        <w:rPr>
          <w:rFonts w:asciiTheme="minorHAnsi" w:hAnsiTheme="minorHAnsi"/>
          <w:snapToGrid w:val="0"/>
        </w:rPr>
        <w:t>521</w:t>
      </w:r>
      <w:r>
        <w:rPr>
          <w:rStyle w:val="FootnoteReference"/>
          <w:rFonts w:asciiTheme="minorHAnsi" w:hAnsiTheme="minorHAnsi"/>
          <w:snapToGrid w:val="0"/>
        </w:rPr>
        <w:footnoteReference w:id="12"/>
      </w:r>
      <w:r w:rsidRPr="00E22309">
        <w:rPr>
          <w:rFonts w:asciiTheme="minorHAnsi" w:hAnsiTheme="minorHAnsi"/>
          <w:snapToGrid w:val="0"/>
        </w:rPr>
        <w:t>; FCD subgroup n=</w:t>
      </w:r>
      <w:r>
        <w:rPr>
          <w:rFonts w:asciiTheme="minorHAnsi" w:hAnsiTheme="minorHAnsi"/>
          <w:snapToGrid w:val="0"/>
        </w:rPr>
        <w:t>7</w:t>
      </w:r>
      <w:r w:rsidRPr="00E22309">
        <w:rPr>
          <w:rFonts w:asciiTheme="minorHAnsi" w:hAnsiTheme="minorHAnsi"/>
          <w:snapToGrid w:val="0"/>
        </w:rPr>
        <w:t>7).</w:t>
      </w:r>
    </w:p>
    <w:p w14:paraId="50FAB93D" w14:textId="77777777" w:rsidR="00620C4B" w:rsidRPr="00E22309" w:rsidRDefault="00620C4B" w:rsidP="00EB69AD">
      <w:pPr>
        <w:numPr>
          <w:ilvl w:val="1"/>
          <w:numId w:val="9"/>
        </w:numPr>
        <w:spacing w:after="120"/>
        <w:jc w:val="left"/>
        <w:rPr>
          <w:rFonts w:asciiTheme="minorHAnsi" w:hAnsiTheme="minorHAnsi"/>
          <w:snapToGrid w:val="0"/>
        </w:rPr>
      </w:pPr>
      <w:r w:rsidRPr="00E22309">
        <w:rPr>
          <w:rFonts w:asciiTheme="minorHAnsi" w:hAnsiTheme="minorHAnsi"/>
          <w:snapToGrid w:val="0"/>
        </w:rPr>
        <w:t>Ustekinumab:</w:t>
      </w:r>
    </w:p>
    <w:p w14:paraId="3DA13446" w14:textId="62AA7316" w:rsidR="00620C4B" w:rsidRPr="003F385E" w:rsidRDefault="00620C4B" w:rsidP="00EB69AD">
      <w:pPr>
        <w:numPr>
          <w:ilvl w:val="2"/>
          <w:numId w:val="9"/>
        </w:numPr>
        <w:spacing w:after="120"/>
        <w:jc w:val="left"/>
        <w:rPr>
          <w:rFonts w:asciiTheme="minorHAnsi" w:hAnsiTheme="minorHAnsi"/>
          <w:snapToGrid w:val="0"/>
        </w:rPr>
      </w:pPr>
      <w:r w:rsidRPr="00E22309">
        <w:rPr>
          <w:rFonts w:asciiTheme="minorHAnsi" w:hAnsiTheme="minorHAnsi"/>
          <w:snapToGrid w:val="0"/>
        </w:rPr>
        <w:t xml:space="preserve"> IM</w:t>
      </w:r>
      <w:r w:rsidR="00FC7500">
        <w:rPr>
          <w:rFonts w:asciiTheme="minorHAnsi" w:hAnsiTheme="minorHAnsi"/>
          <w:snapToGrid w:val="0"/>
        </w:rPr>
        <w:noBreakHyphen/>
      </w:r>
      <w:r w:rsidRPr="00E22309">
        <w:rPr>
          <w:rFonts w:asciiTheme="minorHAnsi" w:hAnsiTheme="minorHAnsi"/>
          <w:snapToGrid w:val="0"/>
        </w:rPr>
        <w:t xml:space="preserve">UNITI (N=397; FCD </w:t>
      </w:r>
      <w:r>
        <w:rPr>
          <w:rFonts w:asciiTheme="minorHAnsi" w:hAnsiTheme="minorHAnsi"/>
          <w:snapToGrid w:val="0"/>
        </w:rPr>
        <w:t xml:space="preserve">at baseline </w:t>
      </w:r>
      <w:r w:rsidRPr="00E22309">
        <w:rPr>
          <w:rFonts w:asciiTheme="minorHAnsi" w:hAnsiTheme="minorHAnsi"/>
          <w:snapToGrid w:val="0"/>
        </w:rPr>
        <w:t>n=</w:t>
      </w:r>
      <w:r>
        <w:rPr>
          <w:rFonts w:asciiTheme="minorHAnsi" w:hAnsiTheme="minorHAnsi"/>
          <w:snapToGrid w:val="0"/>
        </w:rPr>
        <w:t>59</w:t>
      </w:r>
      <w:r>
        <w:rPr>
          <w:rStyle w:val="FootnoteReference"/>
          <w:rFonts w:asciiTheme="minorHAnsi" w:hAnsiTheme="minorHAnsi"/>
          <w:snapToGrid w:val="0"/>
        </w:rPr>
        <w:footnoteReference w:id="13"/>
      </w:r>
      <w:r>
        <w:rPr>
          <w:rFonts w:asciiTheme="minorHAnsi" w:hAnsiTheme="minorHAnsi"/>
          <w:snapToGrid w:val="0"/>
        </w:rPr>
        <w:t>)</w:t>
      </w:r>
      <w:r w:rsidRPr="00E22309">
        <w:rPr>
          <w:rFonts w:asciiTheme="minorHAnsi" w:hAnsiTheme="minorHAnsi"/>
          <w:snapToGrid w:val="0"/>
        </w:rPr>
        <w:t>.</w:t>
      </w:r>
    </w:p>
    <w:bookmarkEnd w:id="34"/>
    <w:p w14:paraId="6C5F3679" w14:textId="746E5DE3" w:rsidR="00620C4B" w:rsidRPr="006628C4" w:rsidRDefault="00620C4B" w:rsidP="00620C4B">
      <w:pPr>
        <w:pStyle w:val="3-BodyText"/>
      </w:pPr>
      <w:r w:rsidRPr="006628C4">
        <w:t>The submission also identified 2 published ad</w:t>
      </w:r>
      <w:r w:rsidR="00FC7500">
        <w:noBreakHyphen/>
      </w:r>
      <w:r w:rsidRPr="006628C4">
        <w:t>hoc analyses of trials evaluating upadacitinib vs placebo for the FCD subgroup:</w:t>
      </w:r>
    </w:p>
    <w:p w14:paraId="1BB9A005" w14:textId="70CDA82D" w:rsidR="00620C4B" w:rsidRPr="006628C4" w:rsidRDefault="00620C4B" w:rsidP="00EB69AD">
      <w:pPr>
        <w:numPr>
          <w:ilvl w:val="0"/>
          <w:numId w:val="9"/>
        </w:numPr>
        <w:shd w:val="clear" w:color="auto" w:fill="FFFFFF" w:themeFill="background1"/>
        <w:spacing w:after="120"/>
        <w:jc w:val="left"/>
      </w:pPr>
      <w:r w:rsidRPr="006628C4">
        <w:lastRenderedPageBreak/>
        <w:t>Colombel et al., 2025 included patients with any fistula at baseline. This publication was a post</w:t>
      </w:r>
      <w:r w:rsidR="00FC7500">
        <w:noBreakHyphen/>
      </w:r>
      <w:r w:rsidRPr="006628C4">
        <w:t>hoc pooled analysis of the upadacitinib U</w:t>
      </w:r>
      <w:r w:rsidR="00FC7500">
        <w:noBreakHyphen/>
      </w:r>
      <w:r w:rsidRPr="006628C4">
        <w:t>EXCEED/U</w:t>
      </w:r>
      <w:r w:rsidR="00FC7500">
        <w:noBreakHyphen/>
      </w:r>
      <w:r w:rsidRPr="006628C4">
        <w:t>EXCEL trials and was relied upon to support the efficacy clinical claim.</w:t>
      </w:r>
    </w:p>
    <w:p w14:paraId="3B3C8E33" w14:textId="19F80F88" w:rsidR="00620C4B" w:rsidRPr="006628C4" w:rsidRDefault="00620C4B" w:rsidP="00EB69AD">
      <w:pPr>
        <w:numPr>
          <w:ilvl w:val="0"/>
          <w:numId w:val="9"/>
        </w:numPr>
        <w:shd w:val="clear" w:color="auto" w:fill="FFFFFF" w:themeFill="background1"/>
        <w:spacing w:after="120"/>
        <w:jc w:val="left"/>
      </w:pPr>
      <w:r w:rsidRPr="006628C4">
        <w:t>Colombel et al., 2023 included patients with draining fistula at baseline. The conference abstract presented a pooled, post</w:t>
      </w:r>
      <w:r w:rsidR="00FC7500">
        <w:noBreakHyphen/>
      </w:r>
      <w:r w:rsidRPr="006628C4">
        <w:t>hoc analysis and was relied upon to support the safety clinical claim.</w:t>
      </w:r>
    </w:p>
    <w:p w14:paraId="588DDCF8" w14:textId="1B57ACA0" w:rsidR="001B0F7C" w:rsidRDefault="00620C4B" w:rsidP="001B0F7C">
      <w:pPr>
        <w:pStyle w:val="3-BodyText"/>
      </w:pPr>
      <w:r w:rsidRPr="006628C4">
        <w:t xml:space="preserve">Details of the trials presented in the submission are provided in </w:t>
      </w:r>
      <w:r w:rsidRPr="006628C4">
        <w:fldChar w:fldCharType="begin"/>
      </w:r>
      <w:r w:rsidRPr="006628C4">
        <w:instrText xml:space="preserve"> REF _Ref216540837 \h </w:instrText>
      </w:r>
      <w:r w:rsidR="006628C4" w:rsidRPr="006628C4">
        <w:instrText xml:space="preserve"> \* MERGEFORMAT </w:instrText>
      </w:r>
      <w:r w:rsidRPr="006628C4">
        <w:fldChar w:fldCharType="separate"/>
      </w:r>
      <w:r w:rsidRPr="006628C4">
        <w:t xml:space="preserve">Table </w:t>
      </w:r>
      <w:r w:rsidRPr="006628C4">
        <w:rPr>
          <w:noProof/>
        </w:rPr>
        <w:t>2</w:t>
      </w:r>
      <w:r w:rsidRPr="006628C4">
        <w:fldChar w:fldCharType="end"/>
      </w:r>
      <w:r>
        <w:t>.</w:t>
      </w:r>
    </w:p>
    <w:p w14:paraId="22637133" w14:textId="0688E48F" w:rsidR="00620C4B" w:rsidRDefault="00620C4B" w:rsidP="00620C4B">
      <w:pPr>
        <w:pStyle w:val="Caption"/>
        <w:rPr>
          <w:rStyle w:val="CommentReference"/>
          <w:b/>
          <w:szCs w:val="24"/>
        </w:rPr>
      </w:pPr>
      <w:bookmarkStart w:id="43" w:name="_Ref216540837"/>
      <w:r>
        <w:t xml:space="preserve">Table </w:t>
      </w:r>
      <w:fldSimple w:instr=" SEQ Table \* ARABIC ">
        <w:r w:rsidR="000C3F10">
          <w:rPr>
            <w:noProof/>
          </w:rPr>
          <w:t>2</w:t>
        </w:r>
      </w:fldSimple>
      <w:bookmarkEnd w:id="43"/>
      <w:r w:rsidRPr="0098262F">
        <w:t>:</w:t>
      </w:r>
      <w:r w:rsidRPr="0098262F">
        <w:rPr>
          <w:rStyle w:val="CommentReference"/>
          <w:b/>
          <w:szCs w:val="24"/>
        </w:rPr>
        <w:t xml:space="preserve"> Trials and associated reports presented in the submission</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48"/>
        <w:gridCol w:w="5414"/>
        <w:gridCol w:w="2155"/>
      </w:tblGrid>
      <w:tr w:rsidR="005E5979" w:rsidRPr="0098262F" w14:paraId="44DE5011" w14:textId="77777777">
        <w:trPr>
          <w:tblHeader/>
          <w:jc w:val="center"/>
        </w:trPr>
        <w:tc>
          <w:tcPr>
            <w:tcW w:w="803" w:type="pct"/>
            <w:vAlign w:val="center"/>
          </w:tcPr>
          <w:p w14:paraId="5BFA6647" w14:textId="77777777" w:rsidR="00620C4B" w:rsidRPr="0098262F" w:rsidRDefault="00620C4B">
            <w:pPr>
              <w:pStyle w:val="In-tableHeading"/>
              <w:jc w:val="center"/>
              <w:rPr>
                <w:lang w:val="en-AU"/>
              </w:rPr>
            </w:pPr>
            <w:r w:rsidRPr="0098262F">
              <w:rPr>
                <w:lang w:val="en-AU"/>
              </w:rPr>
              <w:t>Trial ID</w:t>
            </w:r>
          </w:p>
        </w:tc>
        <w:tc>
          <w:tcPr>
            <w:tcW w:w="3002" w:type="pct"/>
            <w:vAlign w:val="center"/>
          </w:tcPr>
          <w:p w14:paraId="303286D6" w14:textId="77777777" w:rsidR="00620C4B" w:rsidRPr="0098262F" w:rsidRDefault="00620C4B">
            <w:pPr>
              <w:pStyle w:val="In-tableHeading"/>
              <w:jc w:val="center"/>
              <w:rPr>
                <w:lang w:val="en-AU"/>
              </w:rPr>
            </w:pPr>
            <w:r w:rsidRPr="0098262F">
              <w:rPr>
                <w:lang w:val="en-AU"/>
              </w:rPr>
              <w:t>Protocol title/ Publication title</w:t>
            </w:r>
          </w:p>
        </w:tc>
        <w:tc>
          <w:tcPr>
            <w:tcW w:w="1195" w:type="pct"/>
            <w:vAlign w:val="center"/>
          </w:tcPr>
          <w:p w14:paraId="1D6B9FCD" w14:textId="77777777" w:rsidR="00620C4B" w:rsidRPr="0098262F" w:rsidRDefault="00620C4B">
            <w:pPr>
              <w:pStyle w:val="In-tableHeading"/>
              <w:jc w:val="center"/>
              <w:rPr>
                <w:lang w:val="en-AU"/>
              </w:rPr>
            </w:pPr>
            <w:r w:rsidRPr="0098262F">
              <w:rPr>
                <w:lang w:val="en-AU"/>
              </w:rPr>
              <w:t>Publication citation</w:t>
            </w:r>
          </w:p>
        </w:tc>
      </w:tr>
      <w:tr w:rsidR="00620C4B" w:rsidRPr="0098262F" w14:paraId="1CD0A458" w14:textId="77777777">
        <w:trPr>
          <w:jc w:val="center"/>
        </w:trPr>
        <w:tc>
          <w:tcPr>
            <w:tcW w:w="5000" w:type="pct"/>
            <w:gridSpan w:val="3"/>
            <w:vAlign w:val="center"/>
          </w:tcPr>
          <w:p w14:paraId="1FB278CA" w14:textId="77777777" w:rsidR="00620C4B" w:rsidRPr="00A43ACC" w:rsidRDefault="00620C4B">
            <w:pPr>
              <w:pStyle w:val="TableText0"/>
              <w:rPr>
                <w:b/>
                <w:bCs w:val="0"/>
                <w:szCs w:val="18"/>
              </w:rPr>
            </w:pPr>
            <w:r w:rsidRPr="00A43ACC">
              <w:rPr>
                <w:b/>
                <w:bCs w:val="0"/>
                <w:szCs w:val="18"/>
              </w:rPr>
              <w:t xml:space="preserve">UPA vs PBO </w:t>
            </w:r>
          </w:p>
        </w:tc>
      </w:tr>
      <w:tr w:rsidR="002E16A1" w:rsidRPr="0098262F" w14:paraId="0E37945B" w14:textId="77777777" w:rsidTr="00DB54DA">
        <w:trPr>
          <w:jc w:val="center"/>
        </w:trPr>
        <w:tc>
          <w:tcPr>
            <w:tcW w:w="803" w:type="pct"/>
            <w:shd w:val="clear" w:color="auto" w:fill="DBE5F1" w:themeFill="accent1" w:themeFillTint="33"/>
            <w:vAlign w:val="center"/>
          </w:tcPr>
          <w:p w14:paraId="0B3D77F9" w14:textId="5AD11297" w:rsidR="00620C4B" w:rsidRPr="002005D2" w:rsidRDefault="00620C4B">
            <w:pPr>
              <w:pStyle w:val="TableText0"/>
            </w:pPr>
            <w:r w:rsidRPr="002005D2">
              <w:t>U</w:t>
            </w:r>
            <w:r w:rsidR="00FC7500">
              <w:noBreakHyphen/>
            </w:r>
            <w:r w:rsidRPr="002005D2">
              <w:t>EXCEED (M14</w:t>
            </w:r>
            <w:r w:rsidR="00FC7500">
              <w:noBreakHyphen/>
            </w:r>
            <w:r w:rsidRPr="002005D2">
              <w:t>431)</w:t>
            </w:r>
          </w:p>
          <w:p w14:paraId="5030412E" w14:textId="77777777" w:rsidR="00620C4B" w:rsidRPr="002005D2" w:rsidRDefault="00620C4B">
            <w:pPr>
              <w:pStyle w:val="TableText0"/>
            </w:pPr>
            <w:r w:rsidRPr="002005D2">
              <w:t>NCT03345836</w:t>
            </w:r>
          </w:p>
        </w:tc>
        <w:tc>
          <w:tcPr>
            <w:tcW w:w="3002" w:type="pct"/>
            <w:shd w:val="clear" w:color="auto" w:fill="DBE5F1" w:themeFill="accent1" w:themeFillTint="33"/>
          </w:tcPr>
          <w:p w14:paraId="6641649D" w14:textId="1F512B85" w:rsidR="00620C4B" w:rsidRPr="002005D2" w:rsidRDefault="00620C4B">
            <w:pPr>
              <w:pStyle w:val="TableText0"/>
              <w:rPr>
                <w:szCs w:val="18"/>
                <w:lang w:val="da-DK"/>
              </w:rPr>
            </w:pPr>
            <w:r w:rsidRPr="002005D2">
              <w:rPr>
                <w:rFonts w:cstheme="minorHAnsi"/>
              </w:rPr>
              <w:t>A Multicenter, Randomized, Double</w:t>
            </w:r>
            <w:r w:rsidR="00FC7500">
              <w:rPr>
                <w:rFonts w:cstheme="minorHAnsi"/>
              </w:rPr>
              <w:noBreakHyphen/>
            </w:r>
            <w:r w:rsidRPr="002005D2">
              <w:rPr>
                <w:rFonts w:cstheme="minorHAnsi"/>
              </w:rPr>
              <w:t>Blind, Placebo</w:t>
            </w:r>
            <w:r w:rsidR="00FC7500">
              <w:rPr>
                <w:rFonts w:cstheme="minorHAnsi"/>
              </w:rPr>
              <w:noBreakHyphen/>
            </w:r>
            <w:r w:rsidRPr="002005D2">
              <w:rPr>
                <w:rFonts w:cstheme="minorHAnsi"/>
              </w:rPr>
              <w:t>Controlled Induction Study of the Efficacy and Safety of Upadacitinib (ABT</w:t>
            </w:r>
            <w:r w:rsidR="00FC7500">
              <w:rPr>
                <w:rFonts w:cstheme="minorHAnsi"/>
              </w:rPr>
              <w:noBreakHyphen/>
            </w:r>
            <w:r w:rsidRPr="002005D2">
              <w:rPr>
                <w:rFonts w:cstheme="minorHAnsi"/>
              </w:rPr>
              <w:t xml:space="preserve">494) in Subjects with Moderately to Severely Active Crohn's Disease Who Have Inadequately Responded to or are Intolerant to Biologic Therapy. </w:t>
            </w:r>
          </w:p>
        </w:tc>
        <w:tc>
          <w:tcPr>
            <w:tcW w:w="1195" w:type="pct"/>
            <w:tcBorders>
              <w:top w:val="single" w:sz="4" w:space="0" w:color="auto"/>
              <w:bottom w:val="single" w:sz="4" w:space="0" w:color="auto"/>
            </w:tcBorders>
            <w:shd w:val="clear" w:color="auto" w:fill="DBE5F1" w:themeFill="accent1" w:themeFillTint="33"/>
            <w:vAlign w:val="center"/>
          </w:tcPr>
          <w:p w14:paraId="75BDD23E" w14:textId="77777777" w:rsidR="00620C4B" w:rsidRPr="002005D2" w:rsidRDefault="00620C4B">
            <w:pPr>
              <w:pStyle w:val="TableText0"/>
              <w:rPr>
                <w:szCs w:val="18"/>
              </w:rPr>
            </w:pPr>
            <w:r w:rsidRPr="002005D2">
              <w:rPr>
                <w:szCs w:val="18"/>
              </w:rPr>
              <w:t>21 March 2022</w:t>
            </w:r>
          </w:p>
        </w:tc>
      </w:tr>
      <w:tr w:rsidR="002E16A1" w:rsidRPr="0098262F" w14:paraId="4BBA7D47" w14:textId="77777777" w:rsidTr="00DB54DA">
        <w:trPr>
          <w:jc w:val="center"/>
        </w:trPr>
        <w:tc>
          <w:tcPr>
            <w:tcW w:w="803" w:type="pct"/>
            <w:shd w:val="clear" w:color="auto" w:fill="DBE5F1" w:themeFill="accent1" w:themeFillTint="33"/>
            <w:vAlign w:val="center"/>
          </w:tcPr>
          <w:p w14:paraId="0543160B" w14:textId="37544461" w:rsidR="00620C4B" w:rsidRPr="002005D2" w:rsidRDefault="00620C4B">
            <w:pPr>
              <w:pStyle w:val="TableText0"/>
            </w:pPr>
            <w:r w:rsidRPr="002005D2">
              <w:t>U</w:t>
            </w:r>
            <w:r w:rsidR="00FC7500">
              <w:noBreakHyphen/>
            </w:r>
            <w:r w:rsidRPr="002005D2">
              <w:t>EXCEL (M14</w:t>
            </w:r>
            <w:r w:rsidR="00FC7500">
              <w:noBreakHyphen/>
            </w:r>
            <w:r w:rsidRPr="002005D2">
              <w:t>433)</w:t>
            </w:r>
          </w:p>
          <w:p w14:paraId="79B15333" w14:textId="77777777" w:rsidR="00620C4B" w:rsidRPr="002005D2" w:rsidRDefault="00620C4B">
            <w:pPr>
              <w:pStyle w:val="TableText0"/>
            </w:pPr>
            <w:r w:rsidRPr="002005D2">
              <w:t>NCT03345849</w:t>
            </w:r>
          </w:p>
        </w:tc>
        <w:tc>
          <w:tcPr>
            <w:tcW w:w="3002" w:type="pct"/>
            <w:shd w:val="clear" w:color="auto" w:fill="DBE5F1" w:themeFill="accent1" w:themeFillTint="33"/>
          </w:tcPr>
          <w:p w14:paraId="22D1B601" w14:textId="3B9C83A8" w:rsidR="00620C4B" w:rsidRPr="002005D2" w:rsidRDefault="00620C4B">
            <w:pPr>
              <w:pStyle w:val="TableText0"/>
              <w:rPr>
                <w:szCs w:val="18"/>
                <w:lang w:val="da-DK"/>
              </w:rPr>
            </w:pPr>
            <w:r w:rsidRPr="002005D2">
              <w:rPr>
                <w:rFonts w:cstheme="minorHAnsi"/>
              </w:rPr>
              <w:t>A Multicenter, Randomized, Double</w:t>
            </w:r>
            <w:r w:rsidR="00FC7500">
              <w:rPr>
                <w:rFonts w:cstheme="minorHAnsi"/>
              </w:rPr>
              <w:noBreakHyphen/>
            </w:r>
            <w:r w:rsidRPr="002005D2">
              <w:rPr>
                <w:rFonts w:cstheme="minorHAnsi"/>
              </w:rPr>
              <w:t>Blind, Placebo Controlled Induction Study of the Efficacy and Safety of Upadacitinib (ABT</w:t>
            </w:r>
            <w:r w:rsidR="00FC7500">
              <w:rPr>
                <w:rFonts w:cstheme="minorHAnsi"/>
              </w:rPr>
              <w:noBreakHyphen/>
            </w:r>
            <w:r w:rsidRPr="002005D2">
              <w:rPr>
                <w:rFonts w:cstheme="minorHAnsi"/>
              </w:rPr>
              <w:t xml:space="preserve">494) in Subjects with Moderately to Severely Active Crohn's Disease Who Have Inadequately Responded to or are Intolerant to Conventional and/or Biologic Therapies. </w:t>
            </w:r>
          </w:p>
        </w:tc>
        <w:tc>
          <w:tcPr>
            <w:tcW w:w="1195" w:type="pct"/>
            <w:tcBorders>
              <w:top w:val="single" w:sz="4" w:space="0" w:color="auto"/>
              <w:bottom w:val="single" w:sz="4" w:space="0" w:color="auto"/>
            </w:tcBorders>
            <w:shd w:val="clear" w:color="auto" w:fill="DBE5F1" w:themeFill="accent1" w:themeFillTint="33"/>
            <w:vAlign w:val="center"/>
          </w:tcPr>
          <w:p w14:paraId="623FFC2F" w14:textId="77777777" w:rsidR="00620C4B" w:rsidRPr="002005D2" w:rsidRDefault="00620C4B">
            <w:pPr>
              <w:pStyle w:val="TableText0"/>
              <w:rPr>
                <w:szCs w:val="18"/>
              </w:rPr>
            </w:pPr>
            <w:r w:rsidRPr="002005D2">
              <w:rPr>
                <w:szCs w:val="18"/>
              </w:rPr>
              <w:t>23 May 2022</w:t>
            </w:r>
          </w:p>
        </w:tc>
      </w:tr>
      <w:tr w:rsidR="002E16A1" w:rsidRPr="0098262F" w14:paraId="36D77533" w14:textId="77777777" w:rsidTr="00DB54DA">
        <w:trPr>
          <w:jc w:val="center"/>
        </w:trPr>
        <w:tc>
          <w:tcPr>
            <w:tcW w:w="803" w:type="pct"/>
            <w:shd w:val="clear" w:color="auto" w:fill="DBE5F1" w:themeFill="accent1" w:themeFillTint="33"/>
            <w:vAlign w:val="center"/>
          </w:tcPr>
          <w:p w14:paraId="4C64DD57" w14:textId="0C8CA727" w:rsidR="00620C4B" w:rsidRPr="002005D2" w:rsidRDefault="00620C4B">
            <w:pPr>
              <w:pStyle w:val="TableText0"/>
            </w:pPr>
            <w:r w:rsidRPr="002005D2">
              <w:t>U</w:t>
            </w:r>
            <w:r w:rsidR="00FC7500">
              <w:noBreakHyphen/>
            </w:r>
            <w:r w:rsidRPr="002005D2">
              <w:t>ENDURE (M14</w:t>
            </w:r>
            <w:r w:rsidR="00FC7500">
              <w:noBreakHyphen/>
            </w:r>
            <w:r w:rsidRPr="002005D2">
              <w:t>430)</w:t>
            </w:r>
          </w:p>
          <w:p w14:paraId="548C368F" w14:textId="77777777" w:rsidR="00620C4B" w:rsidRPr="002005D2" w:rsidRDefault="00620C4B">
            <w:pPr>
              <w:pStyle w:val="TableText0"/>
            </w:pPr>
            <w:r w:rsidRPr="002005D2">
              <w:t>NCT03345823</w:t>
            </w:r>
          </w:p>
        </w:tc>
        <w:tc>
          <w:tcPr>
            <w:tcW w:w="3002" w:type="pct"/>
            <w:shd w:val="clear" w:color="auto" w:fill="DBE5F1" w:themeFill="accent1" w:themeFillTint="33"/>
          </w:tcPr>
          <w:p w14:paraId="2215F1A1" w14:textId="39B80464" w:rsidR="00620C4B" w:rsidRPr="002005D2" w:rsidRDefault="00620C4B">
            <w:pPr>
              <w:pStyle w:val="TableText0"/>
              <w:rPr>
                <w:szCs w:val="18"/>
                <w:lang w:val="da-DK"/>
              </w:rPr>
            </w:pPr>
            <w:r w:rsidRPr="002005D2">
              <w:rPr>
                <w:rFonts w:cstheme="minorHAnsi"/>
              </w:rPr>
              <w:t>A Multicenter, Randomized, Double</w:t>
            </w:r>
            <w:r w:rsidR="00FC7500">
              <w:rPr>
                <w:rFonts w:cstheme="minorHAnsi"/>
              </w:rPr>
              <w:noBreakHyphen/>
            </w:r>
            <w:r w:rsidRPr="002005D2">
              <w:rPr>
                <w:rFonts w:cstheme="minorHAnsi"/>
              </w:rPr>
              <w:t>Blind, Placebo</w:t>
            </w:r>
            <w:r w:rsidR="00FC7500">
              <w:rPr>
                <w:rFonts w:cstheme="minorHAnsi"/>
              </w:rPr>
              <w:noBreakHyphen/>
            </w:r>
            <w:r w:rsidRPr="002005D2">
              <w:rPr>
                <w:rFonts w:cstheme="minorHAnsi"/>
              </w:rPr>
              <w:t>Controlled Maintenance and Long</w:t>
            </w:r>
            <w:r w:rsidR="00FC7500">
              <w:rPr>
                <w:rFonts w:cstheme="minorHAnsi"/>
              </w:rPr>
              <w:noBreakHyphen/>
            </w:r>
            <w:r w:rsidRPr="002005D2">
              <w:rPr>
                <w:rFonts w:cstheme="minorHAnsi"/>
              </w:rPr>
              <w:t>Term Extension Study of the Efficacy and Safety of Upadacitinib (ABT</w:t>
            </w:r>
            <w:r w:rsidR="00FC7500">
              <w:rPr>
                <w:rFonts w:cstheme="minorHAnsi"/>
              </w:rPr>
              <w:noBreakHyphen/>
            </w:r>
            <w:r w:rsidRPr="002005D2">
              <w:rPr>
                <w:rFonts w:cstheme="minorHAnsi"/>
              </w:rPr>
              <w:t>494) in Subjects with Crohn's Disease Who Completed the Studies M14</w:t>
            </w:r>
            <w:r w:rsidR="00FC7500">
              <w:rPr>
                <w:rFonts w:cstheme="minorHAnsi"/>
              </w:rPr>
              <w:noBreakHyphen/>
            </w:r>
            <w:r w:rsidRPr="002005D2">
              <w:rPr>
                <w:rFonts w:cstheme="minorHAnsi"/>
              </w:rPr>
              <w:t>431 or M14</w:t>
            </w:r>
            <w:r w:rsidR="00FC7500">
              <w:rPr>
                <w:rFonts w:cstheme="minorHAnsi"/>
              </w:rPr>
              <w:noBreakHyphen/>
            </w:r>
            <w:r w:rsidRPr="002005D2">
              <w:rPr>
                <w:rFonts w:cstheme="minorHAnsi"/>
              </w:rPr>
              <w:t xml:space="preserve">433. </w:t>
            </w:r>
          </w:p>
        </w:tc>
        <w:tc>
          <w:tcPr>
            <w:tcW w:w="1195" w:type="pct"/>
            <w:tcBorders>
              <w:top w:val="single" w:sz="4" w:space="0" w:color="auto"/>
              <w:bottom w:val="single" w:sz="4" w:space="0" w:color="auto"/>
            </w:tcBorders>
            <w:shd w:val="clear" w:color="auto" w:fill="DBE5F1" w:themeFill="accent1" w:themeFillTint="33"/>
            <w:vAlign w:val="center"/>
          </w:tcPr>
          <w:p w14:paraId="3EE3739F" w14:textId="77777777" w:rsidR="00620C4B" w:rsidRPr="002005D2" w:rsidRDefault="00620C4B">
            <w:pPr>
              <w:pStyle w:val="TableText0"/>
              <w:rPr>
                <w:szCs w:val="18"/>
              </w:rPr>
            </w:pPr>
            <w:r w:rsidRPr="002005D2">
              <w:rPr>
                <w:szCs w:val="18"/>
              </w:rPr>
              <w:t>27 June 2022</w:t>
            </w:r>
          </w:p>
        </w:tc>
      </w:tr>
      <w:tr w:rsidR="00620C4B" w:rsidRPr="0098262F" w14:paraId="692E1AE9" w14:textId="77777777">
        <w:trPr>
          <w:jc w:val="center"/>
        </w:trPr>
        <w:tc>
          <w:tcPr>
            <w:tcW w:w="5000" w:type="pct"/>
            <w:gridSpan w:val="3"/>
            <w:vAlign w:val="center"/>
          </w:tcPr>
          <w:p w14:paraId="02B80896" w14:textId="77777777" w:rsidR="00620C4B" w:rsidRPr="00A43ACC" w:rsidRDefault="00620C4B">
            <w:pPr>
              <w:pStyle w:val="TableText0"/>
              <w:rPr>
                <w:b/>
                <w:bCs w:val="0"/>
                <w:szCs w:val="18"/>
              </w:rPr>
            </w:pPr>
            <w:r w:rsidRPr="00A43ACC">
              <w:rPr>
                <w:b/>
                <w:bCs w:val="0"/>
                <w:szCs w:val="18"/>
              </w:rPr>
              <w:t xml:space="preserve">UPA Post Hoc </w:t>
            </w:r>
          </w:p>
        </w:tc>
      </w:tr>
      <w:tr w:rsidR="00732B27" w:rsidRPr="0098262F" w14:paraId="1A99D9AD" w14:textId="77777777">
        <w:trPr>
          <w:jc w:val="center"/>
        </w:trPr>
        <w:tc>
          <w:tcPr>
            <w:tcW w:w="803" w:type="pct"/>
            <w:vMerge w:val="restart"/>
            <w:vAlign w:val="center"/>
          </w:tcPr>
          <w:p w14:paraId="28CB543C" w14:textId="77777777" w:rsidR="00620C4B" w:rsidRPr="00F5331F" w:rsidRDefault="00620C4B">
            <w:pPr>
              <w:pStyle w:val="TableText0"/>
            </w:pPr>
            <w:r w:rsidRPr="00F5331F">
              <w:t>Post Hoc Analysis</w:t>
            </w:r>
          </w:p>
          <w:p w14:paraId="1B6B4862" w14:textId="3B7015A2" w:rsidR="00620C4B" w:rsidRPr="00F5331F" w:rsidRDefault="00620C4B">
            <w:pPr>
              <w:pStyle w:val="TableText0"/>
            </w:pPr>
            <w:r w:rsidRPr="00F5331F">
              <w:t>(U</w:t>
            </w:r>
            <w:r w:rsidR="00FC7500">
              <w:noBreakHyphen/>
            </w:r>
            <w:r w:rsidRPr="00F5331F">
              <w:t>EXCEED, U</w:t>
            </w:r>
            <w:r w:rsidR="00FC7500">
              <w:noBreakHyphen/>
            </w:r>
            <w:r w:rsidRPr="00F5331F">
              <w:t>EXCEL, U</w:t>
            </w:r>
            <w:r w:rsidR="00FC7500">
              <w:noBreakHyphen/>
            </w:r>
            <w:r w:rsidRPr="00F5331F">
              <w:t>ENDURE)</w:t>
            </w:r>
          </w:p>
        </w:tc>
        <w:tc>
          <w:tcPr>
            <w:tcW w:w="3002" w:type="pct"/>
          </w:tcPr>
          <w:p w14:paraId="7DC48F1F" w14:textId="77777777" w:rsidR="00620C4B" w:rsidRPr="00F5331F" w:rsidRDefault="00620C4B">
            <w:pPr>
              <w:pStyle w:val="TableText0"/>
              <w:rPr>
                <w:szCs w:val="18"/>
                <w:lang w:val="da-DK"/>
              </w:rPr>
            </w:pPr>
            <w:r w:rsidRPr="00F5331F">
              <w:rPr>
                <w:rFonts w:cstheme="minorHAnsi"/>
              </w:rPr>
              <w:t>Colombel et al. Efficacy and Safety of Upadacitinib for Perianal Fistulizing Crohn’s Disease: A Post Hoc Analysis of 3 Phase 3 Trials; Clinical gastroenterology and hepatology: the official clinical practice journal of the American Gastroenterological Association</w:t>
            </w:r>
            <w:r>
              <w:rPr>
                <w:rFonts w:cstheme="minorHAnsi"/>
              </w:rPr>
              <w:t xml:space="preserve">. </w:t>
            </w:r>
          </w:p>
        </w:tc>
        <w:tc>
          <w:tcPr>
            <w:tcW w:w="1195" w:type="pct"/>
            <w:tcBorders>
              <w:top w:val="single" w:sz="4" w:space="0" w:color="auto"/>
              <w:bottom w:val="single" w:sz="4" w:space="0" w:color="auto"/>
            </w:tcBorders>
            <w:vAlign w:val="center"/>
          </w:tcPr>
          <w:p w14:paraId="78B388F3" w14:textId="77777777" w:rsidR="00620C4B" w:rsidRPr="00F5331F" w:rsidRDefault="00620C4B">
            <w:pPr>
              <w:pStyle w:val="TableText0"/>
              <w:rPr>
                <w:szCs w:val="18"/>
              </w:rPr>
            </w:pPr>
            <w:r w:rsidRPr="00F5331F">
              <w:rPr>
                <w:i/>
                <w:iCs/>
                <w:szCs w:val="18"/>
              </w:rPr>
              <w:t>American Gastroenterological Association</w:t>
            </w:r>
            <w:r>
              <w:rPr>
                <w:i/>
                <w:iCs/>
                <w:szCs w:val="18"/>
              </w:rPr>
              <w:t xml:space="preserve"> </w:t>
            </w:r>
            <w:r w:rsidRPr="00D30221">
              <w:rPr>
                <w:szCs w:val="18"/>
              </w:rPr>
              <w:t>2025</w:t>
            </w:r>
            <w:r>
              <w:rPr>
                <w:szCs w:val="18"/>
              </w:rPr>
              <w:t xml:space="preserve">; </w:t>
            </w:r>
            <w:r w:rsidRPr="00D30221">
              <w:rPr>
                <w:szCs w:val="18"/>
              </w:rPr>
              <w:t>23(6)</w:t>
            </w:r>
            <w:r>
              <w:rPr>
                <w:szCs w:val="18"/>
              </w:rPr>
              <w:t>:</w:t>
            </w:r>
            <w:r w:rsidRPr="00D30221">
              <w:rPr>
                <w:szCs w:val="18"/>
              </w:rPr>
              <w:t xml:space="preserve"> 1019–1029</w:t>
            </w:r>
          </w:p>
        </w:tc>
      </w:tr>
      <w:tr w:rsidR="00732B27" w:rsidRPr="0098262F" w14:paraId="5015B5BE" w14:textId="77777777">
        <w:trPr>
          <w:jc w:val="center"/>
        </w:trPr>
        <w:tc>
          <w:tcPr>
            <w:tcW w:w="803" w:type="pct"/>
            <w:vMerge/>
          </w:tcPr>
          <w:p w14:paraId="1B407E05" w14:textId="77777777" w:rsidR="00620C4B" w:rsidRPr="00F5331F" w:rsidRDefault="00620C4B">
            <w:pPr>
              <w:pStyle w:val="TableText0"/>
            </w:pPr>
          </w:p>
        </w:tc>
        <w:tc>
          <w:tcPr>
            <w:tcW w:w="3002" w:type="pct"/>
          </w:tcPr>
          <w:p w14:paraId="142F33D3" w14:textId="77777777" w:rsidR="00620C4B" w:rsidRPr="00F5331F" w:rsidRDefault="00620C4B">
            <w:pPr>
              <w:pStyle w:val="TableText0"/>
              <w:rPr>
                <w:szCs w:val="18"/>
                <w:lang w:val="da-DK"/>
              </w:rPr>
            </w:pPr>
            <w:r w:rsidRPr="00F5331F">
              <w:rPr>
                <w:rFonts w:cstheme="minorHAnsi"/>
              </w:rPr>
              <w:t xml:space="preserve">Colombel et al. 2023; P491 – Efficacy and Safety of Upadacitinib for the Treatment of Fistulas and Fissures in Patients with Crohn’s Disease </w:t>
            </w:r>
          </w:p>
        </w:tc>
        <w:tc>
          <w:tcPr>
            <w:tcW w:w="1195" w:type="pct"/>
            <w:tcBorders>
              <w:top w:val="single" w:sz="4" w:space="0" w:color="auto"/>
              <w:bottom w:val="single" w:sz="4" w:space="0" w:color="auto"/>
            </w:tcBorders>
            <w:vAlign w:val="center"/>
          </w:tcPr>
          <w:p w14:paraId="71E3ED5B" w14:textId="77777777" w:rsidR="00620C4B" w:rsidRPr="00F5331F" w:rsidRDefault="00620C4B">
            <w:pPr>
              <w:pStyle w:val="TableText0"/>
              <w:rPr>
                <w:szCs w:val="18"/>
              </w:rPr>
            </w:pPr>
            <w:r w:rsidRPr="00F5331F">
              <w:rPr>
                <w:i/>
                <w:iCs/>
                <w:szCs w:val="18"/>
              </w:rPr>
              <w:t>Journal of Crohn's and Colitis</w:t>
            </w:r>
            <w:r>
              <w:rPr>
                <w:i/>
                <w:iCs/>
                <w:szCs w:val="18"/>
              </w:rPr>
              <w:t xml:space="preserve"> </w:t>
            </w:r>
            <w:r>
              <w:rPr>
                <w:szCs w:val="18"/>
              </w:rPr>
              <w:t xml:space="preserve">2023; </w:t>
            </w:r>
            <w:r w:rsidRPr="00F5331F">
              <w:rPr>
                <w:szCs w:val="18"/>
              </w:rPr>
              <w:t>17</w:t>
            </w:r>
            <w:r>
              <w:rPr>
                <w:szCs w:val="18"/>
              </w:rPr>
              <w:t>(</w:t>
            </w:r>
            <w:r w:rsidRPr="00F5331F">
              <w:rPr>
                <w:szCs w:val="18"/>
              </w:rPr>
              <w:t>S1</w:t>
            </w:r>
            <w:r>
              <w:rPr>
                <w:szCs w:val="18"/>
              </w:rPr>
              <w:t>):</w:t>
            </w:r>
            <w:r w:rsidRPr="00F5331F">
              <w:rPr>
                <w:szCs w:val="18"/>
              </w:rPr>
              <w:t xml:space="preserve"> i620–i623</w:t>
            </w:r>
          </w:p>
        </w:tc>
      </w:tr>
      <w:tr w:rsidR="00620C4B" w:rsidRPr="0098262F" w14:paraId="0DF1D7FF" w14:textId="77777777" w:rsidTr="006704D9">
        <w:trPr>
          <w:jc w:val="center"/>
        </w:trPr>
        <w:tc>
          <w:tcPr>
            <w:tcW w:w="5000" w:type="pct"/>
            <w:gridSpan w:val="3"/>
            <w:shd w:val="clear" w:color="auto" w:fill="DBE5F1" w:themeFill="accent1" w:themeFillTint="33"/>
            <w:vAlign w:val="center"/>
          </w:tcPr>
          <w:p w14:paraId="6BEA1343" w14:textId="77777777" w:rsidR="00620C4B" w:rsidRPr="00A43ACC" w:rsidRDefault="00620C4B">
            <w:pPr>
              <w:pStyle w:val="TableText0"/>
              <w:rPr>
                <w:b/>
                <w:bCs w:val="0"/>
                <w:szCs w:val="18"/>
              </w:rPr>
            </w:pPr>
            <w:r w:rsidRPr="00A43ACC">
              <w:rPr>
                <w:b/>
                <w:bCs w:val="0"/>
                <w:szCs w:val="18"/>
              </w:rPr>
              <w:t xml:space="preserve">IFX vs PBO </w:t>
            </w:r>
          </w:p>
        </w:tc>
      </w:tr>
      <w:tr w:rsidR="002E16A1" w:rsidRPr="0098262F" w14:paraId="0C432DD6" w14:textId="77777777" w:rsidTr="006704D9">
        <w:trPr>
          <w:jc w:val="center"/>
        </w:trPr>
        <w:tc>
          <w:tcPr>
            <w:tcW w:w="803" w:type="pct"/>
            <w:shd w:val="clear" w:color="auto" w:fill="DBE5F1" w:themeFill="accent1" w:themeFillTint="33"/>
            <w:vAlign w:val="center"/>
          </w:tcPr>
          <w:p w14:paraId="11F7FF6C" w14:textId="77777777" w:rsidR="00620C4B" w:rsidRPr="0098262F" w:rsidRDefault="00620C4B">
            <w:pPr>
              <w:pStyle w:val="TableText0"/>
            </w:pPr>
            <w:r>
              <w:t>T20</w:t>
            </w:r>
          </w:p>
        </w:tc>
        <w:tc>
          <w:tcPr>
            <w:tcW w:w="3002" w:type="pct"/>
            <w:shd w:val="clear" w:color="auto" w:fill="DBE5F1" w:themeFill="accent1" w:themeFillTint="33"/>
          </w:tcPr>
          <w:p w14:paraId="720E8508" w14:textId="77777777" w:rsidR="00620C4B" w:rsidRPr="00452677" w:rsidRDefault="00620C4B">
            <w:pPr>
              <w:pStyle w:val="TableText0"/>
              <w:rPr>
                <w:szCs w:val="18"/>
                <w:lang w:val="da-DK"/>
              </w:rPr>
            </w:pPr>
            <w:r w:rsidRPr="006307AB">
              <w:t>Present DH, Rutgeerts P, Targan S, et al. Infliximab for the treatment of fistulas in patients with Crohn’s disease.</w:t>
            </w:r>
            <w:r>
              <w:t xml:space="preserve"> </w:t>
            </w:r>
          </w:p>
        </w:tc>
        <w:tc>
          <w:tcPr>
            <w:tcW w:w="1195" w:type="pct"/>
            <w:tcBorders>
              <w:top w:val="single" w:sz="4" w:space="0" w:color="auto"/>
              <w:bottom w:val="single" w:sz="4" w:space="0" w:color="auto"/>
            </w:tcBorders>
            <w:shd w:val="clear" w:color="auto" w:fill="DBE5F1" w:themeFill="accent1" w:themeFillTint="33"/>
            <w:vAlign w:val="center"/>
          </w:tcPr>
          <w:p w14:paraId="321289F4" w14:textId="0EFF7F52" w:rsidR="00620C4B" w:rsidRPr="0098262F" w:rsidRDefault="00620C4B">
            <w:pPr>
              <w:pStyle w:val="TableText0"/>
              <w:rPr>
                <w:szCs w:val="18"/>
              </w:rPr>
            </w:pPr>
            <w:r w:rsidRPr="00F5331F">
              <w:rPr>
                <w:i/>
                <w:iCs/>
                <w:szCs w:val="18"/>
              </w:rPr>
              <w:t>The New England Journal of Medicine</w:t>
            </w:r>
            <w:r>
              <w:rPr>
                <w:i/>
                <w:iCs/>
                <w:szCs w:val="18"/>
              </w:rPr>
              <w:t xml:space="preserve"> </w:t>
            </w:r>
            <w:r w:rsidRPr="00F5331F">
              <w:rPr>
                <w:szCs w:val="18"/>
              </w:rPr>
              <w:t>1999;</w:t>
            </w:r>
            <w:r>
              <w:rPr>
                <w:szCs w:val="18"/>
              </w:rPr>
              <w:t xml:space="preserve"> </w:t>
            </w:r>
            <w:r w:rsidRPr="00F5331F">
              <w:rPr>
                <w:szCs w:val="18"/>
              </w:rPr>
              <w:t>340:1398</w:t>
            </w:r>
            <w:r w:rsidR="00FC7500">
              <w:rPr>
                <w:szCs w:val="18"/>
              </w:rPr>
              <w:noBreakHyphen/>
            </w:r>
            <w:r w:rsidRPr="00F5331F">
              <w:rPr>
                <w:szCs w:val="18"/>
              </w:rPr>
              <w:t>1405</w:t>
            </w:r>
          </w:p>
        </w:tc>
      </w:tr>
      <w:tr w:rsidR="002E16A1" w:rsidRPr="0098262F" w14:paraId="563D7DEF" w14:textId="77777777" w:rsidTr="006704D9">
        <w:trPr>
          <w:jc w:val="center"/>
        </w:trPr>
        <w:tc>
          <w:tcPr>
            <w:tcW w:w="803" w:type="pct"/>
            <w:shd w:val="clear" w:color="auto" w:fill="DBE5F1" w:themeFill="accent1" w:themeFillTint="33"/>
            <w:vAlign w:val="center"/>
          </w:tcPr>
          <w:p w14:paraId="08421634" w14:textId="77777777" w:rsidR="00620C4B" w:rsidRDefault="00620C4B">
            <w:pPr>
              <w:pStyle w:val="TableText0"/>
            </w:pPr>
            <w:r>
              <w:t>ACCENT II</w:t>
            </w:r>
          </w:p>
          <w:p w14:paraId="6A5A89DA" w14:textId="77777777" w:rsidR="00620C4B" w:rsidRPr="0098262F" w:rsidRDefault="00620C4B">
            <w:pPr>
              <w:pStyle w:val="TableText0"/>
            </w:pPr>
            <w:r>
              <w:t>NCT00207766</w:t>
            </w:r>
          </w:p>
        </w:tc>
        <w:tc>
          <w:tcPr>
            <w:tcW w:w="3002" w:type="pct"/>
            <w:shd w:val="clear" w:color="auto" w:fill="DBE5F1" w:themeFill="accent1" w:themeFillTint="33"/>
          </w:tcPr>
          <w:p w14:paraId="2E675C8B" w14:textId="77777777" w:rsidR="00620C4B" w:rsidRPr="00452677" w:rsidRDefault="00620C4B">
            <w:pPr>
              <w:pStyle w:val="TableText0"/>
              <w:rPr>
                <w:szCs w:val="18"/>
                <w:lang w:val="da-DK"/>
              </w:rPr>
            </w:pPr>
            <w:r w:rsidRPr="002A0192">
              <w:rPr>
                <w:lang w:val="de-DE"/>
              </w:rPr>
              <w:t xml:space="preserve">Sands BE., Anderson FH, Bernstein CN, et al. </w:t>
            </w:r>
            <w:r w:rsidRPr="005E47D0">
              <w:t>Infliximab maintenance therapy for fistulising Crohn's disease.</w:t>
            </w:r>
            <w:r>
              <w:t xml:space="preserve"> </w:t>
            </w:r>
          </w:p>
        </w:tc>
        <w:tc>
          <w:tcPr>
            <w:tcW w:w="1195" w:type="pct"/>
            <w:tcBorders>
              <w:top w:val="single" w:sz="4" w:space="0" w:color="auto"/>
              <w:bottom w:val="single" w:sz="4" w:space="0" w:color="auto"/>
            </w:tcBorders>
            <w:shd w:val="clear" w:color="auto" w:fill="DBE5F1" w:themeFill="accent1" w:themeFillTint="33"/>
            <w:vAlign w:val="center"/>
          </w:tcPr>
          <w:p w14:paraId="4E560CFF" w14:textId="546F3BD6" w:rsidR="00620C4B" w:rsidRPr="0098262F" w:rsidRDefault="00620C4B">
            <w:pPr>
              <w:pStyle w:val="TableText0"/>
              <w:rPr>
                <w:szCs w:val="18"/>
              </w:rPr>
            </w:pPr>
            <w:r w:rsidRPr="00F5331F">
              <w:rPr>
                <w:i/>
                <w:iCs/>
                <w:szCs w:val="18"/>
              </w:rPr>
              <w:t>The New England Journal of Medicine</w:t>
            </w:r>
            <w:r w:rsidRPr="00F5331F">
              <w:rPr>
                <w:szCs w:val="18"/>
              </w:rPr>
              <w:t xml:space="preserve"> 2004;</w:t>
            </w:r>
            <w:r>
              <w:rPr>
                <w:szCs w:val="18"/>
              </w:rPr>
              <w:t xml:space="preserve"> </w:t>
            </w:r>
            <w:r w:rsidRPr="00F5331F">
              <w:rPr>
                <w:szCs w:val="18"/>
              </w:rPr>
              <w:t>350(9):876</w:t>
            </w:r>
            <w:r w:rsidR="00FC7500">
              <w:rPr>
                <w:szCs w:val="18"/>
              </w:rPr>
              <w:noBreakHyphen/>
            </w:r>
            <w:r w:rsidRPr="00F5331F">
              <w:rPr>
                <w:szCs w:val="18"/>
              </w:rPr>
              <w:t>885</w:t>
            </w:r>
          </w:p>
        </w:tc>
      </w:tr>
      <w:tr w:rsidR="00620C4B" w:rsidRPr="0098262F" w14:paraId="14412B31" w14:textId="77777777" w:rsidTr="006704D9">
        <w:trPr>
          <w:jc w:val="center"/>
        </w:trPr>
        <w:tc>
          <w:tcPr>
            <w:tcW w:w="5000" w:type="pct"/>
            <w:gridSpan w:val="3"/>
            <w:shd w:val="clear" w:color="auto" w:fill="DBE5F1" w:themeFill="accent1" w:themeFillTint="33"/>
            <w:vAlign w:val="center"/>
          </w:tcPr>
          <w:p w14:paraId="101517DD" w14:textId="77777777" w:rsidR="00620C4B" w:rsidRPr="00A43ACC" w:rsidRDefault="00620C4B">
            <w:pPr>
              <w:pStyle w:val="TableText0"/>
              <w:rPr>
                <w:b/>
                <w:bCs w:val="0"/>
                <w:szCs w:val="18"/>
              </w:rPr>
            </w:pPr>
            <w:r w:rsidRPr="00A43ACC">
              <w:rPr>
                <w:b/>
                <w:bCs w:val="0"/>
                <w:szCs w:val="18"/>
              </w:rPr>
              <w:t xml:space="preserve">ADA vs PBO </w:t>
            </w:r>
          </w:p>
        </w:tc>
      </w:tr>
      <w:tr w:rsidR="002E16A1" w:rsidRPr="0098262F" w14:paraId="79B81C7E" w14:textId="77777777" w:rsidTr="006704D9">
        <w:trPr>
          <w:jc w:val="center"/>
        </w:trPr>
        <w:tc>
          <w:tcPr>
            <w:tcW w:w="803" w:type="pct"/>
            <w:shd w:val="clear" w:color="auto" w:fill="DBE5F1" w:themeFill="accent1" w:themeFillTint="33"/>
            <w:vAlign w:val="center"/>
          </w:tcPr>
          <w:p w14:paraId="2322A93B" w14:textId="1418595B" w:rsidR="00620C4B" w:rsidRDefault="00620C4B">
            <w:pPr>
              <w:pStyle w:val="TableText0"/>
            </w:pPr>
            <w:r>
              <w:t>CLASSIC</w:t>
            </w:r>
            <w:r w:rsidR="00FC7500">
              <w:noBreakHyphen/>
            </w:r>
            <w:r>
              <w:t>I</w:t>
            </w:r>
          </w:p>
          <w:p w14:paraId="03C2F948" w14:textId="77777777" w:rsidR="00620C4B" w:rsidRPr="0098262F" w:rsidRDefault="00620C4B">
            <w:pPr>
              <w:pStyle w:val="TableText0"/>
            </w:pPr>
            <w:r>
              <w:t>NCT00055523</w:t>
            </w:r>
          </w:p>
        </w:tc>
        <w:tc>
          <w:tcPr>
            <w:tcW w:w="3002" w:type="pct"/>
            <w:shd w:val="clear" w:color="auto" w:fill="DBE5F1" w:themeFill="accent1" w:themeFillTint="33"/>
          </w:tcPr>
          <w:p w14:paraId="69E1DF26" w14:textId="583B1A11" w:rsidR="00620C4B" w:rsidRPr="00452677" w:rsidRDefault="00620C4B">
            <w:pPr>
              <w:pStyle w:val="TableText0"/>
              <w:rPr>
                <w:szCs w:val="18"/>
                <w:lang w:val="da-DK"/>
              </w:rPr>
            </w:pPr>
            <w:r w:rsidRPr="002A0192">
              <w:rPr>
                <w:lang w:val="de-DE"/>
              </w:rPr>
              <w:t xml:space="preserve">Hanauer SB, Sandborn WJ, Rutgeerts P, et al. </w:t>
            </w:r>
            <w:r w:rsidRPr="00596964">
              <w:t>Human anti</w:t>
            </w:r>
            <w:r w:rsidR="00FC7500">
              <w:noBreakHyphen/>
            </w:r>
            <w:proofErr w:type="spellStart"/>
            <w:r w:rsidRPr="00596964">
              <w:t>tumor</w:t>
            </w:r>
            <w:proofErr w:type="spellEnd"/>
            <w:r w:rsidRPr="00596964">
              <w:t xml:space="preserve"> necrosis factor monoclonal antibody (adalimumab) in Crohn's disease: The CLASSIC</w:t>
            </w:r>
            <w:r w:rsidR="00FC7500">
              <w:noBreakHyphen/>
            </w:r>
            <w:r w:rsidRPr="00596964">
              <w:t>I trial.</w:t>
            </w:r>
            <w:r>
              <w:t xml:space="preserve"> </w:t>
            </w:r>
          </w:p>
        </w:tc>
        <w:tc>
          <w:tcPr>
            <w:tcW w:w="1195" w:type="pct"/>
            <w:tcBorders>
              <w:top w:val="single" w:sz="4" w:space="0" w:color="auto"/>
              <w:bottom w:val="single" w:sz="4" w:space="0" w:color="auto"/>
            </w:tcBorders>
            <w:shd w:val="clear" w:color="auto" w:fill="DBE5F1" w:themeFill="accent1" w:themeFillTint="33"/>
            <w:vAlign w:val="center"/>
          </w:tcPr>
          <w:p w14:paraId="193AA427" w14:textId="0AD27B8E" w:rsidR="00620C4B" w:rsidRPr="0098262F" w:rsidRDefault="00620C4B">
            <w:pPr>
              <w:pStyle w:val="TableText0"/>
              <w:rPr>
                <w:szCs w:val="18"/>
              </w:rPr>
            </w:pPr>
            <w:r w:rsidRPr="005521FB">
              <w:rPr>
                <w:i/>
                <w:iCs/>
                <w:szCs w:val="18"/>
              </w:rPr>
              <w:t>Gastroenterology</w:t>
            </w:r>
            <w:r w:rsidRPr="005521FB">
              <w:rPr>
                <w:szCs w:val="18"/>
              </w:rPr>
              <w:t xml:space="preserve"> 2006; 130 (2):323</w:t>
            </w:r>
            <w:r w:rsidR="00FC7500">
              <w:rPr>
                <w:szCs w:val="18"/>
              </w:rPr>
              <w:noBreakHyphen/>
            </w:r>
            <w:r w:rsidRPr="005521FB">
              <w:rPr>
                <w:szCs w:val="18"/>
              </w:rPr>
              <w:t>333.</w:t>
            </w:r>
          </w:p>
        </w:tc>
      </w:tr>
      <w:tr w:rsidR="002E16A1" w:rsidRPr="0098262F" w14:paraId="4A6D72B0" w14:textId="77777777" w:rsidTr="006704D9">
        <w:trPr>
          <w:jc w:val="center"/>
        </w:trPr>
        <w:tc>
          <w:tcPr>
            <w:tcW w:w="803" w:type="pct"/>
            <w:vMerge w:val="restart"/>
            <w:shd w:val="clear" w:color="auto" w:fill="DBE5F1" w:themeFill="accent1" w:themeFillTint="33"/>
            <w:vAlign w:val="center"/>
          </w:tcPr>
          <w:p w14:paraId="272A140C" w14:textId="77777777" w:rsidR="00620C4B" w:rsidRDefault="00620C4B">
            <w:pPr>
              <w:pStyle w:val="TableText0"/>
            </w:pPr>
            <w:r>
              <w:t>GAIN</w:t>
            </w:r>
          </w:p>
          <w:p w14:paraId="144FD705" w14:textId="77777777" w:rsidR="00620C4B" w:rsidRPr="0098262F" w:rsidRDefault="00620C4B">
            <w:pPr>
              <w:pStyle w:val="TableText0"/>
            </w:pPr>
            <w:r>
              <w:t>NCT00105300</w:t>
            </w:r>
          </w:p>
        </w:tc>
        <w:tc>
          <w:tcPr>
            <w:tcW w:w="3002" w:type="pct"/>
            <w:shd w:val="clear" w:color="auto" w:fill="DBE5F1" w:themeFill="accent1" w:themeFillTint="33"/>
          </w:tcPr>
          <w:p w14:paraId="55F8994E" w14:textId="77777777" w:rsidR="00620C4B" w:rsidRPr="00452677" w:rsidRDefault="00620C4B">
            <w:pPr>
              <w:pStyle w:val="TableText0"/>
              <w:rPr>
                <w:szCs w:val="18"/>
                <w:lang w:val="da-DK"/>
              </w:rPr>
            </w:pPr>
            <w:r w:rsidRPr="002A0192">
              <w:rPr>
                <w:lang w:val="de-DE"/>
              </w:rPr>
              <w:t xml:space="preserve">Sandborn, WJ, Rutgeerts P, Enns R, et al. </w:t>
            </w:r>
            <w:r w:rsidRPr="00EA7360">
              <w:t>Adalimumab induction therapy for Crohn disease previously treated with infliximab: A randomized trial.</w:t>
            </w:r>
            <w:r>
              <w:t xml:space="preserve"> </w:t>
            </w:r>
          </w:p>
        </w:tc>
        <w:tc>
          <w:tcPr>
            <w:tcW w:w="1195" w:type="pct"/>
            <w:tcBorders>
              <w:top w:val="single" w:sz="4" w:space="0" w:color="auto"/>
              <w:bottom w:val="single" w:sz="4" w:space="0" w:color="auto"/>
            </w:tcBorders>
            <w:shd w:val="clear" w:color="auto" w:fill="DBE5F1" w:themeFill="accent1" w:themeFillTint="33"/>
            <w:vAlign w:val="center"/>
          </w:tcPr>
          <w:p w14:paraId="3D1E31E8" w14:textId="2B6771BA" w:rsidR="00620C4B" w:rsidRPr="0098262F" w:rsidRDefault="00620C4B">
            <w:pPr>
              <w:pStyle w:val="TableText0"/>
              <w:rPr>
                <w:szCs w:val="18"/>
              </w:rPr>
            </w:pPr>
            <w:r w:rsidRPr="005521FB">
              <w:rPr>
                <w:i/>
                <w:iCs/>
                <w:szCs w:val="18"/>
              </w:rPr>
              <w:t>Annals of Internal Medicine</w:t>
            </w:r>
            <w:r w:rsidRPr="005521FB">
              <w:rPr>
                <w:szCs w:val="18"/>
              </w:rPr>
              <w:t xml:space="preserve"> 2007; 146(12):829</w:t>
            </w:r>
            <w:r w:rsidR="00FC7500">
              <w:rPr>
                <w:szCs w:val="18"/>
              </w:rPr>
              <w:noBreakHyphen/>
            </w:r>
            <w:r w:rsidRPr="005521FB">
              <w:rPr>
                <w:szCs w:val="18"/>
              </w:rPr>
              <w:t>838</w:t>
            </w:r>
          </w:p>
        </w:tc>
      </w:tr>
      <w:tr w:rsidR="002E16A1" w:rsidRPr="0098262F" w14:paraId="62973446" w14:textId="77777777" w:rsidTr="006704D9">
        <w:trPr>
          <w:jc w:val="center"/>
        </w:trPr>
        <w:tc>
          <w:tcPr>
            <w:tcW w:w="803" w:type="pct"/>
            <w:vMerge/>
            <w:shd w:val="clear" w:color="auto" w:fill="DBE5F1" w:themeFill="accent1" w:themeFillTint="33"/>
          </w:tcPr>
          <w:p w14:paraId="63D5A8DF" w14:textId="77777777" w:rsidR="00620C4B" w:rsidRPr="0098262F" w:rsidRDefault="00620C4B">
            <w:pPr>
              <w:pStyle w:val="TableText0"/>
            </w:pPr>
          </w:p>
        </w:tc>
        <w:tc>
          <w:tcPr>
            <w:tcW w:w="3002" w:type="pct"/>
            <w:shd w:val="clear" w:color="auto" w:fill="DBE5F1" w:themeFill="accent1" w:themeFillTint="33"/>
          </w:tcPr>
          <w:p w14:paraId="16BC522C" w14:textId="1686D435" w:rsidR="00620C4B" w:rsidRPr="00452677" w:rsidRDefault="00620C4B">
            <w:pPr>
              <w:pStyle w:val="TableText0"/>
              <w:rPr>
                <w:szCs w:val="18"/>
                <w:lang w:val="da-DK"/>
              </w:rPr>
            </w:pPr>
            <w:r w:rsidRPr="00771555">
              <w:t>Panaccione R, Sandborn WJ, D’Haens G, et al. Clinical benefit of long</w:t>
            </w:r>
            <w:r w:rsidR="00FC7500">
              <w:noBreakHyphen/>
            </w:r>
            <w:r w:rsidRPr="00771555">
              <w:t>term adalimumab treatment in patients with Crohn’s disease following loss of response or intolerance to infliximab: 96</w:t>
            </w:r>
            <w:r w:rsidR="00FC7500">
              <w:noBreakHyphen/>
            </w:r>
            <w:r w:rsidRPr="00771555">
              <w:t xml:space="preserve">week efficacy data from GAIN/ADHERE trials. </w:t>
            </w:r>
          </w:p>
        </w:tc>
        <w:tc>
          <w:tcPr>
            <w:tcW w:w="1195" w:type="pct"/>
            <w:tcBorders>
              <w:top w:val="single" w:sz="4" w:space="0" w:color="auto"/>
              <w:bottom w:val="single" w:sz="4" w:space="0" w:color="auto"/>
            </w:tcBorders>
            <w:shd w:val="clear" w:color="auto" w:fill="DBE5F1" w:themeFill="accent1" w:themeFillTint="33"/>
            <w:vAlign w:val="center"/>
          </w:tcPr>
          <w:p w14:paraId="51A92FAF" w14:textId="6907981A" w:rsidR="00620C4B" w:rsidRPr="0098262F" w:rsidRDefault="00620C4B">
            <w:pPr>
              <w:pStyle w:val="TableText0"/>
              <w:rPr>
                <w:szCs w:val="18"/>
              </w:rPr>
            </w:pPr>
            <w:r w:rsidRPr="005521FB">
              <w:rPr>
                <w:i/>
                <w:iCs/>
                <w:szCs w:val="18"/>
              </w:rPr>
              <w:t>J Crohns Colitis</w:t>
            </w:r>
            <w:r w:rsidRPr="005521FB">
              <w:rPr>
                <w:szCs w:val="18"/>
              </w:rPr>
              <w:t xml:space="preserve"> 2018; 12 (8):930</w:t>
            </w:r>
            <w:r w:rsidR="00FC7500">
              <w:rPr>
                <w:szCs w:val="18"/>
              </w:rPr>
              <w:noBreakHyphen/>
            </w:r>
            <w:r w:rsidRPr="005521FB">
              <w:rPr>
                <w:szCs w:val="18"/>
              </w:rPr>
              <w:t>938</w:t>
            </w:r>
          </w:p>
        </w:tc>
      </w:tr>
      <w:tr w:rsidR="002E16A1" w:rsidRPr="0098262F" w14:paraId="7B72B6D3" w14:textId="77777777" w:rsidTr="006704D9">
        <w:trPr>
          <w:jc w:val="center"/>
        </w:trPr>
        <w:tc>
          <w:tcPr>
            <w:tcW w:w="803" w:type="pct"/>
            <w:vMerge w:val="restart"/>
            <w:shd w:val="clear" w:color="auto" w:fill="DBE5F1" w:themeFill="accent1" w:themeFillTint="33"/>
            <w:vAlign w:val="center"/>
          </w:tcPr>
          <w:p w14:paraId="5DBD4A41" w14:textId="77777777" w:rsidR="00620C4B" w:rsidRDefault="00620C4B">
            <w:pPr>
              <w:pStyle w:val="TableText0"/>
            </w:pPr>
            <w:r>
              <w:t>CHARM</w:t>
            </w:r>
          </w:p>
          <w:p w14:paraId="41D67DE0" w14:textId="77777777" w:rsidR="00620C4B" w:rsidRPr="0098262F" w:rsidRDefault="00620C4B">
            <w:pPr>
              <w:pStyle w:val="TableText0"/>
            </w:pPr>
            <w:r>
              <w:t>NCT00077779</w:t>
            </w:r>
          </w:p>
        </w:tc>
        <w:tc>
          <w:tcPr>
            <w:tcW w:w="3002" w:type="pct"/>
            <w:shd w:val="clear" w:color="auto" w:fill="DBE5F1" w:themeFill="accent1" w:themeFillTint="33"/>
          </w:tcPr>
          <w:p w14:paraId="5CA7C12E" w14:textId="77777777" w:rsidR="00620C4B" w:rsidRPr="00452677" w:rsidRDefault="00620C4B">
            <w:pPr>
              <w:pStyle w:val="TableText0"/>
              <w:rPr>
                <w:szCs w:val="18"/>
                <w:lang w:val="da-DK"/>
              </w:rPr>
            </w:pPr>
            <w:r w:rsidRPr="0036439C">
              <w:t>Colombel J., Sandborn WJ, Rutgeerts P, et al. Adalimumab for maintenance of clinical response and remission in patients with Crohn's disease: The CHARM trial</w:t>
            </w:r>
            <w:r>
              <w:t xml:space="preserve">. </w:t>
            </w:r>
          </w:p>
        </w:tc>
        <w:tc>
          <w:tcPr>
            <w:tcW w:w="1195" w:type="pct"/>
            <w:tcBorders>
              <w:top w:val="single" w:sz="4" w:space="0" w:color="auto"/>
              <w:bottom w:val="single" w:sz="4" w:space="0" w:color="auto"/>
            </w:tcBorders>
            <w:shd w:val="clear" w:color="auto" w:fill="DBE5F1" w:themeFill="accent1" w:themeFillTint="33"/>
            <w:vAlign w:val="center"/>
          </w:tcPr>
          <w:p w14:paraId="2AAAF481" w14:textId="6B10CB03" w:rsidR="00620C4B" w:rsidRPr="0098262F" w:rsidRDefault="00620C4B">
            <w:pPr>
              <w:pStyle w:val="TableText0"/>
              <w:rPr>
                <w:szCs w:val="18"/>
              </w:rPr>
            </w:pPr>
            <w:r w:rsidRPr="005521FB">
              <w:rPr>
                <w:i/>
                <w:iCs/>
                <w:szCs w:val="18"/>
              </w:rPr>
              <w:t>Gastroenterology</w:t>
            </w:r>
            <w:r w:rsidRPr="005521FB">
              <w:rPr>
                <w:szCs w:val="18"/>
              </w:rPr>
              <w:t xml:space="preserve"> 2007; 132 (1):52</w:t>
            </w:r>
            <w:r w:rsidR="00FC7500">
              <w:rPr>
                <w:szCs w:val="18"/>
              </w:rPr>
              <w:noBreakHyphen/>
            </w:r>
            <w:r w:rsidRPr="005521FB">
              <w:rPr>
                <w:szCs w:val="18"/>
              </w:rPr>
              <w:t>65</w:t>
            </w:r>
          </w:p>
        </w:tc>
      </w:tr>
      <w:tr w:rsidR="002E16A1" w:rsidRPr="0098262F" w14:paraId="672F7E09" w14:textId="77777777" w:rsidTr="006704D9">
        <w:trPr>
          <w:jc w:val="center"/>
        </w:trPr>
        <w:tc>
          <w:tcPr>
            <w:tcW w:w="803" w:type="pct"/>
            <w:vMerge/>
            <w:shd w:val="clear" w:color="auto" w:fill="DBE5F1" w:themeFill="accent1" w:themeFillTint="33"/>
            <w:vAlign w:val="center"/>
          </w:tcPr>
          <w:p w14:paraId="7ADCC52B" w14:textId="77777777" w:rsidR="00620C4B" w:rsidRPr="0098262F" w:rsidRDefault="00620C4B">
            <w:pPr>
              <w:pStyle w:val="TableText0"/>
            </w:pPr>
          </w:p>
        </w:tc>
        <w:tc>
          <w:tcPr>
            <w:tcW w:w="3002" w:type="pct"/>
            <w:shd w:val="clear" w:color="auto" w:fill="DBE5F1" w:themeFill="accent1" w:themeFillTint="33"/>
          </w:tcPr>
          <w:p w14:paraId="02850107" w14:textId="77777777" w:rsidR="00620C4B" w:rsidRPr="00452677" w:rsidRDefault="00620C4B">
            <w:pPr>
              <w:pStyle w:val="TableText0"/>
              <w:rPr>
                <w:szCs w:val="18"/>
                <w:lang w:val="da-DK"/>
              </w:rPr>
            </w:pPr>
            <w:r w:rsidRPr="005521FB">
              <w:rPr>
                <w:szCs w:val="18"/>
                <w:lang w:val="da-DK"/>
              </w:rPr>
              <w:t xml:space="preserve">Colombel J, Schwartz, DA., Sandborn, WJ, et al. Adalimumab for the treatment of fistulas in patients with Crohn’s disease. </w:t>
            </w:r>
          </w:p>
        </w:tc>
        <w:tc>
          <w:tcPr>
            <w:tcW w:w="1195" w:type="pct"/>
            <w:tcBorders>
              <w:top w:val="single" w:sz="4" w:space="0" w:color="auto"/>
              <w:bottom w:val="single" w:sz="4" w:space="0" w:color="auto"/>
            </w:tcBorders>
            <w:shd w:val="clear" w:color="auto" w:fill="DBE5F1" w:themeFill="accent1" w:themeFillTint="33"/>
            <w:vAlign w:val="center"/>
          </w:tcPr>
          <w:p w14:paraId="43852D81" w14:textId="5521A6C6" w:rsidR="00620C4B" w:rsidRPr="0098262F" w:rsidRDefault="00620C4B">
            <w:pPr>
              <w:pStyle w:val="TableText0"/>
              <w:rPr>
                <w:szCs w:val="18"/>
              </w:rPr>
            </w:pPr>
            <w:r w:rsidRPr="005521FB">
              <w:rPr>
                <w:i/>
                <w:iCs/>
                <w:szCs w:val="18"/>
              </w:rPr>
              <w:t>Gut</w:t>
            </w:r>
            <w:r w:rsidRPr="005521FB">
              <w:rPr>
                <w:szCs w:val="18"/>
              </w:rPr>
              <w:t xml:space="preserve"> 2009; 58:940</w:t>
            </w:r>
            <w:r w:rsidR="00FC7500">
              <w:rPr>
                <w:szCs w:val="18"/>
              </w:rPr>
              <w:noBreakHyphen/>
            </w:r>
            <w:r w:rsidRPr="005521FB">
              <w:rPr>
                <w:szCs w:val="18"/>
              </w:rPr>
              <w:t>948</w:t>
            </w:r>
          </w:p>
        </w:tc>
      </w:tr>
      <w:tr w:rsidR="00620C4B" w:rsidRPr="0098262F" w14:paraId="2699199B" w14:textId="77777777" w:rsidTr="006704D9">
        <w:trPr>
          <w:jc w:val="center"/>
        </w:trPr>
        <w:tc>
          <w:tcPr>
            <w:tcW w:w="5000" w:type="pct"/>
            <w:gridSpan w:val="3"/>
            <w:shd w:val="clear" w:color="auto" w:fill="DBE5F1" w:themeFill="accent1" w:themeFillTint="33"/>
            <w:vAlign w:val="center"/>
          </w:tcPr>
          <w:p w14:paraId="24031DC0" w14:textId="77777777" w:rsidR="00620C4B" w:rsidRPr="00A43ACC" w:rsidRDefault="00620C4B">
            <w:pPr>
              <w:pStyle w:val="TableText0"/>
              <w:rPr>
                <w:b/>
                <w:bCs w:val="0"/>
                <w:szCs w:val="18"/>
              </w:rPr>
            </w:pPr>
            <w:r w:rsidRPr="00A43ACC">
              <w:rPr>
                <w:b/>
                <w:bCs w:val="0"/>
                <w:szCs w:val="18"/>
              </w:rPr>
              <w:t xml:space="preserve">UST vs PBO </w:t>
            </w:r>
          </w:p>
        </w:tc>
      </w:tr>
      <w:tr w:rsidR="002E16A1" w:rsidRPr="0098262F" w14:paraId="70B32782" w14:textId="77777777" w:rsidTr="006704D9">
        <w:trPr>
          <w:jc w:val="center"/>
        </w:trPr>
        <w:tc>
          <w:tcPr>
            <w:tcW w:w="803" w:type="pct"/>
            <w:shd w:val="clear" w:color="auto" w:fill="DBE5F1" w:themeFill="accent1" w:themeFillTint="33"/>
            <w:vAlign w:val="center"/>
          </w:tcPr>
          <w:p w14:paraId="5A781464" w14:textId="5379310C" w:rsidR="00620C4B" w:rsidRDefault="00620C4B">
            <w:pPr>
              <w:pStyle w:val="TableText0"/>
            </w:pPr>
            <w:r>
              <w:t>UNITI</w:t>
            </w:r>
            <w:r w:rsidR="00FC7500">
              <w:noBreakHyphen/>
            </w:r>
            <w:r>
              <w:t>I</w:t>
            </w:r>
          </w:p>
          <w:p w14:paraId="4BB32C4D" w14:textId="77777777" w:rsidR="00620C4B" w:rsidRPr="0098262F" w:rsidRDefault="00620C4B">
            <w:pPr>
              <w:pStyle w:val="TableText0"/>
            </w:pPr>
            <w:r>
              <w:t>NCT01369329</w:t>
            </w:r>
          </w:p>
        </w:tc>
        <w:tc>
          <w:tcPr>
            <w:tcW w:w="3002" w:type="pct"/>
            <w:shd w:val="clear" w:color="auto" w:fill="DBE5F1" w:themeFill="accent1" w:themeFillTint="33"/>
          </w:tcPr>
          <w:p w14:paraId="33B755FF" w14:textId="77777777" w:rsidR="00620C4B" w:rsidRPr="00452677" w:rsidRDefault="00620C4B">
            <w:pPr>
              <w:pStyle w:val="TableText0"/>
              <w:rPr>
                <w:szCs w:val="18"/>
                <w:lang w:val="da-DK"/>
              </w:rPr>
            </w:pPr>
            <w:r>
              <w:t xml:space="preserve">Feagan BG, Sandborn WJ, Gasink C, Jacobstein D, Lang Y, Friedman JR, et al. Ustekinumab as Induction and Maintenance Therapy for Crohn's Disease; </w:t>
            </w:r>
          </w:p>
        </w:tc>
        <w:tc>
          <w:tcPr>
            <w:tcW w:w="1195" w:type="pct"/>
            <w:tcBorders>
              <w:top w:val="single" w:sz="4" w:space="0" w:color="auto"/>
              <w:bottom w:val="single" w:sz="4" w:space="0" w:color="auto"/>
            </w:tcBorders>
            <w:shd w:val="clear" w:color="auto" w:fill="DBE5F1" w:themeFill="accent1" w:themeFillTint="33"/>
            <w:vAlign w:val="center"/>
          </w:tcPr>
          <w:p w14:paraId="1B6AF12E" w14:textId="2E8D3B22" w:rsidR="00620C4B" w:rsidRPr="0098262F" w:rsidRDefault="00620C4B">
            <w:pPr>
              <w:pStyle w:val="TableText0"/>
              <w:rPr>
                <w:szCs w:val="18"/>
              </w:rPr>
            </w:pPr>
            <w:r w:rsidRPr="00D14E08">
              <w:rPr>
                <w:i/>
                <w:iCs/>
                <w:szCs w:val="18"/>
              </w:rPr>
              <w:t>New England Journal of Medicine</w:t>
            </w:r>
            <w:r w:rsidRPr="00D14E08">
              <w:rPr>
                <w:szCs w:val="18"/>
              </w:rPr>
              <w:t>. 2016;</w:t>
            </w:r>
            <w:r>
              <w:rPr>
                <w:szCs w:val="18"/>
              </w:rPr>
              <w:t xml:space="preserve"> </w:t>
            </w:r>
            <w:r w:rsidRPr="00D14E08">
              <w:rPr>
                <w:szCs w:val="18"/>
              </w:rPr>
              <w:t>375(20):1946</w:t>
            </w:r>
            <w:r w:rsidR="00FC7500">
              <w:rPr>
                <w:szCs w:val="18"/>
              </w:rPr>
              <w:noBreakHyphen/>
            </w:r>
            <w:r w:rsidRPr="00D14E08">
              <w:rPr>
                <w:szCs w:val="18"/>
              </w:rPr>
              <w:t>60</w:t>
            </w:r>
          </w:p>
        </w:tc>
      </w:tr>
      <w:tr w:rsidR="002E16A1" w:rsidRPr="0098262F" w14:paraId="00D30CC0" w14:textId="77777777" w:rsidTr="006704D9">
        <w:trPr>
          <w:jc w:val="center"/>
        </w:trPr>
        <w:tc>
          <w:tcPr>
            <w:tcW w:w="803" w:type="pct"/>
            <w:shd w:val="clear" w:color="auto" w:fill="DBE5F1" w:themeFill="accent1" w:themeFillTint="33"/>
            <w:vAlign w:val="center"/>
          </w:tcPr>
          <w:p w14:paraId="23FF901A" w14:textId="6CCA1694" w:rsidR="00620C4B" w:rsidRDefault="00620C4B">
            <w:pPr>
              <w:pStyle w:val="TableText0"/>
            </w:pPr>
            <w:r>
              <w:t>UNITI</w:t>
            </w:r>
            <w:r w:rsidR="00FC7500">
              <w:noBreakHyphen/>
            </w:r>
            <w:r>
              <w:t>II</w:t>
            </w:r>
          </w:p>
          <w:p w14:paraId="1E480240" w14:textId="77777777" w:rsidR="00620C4B" w:rsidRPr="0098262F" w:rsidRDefault="00620C4B">
            <w:pPr>
              <w:pStyle w:val="TableText0"/>
            </w:pPr>
            <w:r w:rsidRPr="000508A9">
              <w:t>NCT01369342</w:t>
            </w:r>
          </w:p>
        </w:tc>
        <w:tc>
          <w:tcPr>
            <w:tcW w:w="3002" w:type="pct"/>
            <w:shd w:val="clear" w:color="auto" w:fill="DBE5F1" w:themeFill="accent1" w:themeFillTint="33"/>
          </w:tcPr>
          <w:p w14:paraId="4B8B0BB2" w14:textId="364B9DF2" w:rsidR="00620C4B" w:rsidRPr="00452677" w:rsidRDefault="00620C4B">
            <w:pPr>
              <w:pStyle w:val="TableText0"/>
              <w:rPr>
                <w:szCs w:val="18"/>
                <w:lang w:val="da-DK"/>
              </w:rPr>
            </w:pPr>
            <w:r>
              <w:t>Sandborn WJ, Rutgeerts P, Gasink C, Jacobstein D, Zou B, Johanns J, Sands BE, Hanauer SB, Targan S, Ghosh S, de Villiers WJS, Colombel JF, Feagan BG. Long</w:t>
            </w:r>
            <w:r w:rsidR="00FC7500">
              <w:noBreakHyphen/>
            </w:r>
            <w:r>
              <w:t xml:space="preserve">term efficacy and safety of ustekinumab for Crohn's disease through the second year of therapy; </w:t>
            </w:r>
          </w:p>
        </w:tc>
        <w:tc>
          <w:tcPr>
            <w:tcW w:w="1195" w:type="pct"/>
            <w:tcBorders>
              <w:top w:val="single" w:sz="4" w:space="0" w:color="auto"/>
              <w:bottom w:val="single" w:sz="4" w:space="0" w:color="auto"/>
            </w:tcBorders>
            <w:shd w:val="clear" w:color="auto" w:fill="DBE5F1" w:themeFill="accent1" w:themeFillTint="33"/>
            <w:vAlign w:val="center"/>
          </w:tcPr>
          <w:p w14:paraId="304C7937" w14:textId="5C23BC77" w:rsidR="00620C4B" w:rsidRPr="0098262F" w:rsidRDefault="00620C4B">
            <w:pPr>
              <w:pStyle w:val="TableText0"/>
              <w:rPr>
                <w:szCs w:val="18"/>
              </w:rPr>
            </w:pPr>
            <w:r w:rsidRPr="00D14E08">
              <w:rPr>
                <w:i/>
                <w:iCs/>
                <w:szCs w:val="18"/>
              </w:rPr>
              <w:t>Aliment Pharmacol Ther.</w:t>
            </w:r>
            <w:r w:rsidRPr="00D14E08">
              <w:rPr>
                <w:szCs w:val="18"/>
              </w:rPr>
              <w:t xml:space="preserve"> 2018;</w:t>
            </w:r>
            <w:r>
              <w:rPr>
                <w:szCs w:val="18"/>
              </w:rPr>
              <w:t xml:space="preserve"> </w:t>
            </w:r>
            <w:r w:rsidRPr="00D14E08">
              <w:rPr>
                <w:szCs w:val="18"/>
              </w:rPr>
              <w:t>48(1):65</w:t>
            </w:r>
            <w:r w:rsidR="00FC7500">
              <w:rPr>
                <w:szCs w:val="18"/>
              </w:rPr>
              <w:noBreakHyphen/>
            </w:r>
            <w:r w:rsidRPr="00D14E08">
              <w:rPr>
                <w:szCs w:val="18"/>
              </w:rPr>
              <w:t>77</w:t>
            </w:r>
          </w:p>
        </w:tc>
      </w:tr>
      <w:tr w:rsidR="002E16A1" w:rsidRPr="0098262F" w14:paraId="469411C9" w14:textId="77777777" w:rsidTr="006704D9">
        <w:trPr>
          <w:jc w:val="center"/>
        </w:trPr>
        <w:tc>
          <w:tcPr>
            <w:tcW w:w="803" w:type="pct"/>
            <w:vMerge w:val="restart"/>
            <w:shd w:val="clear" w:color="auto" w:fill="DBE5F1" w:themeFill="accent1" w:themeFillTint="33"/>
            <w:vAlign w:val="center"/>
          </w:tcPr>
          <w:p w14:paraId="3B9CC617" w14:textId="05E65B37" w:rsidR="00620C4B" w:rsidRDefault="00620C4B">
            <w:pPr>
              <w:pStyle w:val="TableText0"/>
            </w:pPr>
            <w:r>
              <w:t>IM</w:t>
            </w:r>
            <w:r w:rsidR="00FC7500">
              <w:noBreakHyphen/>
            </w:r>
            <w:r>
              <w:t>UNITI</w:t>
            </w:r>
          </w:p>
          <w:p w14:paraId="08683DDF" w14:textId="77777777" w:rsidR="00620C4B" w:rsidRPr="0098262F" w:rsidRDefault="00620C4B">
            <w:pPr>
              <w:pStyle w:val="TableText0"/>
            </w:pPr>
            <w:r>
              <w:t>NCT01369355</w:t>
            </w:r>
          </w:p>
        </w:tc>
        <w:tc>
          <w:tcPr>
            <w:tcW w:w="3002" w:type="pct"/>
            <w:shd w:val="clear" w:color="auto" w:fill="DBE5F1" w:themeFill="accent1" w:themeFillTint="33"/>
          </w:tcPr>
          <w:p w14:paraId="221A46F7" w14:textId="3AC8A707" w:rsidR="00620C4B" w:rsidRPr="00452677" w:rsidRDefault="00620C4B">
            <w:pPr>
              <w:pStyle w:val="TableText0"/>
              <w:rPr>
                <w:szCs w:val="18"/>
                <w:lang w:val="da-DK"/>
              </w:rPr>
            </w:pPr>
            <w:r>
              <w:t>Hanauer SB, Sandborn WJ, Feagan BG, Gasink C, Jacobstein D, Zou B, Johanns J, Adedokun OJ, Sands BE, Rutgeerts P, de Villiers WJS, Colombel JF, Ghosh S. IM</w:t>
            </w:r>
            <w:r w:rsidR="00FC7500">
              <w:noBreakHyphen/>
            </w:r>
            <w:r>
              <w:t>UNITI: Three</w:t>
            </w:r>
            <w:r w:rsidR="00FC7500">
              <w:noBreakHyphen/>
            </w:r>
            <w:r>
              <w:t xml:space="preserve">year Efficacy, Safety, and Immunogenicity of Ustekinumab Treatment of Crohn's Disease; </w:t>
            </w:r>
          </w:p>
        </w:tc>
        <w:tc>
          <w:tcPr>
            <w:tcW w:w="1195" w:type="pct"/>
            <w:tcBorders>
              <w:top w:val="single" w:sz="4" w:space="0" w:color="auto"/>
              <w:bottom w:val="single" w:sz="4" w:space="0" w:color="auto"/>
            </w:tcBorders>
            <w:shd w:val="clear" w:color="auto" w:fill="DBE5F1" w:themeFill="accent1" w:themeFillTint="33"/>
            <w:vAlign w:val="center"/>
          </w:tcPr>
          <w:p w14:paraId="652138FC" w14:textId="64641FC9" w:rsidR="00620C4B" w:rsidRPr="0098262F" w:rsidRDefault="00620C4B">
            <w:pPr>
              <w:pStyle w:val="TableText0"/>
              <w:rPr>
                <w:szCs w:val="18"/>
              </w:rPr>
            </w:pPr>
            <w:r w:rsidRPr="00D14E08">
              <w:rPr>
                <w:i/>
                <w:iCs/>
                <w:szCs w:val="18"/>
              </w:rPr>
              <w:t>J Crohns Colitis.</w:t>
            </w:r>
            <w:r w:rsidRPr="00D14E08">
              <w:rPr>
                <w:szCs w:val="18"/>
              </w:rPr>
              <w:t xml:space="preserve"> 2020;</w:t>
            </w:r>
            <w:r>
              <w:rPr>
                <w:szCs w:val="18"/>
              </w:rPr>
              <w:t xml:space="preserve"> </w:t>
            </w:r>
            <w:r w:rsidRPr="00D14E08">
              <w:rPr>
                <w:szCs w:val="18"/>
              </w:rPr>
              <w:t>14(1):23</w:t>
            </w:r>
            <w:r w:rsidR="00FC7500">
              <w:rPr>
                <w:szCs w:val="18"/>
              </w:rPr>
              <w:noBreakHyphen/>
            </w:r>
            <w:r w:rsidRPr="00D14E08">
              <w:rPr>
                <w:szCs w:val="18"/>
              </w:rPr>
              <w:t>32</w:t>
            </w:r>
          </w:p>
        </w:tc>
      </w:tr>
      <w:tr w:rsidR="002E16A1" w:rsidRPr="0098262F" w14:paraId="3CD9525F" w14:textId="77777777" w:rsidTr="006704D9">
        <w:trPr>
          <w:jc w:val="center"/>
        </w:trPr>
        <w:tc>
          <w:tcPr>
            <w:tcW w:w="803" w:type="pct"/>
            <w:vMerge/>
            <w:shd w:val="clear" w:color="auto" w:fill="DBE5F1" w:themeFill="accent1" w:themeFillTint="33"/>
          </w:tcPr>
          <w:p w14:paraId="397B179F" w14:textId="77777777" w:rsidR="00620C4B" w:rsidRPr="0098262F" w:rsidRDefault="00620C4B">
            <w:pPr>
              <w:pStyle w:val="TableText0"/>
            </w:pPr>
          </w:p>
        </w:tc>
        <w:tc>
          <w:tcPr>
            <w:tcW w:w="3002" w:type="pct"/>
            <w:shd w:val="clear" w:color="auto" w:fill="DBE5F1" w:themeFill="accent1" w:themeFillTint="33"/>
          </w:tcPr>
          <w:p w14:paraId="4246132A" w14:textId="4C0BCA41" w:rsidR="00620C4B" w:rsidRPr="00452677" w:rsidRDefault="00620C4B">
            <w:pPr>
              <w:pStyle w:val="TableText0"/>
              <w:rPr>
                <w:szCs w:val="18"/>
                <w:lang w:val="da-DK"/>
              </w:rPr>
            </w:pPr>
            <w:r w:rsidRPr="001D6F93">
              <w:t>Sandborn WJ, Rebuck R, Wang Y, Zou B, Adedokun OJ, Gasink C, Sands BE, Hanauer SB, Targan S, Ghosh S, de Villiers WJS, Colombel JF, Feagan BG, Lynch JP. Five</w:t>
            </w:r>
            <w:r w:rsidR="00FC7500">
              <w:noBreakHyphen/>
            </w:r>
            <w:r w:rsidRPr="001D6F93">
              <w:t>Year Efficacy and Safety of Ustekinumab Treatment in Crohn's Disease: The IM</w:t>
            </w:r>
            <w:r w:rsidR="00FC7500">
              <w:noBreakHyphen/>
            </w:r>
            <w:r w:rsidRPr="001D6F93">
              <w:t>UNITI Trial</w:t>
            </w:r>
            <w:r>
              <w:t xml:space="preserve">; </w:t>
            </w:r>
          </w:p>
        </w:tc>
        <w:tc>
          <w:tcPr>
            <w:tcW w:w="1195" w:type="pct"/>
            <w:tcBorders>
              <w:top w:val="single" w:sz="4" w:space="0" w:color="auto"/>
              <w:bottom w:val="single" w:sz="4" w:space="0" w:color="auto"/>
            </w:tcBorders>
            <w:shd w:val="clear" w:color="auto" w:fill="DBE5F1" w:themeFill="accent1" w:themeFillTint="33"/>
            <w:vAlign w:val="center"/>
          </w:tcPr>
          <w:p w14:paraId="155A1B63" w14:textId="6A20FFD5" w:rsidR="00620C4B" w:rsidRPr="0098262F" w:rsidRDefault="00620C4B">
            <w:pPr>
              <w:pStyle w:val="TableText0"/>
              <w:rPr>
                <w:szCs w:val="18"/>
              </w:rPr>
            </w:pPr>
            <w:r w:rsidRPr="00D14E08">
              <w:rPr>
                <w:i/>
                <w:iCs/>
                <w:szCs w:val="18"/>
              </w:rPr>
              <w:t>Clin Gastroenterol Hepatol.</w:t>
            </w:r>
            <w:r w:rsidRPr="00D14E08">
              <w:rPr>
                <w:szCs w:val="18"/>
              </w:rPr>
              <w:t xml:space="preserve"> 2022;</w:t>
            </w:r>
            <w:r>
              <w:rPr>
                <w:szCs w:val="18"/>
              </w:rPr>
              <w:t xml:space="preserve"> </w:t>
            </w:r>
            <w:r w:rsidRPr="00D14E08">
              <w:rPr>
                <w:szCs w:val="18"/>
              </w:rPr>
              <w:t>20(3):578</w:t>
            </w:r>
            <w:r w:rsidR="00FC7500">
              <w:rPr>
                <w:szCs w:val="18"/>
              </w:rPr>
              <w:noBreakHyphen/>
            </w:r>
            <w:r w:rsidRPr="00D14E08">
              <w:rPr>
                <w:szCs w:val="18"/>
              </w:rPr>
              <w:t xml:space="preserve">590.e4. </w:t>
            </w:r>
          </w:p>
        </w:tc>
      </w:tr>
    </w:tbl>
    <w:p w14:paraId="7839E332" w14:textId="37E35E88" w:rsidR="00620C4B" w:rsidRDefault="00620C4B" w:rsidP="00620C4B">
      <w:pPr>
        <w:pStyle w:val="TableFigureFooter"/>
        <w:keepNext/>
      </w:pPr>
      <w:r w:rsidRPr="006704D9">
        <w:rPr>
          <w:shd w:val="clear" w:color="auto" w:fill="DBE5F1" w:themeFill="accent1" w:themeFillTint="33"/>
        </w:rPr>
        <w:t xml:space="preserve">Blue </w:t>
      </w:r>
      <w:r w:rsidRPr="00A43ACC">
        <w:t>shading indicates data previously seen by the PBAC.</w:t>
      </w:r>
    </w:p>
    <w:p w14:paraId="5FCDE973" w14:textId="0983900D" w:rsidR="00620C4B" w:rsidRDefault="00620C4B" w:rsidP="00620C4B">
      <w:pPr>
        <w:pStyle w:val="TableFigureFooter"/>
        <w:keepNext/>
      </w:pPr>
      <w:r w:rsidRPr="0098262F">
        <w:t>Source: Table</w:t>
      </w:r>
      <w:r>
        <w:t xml:space="preserve"> 2</w:t>
      </w:r>
      <w:r w:rsidR="00FC7500">
        <w:noBreakHyphen/>
      </w:r>
      <w:r>
        <w:t>3</w:t>
      </w:r>
      <w:r w:rsidRPr="0098262F">
        <w:t>, p</w:t>
      </w:r>
      <w:r>
        <w:t>22</w:t>
      </w:r>
      <w:r w:rsidR="00FC7500">
        <w:noBreakHyphen/>
      </w:r>
      <w:r>
        <w:t>24</w:t>
      </w:r>
      <w:r w:rsidRPr="0098262F">
        <w:t xml:space="preserve"> of the submission.</w:t>
      </w:r>
    </w:p>
    <w:p w14:paraId="7981DD61" w14:textId="77777777" w:rsidR="00620C4B" w:rsidRPr="00C54CA6" w:rsidRDefault="00620C4B" w:rsidP="00620C4B">
      <w:pPr>
        <w:pStyle w:val="TableFigureFooter"/>
        <w:keepNext/>
        <w:rPr>
          <w:rStyle w:val="CommentReference"/>
          <w:b w:val="0"/>
          <w:sz w:val="18"/>
          <w:szCs w:val="22"/>
        </w:rPr>
      </w:pPr>
      <w:r>
        <w:t xml:space="preserve">ADA = adalimumab; IFX = infliximab; PBO = placebo; UPA = upadacitinib; UST = </w:t>
      </w:r>
      <w:r w:rsidRPr="00A43ACC">
        <w:t>ustekinumab</w:t>
      </w:r>
      <w:r>
        <w:t>.</w:t>
      </w:r>
    </w:p>
    <w:p w14:paraId="0616D511" w14:textId="0114AF6E" w:rsidR="00620C4B" w:rsidRPr="00582BBA" w:rsidRDefault="00620C4B" w:rsidP="00620C4B">
      <w:pPr>
        <w:pStyle w:val="3-BodyText"/>
        <w:ind w:left="1003"/>
      </w:pPr>
      <w:r w:rsidRPr="0098262F">
        <w:t xml:space="preserve">The key features of the included evidence are summarised in </w:t>
      </w:r>
      <w:bookmarkStart w:id="44" w:name="_Ref216540915"/>
      <w:r w:rsidR="000C3F10">
        <w:fldChar w:fldCharType="begin"/>
      </w:r>
      <w:r w:rsidR="000C3F10">
        <w:instrText xml:space="preserve"> REF _Ref216726186 \h </w:instrText>
      </w:r>
      <w:r w:rsidR="000C3F10">
        <w:fldChar w:fldCharType="separate"/>
      </w:r>
      <w:r w:rsidR="000C3F10">
        <w:t xml:space="preserve">Table </w:t>
      </w:r>
      <w:r w:rsidR="000C3F10">
        <w:rPr>
          <w:noProof/>
        </w:rPr>
        <w:t>3</w:t>
      </w:r>
      <w:r w:rsidR="000C3F10">
        <w:fldChar w:fldCharType="end"/>
      </w:r>
      <w:r w:rsidR="000C3F10">
        <w:t>.</w:t>
      </w:r>
    </w:p>
    <w:p w14:paraId="34F8A659" w14:textId="1FF63537" w:rsidR="00620C4B" w:rsidRPr="008D5D8A" w:rsidRDefault="000C3F10" w:rsidP="000C3F10">
      <w:pPr>
        <w:pStyle w:val="Caption"/>
        <w:rPr>
          <w:rStyle w:val="CommentReference"/>
          <w:b/>
          <w:szCs w:val="24"/>
        </w:rPr>
      </w:pPr>
      <w:bookmarkStart w:id="45" w:name="_Ref216726186"/>
      <w:bookmarkEnd w:id="44"/>
      <w:r>
        <w:t xml:space="preserve">Table </w:t>
      </w:r>
      <w:fldSimple w:instr=" SEQ Table \* ARABIC ">
        <w:r>
          <w:rPr>
            <w:noProof/>
          </w:rPr>
          <w:t>3</w:t>
        </w:r>
      </w:fldSimple>
      <w:bookmarkEnd w:id="45"/>
      <w:r>
        <w:t xml:space="preserve">: </w:t>
      </w:r>
      <w:r w:rsidR="00620C4B" w:rsidRPr="008D5D8A">
        <w:rPr>
          <w:rStyle w:val="CommentReference"/>
          <w:b/>
          <w:szCs w:val="24"/>
        </w:rPr>
        <w:t>Key features of the included evidence</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3: Key features of the included evidence"/>
      </w:tblPr>
      <w:tblGrid>
        <w:gridCol w:w="813"/>
        <w:gridCol w:w="1167"/>
        <w:gridCol w:w="1417"/>
        <w:gridCol w:w="992"/>
        <w:gridCol w:w="1984"/>
        <w:gridCol w:w="2644"/>
      </w:tblGrid>
      <w:tr w:rsidR="00620C4B" w:rsidRPr="00782783" w14:paraId="4715FA01" w14:textId="77777777">
        <w:trPr>
          <w:trHeight w:val="20"/>
          <w:tblHeader/>
          <w:jc w:val="center"/>
        </w:trPr>
        <w:tc>
          <w:tcPr>
            <w:tcW w:w="451" w:type="pct"/>
            <w:vAlign w:val="center"/>
          </w:tcPr>
          <w:p w14:paraId="42126E83" w14:textId="77777777" w:rsidR="00620C4B" w:rsidRPr="00782783" w:rsidRDefault="00620C4B">
            <w:pPr>
              <w:keepLines/>
              <w:jc w:val="center"/>
              <w:rPr>
                <w:rFonts w:ascii="Arial Narrow" w:eastAsiaTheme="majorEastAsia" w:hAnsi="Arial Narrow" w:cstheme="majorBidi"/>
                <w:b/>
                <w:sz w:val="20"/>
                <w:lang w:val="en-US" w:eastAsia="en-US"/>
              </w:rPr>
            </w:pPr>
            <w:r w:rsidRPr="00782783">
              <w:rPr>
                <w:rFonts w:ascii="Arial Narrow" w:eastAsiaTheme="majorEastAsia" w:hAnsi="Arial Narrow" w:cstheme="majorBidi"/>
                <w:b/>
                <w:sz w:val="20"/>
                <w:lang w:val="en-US" w:eastAsia="en-US"/>
              </w:rPr>
              <w:t>Trial</w:t>
            </w:r>
          </w:p>
        </w:tc>
        <w:tc>
          <w:tcPr>
            <w:tcW w:w="647" w:type="pct"/>
            <w:vAlign w:val="center"/>
          </w:tcPr>
          <w:p w14:paraId="58266AAF" w14:textId="77777777" w:rsidR="00620C4B" w:rsidRPr="00782783" w:rsidRDefault="00620C4B">
            <w:pPr>
              <w:keepLines/>
              <w:jc w:val="center"/>
              <w:rPr>
                <w:rFonts w:ascii="Arial Narrow" w:eastAsiaTheme="majorEastAsia" w:hAnsi="Arial Narrow" w:cstheme="majorBidi"/>
                <w:b/>
                <w:sz w:val="20"/>
                <w:lang w:val="en-US" w:eastAsia="en-US"/>
              </w:rPr>
            </w:pPr>
            <w:r w:rsidRPr="00782783">
              <w:rPr>
                <w:rFonts w:ascii="Arial Narrow" w:eastAsiaTheme="majorEastAsia" w:hAnsi="Arial Narrow" w:cstheme="majorBidi"/>
                <w:b/>
                <w:sz w:val="20"/>
                <w:lang w:val="en-US" w:eastAsia="en-US"/>
              </w:rPr>
              <w:t>N</w:t>
            </w:r>
          </w:p>
        </w:tc>
        <w:tc>
          <w:tcPr>
            <w:tcW w:w="786" w:type="pct"/>
            <w:vAlign w:val="center"/>
          </w:tcPr>
          <w:p w14:paraId="54D7A645" w14:textId="77777777" w:rsidR="00620C4B" w:rsidRPr="00782783" w:rsidRDefault="00620C4B">
            <w:pPr>
              <w:keepLines/>
              <w:jc w:val="center"/>
              <w:rPr>
                <w:rFonts w:ascii="Arial Narrow" w:eastAsiaTheme="majorEastAsia" w:hAnsi="Arial Narrow" w:cstheme="majorBidi"/>
                <w:b/>
                <w:sz w:val="20"/>
                <w:lang w:val="en-US" w:eastAsia="en-US"/>
              </w:rPr>
            </w:pPr>
            <w:r w:rsidRPr="00782783">
              <w:rPr>
                <w:rFonts w:ascii="Arial Narrow" w:eastAsiaTheme="majorEastAsia" w:hAnsi="Arial Narrow" w:cstheme="majorBidi"/>
                <w:b/>
                <w:sz w:val="20"/>
                <w:lang w:val="en-US" w:eastAsia="en-US"/>
              </w:rPr>
              <w:t>Design/ duration</w:t>
            </w:r>
          </w:p>
        </w:tc>
        <w:tc>
          <w:tcPr>
            <w:tcW w:w="550" w:type="pct"/>
            <w:vAlign w:val="center"/>
          </w:tcPr>
          <w:p w14:paraId="70129814" w14:textId="77777777" w:rsidR="00620C4B" w:rsidRPr="00782783" w:rsidRDefault="00620C4B">
            <w:pPr>
              <w:keepLines/>
              <w:jc w:val="center"/>
              <w:rPr>
                <w:rFonts w:ascii="Arial Narrow" w:eastAsiaTheme="majorEastAsia" w:hAnsi="Arial Narrow" w:cstheme="majorBidi"/>
                <w:b/>
                <w:sz w:val="20"/>
                <w:lang w:val="en-US" w:eastAsia="en-US"/>
              </w:rPr>
            </w:pPr>
            <w:r w:rsidRPr="00782783">
              <w:rPr>
                <w:rFonts w:ascii="Arial Narrow" w:eastAsiaTheme="majorEastAsia" w:hAnsi="Arial Narrow" w:cstheme="majorBidi"/>
                <w:b/>
                <w:sz w:val="20"/>
                <w:lang w:val="en-US" w:eastAsia="en-US"/>
              </w:rPr>
              <w:t>Bias</w:t>
            </w:r>
          </w:p>
        </w:tc>
        <w:tc>
          <w:tcPr>
            <w:tcW w:w="1100" w:type="pct"/>
            <w:vAlign w:val="center"/>
          </w:tcPr>
          <w:p w14:paraId="14613081" w14:textId="77777777" w:rsidR="00620C4B" w:rsidRPr="00782783" w:rsidRDefault="00620C4B">
            <w:pPr>
              <w:keepLines/>
              <w:jc w:val="center"/>
              <w:rPr>
                <w:rFonts w:ascii="Arial Narrow" w:eastAsiaTheme="majorEastAsia" w:hAnsi="Arial Narrow" w:cstheme="majorBidi"/>
                <w:b/>
                <w:sz w:val="20"/>
                <w:lang w:val="en-US" w:eastAsia="en-US"/>
              </w:rPr>
            </w:pPr>
            <w:r w:rsidRPr="00782783">
              <w:rPr>
                <w:rFonts w:ascii="Arial Narrow" w:eastAsiaTheme="majorEastAsia" w:hAnsi="Arial Narrow" w:cstheme="majorBidi"/>
                <w:b/>
                <w:sz w:val="20"/>
                <w:lang w:val="en-US" w:eastAsia="en-US"/>
              </w:rPr>
              <w:t>Population</w:t>
            </w:r>
          </w:p>
        </w:tc>
        <w:tc>
          <w:tcPr>
            <w:tcW w:w="1466" w:type="pct"/>
            <w:vAlign w:val="center"/>
          </w:tcPr>
          <w:p w14:paraId="6F8E7471" w14:textId="77777777" w:rsidR="00620C4B" w:rsidRPr="00782783" w:rsidRDefault="00620C4B">
            <w:pPr>
              <w:keepLines/>
              <w:jc w:val="center"/>
              <w:rPr>
                <w:rFonts w:ascii="Arial Narrow" w:eastAsiaTheme="majorEastAsia" w:hAnsi="Arial Narrow" w:cstheme="majorBidi"/>
                <w:b/>
                <w:sz w:val="20"/>
                <w:lang w:val="en-US" w:eastAsia="en-US"/>
              </w:rPr>
            </w:pPr>
            <w:r w:rsidRPr="00782783">
              <w:rPr>
                <w:rFonts w:ascii="Arial Narrow" w:eastAsiaTheme="majorEastAsia" w:hAnsi="Arial Narrow" w:cstheme="majorBidi"/>
                <w:b/>
                <w:sz w:val="20"/>
                <w:lang w:val="en-US" w:eastAsia="en-US"/>
              </w:rPr>
              <w:t>Relevant Outcomes</w:t>
            </w:r>
          </w:p>
        </w:tc>
      </w:tr>
      <w:tr w:rsidR="00620C4B" w:rsidRPr="00782783" w14:paraId="6A34027F" w14:textId="77777777">
        <w:trPr>
          <w:trHeight w:val="20"/>
          <w:jc w:val="center"/>
        </w:trPr>
        <w:tc>
          <w:tcPr>
            <w:tcW w:w="5000" w:type="pct"/>
            <w:gridSpan w:val="6"/>
            <w:vAlign w:val="center"/>
          </w:tcPr>
          <w:p w14:paraId="3124C205" w14:textId="77777777" w:rsidR="00620C4B" w:rsidRPr="00782783" w:rsidRDefault="00620C4B">
            <w:pPr>
              <w:keepLines/>
              <w:jc w:val="left"/>
              <w:rPr>
                <w:rFonts w:ascii="Arial Narrow" w:eastAsiaTheme="minorHAnsi" w:hAnsi="Arial Narrow" w:cstheme="minorBidi"/>
                <w:b/>
                <w:sz w:val="20"/>
                <w:lang w:eastAsia="en-US"/>
              </w:rPr>
            </w:pPr>
            <w:r w:rsidRPr="00782783">
              <w:rPr>
                <w:rFonts w:ascii="Arial Narrow" w:eastAsiaTheme="minorHAnsi" w:hAnsi="Arial Narrow" w:cstheme="minorBidi"/>
                <w:b/>
                <w:sz w:val="20"/>
                <w:lang w:eastAsia="en-US"/>
              </w:rPr>
              <w:t>Upadacitinib trials</w:t>
            </w:r>
          </w:p>
        </w:tc>
      </w:tr>
      <w:tr w:rsidR="00620C4B" w:rsidRPr="00782783" w14:paraId="64486C8F" w14:textId="77777777">
        <w:trPr>
          <w:trHeight w:val="20"/>
          <w:jc w:val="center"/>
        </w:trPr>
        <w:tc>
          <w:tcPr>
            <w:tcW w:w="451" w:type="pct"/>
            <w:vAlign w:val="center"/>
          </w:tcPr>
          <w:p w14:paraId="6850A351" w14:textId="287B339C" w:rsidR="00620C4B" w:rsidRPr="00782783" w:rsidRDefault="00620C4B">
            <w:pPr>
              <w:keepLines/>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U</w:t>
            </w:r>
            <w:r w:rsidR="00FC7500">
              <w:rPr>
                <w:rFonts w:ascii="Arial Narrow" w:eastAsiaTheme="minorHAnsi" w:hAnsi="Arial Narrow" w:cstheme="minorBidi"/>
                <w:bCs/>
                <w:sz w:val="20"/>
                <w:lang w:eastAsia="en-US"/>
              </w:rPr>
              <w:noBreakHyphen/>
            </w:r>
            <w:r w:rsidRPr="00782783">
              <w:rPr>
                <w:rFonts w:ascii="Arial Narrow" w:eastAsiaTheme="minorHAnsi" w:hAnsi="Arial Narrow" w:cstheme="minorBidi"/>
                <w:bCs/>
                <w:sz w:val="20"/>
                <w:lang w:eastAsia="en-US"/>
              </w:rPr>
              <w:t>EXCEED</w:t>
            </w:r>
          </w:p>
        </w:tc>
        <w:tc>
          <w:tcPr>
            <w:tcW w:w="647" w:type="pct"/>
            <w:vMerge w:val="restart"/>
            <w:vAlign w:val="center"/>
          </w:tcPr>
          <w:p w14:paraId="78964AD1" w14:textId="7D2632A4" w:rsidR="00620C4B" w:rsidRPr="00782783" w:rsidRDefault="00620C4B">
            <w:pPr>
              <w:keepLines/>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U</w:t>
            </w:r>
            <w:r w:rsidR="00FC7500">
              <w:rPr>
                <w:rFonts w:ascii="Arial Narrow" w:eastAsiaTheme="minorHAnsi" w:hAnsi="Arial Narrow" w:cstheme="minorBidi"/>
                <w:bCs/>
                <w:sz w:val="20"/>
                <w:lang w:eastAsia="en-US"/>
              </w:rPr>
              <w:noBreakHyphen/>
            </w:r>
            <w:r w:rsidRPr="00782783">
              <w:rPr>
                <w:rFonts w:ascii="Arial Narrow" w:eastAsiaTheme="minorHAnsi" w:hAnsi="Arial Narrow" w:cstheme="minorBidi"/>
                <w:bCs/>
                <w:sz w:val="20"/>
                <w:lang w:eastAsia="en-US"/>
              </w:rPr>
              <w:t>EXCEED: 495; U</w:t>
            </w:r>
            <w:r w:rsidR="00FC7500">
              <w:rPr>
                <w:rFonts w:ascii="Arial Narrow" w:eastAsiaTheme="minorHAnsi" w:hAnsi="Arial Narrow" w:cstheme="minorBidi"/>
                <w:bCs/>
                <w:sz w:val="20"/>
                <w:lang w:eastAsia="en-US"/>
              </w:rPr>
              <w:noBreakHyphen/>
            </w:r>
            <w:r w:rsidRPr="00782783">
              <w:rPr>
                <w:rFonts w:ascii="Arial Narrow" w:eastAsiaTheme="minorHAnsi" w:hAnsi="Arial Narrow" w:cstheme="minorBidi"/>
                <w:bCs/>
                <w:sz w:val="20"/>
                <w:lang w:eastAsia="en-US"/>
              </w:rPr>
              <w:t>EXCEL: 526;</w:t>
            </w:r>
          </w:p>
          <w:p w14:paraId="38C11F73" w14:textId="43924142" w:rsidR="00620C4B" w:rsidRPr="00782783" w:rsidRDefault="00620C4B">
            <w:pPr>
              <w:keepLines/>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Pooled dFCD:66</w:t>
            </w:r>
            <w:r w:rsidRPr="00782783">
              <w:rPr>
                <w:rFonts w:ascii="Arial Narrow" w:eastAsiaTheme="minorHAnsi" w:hAnsi="Arial Narrow" w:cstheme="minorBidi"/>
                <w:bCs/>
                <w:sz w:val="20"/>
                <w:vertAlign w:val="superscript"/>
                <w:lang w:eastAsia="en-US"/>
              </w:rPr>
              <w:t>a</w:t>
            </w:r>
          </w:p>
          <w:p w14:paraId="63E04B6D" w14:textId="77777777" w:rsidR="00620C4B" w:rsidRPr="00782783" w:rsidRDefault="00620C4B">
            <w:pPr>
              <w:keepLines/>
              <w:jc w:val="left"/>
              <w:rPr>
                <w:rFonts w:ascii="Arial Narrow" w:eastAsiaTheme="minorHAnsi" w:hAnsi="Arial Narrow" w:cstheme="minorBidi"/>
                <w:bCs/>
                <w:sz w:val="20"/>
                <w:lang w:eastAsia="en-US"/>
              </w:rPr>
            </w:pPr>
          </w:p>
        </w:tc>
        <w:tc>
          <w:tcPr>
            <w:tcW w:w="786" w:type="pct"/>
            <w:vAlign w:val="center"/>
          </w:tcPr>
          <w:p w14:paraId="2EBA8DD5" w14:textId="77777777" w:rsidR="00620C4B" w:rsidRPr="00782783" w:rsidRDefault="00620C4B">
            <w:pPr>
              <w:keepLines/>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R, DB, PC, MC</w:t>
            </w:r>
          </w:p>
          <w:p w14:paraId="45DFFA2C" w14:textId="77777777" w:rsidR="00620C4B" w:rsidRPr="00782783" w:rsidRDefault="00620C4B">
            <w:pPr>
              <w:keepLines/>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12 Week induction period</w:t>
            </w:r>
          </w:p>
        </w:tc>
        <w:tc>
          <w:tcPr>
            <w:tcW w:w="550" w:type="pct"/>
            <w:vAlign w:val="center"/>
          </w:tcPr>
          <w:p w14:paraId="3C8D4300" w14:textId="77777777" w:rsidR="00620C4B" w:rsidRPr="00782783" w:rsidRDefault="00620C4B">
            <w:pPr>
              <w:keepLines/>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CD: Low</w:t>
            </w:r>
          </w:p>
          <w:p w14:paraId="125028C0" w14:textId="77777777" w:rsidR="00620C4B" w:rsidRPr="00782783" w:rsidRDefault="00620C4B">
            <w:pPr>
              <w:keepLines/>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FCD: High</w:t>
            </w:r>
          </w:p>
        </w:tc>
        <w:tc>
          <w:tcPr>
            <w:tcW w:w="1100" w:type="pct"/>
            <w:vAlign w:val="center"/>
          </w:tcPr>
          <w:p w14:paraId="283807BF" w14:textId="4C995549" w:rsidR="00620C4B" w:rsidRPr="00782783" w:rsidRDefault="00620C4B">
            <w:pPr>
              <w:keepLines/>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18</w:t>
            </w:r>
            <w:r w:rsidR="00FC7500">
              <w:rPr>
                <w:rFonts w:ascii="Arial Narrow" w:eastAsiaTheme="majorEastAsia" w:hAnsi="Arial Narrow" w:cstheme="majorBidi"/>
                <w:bCs/>
                <w:sz w:val="20"/>
                <w:lang w:eastAsia="en-US"/>
              </w:rPr>
              <w:noBreakHyphen/>
            </w:r>
            <w:r w:rsidRPr="00782783">
              <w:rPr>
                <w:rFonts w:ascii="Arial Narrow" w:eastAsiaTheme="majorEastAsia" w:hAnsi="Arial Narrow" w:cstheme="majorBidi"/>
                <w:bCs/>
                <w:sz w:val="20"/>
                <w:lang w:eastAsia="en-US"/>
              </w:rPr>
              <w:t>75 years</w:t>
            </w:r>
          </w:p>
          <w:p w14:paraId="088DF47F" w14:textId="77777777" w:rsidR="00620C4B" w:rsidRPr="00782783" w:rsidRDefault="00620C4B">
            <w:pPr>
              <w:keepLines/>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CDAI ≥220 and ≤450 at baseline.</w:t>
            </w:r>
          </w:p>
          <w:p w14:paraId="48E951E6" w14:textId="77777777" w:rsidR="00620C4B" w:rsidRPr="00782783" w:rsidRDefault="00620C4B">
            <w:pPr>
              <w:keepLines/>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dFCD: Single or multiple draining fistula at baseline.</w:t>
            </w:r>
          </w:p>
        </w:tc>
        <w:tc>
          <w:tcPr>
            <w:tcW w:w="1466" w:type="pct"/>
            <w:vAlign w:val="center"/>
          </w:tcPr>
          <w:p w14:paraId="39F7D360" w14:textId="77777777" w:rsidR="00620C4B" w:rsidRPr="00782783" w:rsidRDefault="00620C4B">
            <w:pPr>
              <w:keepLines/>
              <w:jc w:val="left"/>
              <w:rPr>
                <w:rFonts w:ascii="Arial Narrow" w:eastAsiaTheme="minorHAnsi" w:hAnsi="Arial Narrow" w:cstheme="majorBidi"/>
                <w:bCs/>
                <w:sz w:val="20"/>
                <w:lang w:eastAsia="en-US"/>
              </w:rPr>
            </w:pPr>
            <w:r w:rsidRPr="00782783">
              <w:rPr>
                <w:rFonts w:ascii="Arial Narrow" w:eastAsiaTheme="minorHAnsi" w:hAnsi="Arial Narrow" w:cstheme="majorBidi"/>
                <w:bCs/>
                <w:sz w:val="20"/>
                <w:lang w:eastAsia="en-US"/>
              </w:rPr>
              <w:t>Fistula response (≥50% reduction in number of draining fistulas)</w:t>
            </w:r>
          </w:p>
          <w:p w14:paraId="7374D626" w14:textId="77777777" w:rsidR="00620C4B" w:rsidRPr="00782783" w:rsidRDefault="00620C4B">
            <w:pPr>
              <w:keepLines/>
              <w:jc w:val="left"/>
              <w:rPr>
                <w:rFonts w:ascii="Arial Narrow" w:eastAsiaTheme="majorEastAsia" w:hAnsi="Arial Narrow" w:cstheme="majorBidi"/>
                <w:bCs/>
                <w:sz w:val="20"/>
              </w:rPr>
            </w:pPr>
            <w:r w:rsidRPr="00782783">
              <w:rPr>
                <w:rFonts w:ascii="Arial Narrow" w:eastAsiaTheme="minorHAnsi" w:hAnsi="Arial Narrow" w:cstheme="majorBidi"/>
                <w:bCs/>
                <w:sz w:val="20"/>
                <w:lang w:eastAsia="en-US"/>
              </w:rPr>
              <w:t>Fistula remission (complete closure/ absence of all draining fistulas)</w:t>
            </w:r>
          </w:p>
        </w:tc>
      </w:tr>
      <w:tr w:rsidR="00620C4B" w:rsidRPr="00782783" w14:paraId="312E41FB" w14:textId="77777777">
        <w:trPr>
          <w:trHeight w:val="20"/>
          <w:jc w:val="center"/>
        </w:trPr>
        <w:tc>
          <w:tcPr>
            <w:tcW w:w="451" w:type="pct"/>
            <w:vAlign w:val="center"/>
          </w:tcPr>
          <w:p w14:paraId="4979946C" w14:textId="3FAE8546" w:rsidR="00620C4B" w:rsidRPr="00782783" w:rsidRDefault="00620C4B">
            <w:pPr>
              <w:keepLines/>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U</w:t>
            </w:r>
            <w:r w:rsidR="00FC7500">
              <w:rPr>
                <w:rFonts w:ascii="Arial Narrow" w:eastAsiaTheme="minorHAnsi" w:hAnsi="Arial Narrow" w:cstheme="minorBidi"/>
                <w:bCs/>
                <w:sz w:val="20"/>
                <w:lang w:eastAsia="en-US"/>
              </w:rPr>
              <w:noBreakHyphen/>
            </w:r>
            <w:r w:rsidRPr="00782783">
              <w:rPr>
                <w:rFonts w:ascii="Arial Narrow" w:eastAsiaTheme="minorHAnsi" w:hAnsi="Arial Narrow" w:cstheme="minorBidi"/>
                <w:bCs/>
                <w:sz w:val="20"/>
                <w:lang w:eastAsia="en-US"/>
              </w:rPr>
              <w:t>EXCEL</w:t>
            </w:r>
          </w:p>
        </w:tc>
        <w:tc>
          <w:tcPr>
            <w:tcW w:w="647" w:type="pct"/>
            <w:vMerge/>
            <w:vAlign w:val="center"/>
          </w:tcPr>
          <w:p w14:paraId="583FD158" w14:textId="77777777" w:rsidR="00620C4B" w:rsidRPr="00782783" w:rsidRDefault="00620C4B">
            <w:pPr>
              <w:keepLines/>
              <w:jc w:val="left"/>
              <w:rPr>
                <w:rFonts w:ascii="Arial Narrow" w:eastAsiaTheme="minorHAnsi" w:hAnsi="Arial Narrow" w:cstheme="minorBidi"/>
                <w:bCs/>
                <w:sz w:val="20"/>
                <w:lang w:eastAsia="en-US"/>
              </w:rPr>
            </w:pPr>
          </w:p>
        </w:tc>
        <w:tc>
          <w:tcPr>
            <w:tcW w:w="786" w:type="pct"/>
            <w:vAlign w:val="center"/>
          </w:tcPr>
          <w:p w14:paraId="234EFC34" w14:textId="77777777" w:rsidR="00620C4B" w:rsidRPr="00782783" w:rsidRDefault="00620C4B">
            <w:pPr>
              <w:keepLines/>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R, DB, PC, MC</w:t>
            </w:r>
          </w:p>
          <w:p w14:paraId="282E2B90" w14:textId="77777777" w:rsidR="00620C4B" w:rsidRPr="00782783" w:rsidRDefault="00620C4B">
            <w:pPr>
              <w:keepLines/>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12 Week induction period</w:t>
            </w:r>
          </w:p>
        </w:tc>
        <w:tc>
          <w:tcPr>
            <w:tcW w:w="550" w:type="pct"/>
            <w:vAlign w:val="center"/>
          </w:tcPr>
          <w:p w14:paraId="0E49F088" w14:textId="77777777" w:rsidR="00620C4B" w:rsidRPr="00782783" w:rsidRDefault="00620C4B">
            <w:pPr>
              <w:keepLines/>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CD: Low</w:t>
            </w:r>
          </w:p>
          <w:p w14:paraId="459D543E" w14:textId="77777777" w:rsidR="00620C4B" w:rsidRPr="00782783" w:rsidRDefault="00620C4B">
            <w:pPr>
              <w:keepLines/>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FCD: High</w:t>
            </w:r>
          </w:p>
        </w:tc>
        <w:tc>
          <w:tcPr>
            <w:tcW w:w="1100" w:type="pct"/>
            <w:vAlign w:val="center"/>
          </w:tcPr>
          <w:p w14:paraId="3FB5A943" w14:textId="7AEFE50A" w:rsidR="00620C4B" w:rsidRPr="00782783" w:rsidRDefault="00620C4B">
            <w:pPr>
              <w:keepLines/>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18</w:t>
            </w:r>
            <w:r w:rsidR="00FC7500">
              <w:rPr>
                <w:rFonts w:ascii="Arial Narrow" w:eastAsiaTheme="majorEastAsia" w:hAnsi="Arial Narrow" w:cstheme="majorBidi"/>
                <w:bCs/>
                <w:sz w:val="20"/>
                <w:lang w:eastAsia="en-US"/>
              </w:rPr>
              <w:noBreakHyphen/>
            </w:r>
            <w:r w:rsidRPr="00782783">
              <w:rPr>
                <w:rFonts w:ascii="Arial Narrow" w:eastAsiaTheme="majorEastAsia" w:hAnsi="Arial Narrow" w:cstheme="majorBidi"/>
                <w:bCs/>
                <w:sz w:val="20"/>
                <w:lang w:eastAsia="en-US"/>
              </w:rPr>
              <w:t>75 years</w:t>
            </w:r>
          </w:p>
          <w:p w14:paraId="372B47E8" w14:textId="77777777" w:rsidR="00620C4B" w:rsidRPr="00782783" w:rsidRDefault="00620C4B">
            <w:pPr>
              <w:keepLines/>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CDAI ≥220 and ≤450 at baseline.</w:t>
            </w:r>
          </w:p>
          <w:p w14:paraId="12725D96" w14:textId="77777777" w:rsidR="00620C4B" w:rsidRPr="00782783" w:rsidRDefault="00620C4B">
            <w:pPr>
              <w:keepLines/>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dFCD: Single or multiple draining fistula at baseline.</w:t>
            </w:r>
          </w:p>
        </w:tc>
        <w:tc>
          <w:tcPr>
            <w:tcW w:w="1466" w:type="pct"/>
            <w:vAlign w:val="center"/>
          </w:tcPr>
          <w:p w14:paraId="487CEFD9" w14:textId="77777777" w:rsidR="00620C4B" w:rsidRPr="00782783" w:rsidRDefault="00620C4B">
            <w:pPr>
              <w:keepLines/>
              <w:jc w:val="left"/>
              <w:rPr>
                <w:rFonts w:ascii="Arial Narrow" w:eastAsiaTheme="majorEastAsia" w:hAnsi="Arial Narrow" w:cstheme="majorBidi"/>
                <w:bCs/>
                <w:sz w:val="20"/>
              </w:rPr>
            </w:pPr>
            <w:r w:rsidRPr="00782783">
              <w:rPr>
                <w:rFonts w:ascii="Arial Narrow" w:eastAsiaTheme="majorEastAsia" w:hAnsi="Arial Narrow" w:cstheme="majorBidi"/>
                <w:bCs/>
                <w:sz w:val="20"/>
              </w:rPr>
              <w:t>Fistula response (≥50% reduction in number of draining fistulas)</w:t>
            </w:r>
          </w:p>
          <w:p w14:paraId="7C0A460C" w14:textId="77777777" w:rsidR="00620C4B" w:rsidRPr="00782783" w:rsidRDefault="00620C4B">
            <w:pPr>
              <w:keepLines/>
              <w:jc w:val="left"/>
              <w:rPr>
                <w:rFonts w:ascii="Arial Narrow" w:eastAsiaTheme="majorEastAsia" w:hAnsi="Arial Narrow" w:cstheme="majorBidi"/>
                <w:bCs/>
                <w:sz w:val="20"/>
              </w:rPr>
            </w:pPr>
            <w:r w:rsidRPr="00782783">
              <w:rPr>
                <w:rFonts w:ascii="Arial Narrow" w:eastAsiaTheme="majorEastAsia" w:hAnsi="Arial Narrow" w:cstheme="majorBidi"/>
                <w:bCs/>
                <w:sz w:val="20"/>
              </w:rPr>
              <w:t>Fistula remission (complete closure/ absence of all draining fistulas)</w:t>
            </w:r>
          </w:p>
        </w:tc>
      </w:tr>
      <w:tr w:rsidR="00620C4B" w:rsidRPr="00782783" w14:paraId="337DF16A" w14:textId="77777777">
        <w:trPr>
          <w:trHeight w:val="20"/>
          <w:jc w:val="center"/>
        </w:trPr>
        <w:tc>
          <w:tcPr>
            <w:tcW w:w="451" w:type="pct"/>
            <w:vAlign w:val="center"/>
          </w:tcPr>
          <w:p w14:paraId="56A60B54" w14:textId="12DF3D1E" w:rsidR="00620C4B" w:rsidRPr="00782783" w:rsidRDefault="00620C4B">
            <w:pPr>
              <w:keepLines/>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U</w:t>
            </w:r>
            <w:r w:rsidR="00FC7500">
              <w:rPr>
                <w:rFonts w:ascii="Arial Narrow" w:eastAsiaTheme="minorHAnsi" w:hAnsi="Arial Narrow" w:cstheme="minorBidi"/>
                <w:bCs/>
                <w:sz w:val="20"/>
                <w:lang w:eastAsia="en-US"/>
              </w:rPr>
              <w:noBreakHyphen/>
            </w:r>
            <w:r w:rsidRPr="00782783">
              <w:rPr>
                <w:rFonts w:ascii="Arial Narrow" w:eastAsiaTheme="minorHAnsi" w:hAnsi="Arial Narrow" w:cstheme="minorBidi"/>
                <w:bCs/>
                <w:sz w:val="20"/>
                <w:lang w:eastAsia="en-US"/>
              </w:rPr>
              <w:t>ENDURE</w:t>
            </w:r>
          </w:p>
        </w:tc>
        <w:tc>
          <w:tcPr>
            <w:tcW w:w="647" w:type="pct"/>
            <w:vAlign w:val="center"/>
          </w:tcPr>
          <w:p w14:paraId="3B0D8ADB" w14:textId="77777777" w:rsidR="00620C4B" w:rsidRPr="00782783" w:rsidRDefault="00620C4B">
            <w:pPr>
              <w:keepLines/>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CD: 502</w:t>
            </w:r>
          </w:p>
          <w:p w14:paraId="1194B845" w14:textId="77777777" w:rsidR="00620C4B" w:rsidRPr="00782783" w:rsidRDefault="00620C4B">
            <w:pPr>
              <w:keepLines/>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dFCD: 36</w:t>
            </w:r>
            <w:r w:rsidRPr="00782783">
              <w:rPr>
                <w:rFonts w:ascii="Arial Narrow" w:eastAsiaTheme="minorHAnsi" w:hAnsi="Arial Narrow" w:cstheme="minorBidi"/>
                <w:bCs/>
                <w:sz w:val="20"/>
                <w:vertAlign w:val="superscript"/>
                <w:lang w:eastAsia="en-US"/>
              </w:rPr>
              <w:t>b</w:t>
            </w:r>
          </w:p>
          <w:p w14:paraId="116DF833" w14:textId="77777777" w:rsidR="00620C4B" w:rsidRPr="00782783" w:rsidRDefault="00620C4B">
            <w:pPr>
              <w:keepLines/>
              <w:jc w:val="left"/>
              <w:rPr>
                <w:rFonts w:ascii="Arial Narrow" w:eastAsiaTheme="minorHAnsi" w:hAnsi="Arial Narrow" w:cstheme="minorBidi"/>
                <w:bCs/>
                <w:sz w:val="20"/>
                <w:lang w:eastAsia="en-US"/>
              </w:rPr>
            </w:pPr>
          </w:p>
        </w:tc>
        <w:tc>
          <w:tcPr>
            <w:tcW w:w="786" w:type="pct"/>
            <w:vAlign w:val="center"/>
          </w:tcPr>
          <w:p w14:paraId="42D77ACB" w14:textId="77777777" w:rsidR="00620C4B" w:rsidRPr="00782783" w:rsidRDefault="00620C4B">
            <w:pPr>
              <w:keepLines/>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R, DB, PC, MC</w:t>
            </w:r>
          </w:p>
          <w:p w14:paraId="5F8E9569" w14:textId="77777777" w:rsidR="00620C4B" w:rsidRPr="00782783" w:rsidRDefault="00620C4B">
            <w:pPr>
              <w:keepLines/>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52 weeks (maintenance)</w:t>
            </w:r>
          </w:p>
        </w:tc>
        <w:tc>
          <w:tcPr>
            <w:tcW w:w="550" w:type="pct"/>
            <w:vAlign w:val="center"/>
          </w:tcPr>
          <w:p w14:paraId="7C06CAE9" w14:textId="77777777" w:rsidR="00620C4B" w:rsidRPr="00782783" w:rsidRDefault="00620C4B">
            <w:pPr>
              <w:keepLines/>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CD: Low</w:t>
            </w:r>
          </w:p>
          <w:p w14:paraId="2BA350D2" w14:textId="77777777" w:rsidR="00620C4B" w:rsidRPr="00782783" w:rsidRDefault="00620C4B">
            <w:pPr>
              <w:keepLines/>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FCD: High</w:t>
            </w:r>
          </w:p>
        </w:tc>
        <w:tc>
          <w:tcPr>
            <w:tcW w:w="1100" w:type="pct"/>
            <w:vAlign w:val="center"/>
          </w:tcPr>
          <w:p w14:paraId="33604BA7" w14:textId="77A53923" w:rsidR="00620C4B" w:rsidRPr="00782783" w:rsidRDefault="00620C4B">
            <w:pPr>
              <w:keepLines/>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Patients that completed U</w:t>
            </w:r>
            <w:r w:rsidR="00FC7500">
              <w:rPr>
                <w:rFonts w:ascii="Arial Narrow" w:eastAsiaTheme="majorEastAsia" w:hAnsi="Arial Narrow" w:cstheme="majorBidi"/>
                <w:bCs/>
                <w:sz w:val="20"/>
                <w:lang w:eastAsia="en-US"/>
              </w:rPr>
              <w:noBreakHyphen/>
            </w:r>
            <w:r w:rsidRPr="00782783">
              <w:rPr>
                <w:rFonts w:ascii="Arial Narrow" w:eastAsiaTheme="majorEastAsia" w:hAnsi="Arial Narrow" w:cstheme="majorBidi"/>
                <w:bCs/>
                <w:sz w:val="20"/>
                <w:lang w:eastAsia="en-US"/>
              </w:rPr>
              <w:t>EXCEED or U</w:t>
            </w:r>
            <w:r w:rsidR="00FC7500">
              <w:rPr>
                <w:rFonts w:ascii="Arial Narrow" w:eastAsiaTheme="majorEastAsia" w:hAnsi="Arial Narrow" w:cstheme="majorBidi"/>
                <w:bCs/>
                <w:sz w:val="20"/>
                <w:lang w:eastAsia="en-US"/>
              </w:rPr>
              <w:noBreakHyphen/>
            </w:r>
            <w:r w:rsidRPr="00782783">
              <w:rPr>
                <w:rFonts w:ascii="Arial Narrow" w:eastAsiaTheme="majorEastAsia" w:hAnsi="Arial Narrow" w:cstheme="majorBidi"/>
                <w:bCs/>
                <w:sz w:val="20"/>
                <w:lang w:eastAsia="en-US"/>
              </w:rPr>
              <w:t>EXCEL</w:t>
            </w:r>
          </w:p>
        </w:tc>
        <w:tc>
          <w:tcPr>
            <w:tcW w:w="1466" w:type="pct"/>
            <w:vAlign w:val="center"/>
          </w:tcPr>
          <w:p w14:paraId="10430476" w14:textId="77777777" w:rsidR="00620C4B" w:rsidRPr="00782783" w:rsidRDefault="00620C4B">
            <w:pPr>
              <w:keepLines/>
              <w:jc w:val="left"/>
              <w:rPr>
                <w:rFonts w:ascii="Arial Narrow" w:eastAsiaTheme="minorHAnsi" w:hAnsi="Arial Narrow" w:cstheme="majorBidi"/>
                <w:bCs/>
                <w:sz w:val="20"/>
                <w:lang w:eastAsia="en-US"/>
              </w:rPr>
            </w:pPr>
            <w:r w:rsidRPr="00782783">
              <w:rPr>
                <w:rFonts w:ascii="Arial Narrow" w:eastAsiaTheme="minorHAnsi" w:hAnsi="Arial Narrow" w:cstheme="majorBidi"/>
                <w:bCs/>
                <w:sz w:val="20"/>
                <w:lang w:eastAsia="en-US"/>
              </w:rPr>
              <w:t>Fistula response (≥50% reduction in number of draining fistulas)</w:t>
            </w:r>
          </w:p>
          <w:p w14:paraId="760EDE95" w14:textId="77777777" w:rsidR="00620C4B" w:rsidRPr="00782783" w:rsidRDefault="00620C4B">
            <w:pPr>
              <w:keepLines/>
              <w:jc w:val="left"/>
              <w:rPr>
                <w:rFonts w:ascii="Arial Narrow" w:eastAsiaTheme="majorEastAsia" w:hAnsi="Arial Narrow" w:cstheme="majorBidi"/>
                <w:bCs/>
                <w:sz w:val="20"/>
              </w:rPr>
            </w:pPr>
            <w:r w:rsidRPr="00782783">
              <w:rPr>
                <w:rFonts w:ascii="Arial Narrow" w:eastAsiaTheme="minorHAnsi" w:hAnsi="Arial Narrow" w:cstheme="majorBidi"/>
                <w:bCs/>
                <w:sz w:val="20"/>
                <w:lang w:eastAsia="en-US"/>
              </w:rPr>
              <w:t>Fistula remission (complete closure/ absence of all draining fistulas)</w:t>
            </w:r>
          </w:p>
        </w:tc>
      </w:tr>
      <w:tr w:rsidR="00620C4B" w:rsidRPr="00782783" w14:paraId="713EA19F" w14:textId="77777777" w:rsidTr="006704D9">
        <w:trPr>
          <w:trHeight w:val="20"/>
          <w:jc w:val="center"/>
        </w:trPr>
        <w:tc>
          <w:tcPr>
            <w:tcW w:w="5000" w:type="pct"/>
            <w:gridSpan w:val="6"/>
            <w:shd w:val="clear" w:color="auto" w:fill="DBE5F1" w:themeFill="accent1" w:themeFillTint="33"/>
            <w:vAlign w:val="center"/>
          </w:tcPr>
          <w:p w14:paraId="01A34FF2"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
                <w:sz w:val="20"/>
                <w:lang w:eastAsia="en-US"/>
              </w:rPr>
            </w:pPr>
            <w:r w:rsidRPr="00782783">
              <w:rPr>
                <w:rFonts w:ascii="Arial Narrow" w:eastAsiaTheme="minorHAnsi" w:hAnsi="Arial Narrow" w:cstheme="minorBidi"/>
                <w:b/>
                <w:sz w:val="20"/>
                <w:lang w:eastAsia="en-US"/>
              </w:rPr>
              <w:t>Infliximab trials</w:t>
            </w:r>
          </w:p>
        </w:tc>
      </w:tr>
      <w:tr w:rsidR="00620C4B" w:rsidRPr="00782783" w14:paraId="2C3F5797" w14:textId="77777777" w:rsidTr="006704D9">
        <w:trPr>
          <w:trHeight w:val="20"/>
          <w:jc w:val="center"/>
        </w:trPr>
        <w:tc>
          <w:tcPr>
            <w:tcW w:w="451" w:type="pct"/>
            <w:shd w:val="clear" w:color="auto" w:fill="DBE5F1" w:themeFill="accent1" w:themeFillTint="33"/>
            <w:vAlign w:val="center"/>
          </w:tcPr>
          <w:p w14:paraId="0ACB3F23"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T20</w:t>
            </w:r>
          </w:p>
        </w:tc>
        <w:tc>
          <w:tcPr>
            <w:tcW w:w="647" w:type="pct"/>
            <w:shd w:val="clear" w:color="auto" w:fill="DBE5F1" w:themeFill="accent1" w:themeFillTint="33"/>
            <w:vAlign w:val="center"/>
          </w:tcPr>
          <w:p w14:paraId="3241CFCC"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CD: 94</w:t>
            </w:r>
          </w:p>
          <w:p w14:paraId="21CD93C9"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dFCD: 6</w:t>
            </w:r>
            <w:r w:rsidRPr="00782783">
              <w:rPr>
                <w:rFonts w:ascii="Arial Narrow" w:eastAsiaTheme="minorHAnsi" w:hAnsi="Arial Narrow" w:cstheme="minorBidi"/>
                <w:bCs/>
                <w:sz w:val="20"/>
                <w:vertAlign w:val="superscript"/>
                <w:lang w:eastAsia="en-US"/>
              </w:rPr>
              <w:t>c</w:t>
            </w:r>
          </w:p>
          <w:p w14:paraId="66AB5537"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p>
        </w:tc>
        <w:tc>
          <w:tcPr>
            <w:tcW w:w="786" w:type="pct"/>
            <w:shd w:val="clear" w:color="auto" w:fill="DBE5F1" w:themeFill="accent1" w:themeFillTint="33"/>
            <w:vAlign w:val="center"/>
          </w:tcPr>
          <w:p w14:paraId="55F11EF5"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R, DB, PC</w:t>
            </w:r>
          </w:p>
          <w:p w14:paraId="1E3D8023"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18 Week induction</w:t>
            </w:r>
          </w:p>
        </w:tc>
        <w:tc>
          <w:tcPr>
            <w:tcW w:w="550" w:type="pct"/>
            <w:shd w:val="clear" w:color="auto" w:fill="DBE5F1" w:themeFill="accent1" w:themeFillTint="33"/>
            <w:vAlign w:val="center"/>
          </w:tcPr>
          <w:p w14:paraId="38697E1B"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FCD: Low</w:t>
            </w:r>
          </w:p>
        </w:tc>
        <w:tc>
          <w:tcPr>
            <w:tcW w:w="1100" w:type="pct"/>
            <w:shd w:val="clear" w:color="auto" w:fill="DBE5F1" w:themeFill="accent1" w:themeFillTint="33"/>
            <w:vAlign w:val="center"/>
          </w:tcPr>
          <w:p w14:paraId="42179EE9" w14:textId="16130FE1" w:rsidR="00620C4B" w:rsidRPr="00782783" w:rsidRDefault="00620C4B" w:rsidP="006704D9">
            <w:pPr>
              <w:keepLines/>
              <w:shd w:val="clear" w:color="auto" w:fill="DBE5F1" w:themeFill="accent1" w:themeFillTint="33"/>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18</w:t>
            </w:r>
            <w:r w:rsidR="00FC7500">
              <w:rPr>
                <w:rFonts w:ascii="Arial Narrow" w:eastAsiaTheme="majorEastAsia" w:hAnsi="Arial Narrow" w:cstheme="majorBidi"/>
                <w:bCs/>
                <w:sz w:val="20"/>
                <w:lang w:eastAsia="en-US"/>
              </w:rPr>
              <w:noBreakHyphen/>
            </w:r>
            <w:r w:rsidRPr="00782783">
              <w:rPr>
                <w:rFonts w:ascii="Arial Narrow" w:eastAsiaTheme="majorEastAsia" w:hAnsi="Arial Narrow" w:cstheme="majorBidi"/>
                <w:bCs/>
                <w:sz w:val="20"/>
                <w:lang w:eastAsia="en-US"/>
              </w:rPr>
              <w:t>65 years.</w:t>
            </w:r>
          </w:p>
          <w:p w14:paraId="1F3826F7" w14:textId="77777777" w:rsidR="00620C4B" w:rsidRPr="00782783" w:rsidRDefault="00620C4B" w:rsidP="006704D9">
            <w:pPr>
              <w:keepLines/>
              <w:shd w:val="clear" w:color="auto" w:fill="DBE5F1" w:themeFill="accent1" w:themeFillTint="33"/>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Single or multiple draining fistula for ≥ 3 months.</w:t>
            </w:r>
          </w:p>
          <w:p w14:paraId="483B8ECC" w14:textId="77777777" w:rsidR="00620C4B" w:rsidRPr="00782783" w:rsidRDefault="00620C4B" w:rsidP="006704D9">
            <w:pPr>
              <w:keepLines/>
              <w:shd w:val="clear" w:color="auto" w:fill="DBE5F1" w:themeFill="accent1" w:themeFillTint="33"/>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TNF untreated.</w:t>
            </w:r>
          </w:p>
        </w:tc>
        <w:tc>
          <w:tcPr>
            <w:tcW w:w="1466" w:type="pct"/>
            <w:shd w:val="clear" w:color="auto" w:fill="DBE5F1" w:themeFill="accent1" w:themeFillTint="33"/>
            <w:vAlign w:val="center"/>
          </w:tcPr>
          <w:p w14:paraId="2FE20360" w14:textId="77777777" w:rsidR="00620C4B" w:rsidRPr="00782783" w:rsidRDefault="00620C4B" w:rsidP="006704D9">
            <w:pPr>
              <w:keepLines/>
              <w:shd w:val="clear" w:color="auto" w:fill="DBE5F1" w:themeFill="accent1" w:themeFillTint="33"/>
              <w:jc w:val="left"/>
              <w:rPr>
                <w:rFonts w:ascii="Arial Narrow" w:eastAsiaTheme="majorEastAsia" w:hAnsi="Arial Narrow" w:cstheme="majorBidi"/>
                <w:bCs/>
                <w:sz w:val="20"/>
              </w:rPr>
            </w:pPr>
            <w:r w:rsidRPr="00782783">
              <w:rPr>
                <w:rFonts w:ascii="Arial Narrow" w:eastAsiaTheme="majorEastAsia" w:hAnsi="Arial Narrow" w:cstheme="majorBidi"/>
                <w:bCs/>
                <w:sz w:val="20"/>
              </w:rPr>
              <w:t>Fistula response (≥50% reduction in number of draining fistulae at ≥2 consecutive visits)</w:t>
            </w:r>
          </w:p>
          <w:p w14:paraId="0CA8367F" w14:textId="77777777" w:rsidR="00620C4B" w:rsidRPr="00782783" w:rsidRDefault="00620C4B" w:rsidP="006704D9">
            <w:pPr>
              <w:keepLines/>
              <w:shd w:val="clear" w:color="auto" w:fill="DBE5F1" w:themeFill="accent1" w:themeFillTint="33"/>
              <w:jc w:val="left"/>
              <w:rPr>
                <w:rFonts w:ascii="Arial Narrow" w:eastAsiaTheme="majorEastAsia" w:hAnsi="Arial Narrow" w:cstheme="majorBidi"/>
                <w:bCs/>
                <w:sz w:val="20"/>
              </w:rPr>
            </w:pPr>
            <w:r w:rsidRPr="00782783">
              <w:rPr>
                <w:rFonts w:ascii="Arial Narrow" w:eastAsiaTheme="majorEastAsia" w:hAnsi="Arial Narrow" w:cstheme="majorBidi"/>
                <w:bCs/>
                <w:sz w:val="20"/>
              </w:rPr>
              <w:t>Fistula remission (absence of any draining fistulas at 2 consecutive visits)</w:t>
            </w:r>
          </w:p>
        </w:tc>
      </w:tr>
      <w:tr w:rsidR="00620C4B" w:rsidRPr="00782783" w14:paraId="41BCF937" w14:textId="77777777" w:rsidTr="006704D9">
        <w:trPr>
          <w:trHeight w:val="20"/>
          <w:jc w:val="center"/>
        </w:trPr>
        <w:tc>
          <w:tcPr>
            <w:tcW w:w="451" w:type="pct"/>
            <w:shd w:val="clear" w:color="auto" w:fill="DBE5F1" w:themeFill="accent1" w:themeFillTint="33"/>
            <w:vAlign w:val="center"/>
          </w:tcPr>
          <w:p w14:paraId="15101134"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ACCENT II</w:t>
            </w:r>
          </w:p>
        </w:tc>
        <w:tc>
          <w:tcPr>
            <w:tcW w:w="647" w:type="pct"/>
            <w:shd w:val="clear" w:color="auto" w:fill="DBE5F1" w:themeFill="accent1" w:themeFillTint="33"/>
            <w:vAlign w:val="center"/>
          </w:tcPr>
          <w:p w14:paraId="2470A719"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CD:282</w:t>
            </w:r>
          </w:p>
          <w:p w14:paraId="10C72E32"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dFCD: 276</w:t>
            </w:r>
            <w:r w:rsidRPr="00782783">
              <w:rPr>
                <w:rFonts w:ascii="Arial Narrow" w:eastAsiaTheme="minorHAnsi" w:hAnsi="Arial Narrow" w:cstheme="minorBidi"/>
                <w:bCs/>
                <w:sz w:val="20"/>
                <w:vertAlign w:val="superscript"/>
                <w:lang w:eastAsia="en-US"/>
              </w:rPr>
              <w:t>d</w:t>
            </w:r>
          </w:p>
        </w:tc>
        <w:tc>
          <w:tcPr>
            <w:tcW w:w="786" w:type="pct"/>
            <w:shd w:val="clear" w:color="auto" w:fill="DBE5F1" w:themeFill="accent1" w:themeFillTint="33"/>
            <w:vAlign w:val="center"/>
          </w:tcPr>
          <w:p w14:paraId="4443EBE9" w14:textId="7AB7A94A"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 xml:space="preserve">MC, OL (14wk)/R, DB, (+40wk), RWD (induction </w:t>
            </w:r>
            <w:r w:rsidRPr="00782783">
              <w:rPr>
                <w:rFonts w:ascii="Arial Narrow" w:eastAsiaTheme="minorHAnsi" w:hAnsi="Arial Narrow" w:cstheme="minorBidi"/>
                <w:bCs/>
                <w:sz w:val="20"/>
                <w:lang w:eastAsia="en-US"/>
              </w:rPr>
              <w:lastRenderedPageBreak/>
              <w:t>phase responders &amp; non</w:t>
            </w:r>
            <w:r w:rsidR="00FC7500">
              <w:rPr>
                <w:rFonts w:ascii="Arial Narrow" w:eastAsiaTheme="minorHAnsi" w:hAnsi="Arial Narrow" w:cstheme="minorBidi"/>
                <w:bCs/>
                <w:sz w:val="20"/>
                <w:lang w:eastAsia="en-US"/>
              </w:rPr>
              <w:noBreakHyphen/>
            </w:r>
            <w:r w:rsidRPr="00782783">
              <w:rPr>
                <w:rFonts w:ascii="Arial Narrow" w:eastAsiaTheme="minorHAnsi" w:hAnsi="Arial Narrow" w:cstheme="minorBidi"/>
                <w:bCs/>
                <w:sz w:val="20"/>
                <w:lang w:eastAsia="en-US"/>
              </w:rPr>
              <w:t>responders)</w:t>
            </w:r>
          </w:p>
          <w:p w14:paraId="7CBE28E0"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54 Week maintenance</w:t>
            </w:r>
          </w:p>
        </w:tc>
        <w:tc>
          <w:tcPr>
            <w:tcW w:w="550" w:type="pct"/>
            <w:shd w:val="clear" w:color="auto" w:fill="DBE5F1" w:themeFill="accent1" w:themeFillTint="33"/>
            <w:vAlign w:val="center"/>
          </w:tcPr>
          <w:p w14:paraId="26331469"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lastRenderedPageBreak/>
              <w:t>FCD: Low</w:t>
            </w:r>
          </w:p>
        </w:tc>
        <w:tc>
          <w:tcPr>
            <w:tcW w:w="1100" w:type="pct"/>
            <w:shd w:val="clear" w:color="auto" w:fill="DBE5F1" w:themeFill="accent1" w:themeFillTint="33"/>
            <w:vAlign w:val="center"/>
          </w:tcPr>
          <w:p w14:paraId="10A2BD84" w14:textId="77777777" w:rsidR="00620C4B" w:rsidRPr="00782783" w:rsidRDefault="00620C4B" w:rsidP="006704D9">
            <w:pPr>
              <w:keepLines/>
              <w:shd w:val="clear" w:color="auto" w:fill="DBE5F1" w:themeFill="accent1" w:themeFillTint="33"/>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≥18 years.</w:t>
            </w:r>
          </w:p>
          <w:p w14:paraId="4E4D1B5D" w14:textId="77777777" w:rsidR="00620C4B" w:rsidRPr="00782783" w:rsidRDefault="00620C4B" w:rsidP="006704D9">
            <w:pPr>
              <w:keepLines/>
              <w:shd w:val="clear" w:color="auto" w:fill="DBE5F1" w:themeFill="accent1" w:themeFillTint="33"/>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Single or multiple draining fistula for ≥ 3 months.</w:t>
            </w:r>
          </w:p>
        </w:tc>
        <w:tc>
          <w:tcPr>
            <w:tcW w:w="1466" w:type="pct"/>
            <w:shd w:val="clear" w:color="auto" w:fill="DBE5F1" w:themeFill="accent1" w:themeFillTint="33"/>
            <w:vAlign w:val="center"/>
          </w:tcPr>
          <w:p w14:paraId="7F1F9147" w14:textId="77777777" w:rsidR="00620C4B" w:rsidRPr="00782783" w:rsidRDefault="00620C4B" w:rsidP="006704D9">
            <w:pPr>
              <w:keepLines/>
              <w:shd w:val="clear" w:color="auto" w:fill="DBE5F1" w:themeFill="accent1" w:themeFillTint="33"/>
              <w:jc w:val="left"/>
              <w:rPr>
                <w:rFonts w:ascii="Arial Narrow" w:eastAsiaTheme="minorHAnsi" w:hAnsi="Arial Narrow" w:cstheme="majorBidi"/>
                <w:bCs/>
                <w:sz w:val="20"/>
                <w:lang w:eastAsia="en-US"/>
              </w:rPr>
            </w:pPr>
            <w:r w:rsidRPr="00782783">
              <w:rPr>
                <w:rFonts w:ascii="Arial Narrow" w:eastAsiaTheme="minorHAnsi" w:hAnsi="Arial Narrow" w:cstheme="majorBidi"/>
                <w:bCs/>
                <w:sz w:val="20"/>
                <w:lang w:eastAsia="en-US"/>
              </w:rPr>
              <w:t>Fistula response (time to loss of response, ≥50% reduction in number of draining fistulae at consecutive visits ≥ 4 weeks apart)</w:t>
            </w:r>
          </w:p>
          <w:p w14:paraId="79155078" w14:textId="77777777" w:rsidR="00620C4B" w:rsidRPr="00782783" w:rsidRDefault="00620C4B" w:rsidP="006704D9">
            <w:pPr>
              <w:keepLines/>
              <w:shd w:val="clear" w:color="auto" w:fill="DBE5F1" w:themeFill="accent1" w:themeFillTint="33"/>
              <w:jc w:val="left"/>
              <w:rPr>
                <w:rFonts w:ascii="Arial Narrow" w:eastAsiaTheme="minorHAnsi" w:hAnsi="Arial Narrow" w:cstheme="majorBidi"/>
                <w:bCs/>
                <w:sz w:val="20"/>
                <w:lang w:eastAsia="en-US"/>
              </w:rPr>
            </w:pPr>
            <w:r w:rsidRPr="00782783">
              <w:rPr>
                <w:rFonts w:ascii="Arial Narrow" w:eastAsiaTheme="minorHAnsi" w:hAnsi="Arial Narrow" w:cstheme="minorBidi"/>
                <w:bCs/>
                <w:sz w:val="20"/>
                <w:lang w:eastAsia="en-US"/>
              </w:rPr>
              <w:lastRenderedPageBreak/>
              <w:t>Fistula remission (absence of draining fistulas)</w:t>
            </w:r>
          </w:p>
        </w:tc>
      </w:tr>
      <w:tr w:rsidR="00620C4B" w:rsidRPr="00782783" w14:paraId="79F8B707" w14:textId="77777777">
        <w:trPr>
          <w:trHeight w:val="20"/>
          <w:jc w:val="center"/>
        </w:trPr>
        <w:tc>
          <w:tcPr>
            <w:tcW w:w="5000" w:type="pct"/>
            <w:gridSpan w:val="6"/>
            <w:shd w:val="clear" w:color="auto" w:fill="B8CCE4" w:themeFill="accent1" w:themeFillTint="66"/>
            <w:vAlign w:val="center"/>
          </w:tcPr>
          <w:p w14:paraId="09B182EF" w14:textId="77777777" w:rsidR="00620C4B" w:rsidRPr="00782783" w:rsidRDefault="00620C4B" w:rsidP="006704D9">
            <w:pPr>
              <w:keepNext/>
              <w:keepLines/>
              <w:shd w:val="clear" w:color="auto" w:fill="DBE5F1" w:themeFill="accent1" w:themeFillTint="33"/>
              <w:jc w:val="left"/>
              <w:rPr>
                <w:rFonts w:ascii="Arial Narrow" w:eastAsiaTheme="minorHAnsi" w:hAnsi="Arial Narrow" w:cstheme="minorBidi"/>
                <w:b/>
                <w:sz w:val="20"/>
                <w:lang w:eastAsia="en-US"/>
              </w:rPr>
            </w:pPr>
            <w:r w:rsidRPr="00782783">
              <w:rPr>
                <w:rFonts w:ascii="Arial Narrow" w:eastAsiaTheme="minorHAnsi" w:hAnsi="Arial Narrow" w:cstheme="minorBidi"/>
                <w:b/>
                <w:sz w:val="20"/>
                <w:lang w:eastAsia="en-US"/>
              </w:rPr>
              <w:lastRenderedPageBreak/>
              <w:t>Adalimumab trials</w:t>
            </w:r>
          </w:p>
        </w:tc>
      </w:tr>
      <w:tr w:rsidR="00620C4B" w:rsidRPr="00782783" w14:paraId="4F42EC65" w14:textId="77777777" w:rsidTr="006704D9">
        <w:trPr>
          <w:trHeight w:val="20"/>
          <w:jc w:val="center"/>
        </w:trPr>
        <w:tc>
          <w:tcPr>
            <w:tcW w:w="451" w:type="pct"/>
            <w:shd w:val="clear" w:color="auto" w:fill="DBE5F1" w:themeFill="accent1" w:themeFillTint="33"/>
            <w:vAlign w:val="center"/>
          </w:tcPr>
          <w:p w14:paraId="55928E30" w14:textId="1007E02C" w:rsidR="00620C4B" w:rsidRPr="00782783" w:rsidRDefault="00620C4B" w:rsidP="006704D9">
            <w:pPr>
              <w:keepNext/>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CLASSIC</w:t>
            </w:r>
            <w:r w:rsidR="00FC7500">
              <w:rPr>
                <w:rFonts w:ascii="Arial Narrow" w:eastAsiaTheme="minorHAnsi" w:hAnsi="Arial Narrow" w:cstheme="minorBidi"/>
                <w:bCs/>
                <w:sz w:val="20"/>
                <w:lang w:eastAsia="en-US"/>
              </w:rPr>
              <w:noBreakHyphen/>
            </w:r>
            <w:r w:rsidRPr="00782783">
              <w:rPr>
                <w:rFonts w:ascii="Arial Narrow" w:eastAsiaTheme="minorHAnsi" w:hAnsi="Arial Narrow" w:cstheme="minorBidi"/>
                <w:bCs/>
                <w:sz w:val="20"/>
                <w:lang w:eastAsia="en-US"/>
              </w:rPr>
              <w:t>I</w:t>
            </w:r>
          </w:p>
        </w:tc>
        <w:tc>
          <w:tcPr>
            <w:tcW w:w="647" w:type="pct"/>
            <w:shd w:val="clear" w:color="auto" w:fill="DBE5F1" w:themeFill="accent1" w:themeFillTint="33"/>
            <w:vAlign w:val="center"/>
          </w:tcPr>
          <w:p w14:paraId="7265B102" w14:textId="77777777" w:rsidR="00620C4B" w:rsidRPr="00782783" w:rsidRDefault="00620C4B" w:rsidP="006704D9">
            <w:pPr>
              <w:keepNext/>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CD: 150</w:t>
            </w:r>
          </w:p>
          <w:p w14:paraId="4244974E" w14:textId="77777777" w:rsidR="00620C4B" w:rsidRPr="00782783" w:rsidRDefault="00620C4B" w:rsidP="006704D9">
            <w:pPr>
              <w:keepNext/>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dFCD: 18</w:t>
            </w:r>
            <w:r w:rsidRPr="00782783">
              <w:rPr>
                <w:rFonts w:ascii="Arial Narrow" w:eastAsiaTheme="minorHAnsi" w:hAnsi="Arial Narrow" w:cstheme="minorBidi"/>
                <w:bCs/>
                <w:sz w:val="20"/>
                <w:vertAlign w:val="superscript"/>
                <w:lang w:eastAsia="en-US"/>
              </w:rPr>
              <w:t>e</w:t>
            </w:r>
          </w:p>
        </w:tc>
        <w:tc>
          <w:tcPr>
            <w:tcW w:w="786" w:type="pct"/>
            <w:shd w:val="clear" w:color="auto" w:fill="DBE5F1" w:themeFill="accent1" w:themeFillTint="33"/>
            <w:vAlign w:val="center"/>
          </w:tcPr>
          <w:p w14:paraId="5C6D75A8" w14:textId="77777777" w:rsidR="00620C4B" w:rsidRPr="00782783" w:rsidRDefault="00620C4B" w:rsidP="006704D9">
            <w:pPr>
              <w:keepNext/>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R, DB, PC, MC, IP</w:t>
            </w:r>
          </w:p>
          <w:p w14:paraId="6E47A491" w14:textId="77777777" w:rsidR="00620C4B" w:rsidRPr="00782783" w:rsidRDefault="00620C4B" w:rsidP="006704D9">
            <w:pPr>
              <w:keepNext/>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4 Week induction period</w:t>
            </w:r>
          </w:p>
        </w:tc>
        <w:tc>
          <w:tcPr>
            <w:tcW w:w="550" w:type="pct"/>
            <w:shd w:val="clear" w:color="auto" w:fill="DBE5F1" w:themeFill="accent1" w:themeFillTint="33"/>
            <w:vAlign w:val="center"/>
          </w:tcPr>
          <w:p w14:paraId="4D813627"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CD: Low</w:t>
            </w:r>
          </w:p>
          <w:p w14:paraId="71074A29"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FCD: High</w:t>
            </w:r>
          </w:p>
        </w:tc>
        <w:tc>
          <w:tcPr>
            <w:tcW w:w="1100" w:type="pct"/>
            <w:shd w:val="clear" w:color="auto" w:fill="DBE5F1" w:themeFill="accent1" w:themeFillTint="33"/>
            <w:vAlign w:val="center"/>
          </w:tcPr>
          <w:p w14:paraId="3FB4F87C" w14:textId="561950CB" w:rsidR="00620C4B" w:rsidRPr="00782783" w:rsidRDefault="00620C4B" w:rsidP="006704D9">
            <w:pPr>
              <w:keepLines/>
              <w:shd w:val="clear" w:color="auto" w:fill="DBE5F1" w:themeFill="accent1" w:themeFillTint="33"/>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18</w:t>
            </w:r>
            <w:r w:rsidR="00FC7500">
              <w:rPr>
                <w:rFonts w:ascii="Arial Narrow" w:eastAsiaTheme="majorEastAsia" w:hAnsi="Arial Narrow" w:cstheme="majorBidi"/>
                <w:bCs/>
                <w:sz w:val="20"/>
                <w:lang w:eastAsia="en-US"/>
              </w:rPr>
              <w:noBreakHyphen/>
            </w:r>
            <w:r w:rsidRPr="00782783">
              <w:rPr>
                <w:rFonts w:ascii="Arial Narrow" w:eastAsiaTheme="majorEastAsia" w:hAnsi="Arial Narrow" w:cstheme="majorBidi"/>
                <w:bCs/>
                <w:sz w:val="20"/>
                <w:lang w:eastAsia="en-US"/>
              </w:rPr>
              <w:t>75 years.</w:t>
            </w:r>
          </w:p>
          <w:p w14:paraId="1CAD94FA" w14:textId="77777777" w:rsidR="00620C4B" w:rsidRPr="00782783" w:rsidRDefault="00620C4B" w:rsidP="006704D9">
            <w:pPr>
              <w:keepLines/>
              <w:shd w:val="clear" w:color="auto" w:fill="DBE5F1" w:themeFill="accent1" w:themeFillTint="33"/>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CDAI ≥220 and ≤450 at baseline.</w:t>
            </w:r>
          </w:p>
          <w:p w14:paraId="4A38EBD3" w14:textId="77777777" w:rsidR="00620C4B" w:rsidRPr="00782783" w:rsidRDefault="00620C4B" w:rsidP="006704D9">
            <w:pPr>
              <w:keepLines/>
              <w:shd w:val="clear" w:color="auto" w:fill="DBE5F1" w:themeFill="accent1" w:themeFillTint="33"/>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TNF untreated.</w:t>
            </w:r>
          </w:p>
        </w:tc>
        <w:tc>
          <w:tcPr>
            <w:tcW w:w="1466" w:type="pct"/>
            <w:shd w:val="clear" w:color="auto" w:fill="DBE5F1" w:themeFill="accent1" w:themeFillTint="33"/>
            <w:vAlign w:val="center"/>
          </w:tcPr>
          <w:p w14:paraId="04BBCF8E" w14:textId="77777777" w:rsidR="00620C4B" w:rsidRPr="00782783" w:rsidRDefault="00620C4B" w:rsidP="006704D9">
            <w:pPr>
              <w:keepLines/>
              <w:shd w:val="clear" w:color="auto" w:fill="DBE5F1" w:themeFill="accent1" w:themeFillTint="33"/>
              <w:jc w:val="left"/>
              <w:rPr>
                <w:rFonts w:ascii="Arial Narrow" w:eastAsiaTheme="minorHAnsi" w:hAnsi="Arial Narrow" w:cstheme="majorBidi"/>
                <w:bCs/>
                <w:sz w:val="20"/>
                <w:lang w:eastAsia="en-US"/>
              </w:rPr>
            </w:pPr>
            <w:r w:rsidRPr="00782783">
              <w:rPr>
                <w:rFonts w:ascii="Arial Narrow" w:eastAsiaTheme="minorHAnsi" w:hAnsi="Arial Narrow" w:cstheme="majorBidi"/>
                <w:bCs/>
                <w:sz w:val="20"/>
                <w:lang w:eastAsia="en-US"/>
              </w:rPr>
              <w:t>Fistula response (≥50% reduction in number of draining fistulae at ≥2 consecutive visits)</w:t>
            </w:r>
          </w:p>
          <w:p w14:paraId="34161C28" w14:textId="77777777" w:rsidR="00620C4B" w:rsidRPr="00782783" w:rsidRDefault="00620C4B" w:rsidP="006704D9">
            <w:pPr>
              <w:keepLines/>
              <w:shd w:val="clear" w:color="auto" w:fill="DBE5F1" w:themeFill="accent1" w:themeFillTint="33"/>
              <w:jc w:val="left"/>
              <w:rPr>
                <w:rFonts w:ascii="Arial Narrow" w:eastAsiaTheme="minorHAnsi" w:hAnsi="Arial Narrow" w:cstheme="majorBidi"/>
                <w:bCs/>
                <w:sz w:val="20"/>
                <w:lang w:eastAsia="en-US"/>
              </w:rPr>
            </w:pPr>
            <w:r w:rsidRPr="00782783">
              <w:rPr>
                <w:rFonts w:ascii="Arial Narrow" w:eastAsiaTheme="minorHAnsi" w:hAnsi="Arial Narrow" w:cstheme="minorBidi"/>
                <w:bCs/>
                <w:sz w:val="20"/>
                <w:lang w:eastAsia="en-US"/>
              </w:rPr>
              <w:t>Fistula remission (closing of all draining fistulas at ≥ 2 consecutive visits)</w:t>
            </w:r>
          </w:p>
        </w:tc>
      </w:tr>
      <w:tr w:rsidR="00620C4B" w:rsidRPr="00782783" w14:paraId="36893034" w14:textId="77777777" w:rsidTr="006704D9">
        <w:trPr>
          <w:trHeight w:val="20"/>
          <w:jc w:val="center"/>
        </w:trPr>
        <w:tc>
          <w:tcPr>
            <w:tcW w:w="451" w:type="pct"/>
            <w:shd w:val="clear" w:color="auto" w:fill="DBE5F1" w:themeFill="accent1" w:themeFillTint="33"/>
            <w:vAlign w:val="center"/>
          </w:tcPr>
          <w:p w14:paraId="5573AB91"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GAIN</w:t>
            </w:r>
          </w:p>
        </w:tc>
        <w:tc>
          <w:tcPr>
            <w:tcW w:w="647" w:type="pct"/>
            <w:shd w:val="clear" w:color="auto" w:fill="DBE5F1" w:themeFill="accent1" w:themeFillTint="33"/>
            <w:vAlign w:val="center"/>
          </w:tcPr>
          <w:p w14:paraId="5189C173"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CD: 325</w:t>
            </w:r>
          </w:p>
          <w:p w14:paraId="2CCF4892"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dFCD: 45</w:t>
            </w:r>
          </w:p>
        </w:tc>
        <w:tc>
          <w:tcPr>
            <w:tcW w:w="786" w:type="pct"/>
            <w:shd w:val="clear" w:color="auto" w:fill="DBE5F1" w:themeFill="accent1" w:themeFillTint="33"/>
            <w:vAlign w:val="center"/>
          </w:tcPr>
          <w:p w14:paraId="271FE32E"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R, DB, PC, MC, IP</w:t>
            </w:r>
          </w:p>
          <w:p w14:paraId="0D5B22E5"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4 Week induction period</w:t>
            </w:r>
          </w:p>
        </w:tc>
        <w:tc>
          <w:tcPr>
            <w:tcW w:w="550" w:type="pct"/>
            <w:shd w:val="clear" w:color="auto" w:fill="DBE5F1" w:themeFill="accent1" w:themeFillTint="33"/>
            <w:vAlign w:val="center"/>
          </w:tcPr>
          <w:p w14:paraId="7C567418"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CD: Low</w:t>
            </w:r>
          </w:p>
          <w:p w14:paraId="1BB0B2CF"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FCD: High</w:t>
            </w:r>
          </w:p>
        </w:tc>
        <w:tc>
          <w:tcPr>
            <w:tcW w:w="1100" w:type="pct"/>
            <w:shd w:val="clear" w:color="auto" w:fill="DBE5F1" w:themeFill="accent1" w:themeFillTint="33"/>
            <w:vAlign w:val="center"/>
          </w:tcPr>
          <w:p w14:paraId="64C86CDD" w14:textId="644D7C05" w:rsidR="00620C4B" w:rsidRPr="00782783" w:rsidRDefault="00620C4B" w:rsidP="006704D9">
            <w:pPr>
              <w:keepLines/>
              <w:shd w:val="clear" w:color="auto" w:fill="DBE5F1" w:themeFill="accent1" w:themeFillTint="33"/>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18</w:t>
            </w:r>
            <w:r w:rsidR="00FC7500">
              <w:rPr>
                <w:rFonts w:ascii="Arial Narrow" w:eastAsiaTheme="majorEastAsia" w:hAnsi="Arial Narrow" w:cstheme="majorBidi"/>
                <w:bCs/>
                <w:sz w:val="20"/>
                <w:lang w:eastAsia="en-US"/>
              </w:rPr>
              <w:noBreakHyphen/>
            </w:r>
            <w:r w:rsidRPr="00782783">
              <w:rPr>
                <w:rFonts w:ascii="Arial Narrow" w:eastAsiaTheme="majorEastAsia" w:hAnsi="Arial Narrow" w:cstheme="majorBidi"/>
                <w:bCs/>
                <w:sz w:val="20"/>
                <w:lang w:eastAsia="en-US"/>
              </w:rPr>
              <w:t>75 years.</w:t>
            </w:r>
          </w:p>
          <w:p w14:paraId="780546EE" w14:textId="77777777" w:rsidR="00620C4B" w:rsidRPr="00782783" w:rsidRDefault="00620C4B" w:rsidP="006704D9">
            <w:pPr>
              <w:keepLines/>
              <w:shd w:val="clear" w:color="auto" w:fill="DBE5F1" w:themeFill="accent1" w:themeFillTint="33"/>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CDAI ≥220 and ≤450 at baseline.</w:t>
            </w:r>
          </w:p>
          <w:p w14:paraId="7D7F00D5" w14:textId="6E262494" w:rsidR="00620C4B" w:rsidRPr="00782783" w:rsidRDefault="00620C4B" w:rsidP="006704D9">
            <w:pPr>
              <w:keepLines/>
              <w:shd w:val="clear" w:color="auto" w:fill="DBE5F1" w:themeFill="accent1" w:themeFillTint="33"/>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TNF</w:t>
            </w:r>
            <w:r w:rsidR="00FC7500">
              <w:rPr>
                <w:rFonts w:ascii="Arial Narrow" w:eastAsiaTheme="majorEastAsia" w:hAnsi="Arial Narrow" w:cstheme="majorBidi"/>
                <w:bCs/>
                <w:sz w:val="20"/>
                <w:lang w:eastAsia="en-US"/>
              </w:rPr>
              <w:noBreakHyphen/>
            </w:r>
            <w:r w:rsidRPr="00782783">
              <w:rPr>
                <w:rFonts w:ascii="Arial Narrow" w:eastAsiaTheme="majorEastAsia" w:hAnsi="Arial Narrow" w:cstheme="majorBidi"/>
                <w:bCs/>
                <w:sz w:val="20"/>
                <w:lang w:eastAsia="en-US"/>
              </w:rPr>
              <w:t>experienced (infliximab) – intolerant or lost response.</w:t>
            </w:r>
          </w:p>
        </w:tc>
        <w:tc>
          <w:tcPr>
            <w:tcW w:w="1466" w:type="pct"/>
            <w:shd w:val="clear" w:color="auto" w:fill="DBE5F1" w:themeFill="accent1" w:themeFillTint="33"/>
            <w:vAlign w:val="center"/>
          </w:tcPr>
          <w:p w14:paraId="0C4FECA2" w14:textId="77777777" w:rsidR="00620C4B" w:rsidRPr="00782783" w:rsidRDefault="00620C4B" w:rsidP="006704D9">
            <w:pPr>
              <w:keepLines/>
              <w:shd w:val="clear" w:color="auto" w:fill="DBE5F1" w:themeFill="accent1" w:themeFillTint="33"/>
              <w:jc w:val="left"/>
              <w:rPr>
                <w:rFonts w:ascii="Arial Narrow" w:eastAsiaTheme="minorHAnsi" w:hAnsi="Arial Narrow" w:cstheme="majorBidi"/>
                <w:bCs/>
                <w:sz w:val="20"/>
                <w:lang w:eastAsia="en-US"/>
              </w:rPr>
            </w:pPr>
            <w:r w:rsidRPr="00782783">
              <w:rPr>
                <w:rFonts w:ascii="Arial Narrow" w:eastAsiaTheme="minorHAnsi" w:hAnsi="Arial Narrow" w:cstheme="majorBidi"/>
                <w:bCs/>
                <w:sz w:val="20"/>
                <w:lang w:eastAsia="en-US"/>
              </w:rPr>
              <w:t>Fistula response (≥50% reduction in number of draining fistulae at weeks 2 &amp; 4)</w:t>
            </w:r>
          </w:p>
          <w:p w14:paraId="7135C310" w14:textId="77777777" w:rsidR="00620C4B" w:rsidRPr="00782783" w:rsidRDefault="00620C4B" w:rsidP="006704D9">
            <w:pPr>
              <w:keepLines/>
              <w:shd w:val="clear" w:color="auto" w:fill="DBE5F1" w:themeFill="accent1" w:themeFillTint="33"/>
              <w:jc w:val="left"/>
              <w:rPr>
                <w:rFonts w:ascii="Arial Narrow" w:eastAsiaTheme="minorHAnsi" w:hAnsi="Arial Narrow" w:cstheme="majorBidi"/>
                <w:bCs/>
                <w:sz w:val="20"/>
                <w:lang w:eastAsia="en-US"/>
              </w:rPr>
            </w:pPr>
            <w:r w:rsidRPr="00782783">
              <w:rPr>
                <w:rFonts w:ascii="Arial Narrow" w:eastAsiaTheme="minorHAnsi" w:hAnsi="Arial Narrow" w:cstheme="minorBidi"/>
                <w:bCs/>
                <w:sz w:val="20"/>
                <w:lang w:eastAsia="en-US"/>
              </w:rPr>
              <w:t>Fistula remission (closing of all draining fistulas at weeks 2 &amp; 4)</w:t>
            </w:r>
          </w:p>
        </w:tc>
      </w:tr>
      <w:tr w:rsidR="00620C4B" w:rsidRPr="00782783" w14:paraId="28424B44" w14:textId="77777777" w:rsidTr="006704D9">
        <w:trPr>
          <w:trHeight w:val="20"/>
          <w:jc w:val="center"/>
        </w:trPr>
        <w:tc>
          <w:tcPr>
            <w:tcW w:w="451" w:type="pct"/>
            <w:shd w:val="clear" w:color="auto" w:fill="DBE5F1" w:themeFill="accent1" w:themeFillTint="33"/>
            <w:vAlign w:val="center"/>
          </w:tcPr>
          <w:p w14:paraId="480B0A3D"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CHARM</w:t>
            </w:r>
          </w:p>
        </w:tc>
        <w:tc>
          <w:tcPr>
            <w:tcW w:w="647" w:type="pct"/>
            <w:shd w:val="clear" w:color="auto" w:fill="DBE5F1" w:themeFill="accent1" w:themeFillTint="33"/>
            <w:vAlign w:val="center"/>
          </w:tcPr>
          <w:p w14:paraId="6A94ADB5"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CD: 521</w:t>
            </w:r>
          </w:p>
          <w:p w14:paraId="64D8FA01"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dFCD:77</w:t>
            </w:r>
            <w:r w:rsidRPr="00782783">
              <w:rPr>
                <w:rFonts w:ascii="Arial Narrow" w:eastAsiaTheme="minorHAnsi" w:hAnsi="Arial Narrow" w:cstheme="minorBidi"/>
                <w:bCs/>
                <w:sz w:val="20"/>
                <w:vertAlign w:val="superscript"/>
                <w:lang w:eastAsia="en-US"/>
              </w:rPr>
              <w:t>f</w:t>
            </w:r>
          </w:p>
        </w:tc>
        <w:tc>
          <w:tcPr>
            <w:tcW w:w="786" w:type="pct"/>
            <w:shd w:val="clear" w:color="auto" w:fill="DBE5F1" w:themeFill="accent1" w:themeFillTint="33"/>
            <w:vAlign w:val="center"/>
          </w:tcPr>
          <w:p w14:paraId="72FBDEDD"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R, DB for MP, PC, MC, MP</w:t>
            </w:r>
          </w:p>
          <w:p w14:paraId="43A1B0B5"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52 Week maintenance (from start of maintenance)</w:t>
            </w:r>
          </w:p>
        </w:tc>
        <w:tc>
          <w:tcPr>
            <w:tcW w:w="550" w:type="pct"/>
            <w:shd w:val="clear" w:color="auto" w:fill="DBE5F1" w:themeFill="accent1" w:themeFillTint="33"/>
            <w:vAlign w:val="center"/>
          </w:tcPr>
          <w:p w14:paraId="2D04E34D"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CD: Low</w:t>
            </w:r>
          </w:p>
          <w:p w14:paraId="2F90C8C1"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FCD: High</w:t>
            </w:r>
          </w:p>
        </w:tc>
        <w:tc>
          <w:tcPr>
            <w:tcW w:w="1100" w:type="pct"/>
            <w:shd w:val="clear" w:color="auto" w:fill="DBE5F1" w:themeFill="accent1" w:themeFillTint="33"/>
            <w:vAlign w:val="center"/>
          </w:tcPr>
          <w:p w14:paraId="60726E66" w14:textId="2EBDA965" w:rsidR="00620C4B" w:rsidRPr="00782783" w:rsidRDefault="00620C4B" w:rsidP="006704D9">
            <w:pPr>
              <w:keepLines/>
              <w:shd w:val="clear" w:color="auto" w:fill="DBE5F1" w:themeFill="accent1" w:themeFillTint="33"/>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18</w:t>
            </w:r>
            <w:r w:rsidR="00FC7500">
              <w:rPr>
                <w:rFonts w:ascii="Arial Narrow" w:eastAsiaTheme="majorEastAsia" w:hAnsi="Arial Narrow" w:cstheme="majorBidi"/>
                <w:bCs/>
                <w:sz w:val="20"/>
                <w:lang w:eastAsia="en-US"/>
              </w:rPr>
              <w:noBreakHyphen/>
            </w:r>
            <w:r w:rsidRPr="00782783">
              <w:rPr>
                <w:rFonts w:ascii="Arial Narrow" w:eastAsiaTheme="majorEastAsia" w:hAnsi="Arial Narrow" w:cstheme="majorBidi"/>
                <w:bCs/>
                <w:sz w:val="20"/>
                <w:lang w:eastAsia="en-US"/>
              </w:rPr>
              <w:t>75 years.</w:t>
            </w:r>
          </w:p>
          <w:p w14:paraId="21023A8A" w14:textId="77777777" w:rsidR="00620C4B" w:rsidRPr="00782783" w:rsidRDefault="00620C4B" w:rsidP="006704D9">
            <w:pPr>
              <w:keepLines/>
              <w:shd w:val="clear" w:color="auto" w:fill="DBE5F1" w:themeFill="accent1" w:themeFillTint="33"/>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CDAI ≥220 and ≤450 for ≥ 4 months.</w:t>
            </w:r>
          </w:p>
          <w:p w14:paraId="6D8C80CB" w14:textId="77777777" w:rsidR="00620C4B" w:rsidRPr="00782783" w:rsidRDefault="00620C4B" w:rsidP="006704D9">
            <w:pPr>
              <w:keepLines/>
              <w:shd w:val="clear" w:color="auto" w:fill="DBE5F1" w:themeFill="accent1" w:themeFillTint="33"/>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dFCD: draining fistulas at baseline</w:t>
            </w:r>
          </w:p>
        </w:tc>
        <w:tc>
          <w:tcPr>
            <w:tcW w:w="1466" w:type="pct"/>
            <w:shd w:val="clear" w:color="auto" w:fill="DBE5F1" w:themeFill="accent1" w:themeFillTint="33"/>
            <w:vAlign w:val="center"/>
          </w:tcPr>
          <w:p w14:paraId="4235E295" w14:textId="77777777" w:rsidR="00620C4B" w:rsidRPr="00782783" w:rsidRDefault="00620C4B" w:rsidP="006704D9">
            <w:pPr>
              <w:keepLines/>
              <w:shd w:val="clear" w:color="auto" w:fill="DBE5F1" w:themeFill="accent1" w:themeFillTint="33"/>
              <w:jc w:val="left"/>
              <w:rPr>
                <w:rFonts w:ascii="Arial Narrow" w:eastAsiaTheme="minorHAnsi" w:hAnsi="Arial Narrow" w:cstheme="majorBidi"/>
                <w:bCs/>
                <w:sz w:val="20"/>
                <w:lang w:eastAsia="en-US"/>
              </w:rPr>
            </w:pPr>
            <w:r w:rsidRPr="00782783">
              <w:rPr>
                <w:rFonts w:ascii="Arial Narrow" w:eastAsiaTheme="minorHAnsi" w:hAnsi="Arial Narrow" w:cstheme="majorBidi"/>
                <w:bCs/>
                <w:sz w:val="20"/>
                <w:lang w:eastAsia="en-US"/>
              </w:rPr>
              <w:t>Fistula remission (complete closure of all draining fistulas)</w:t>
            </w:r>
          </w:p>
        </w:tc>
      </w:tr>
      <w:tr w:rsidR="00620C4B" w:rsidRPr="00782783" w14:paraId="5F2359C8" w14:textId="77777777" w:rsidTr="006704D9">
        <w:trPr>
          <w:trHeight w:val="20"/>
          <w:jc w:val="center"/>
        </w:trPr>
        <w:tc>
          <w:tcPr>
            <w:tcW w:w="5000" w:type="pct"/>
            <w:gridSpan w:val="6"/>
            <w:shd w:val="clear" w:color="auto" w:fill="DBE5F1" w:themeFill="accent1" w:themeFillTint="33"/>
            <w:vAlign w:val="center"/>
          </w:tcPr>
          <w:p w14:paraId="124E4114"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
                <w:sz w:val="20"/>
                <w:lang w:eastAsia="en-US"/>
              </w:rPr>
            </w:pPr>
            <w:r w:rsidRPr="00782783">
              <w:rPr>
                <w:rFonts w:ascii="Arial Narrow" w:eastAsiaTheme="minorHAnsi" w:hAnsi="Arial Narrow" w:cstheme="minorBidi"/>
                <w:b/>
                <w:sz w:val="20"/>
                <w:lang w:eastAsia="en-US"/>
              </w:rPr>
              <w:t>Ustekinumab trials</w:t>
            </w:r>
          </w:p>
        </w:tc>
      </w:tr>
      <w:tr w:rsidR="00620C4B" w:rsidRPr="00782783" w14:paraId="39B6D400" w14:textId="77777777" w:rsidTr="006704D9">
        <w:trPr>
          <w:trHeight w:val="20"/>
          <w:jc w:val="center"/>
        </w:trPr>
        <w:tc>
          <w:tcPr>
            <w:tcW w:w="451" w:type="pct"/>
            <w:shd w:val="clear" w:color="auto" w:fill="DBE5F1" w:themeFill="accent1" w:themeFillTint="33"/>
            <w:vAlign w:val="center"/>
          </w:tcPr>
          <w:p w14:paraId="6A382C5D" w14:textId="6AEC9561"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UNITI</w:t>
            </w:r>
            <w:r w:rsidR="00FC7500">
              <w:rPr>
                <w:rFonts w:ascii="Arial Narrow" w:eastAsiaTheme="minorHAnsi" w:hAnsi="Arial Narrow" w:cstheme="minorBidi"/>
                <w:bCs/>
                <w:sz w:val="20"/>
                <w:lang w:eastAsia="en-US"/>
              </w:rPr>
              <w:noBreakHyphen/>
            </w:r>
            <w:r w:rsidRPr="00782783">
              <w:rPr>
                <w:rFonts w:ascii="Arial Narrow" w:eastAsiaTheme="minorHAnsi" w:hAnsi="Arial Narrow" w:cstheme="minorBidi"/>
                <w:bCs/>
                <w:sz w:val="20"/>
                <w:lang w:eastAsia="en-US"/>
              </w:rPr>
              <w:t>I</w:t>
            </w:r>
          </w:p>
        </w:tc>
        <w:tc>
          <w:tcPr>
            <w:tcW w:w="647" w:type="pct"/>
            <w:shd w:val="clear" w:color="auto" w:fill="DBE5F1" w:themeFill="accent1" w:themeFillTint="33"/>
            <w:vAlign w:val="center"/>
          </w:tcPr>
          <w:p w14:paraId="080ADC68"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CD: 496</w:t>
            </w:r>
          </w:p>
          <w:p w14:paraId="23B6357C"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dFCD: 63</w:t>
            </w:r>
            <w:r w:rsidRPr="00782783">
              <w:rPr>
                <w:rFonts w:ascii="Arial Narrow" w:eastAsiaTheme="minorHAnsi" w:hAnsi="Arial Narrow" w:cstheme="minorBidi"/>
                <w:bCs/>
                <w:sz w:val="20"/>
                <w:vertAlign w:val="superscript"/>
                <w:lang w:eastAsia="en-US"/>
              </w:rPr>
              <w:t>g</w:t>
            </w:r>
          </w:p>
        </w:tc>
        <w:tc>
          <w:tcPr>
            <w:tcW w:w="786" w:type="pct"/>
            <w:shd w:val="clear" w:color="auto" w:fill="DBE5F1" w:themeFill="accent1" w:themeFillTint="33"/>
            <w:vAlign w:val="center"/>
          </w:tcPr>
          <w:p w14:paraId="202E9643"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R, DB, PB, MC</w:t>
            </w:r>
          </w:p>
          <w:p w14:paraId="3647555E"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8 Week induction</w:t>
            </w:r>
          </w:p>
        </w:tc>
        <w:tc>
          <w:tcPr>
            <w:tcW w:w="550" w:type="pct"/>
            <w:shd w:val="clear" w:color="auto" w:fill="DBE5F1" w:themeFill="accent1" w:themeFillTint="33"/>
            <w:vAlign w:val="center"/>
          </w:tcPr>
          <w:p w14:paraId="69A2C67F"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CD: Low</w:t>
            </w:r>
          </w:p>
          <w:p w14:paraId="24A5DDB1"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FCD: High</w:t>
            </w:r>
          </w:p>
        </w:tc>
        <w:tc>
          <w:tcPr>
            <w:tcW w:w="1100" w:type="pct"/>
            <w:shd w:val="clear" w:color="auto" w:fill="DBE5F1" w:themeFill="accent1" w:themeFillTint="33"/>
            <w:vAlign w:val="center"/>
          </w:tcPr>
          <w:p w14:paraId="0A3683D4" w14:textId="77777777" w:rsidR="00620C4B" w:rsidRPr="00782783" w:rsidRDefault="00620C4B" w:rsidP="006704D9">
            <w:pPr>
              <w:keepLines/>
              <w:shd w:val="clear" w:color="auto" w:fill="DBE5F1" w:themeFill="accent1" w:themeFillTint="33"/>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 18 years</w:t>
            </w:r>
          </w:p>
          <w:p w14:paraId="686C1C27" w14:textId="77777777" w:rsidR="00620C4B" w:rsidRPr="00782783" w:rsidRDefault="00620C4B" w:rsidP="006704D9">
            <w:pPr>
              <w:keepLines/>
              <w:shd w:val="clear" w:color="auto" w:fill="DBE5F1" w:themeFill="accent1" w:themeFillTint="33"/>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 xml:space="preserve">CDAI ≥220 and ≤450 for ≥ 3 months. </w:t>
            </w:r>
          </w:p>
          <w:p w14:paraId="1680F098" w14:textId="4FB88AF1" w:rsidR="00620C4B" w:rsidRPr="00782783" w:rsidRDefault="00620C4B" w:rsidP="006704D9">
            <w:pPr>
              <w:keepLines/>
              <w:shd w:val="clear" w:color="auto" w:fill="DBE5F1" w:themeFill="accent1" w:themeFillTint="33"/>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TNF</w:t>
            </w:r>
            <w:r w:rsidR="00FC7500">
              <w:rPr>
                <w:rFonts w:ascii="Arial Narrow" w:eastAsiaTheme="majorEastAsia" w:hAnsi="Arial Narrow" w:cstheme="majorBidi"/>
                <w:bCs/>
                <w:sz w:val="20"/>
                <w:lang w:eastAsia="en-US"/>
              </w:rPr>
              <w:noBreakHyphen/>
            </w:r>
            <w:r w:rsidRPr="00782783">
              <w:rPr>
                <w:rFonts w:ascii="Arial Narrow" w:eastAsiaTheme="majorEastAsia" w:hAnsi="Arial Narrow" w:cstheme="majorBidi"/>
                <w:bCs/>
                <w:sz w:val="20"/>
                <w:lang w:eastAsia="en-US"/>
              </w:rPr>
              <w:t>experienced – intolerant or lost response.</w:t>
            </w:r>
          </w:p>
          <w:p w14:paraId="6B9AA453" w14:textId="77777777" w:rsidR="00620C4B" w:rsidRPr="00782783" w:rsidRDefault="00620C4B" w:rsidP="006704D9">
            <w:pPr>
              <w:keepLines/>
              <w:shd w:val="clear" w:color="auto" w:fill="DBE5F1" w:themeFill="accent1" w:themeFillTint="33"/>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dFCD: draining fistulas at baseline</w:t>
            </w:r>
          </w:p>
        </w:tc>
        <w:tc>
          <w:tcPr>
            <w:tcW w:w="1466" w:type="pct"/>
            <w:shd w:val="clear" w:color="auto" w:fill="DBE5F1" w:themeFill="accent1" w:themeFillTint="33"/>
            <w:vAlign w:val="center"/>
          </w:tcPr>
          <w:p w14:paraId="269EEB55" w14:textId="77777777" w:rsidR="00620C4B" w:rsidRPr="00782783" w:rsidRDefault="00620C4B" w:rsidP="006704D9">
            <w:pPr>
              <w:keepLines/>
              <w:shd w:val="clear" w:color="auto" w:fill="DBE5F1" w:themeFill="accent1" w:themeFillTint="33"/>
              <w:jc w:val="left"/>
              <w:rPr>
                <w:rFonts w:ascii="Arial Narrow" w:eastAsiaTheme="minorHAnsi" w:hAnsi="Arial Narrow" w:cstheme="majorBidi"/>
                <w:bCs/>
                <w:sz w:val="20"/>
                <w:lang w:eastAsia="en-US"/>
              </w:rPr>
            </w:pPr>
            <w:r w:rsidRPr="00782783">
              <w:rPr>
                <w:rFonts w:ascii="Arial Narrow" w:eastAsiaTheme="minorHAnsi" w:hAnsi="Arial Narrow" w:cstheme="majorBidi"/>
                <w:bCs/>
                <w:sz w:val="20"/>
                <w:lang w:eastAsia="en-US"/>
              </w:rPr>
              <w:t>Fistula response (≥50% reduction in number of opening/draining fistulas)</w:t>
            </w:r>
          </w:p>
        </w:tc>
      </w:tr>
      <w:tr w:rsidR="00620C4B" w:rsidRPr="00782783" w14:paraId="07735374" w14:textId="77777777" w:rsidTr="006704D9">
        <w:trPr>
          <w:trHeight w:val="20"/>
          <w:jc w:val="center"/>
        </w:trPr>
        <w:tc>
          <w:tcPr>
            <w:tcW w:w="451" w:type="pct"/>
            <w:shd w:val="clear" w:color="auto" w:fill="DBE5F1" w:themeFill="accent1" w:themeFillTint="33"/>
            <w:vAlign w:val="center"/>
          </w:tcPr>
          <w:p w14:paraId="35EFDFB7" w14:textId="0E9D68C0"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UNITI</w:t>
            </w:r>
            <w:r w:rsidR="00FC7500">
              <w:rPr>
                <w:rFonts w:ascii="Arial Narrow" w:eastAsiaTheme="minorHAnsi" w:hAnsi="Arial Narrow" w:cstheme="minorBidi"/>
                <w:bCs/>
                <w:sz w:val="20"/>
                <w:lang w:eastAsia="en-US"/>
              </w:rPr>
              <w:noBreakHyphen/>
            </w:r>
            <w:r w:rsidRPr="00782783">
              <w:rPr>
                <w:rFonts w:ascii="Arial Narrow" w:eastAsiaTheme="minorHAnsi" w:hAnsi="Arial Narrow" w:cstheme="minorBidi"/>
                <w:bCs/>
                <w:sz w:val="20"/>
                <w:lang w:eastAsia="en-US"/>
              </w:rPr>
              <w:t>II</w:t>
            </w:r>
          </w:p>
        </w:tc>
        <w:tc>
          <w:tcPr>
            <w:tcW w:w="647" w:type="pct"/>
            <w:shd w:val="clear" w:color="auto" w:fill="DBE5F1" w:themeFill="accent1" w:themeFillTint="33"/>
            <w:vAlign w:val="center"/>
          </w:tcPr>
          <w:p w14:paraId="4E662F8B"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CD: 419</w:t>
            </w:r>
          </w:p>
          <w:p w14:paraId="413ACCF3"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dFCD:42</w:t>
            </w:r>
            <w:r w:rsidRPr="00782783">
              <w:rPr>
                <w:rFonts w:ascii="Arial Narrow" w:eastAsiaTheme="minorHAnsi" w:hAnsi="Arial Narrow" w:cstheme="minorBidi"/>
                <w:bCs/>
                <w:sz w:val="20"/>
                <w:vertAlign w:val="superscript"/>
                <w:lang w:eastAsia="en-US"/>
              </w:rPr>
              <w:t>h</w:t>
            </w:r>
          </w:p>
        </w:tc>
        <w:tc>
          <w:tcPr>
            <w:tcW w:w="786" w:type="pct"/>
            <w:shd w:val="clear" w:color="auto" w:fill="DBE5F1" w:themeFill="accent1" w:themeFillTint="33"/>
            <w:vAlign w:val="center"/>
          </w:tcPr>
          <w:p w14:paraId="07D55DDF"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R, DB, PB, MC</w:t>
            </w:r>
          </w:p>
          <w:p w14:paraId="1F7EF474"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8 Week induction</w:t>
            </w:r>
          </w:p>
        </w:tc>
        <w:tc>
          <w:tcPr>
            <w:tcW w:w="550" w:type="pct"/>
            <w:shd w:val="clear" w:color="auto" w:fill="DBE5F1" w:themeFill="accent1" w:themeFillTint="33"/>
            <w:vAlign w:val="center"/>
          </w:tcPr>
          <w:p w14:paraId="6474C1B5"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CD: Low</w:t>
            </w:r>
          </w:p>
          <w:p w14:paraId="6E38261A"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FCD: High</w:t>
            </w:r>
          </w:p>
        </w:tc>
        <w:tc>
          <w:tcPr>
            <w:tcW w:w="1100" w:type="pct"/>
            <w:shd w:val="clear" w:color="auto" w:fill="DBE5F1" w:themeFill="accent1" w:themeFillTint="33"/>
            <w:vAlign w:val="center"/>
          </w:tcPr>
          <w:p w14:paraId="7B1A9C1E" w14:textId="77777777" w:rsidR="00620C4B" w:rsidRPr="00782783" w:rsidRDefault="00620C4B" w:rsidP="006704D9">
            <w:pPr>
              <w:keepLines/>
              <w:shd w:val="clear" w:color="auto" w:fill="DBE5F1" w:themeFill="accent1" w:themeFillTint="33"/>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 xml:space="preserve">CDAI ≥220 and ≤450 for ≥ 3 months. </w:t>
            </w:r>
          </w:p>
          <w:p w14:paraId="46E421A9" w14:textId="60DF44CB" w:rsidR="00620C4B" w:rsidRPr="00782783" w:rsidRDefault="00620C4B" w:rsidP="006704D9">
            <w:pPr>
              <w:keepLines/>
              <w:shd w:val="clear" w:color="auto" w:fill="DBE5F1" w:themeFill="accent1" w:themeFillTint="33"/>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TNF untreated and TNF</w:t>
            </w:r>
            <w:r w:rsidR="00FC7500">
              <w:rPr>
                <w:rFonts w:ascii="Arial Narrow" w:eastAsiaTheme="majorEastAsia" w:hAnsi="Arial Narrow" w:cstheme="majorBidi"/>
                <w:bCs/>
                <w:sz w:val="20"/>
                <w:lang w:eastAsia="en-US"/>
              </w:rPr>
              <w:noBreakHyphen/>
            </w:r>
            <w:r w:rsidRPr="00782783">
              <w:rPr>
                <w:rFonts w:ascii="Arial Narrow" w:eastAsiaTheme="majorEastAsia" w:hAnsi="Arial Narrow" w:cstheme="majorBidi"/>
                <w:bCs/>
                <w:sz w:val="20"/>
                <w:lang w:eastAsia="en-US"/>
              </w:rPr>
              <w:t>experienced (non</w:t>
            </w:r>
            <w:r w:rsidR="00FC7500">
              <w:rPr>
                <w:rFonts w:ascii="Arial Narrow" w:eastAsiaTheme="majorEastAsia" w:hAnsi="Arial Narrow" w:cstheme="majorBidi"/>
                <w:bCs/>
                <w:sz w:val="20"/>
                <w:lang w:eastAsia="en-US"/>
              </w:rPr>
              <w:noBreakHyphen/>
            </w:r>
            <w:r w:rsidRPr="00782783">
              <w:rPr>
                <w:rFonts w:ascii="Arial Narrow" w:eastAsiaTheme="majorEastAsia" w:hAnsi="Arial Narrow" w:cstheme="majorBidi"/>
                <w:bCs/>
                <w:sz w:val="20"/>
                <w:lang w:eastAsia="en-US"/>
              </w:rPr>
              <w:t>refractory).</w:t>
            </w:r>
          </w:p>
          <w:p w14:paraId="38EC267D" w14:textId="77777777" w:rsidR="00620C4B" w:rsidRPr="00782783" w:rsidRDefault="00620C4B" w:rsidP="006704D9">
            <w:pPr>
              <w:keepLines/>
              <w:shd w:val="clear" w:color="auto" w:fill="DBE5F1" w:themeFill="accent1" w:themeFillTint="33"/>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dFCD: draining fistulas at baseline</w:t>
            </w:r>
          </w:p>
        </w:tc>
        <w:tc>
          <w:tcPr>
            <w:tcW w:w="1466" w:type="pct"/>
            <w:shd w:val="clear" w:color="auto" w:fill="DBE5F1" w:themeFill="accent1" w:themeFillTint="33"/>
            <w:vAlign w:val="center"/>
          </w:tcPr>
          <w:p w14:paraId="568D57EF" w14:textId="77777777" w:rsidR="00620C4B" w:rsidRPr="00782783" w:rsidRDefault="00620C4B" w:rsidP="006704D9">
            <w:pPr>
              <w:keepLines/>
              <w:shd w:val="clear" w:color="auto" w:fill="DBE5F1" w:themeFill="accent1" w:themeFillTint="33"/>
              <w:jc w:val="left"/>
              <w:rPr>
                <w:rFonts w:ascii="Arial Narrow" w:eastAsiaTheme="minorHAnsi" w:hAnsi="Arial Narrow" w:cstheme="majorBidi"/>
                <w:bCs/>
                <w:sz w:val="20"/>
                <w:lang w:eastAsia="en-US"/>
              </w:rPr>
            </w:pPr>
            <w:r w:rsidRPr="00782783">
              <w:rPr>
                <w:rFonts w:ascii="Arial Narrow" w:eastAsiaTheme="minorHAnsi" w:hAnsi="Arial Narrow" w:cstheme="majorBidi"/>
                <w:bCs/>
                <w:sz w:val="20"/>
                <w:lang w:eastAsia="en-US"/>
              </w:rPr>
              <w:t>Fistula response (≥50% reduction in number of opening/draining fistulas)</w:t>
            </w:r>
          </w:p>
        </w:tc>
      </w:tr>
      <w:tr w:rsidR="00620C4B" w:rsidRPr="00782783" w14:paraId="30F2E1B1" w14:textId="77777777" w:rsidTr="006704D9">
        <w:trPr>
          <w:trHeight w:val="20"/>
          <w:jc w:val="center"/>
        </w:trPr>
        <w:tc>
          <w:tcPr>
            <w:tcW w:w="451" w:type="pct"/>
            <w:shd w:val="clear" w:color="auto" w:fill="DBE5F1" w:themeFill="accent1" w:themeFillTint="33"/>
            <w:vAlign w:val="center"/>
          </w:tcPr>
          <w:p w14:paraId="6E5544A2" w14:textId="069F80E9"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IM</w:t>
            </w:r>
            <w:r w:rsidR="00FC7500">
              <w:rPr>
                <w:rFonts w:ascii="Arial Narrow" w:eastAsiaTheme="minorHAnsi" w:hAnsi="Arial Narrow" w:cstheme="minorBidi"/>
                <w:bCs/>
                <w:sz w:val="20"/>
                <w:lang w:eastAsia="en-US"/>
              </w:rPr>
              <w:noBreakHyphen/>
            </w:r>
            <w:r w:rsidRPr="00782783">
              <w:rPr>
                <w:rFonts w:ascii="Arial Narrow" w:eastAsiaTheme="minorHAnsi" w:hAnsi="Arial Narrow" w:cstheme="minorBidi"/>
                <w:bCs/>
                <w:sz w:val="20"/>
                <w:lang w:eastAsia="en-US"/>
              </w:rPr>
              <w:t>UNITI</w:t>
            </w:r>
          </w:p>
        </w:tc>
        <w:tc>
          <w:tcPr>
            <w:tcW w:w="647" w:type="pct"/>
            <w:shd w:val="clear" w:color="auto" w:fill="DBE5F1" w:themeFill="accent1" w:themeFillTint="33"/>
            <w:vAlign w:val="center"/>
          </w:tcPr>
          <w:p w14:paraId="5836DD3B"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CD: 397</w:t>
            </w:r>
          </w:p>
          <w:p w14:paraId="4BD20D4E"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dFCD:59</w:t>
            </w:r>
            <w:r w:rsidRPr="00782783">
              <w:rPr>
                <w:rFonts w:ascii="Arial Narrow" w:eastAsiaTheme="minorHAnsi" w:hAnsi="Arial Narrow" w:cstheme="minorBidi"/>
                <w:bCs/>
                <w:sz w:val="20"/>
                <w:vertAlign w:val="superscript"/>
                <w:lang w:eastAsia="en-US"/>
              </w:rPr>
              <w:t>i</w:t>
            </w:r>
          </w:p>
        </w:tc>
        <w:tc>
          <w:tcPr>
            <w:tcW w:w="786" w:type="pct"/>
            <w:shd w:val="clear" w:color="auto" w:fill="DBE5F1" w:themeFill="accent1" w:themeFillTint="33"/>
            <w:vAlign w:val="center"/>
          </w:tcPr>
          <w:p w14:paraId="54554040"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R, DB, PB, MC</w:t>
            </w:r>
          </w:p>
          <w:p w14:paraId="658ECC10"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44 Week maintenance</w:t>
            </w:r>
          </w:p>
        </w:tc>
        <w:tc>
          <w:tcPr>
            <w:tcW w:w="550" w:type="pct"/>
            <w:shd w:val="clear" w:color="auto" w:fill="DBE5F1" w:themeFill="accent1" w:themeFillTint="33"/>
            <w:vAlign w:val="center"/>
          </w:tcPr>
          <w:p w14:paraId="32376279"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CD: Low</w:t>
            </w:r>
          </w:p>
          <w:p w14:paraId="11C97B93" w14:textId="77777777" w:rsidR="00620C4B" w:rsidRPr="00782783" w:rsidRDefault="00620C4B" w:rsidP="006704D9">
            <w:pPr>
              <w:keepLines/>
              <w:shd w:val="clear" w:color="auto" w:fill="DBE5F1" w:themeFill="accent1" w:themeFillTint="33"/>
              <w:jc w:val="left"/>
              <w:rPr>
                <w:rFonts w:ascii="Arial Narrow" w:eastAsiaTheme="minorHAnsi" w:hAnsi="Arial Narrow" w:cstheme="minorBidi"/>
                <w:bCs/>
                <w:sz w:val="20"/>
                <w:lang w:eastAsia="en-US"/>
              </w:rPr>
            </w:pPr>
            <w:r w:rsidRPr="00782783">
              <w:rPr>
                <w:rFonts w:ascii="Arial Narrow" w:eastAsiaTheme="minorHAnsi" w:hAnsi="Arial Narrow" w:cstheme="minorBidi"/>
                <w:bCs/>
                <w:sz w:val="20"/>
                <w:lang w:eastAsia="en-US"/>
              </w:rPr>
              <w:t>FCD: High</w:t>
            </w:r>
          </w:p>
        </w:tc>
        <w:tc>
          <w:tcPr>
            <w:tcW w:w="1100" w:type="pct"/>
            <w:shd w:val="clear" w:color="auto" w:fill="DBE5F1" w:themeFill="accent1" w:themeFillTint="33"/>
            <w:vAlign w:val="center"/>
          </w:tcPr>
          <w:p w14:paraId="7996720B" w14:textId="6F53B2AF" w:rsidR="00620C4B" w:rsidRPr="00782783" w:rsidRDefault="00620C4B" w:rsidP="006704D9">
            <w:pPr>
              <w:keepLines/>
              <w:shd w:val="clear" w:color="auto" w:fill="DBE5F1" w:themeFill="accent1" w:themeFillTint="33"/>
              <w:jc w:val="left"/>
              <w:rPr>
                <w:rFonts w:ascii="Arial Narrow" w:eastAsiaTheme="majorEastAsia" w:hAnsi="Arial Narrow" w:cstheme="majorBidi"/>
                <w:bCs/>
                <w:sz w:val="20"/>
                <w:lang w:eastAsia="en-US"/>
              </w:rPr>
            </w:pPr>
            <w:r w:rsidRPr="00782783">
              <w:rPr>
                <w:rFonts w:ascii="Arial Narrow" w:eastAsiaTheme="majorEastAsia" w:hAnsi="Arial Narrow" w:cstheme="majorBidi"/>
                <w:bCs/>
                <w:sz w:val="20"/>
                <w:lang w:eastAsia="en-US"/>
              </w:rPr>
              <w:t>Patients that completed UNITI</w:t>
            </w:r>
            <w:r w:rsidR="00FC7500">
              <w:rPr>
                <w:rFonts w:ascii="Arial Narrow" w:eastAsiaTheme="majorEastAsia" w:hAnsi="Arial Narrow" w:cstheme="majorBidi"/>
                <w:bCs/>
                <w:sz w:val="20"/>
                <w:lang w:eastAsia="en-US"/>
              </w:rPr>
              <w:noBreakHyphen/>
            </w:r>
            <w:r w:rsidRPr="00782783">
              <w:rPr>
                <w:rFonts w:ascii="Arial Narrow" w:eastAsiaTheme="majorEastAsia" w:hAnsi="Arial Narrow" w:cstheme="majorBidi"/>
                <w:bCs/>
                <w:sz w:val="20"/>
                <w:lang w:eastAsia="en-US"/>
              </w:rPr>
              <w:t>I or UNITI</w:t>
            </w:r>
            <w:r w:rsidR="00FC7500">
              <w:rPr>
                <w:rFonts w:ascii="Arial Narrow" w:eastAsiaTheme="majorEastAsia" w:hAnsi="Arial Narrow" w:cstheme="majorBidi"/>
                <w:bCs/>
                <w:sz w:val="20"/>
                <w:lang w:eastAsia="en-US"/>
              </w:rPr>
              <w:noBreakHyphen/>
            </w:r>
            <w:r w:rsidRPr="00782783">
              <w:rPr>
                <w:rFonts w:ascii="Arial Narrow" w:eastAsiaTheme="majorEastAsia" w:hAnsi="Arial Narrow" w:cstheme="majorBidi"/>
                <w:bCs/>
                <w:sz w:val="20"/>
                <w:lang w:eastAsia="en-US"/>
              </w:rPr>
              <w:t>II</w:t>
            </w:r>
          </w:p>
        </w:tc>
        <w:tc>
          <w:tcPr>
            <w:tcW w:w="1466" w:type="pct"/>
            <w:shd w:val="clear" w:color="auto" w:fill="DBE5F1" w:themeFill="accent1" w:themeFillTint="33"/>
            <w:vAlign w:val="center"/>
          </w:tcPr>
          <w:p w14:paraId="1BA20051" w14:textId="77777777" w:rsidR="00620C4B" w:rsidRPr="00782783" w:rsidRDefault="00620C4B" w:rsidP="006704D9">
            <w:pPr>
              <w:keepLines/>
              <w:shd w:val="clear" w:color="auto" w:fill="DBE5F1" w:themeFill="accent1" w:themeFillTint="33"/>
              <w:jc w:val="left"/>
              <w:rPr>
                <w:rFonts w:ascii="Arial Narrow" w:eastAsiaTheme="minorHAnsi" w:hAnsi="Arial Narrow" w:cstheme="majorBidi"/>
                <w:bCs/>
                <w:sz w:val="20"/>
                <w:lang w:eastAsia="en-US"/>
              </w:rPr>
            </w:pPr>
            <w:r w:rsidRPr="00782783">
              <w:rPr>
                <w:rFonts w:ascii="Arial Narrow" w:eastAsiaTheme="minorHAnsi" w:hAnsi="Arial Narrow" w:cstheme="majorBidi"/>
                <w:bCs/>
                <w:sz w:val="20"/>
                <w:lang w:eastAsia="en-US"/>
              </w:rPr>
              <w:t>Fistula response (≥50% reduction in the number of opening/draining fistulas)</w:t>
            </w:r>
          </w:p>
        </w:tc>
      </w:tr>
      <w:tr w:rsidR="00620C4B" w:rsidRPr="00782783" w14:paraId="29678524" w14:textId="77777777">
        <w:trPr>
          <w:trHeight w:val="20"/>
          <w:jc w:val="center"/>
        </w:trPr>
        <w:tc>
          <w:tcPr>
            <w:tcW w:w="5000" w:type="pct"/>
            <w:gridSpan w:val="6"/>
            <w:vAlign w:val="center"/>
          </w:tcPr>
          <w:p w14:paraId="63CF7926" w14:textId="77777777" w:rsidR="00620C4B" w:rsidRPr="00782783" w:rsidRDefault="00620C4B" w:rsidP="006704D9">
            <w:pPr>
              <w:pStyle w:val="In-tableHeading"/>
              <w:keepNext w:val="0"/>
              <w:rPr>
                <w:lang w:eastAsia="en-US"/>
              </w:rPr>
            </w:pPr>
            <w:r w:rsidRPr="00782783">
              <w:rPr>
                <w:lang w:eastAsia="en-US"/>
              </w:rPr>
              <w:t>Indirect comparison using placebo as a common reference</w:t>
            </w:r>
          </w:p>
        </w:tc>
      </w:tr>
      <w:tr w:rsidR="00620C4B" w:rsidRPr="00782783" w14:paraId="7F69328B" w14:textId="77777777">
        <w:trPr>
          <w:trHeight w:val="20"/>
          <w:jc w:val="center"/>
        </w:trPr>
        <w:tc>
          <w:tcPr>
            <w:tcW w:w="451" w:type="pct"/>
            <w:vAlign w:val="center"/>
          </w:tcPr>
          <w:p w14:paraId="036B83DC" w14:textId="77777777" w:rsidR="00620C4B" w:rsidRPr="00782783" w:rsidRDefault="00620C4B" w:rsidP="006704D9">
            <w:pPr>
              <w:keepLines/>
              <w:jc w:val="left"/>
              <w:rPr>
                <w:rFonts w:ascii="Arial Narrow" w:eastAsiaTheme="minorHAnsi" w:hAnsi="Arial Narrow" w:cstheme="minorBidi"/>
                <w:bCs/>
                <w:sz w:val="20"/>
                <w:szCs w:val="20"/>
                <w:lang w:eastAsia="en-US"/>
              </w:rPr>
            </w:pPr>
            <w:r w:rsidRPr="00782783">
              <w:rPr>
                <w:rFonts w:ascii="Arial Narrow" w:hAnsi="Arial Narrow"/>
                <w:sz w:val="20"/>
                <w:szCs w:val="20"/>
              </w:rPr>
              <w:t xml:space="preserve">UPA vs IFX </w:t>
            </w:r>
          </w:p>
        </w:tc>
        <w:tc>
          <w:tcPr>
            <w:tcW w:w="4549" w:type="pct"/>
            <w:gridSpan w:val="5"/>
            <w:vAlign w:val="center"/>
          </w:tcPr>
          <w:p w14:paraId="4EAE30DD" w14:textId="6FDE4C8F" w:rsidR="00620C4B" w:rsidRPr="00782783" w:rsidRDefault="00620C4B" w:rsidP="006704D9">
            <w:pPr>
              <w:keepLines/>
              <w:jc w:val="left"/>
              <w:rPr>
                <w:rFonts w:ascii="Arial Narrow" w:hAnsi="Arial Narrow"/>
                <w:sz w:val="20"/>
                <w:szCs w:val="20"/>
              </w:rPr>
            </w:pPr>
            <w:r w:rsidRPr="00782783">
              <w:rPr>
                <w:rFonts w:ascii="Arial Narrow" w:hAnsi="Arial Narrow"/>
                <w:sz w:val="20"/>
                <w:szCs w:val="20"/>
              </w:rPr>
              <w:t>Induction: U</w:t>
            </w:r>
            <w:r w:rsidR="00FC7500">
              <w:rPr>
                <w:rFonts w:ascii="Arial Narrow" w:hAnsi="Arial Narrow"/>
                <w:sz w:val="20"/>
                <w:szCs w:val="20"/>
              </w:rPr>
              <w:noBreakHyphen/>
            </w:r>
            <w:r w:rsidRPr="00782783">
              <w:rPr>
                <w:rFonts w:ascii="Arial Narrow" w:hAnsi="Arial Narrow"/>
                <w:sz w:val="20"/>
                <w:szCs w:val="20"/>
              </w:rPr>
              <w:t>EXCEED and U</w:t>
            </w:r>
            <w:r w:rsidR="00FC7500">
              <w:rPr>
                <w:rFonts w:ascii="Arial Narrow" w:hAnsi="Arial Narrow"/>
                <w:sz w:val="20"/>
                <w:szCs w:val="20"/>
              </w:rPr>
              <w:noBreakHyphen/>
            </w:r>
            <w:r w:rsidRPr="00782783">
              <w:rPr>
                <w:rFonts w:ascii="Arial Narrow" w:hAnsi="Arial Narrow"/>
                <w:sz w:val="20"/>
                <w:szCs w:val="20"/>
              </w:rPr>
              <w:t>EXCEL pooled FCD subgroup vs T20</w:t>
            </w:r>
          </w:p>
          <w:p w14:paraId="0B9572FE" w14:textId="38C82059" w:rsidR="00620C4B" w:rsidRPr="00782783" w:rsidRDefault="00620C4B" w:rsidP="006704D9">
            <w:pPr>
              <w:keepLines/>
              <w:jc w:val="left"/>
              <w:rPr>
                <w:rFonts w:ascii="Arial Narrow" w:eastAsiaTheme="minorHAnsi" w:hAnsi="Arial Narrow" w:cstheme="majorBidi"/>
                <w:bCs/>
                <w:sz w:val="20"/>
                <w:szCs w:val="20"/>
                <w:lang w:eastAsia="en-US"/>
              </w:rPr>
            </w:pPr>
            <w:r w:rsidRPr="00782783">
              <w:rPr>
                <w:rFonts w:ascii="Arial Narrow" w:hAnsi="Arial Narrow"/>
                <w:sz w:val="20"/>
                <w:szCs w:val="20"/>
              </w:rPr>
              <w:t>Maintenance: U</w:t>
            </w:r>
            <w:r w:rsidR="00FC7500">
              <w:rPr>
                <w:rFonts w:ascii="Arial Narrow" w:hAnsi="Arial Narrow"/>
                <w:sz w:val="20"/>
                <w:szCs w:val="20"/>
              </w:rPr>
              <w:noBreakHyphen/>
            </w:r>
            <w:r w:rsidRPr="00782783">
              <w:rPr>
                <w:rFonts w:ascii="Arial Narrow" w:hAnsi="Arial Narrow"/>
                <w:sz w:val="20"/>
                <w:szCs w:val="20"/>
              </w:rPr>
              <w:t xml:space="preserve">ENDURE FCD subgroup vs ACCENT II </w:t>
            </w:r>
          </w:p>
        </w:tc>
      </w:tr>
      <w:tr w:rsidR="00620C4B" w:rsidRPr="00782783" w14:paraId="135DAAED" w14:textId="77777777">
        <w:trPr>
          <w:trHeight w:val="20"/>
          <w:jc w:val="center"/>
        </w:trPr>
        <w:tc>
          <w:tcPr>
            <w:tcW w:w="451" w:type="pct"/>
            <w:vAlign w:val="center"/>
          </w:tcPr>
          <w:p w14:paraId="01C4E826" w14:textId="77777777" w:rsidR="00620C4B" w:rsidRPr="00782783" w:rsidRDefault="00620C4B" w:rsidP="006704D9">
            <w:pPr>
              <w:keepLines/>
              <w:jc w:val="left"/>
              <w:rPr>
                <w:rFonts w:ascii="Arial Narrow" w:eastAsiaTheme="minorHAnsi" w:hAnsi="Arial Narrow" w:cstheme="minorBidi"/>
                <w:bCs/>
                <w:sz w:val="20"/>
                <w:szCs w:val="20"/>
                <w:lang w:eastAsia="en-US"/>
              </w:rPr>
            </w:pPr>
            <w:r w:rsidRPr="00782783">
              <w:rPr>
                <w:rFonts w:ascii="Arial Narrow" w:hAnsi="Arial Narrow"/>
                <w:sz w:val="20"/>
                <w:szCs w:val="20"/>
              </w:rPr>
              <w:t xml:space="preserve">UPA vs ADA </w:t>
            </w:r>
          </w:p>
        </w:tc>
        <w:tc>
          <w:tcPr>
            <w:tcW w:w="4549" w:type="pct"/>
            <w:gridSpan w:val="5"/>
            <w:vAlign w:val="center"/>
          </w:tcPr>
          <w:p w14:paraId="7A0AB1C6" w14:textId="07E3621E" w:rsidR="00620C4B" w:rsidRPr="00782783" w:rsidRDefault="00620C4B" w:rsidP="006704D9">
            <w:pPr>
              <w:keepLines/>
              <w:jc w:val="left"/>
              <w:rPr>
                <w:rFonts w:ascii="Arial Narrow" w:hAnsi="Arial Narrow"/>
                <w:sz w:val="20"/>
                <w:szCs w:val="20"/>
              </w:rPr>
            </w:pPr>
            <w:r w:rsidRPr="00782783">
              <w:rPr>
                <w:rFonts w:ascii="Arial Narrow" w:hAnsi="Arial Narrow"/>
                <w:sz w:val="20"/>
                <w:szCs w:val="20"/>
              </w:rPr>
              <w:t>Induction: U</w:t>
            </w:r>
            <w:r w:rsidR="00FC7500">
              <w:rPr>
                <w:rFonts w:ascii="Arial Narrow" w:hAnsi="Arial Narrow"/>
                <w:sz w:val="20"/>
                <w:szCs w:val="20"/>
              </w:rPr>
              <w:noBreakHyphen/>
            </w:r>
            <w:r w:rsidRPr="00782783">
              <w:rPr>
                <w:rFonts w:ascii="Arial Narrow" w:hAnsi="Arial Narrow"/>
                <w:sz w:val="20"/>
                <w:szCs w:val="20"/>
              </w:rPr>
              <w:t>EXCEED and U</w:t>
            </w:r>
            <w:r w:rsidR="00FC7500">
              <w:rPr>
                <w:rFonts w:ascii="Arial Narrow" w:hAnsi="Arial Narrow"/>
                <w:sz w:val="20"/>
                <w:szCs w:val="20"/>
              </w:rPr>
              <w:noBreakHyphen/>
            </w:r>
            <w:r w:rsidRPr="00782783">
              <w:rPr>
                <w:rFonts w:ascii="Arial Narrow" w:hAnsi="Arial Narrow"/>
                <w:sz w:val="20"/>
                <w:szCs w:val="20"/>
              </w:rPr>
              <w:t>EXCEL pooled FCD subgroup vs CLASSIC</w:t>
            </w:r>
            <w:r w:rsidR="00FC7500">
              <w:rPr>
                <w:rFonts w:ascii="Arial Narrow" w:hAnsi="Arial Narrow"/>
                <w:sz w:val="20"/>
                <w:szCs w:val="20"/>
              </w:rPr>
              <w:noBreakHyphen/>
            </w:r>
            <w:r w:rsidRPr="00782783">
              <w:rPr>
                <w:rFonts w:ascii="Arial Narrow" w:hAnsi="Arial Narrow"/>
                <w:sz w:val="20"/>
                <w:szCs w:val="20"/>
              </w:rPr>
              <w:t>I and GAIN FCD subgroups</w:t>
            </w:r>
          </w:p>
          <w:p w14:paraId="0752ED13" w14:textId="2AAE674F" w:rsidR="00620C4B" w:rsidRPr="00782783" w:rsidRDefault="00620C4B" w:rsidP="006704D9">
            <w:pPr>
              <w:keepLines/>
              <w:jc w:val="left"/>
              <w:rPr>
                <w:rFonts w:ascii="Arial Narrow" w:eastAsiaTheme="minorHAnsi" w:hAnsi="Arial Narrow" w:cstheme="majorBidi"/>
                <w:bCs/>
                <w:sz w:val="20"/>
                <w:szCs w:val="20"/>
                <w:lang w:eastAsia="en-US"/>
              </w:rPr>
            </w:pPr>
            <w:r w:rsidRPr="00782783">
              <w:rPr>
                <w:rFonts w:ascii="Arial Narrow" w:hAnsi="Arial Narrow"/>
                <w:sz w:val="20"/>
                <w:szCs w:val="20"/>
              </w:rPr>
              <w:t>Maintenance: U</w:t>
            </w:r>
            <w:r w:rsidR="00FC7500">
              <w:rPr>
                <w:rFonts w:ascii="Arial Narrow" w:hAnsi="Arial Narrow"/>
                <w:sz w:val="20"/>
                <w:szCs w:val="20"/>
              </w:rPr>
              <w:noBreakHyphen/>
            </w:r>
            <w:r w:rsidRPr="00782783">
              <w:rPr>
                <w:rFonts w:ascii="Arial Narrow" w:hAnsi="Arial Narrow"/>
                <w:sz w:val="20"/>
                <w:szCs w:val="20"/>
              </w:rPr>
              <w:t>ENDURE FCD subgroup vs CHARM FCD subgroup</w:t>
            </w:r>
          </w:p>
        </w:tc>
      </w:tr>
      <w:tr w:rsidR="00620C4B" w:rsidRPr="00782783" w14:paraId="7C709B31" w14:textId="77777777">
        <w:trPr>
          <w:trHeight w:val="20"/>
          <w:jc w:val="center"/>
        </w:trPr>
        <w:tc>
          <w:tcPr>
            <w:tcW w:w="451" w:type="pct"/>
            <w:vAlign w:val="center"/>
          </w:tcPr>
          <w:p w14:paraId="0B730258" w14:textId="77777777" w:rsidR="00620C4B" w:rsidRPr="00782783" w:rsidRDefault="00620C4B" w:rsidP="006704D9">
            <w:pPr>
              <w:keepLines/>
              <w:jc w:val="left"/>
              <w:rPr>
                <w:rFonts w:ascii="Arial Narrow" w:eastAsiaTheme="minorHAnsi" w:hAnsi="Arial Narrow" w:cstheme="minorBidi"/>
                <w:bCs/>
                <w:sz w:val="20"/>
                <w:szCs w:val="20"/>
                <w:lang w:eastAsia="en-US"/>
              </w:rPr>
            </w:pPr>
            <w:r w:rsidRPr="00782783">
              <w:rPr>
                <w:rFonts w:ascii="Arial Narrow" w:hAnsi="Arial Narrow"/>
                <w:sz w:val="20"/>
                <w:szCs w:val="20"/>
              </w:rPr>
              <w:t>UPA vs UST</w:t>
            </w:r>
          </w:p>
        </w:tc>
        <w:tc>
          <w:tcPr>
            <w:tcW w:w="4549" w:type="pct"/>
            <w:gridSpan w:val="5"/>
            <w:vAlign w:val="center"/>
          </w:tcPr>
          <w:p w14:paraId="562D9EF1" w14:textId="0F522C4A" w:rsidR="00620C4B" w:rsidRPr="00782783" w:rsidRDefault="00620C4B" w:rsidP="006704D9">
            <w:pPr>
              <w:keepLines/>
              <w:jc w:val="left"/>
              <w:rPr>
                <w:rFonts w:ascii="Arial Narrow" w:hAnsi="Arial Narrow"/>
                <w:sz w:val="20"/>
                <w:szCs w:val="20"/>
              </w:rPr>
            </w:pPr>
            <w:r w:rsidRPr="00782783">
              <w:rPr>
                <w:rFonts w:ascii="Arial Narrow" w:hAnsi="Arial Narrow"/>
                <w:sz w:val="20"/>
                <w:szCs w:val="20"/>
              </w:rPr>
              <w:t>Induction: U</w:t>
            </w:r>
            <w:r w:rsidR="00FC7500">
              <w:rPr>
                <w:rFonts w:ascii="Arial Narrow" w:hAnsi="Arial Narrow"/>
                <w:sz w:val="20"/>
                <w:szCs w:val="20"/>
              </w:rPr>
              <w:noBreakHyphen/>
            </w:r>
            <w:r w:rsidRPr="00782783">
              <w:rPr>
                <w:rFonts w:ascii="Arial Narrow" w:hAnsi="Arial Narrow"/>
                <w:sz w:val="20"/>
                <w:szCs w:val="20"/>
              </w:rPr>
              <w:t>EXCEED and U</w:t>
            </w:r>
            <w:r w:rsidR="00FC7500">
              <w:rPr>
                <w:rFonts w:ascii="Arial Narrow" w:hAnsi="Arial Narrow"/>
                <w:sz w:val="20"/>
                <w:szCs w:val="20"/>
              </w:rPr>
              <w:noBreakHyphen/>
            </w:r>
            <w:r w:rsidRPr="00782783">
              <w:rPr>
                <w:rFonts w:ascii="Arial Narrow" w:hAnsi="Arial Narrow"/>
                <w:sz w:val="20"/>
                <w:szCs w:val="20"/>
              </w:rPr>
              <w:t>EXCEL pooled FCD subgroup vs UNITI</w:t>
            </w:r>
            <w:r w:rsidR="00FC7500">
              <w:rPr>
                <w:rFonts w:ascii="Arial Narrow" w:hAnsi="Arial Narrow"/>
                <w:sz w:val="20"/>
                <w:szCs w:val="20"/>
              </w:rPr>
              <w:noBreakHyphen/>
            </w:r>
            <w:r w:rsidRPr="00782783">
              <w:rPr>
                <w:rFonts w:ascii="Arial Narrow" w:hAnsi="Arial Narrow"/>
                <w:sz w:val="20"/>
                <w:szCs w:val="20"/>
              </w:rPr>
              <w:t>1 and UNITI</w:t>
            </w:r>
            <w:r w:rsidR="00FC7500">
              <w:rPr>
                <w:rFonts w:ascii="Arial Narrow" w:hAnsi="Arial Narrow"/>
                <w:sz w:val="20"/>
                <w:szCs w:val="20"/>
              </w:rPr>
              <w:noBreakHyphen/>
            </w:r>
            <w:r w:rsidRPr="00782783">
              <w:rPr>
                <w:rFonts w:ascii="Arial Narrow" w:hAnsi="Arial Narrow"/>
                <w:sz w:val="20"/>
                <w:szCs w:val="20"/>
              </w:rPr>
              <w:t>2 FCD subgroups</w:t>
            </w:r>
          </w:p>
          <w:p w14:paraId="2F376D80" w14:textId="519E1F15" w:rsidR="00620C4B" w:rsidRPr="00782783" w:rsidRDefault="00620C4B" w:rsidP="006704D9">
            <w:pPr>
              <w:keepLines/>
              <w:jc w:val="left"/>
              <w:rPr>
                <w:rFonts w:ascii="Arial Narrow" w:eastAsiaTheme="minorHAnsi" w:hAnsi="Arial Narrow" w:cstheme="majorBidi"/>
                <w:bCs/>
                <w:sz w:val="20"/>
                <w:szCs w:val="20"/>
                <w:lang w:eastAsia="en-US"/>
              </w:rPr>
            </w:pPr>
            <w:r w:rsidRPr="00782783">
              <w:rPr>
                <w:rFonts w:ascii="Arial Narrow" w:hAnsi="Arial Narrow"/>
                <w:sz w:val="20"/>
                <w:szCs w:val="20"/>
              </w:rPr>
              <w:t>Maintenance: U</w:t>
            </w:r>
            <w:r w:rsidR="00FC7500">
              <w:rPr>
                <w:rFonts w:ascii="Arial Narrow" w:hAnsi="Arial Narrow"/>
                <w:sz w:val="20"/>
                <w:szCs w:val="20"/>
              </w:rPr>
              <w:noBreakHyphen/>
            </w:r>
            <w:r w:rsidRPr="00782783">
              <w:rPr>
                <w:rFonts w:ascii="Arial Narrow" w:hAnsi="Arial Narrow"/>
                <w:sz w:val="20"/>
                <w:szCs w:val="20"/>
              </w:rPr>
              <w:t>ENDURE FCD subgroup vs IM</w:t>
            </w:r>
            <w:r w:rsidR="00FC7500">
              <w:rPr>
                <w:rFonts w:ascii="Arial Narrow" w:hAnsi="Arial Narrow"/>
                <w:sz w:val="20"/>
                <w:szCs w:val="20"/>
              </w:rPr>
              <w:noBreakHyphen/>
            </w:r>
            <w:r w:rsidRPr="00782783">
              <w:rPr>
                <w:rFonts w:ascii="Arial Narrow" w:hAnsi="Arial Narrow"/>
                <w:sz w:val="20"/>
                <w:szCs w:val="20"/>
              </w:rPr>
              <w:t>UNITI FCD subgroup</w:t>
            </w:r>
          </w:p>
        </w:tc>
      </w:tr>
    </w:tbl>
    <w:p w14:paraId="06FEA2E3" w14:textId="3B030D84" w:rsidR="00620C4B" w:rsidRPr="00E22309" w:rsidRDefault="00620C4B" w:rsidP="006704D9">
      <w:pPr>
        <w:keepLines/>
        <w:spacing w:after="120"/>
        <w:contextualSpacing/>
        <w:jc w:val="left"/>
        <w:rPr>
          <w:rFonts w:ascii="Arial Narrow" w:hAnsi="Arial Narrow"/>
          <w:i/>
          <w:iCs/>
          <w:snapToGrid w:val="0"/>
          <w:sz w:val="18"/>
          <w:szCs w:val="22"/>
        </w:rPr>
      </w:pPr>
      <w:r w:rsidRPr="006704D9">
        <w:rPr>
          <w:rFonts w:ascii="Arial Narrow" w:hAnsi="Arial Narrow"/>
          <w:snapToGrid w:val="0"/>
          <w:sz w:val="18"/>
          <w:szCs w:val="22"/>
          <w:shd w:val="clear" w:color="auto" w:fill="DBE5F1" w:themeFill="accent1" w:themeFillTint="33"/>
        </w:rPr>
        <w:t>Blue</w:t>
      </w:r>
      <w:r w:rsidRPr="00E22309">
        <w:rPr>
          <w:rFonts w:ascii="Arial Narrow" w:hAnsi="Arial Narrow"/>
          <w:snapToGrid w:val="0"/>
          <w:sz w:val="18"/>
          <w:szCs w:val="22"/>
          <w:shd w:val="clear" w:color="auto" w:fill="B8CCE4" w:themeFill="accent1" w:themeFillTint="66"/>
        </w:rPr>
        <w:t xml:space="preserve"> </w:t>
      </w:r>
      <w:r w:rsidRPr="00E22309">
        <w:rPr>
          <w:rFonts w:ascii="Arial Narrow" w:hAnsi="Arial Narrow"/>
          <w:snapToGrid w:val="0"/>
          <w:sz w:val="18"/>
          <w:szCs w:val="22"/>
        </w:rPr>
        <w:t>shading indicates data previously seen by the PBAC</w:t>
      </w:r>
      <w:r w:rsidRPr="00E22309">
        <w:rPr>
          <w:rFonts w:ascii="Arial Narrow" w:hAnsi="Arial Narrow"/>
          <w:i/>
          <w:iCs/>
          <w:snapToGrid w:val="0"/>
          <w:sz w:val="18"/>
          <w:szCs w:val="22"/>
        </w:rPr>
        <w:t>.</w:t>
      </w:r>
    </w:p>
    <w:p w14:paraId="71BB8A25" w14:textId="56599DB9" w:rsidR="00620C4B" w:rsidRPr="00F5408F" w:rsidRDefault="00620C4B" w:rsidP="00620C4B">
      <w:pPr>
        <w:keepLines/>
        <w:spacing w:after="120"/>
        <w:contextualSpacing/>
        <w:jc w:val="left"/>
        <w:rPr>
          <w:rFonts w:ascii="Arial Narrow" w:hAnsi="Arial Narrow"/>
          <w:snapToGrid w:val="0"/>
          <w:sz w:val="18"/>
          <w:szCs w:val="22"/>
        </w:rPr>
      </w:pPr>
      <w:r w:rsidRPr="00F5408F">
        <w:rPr>
          <w:rFonts w:ascii="Arial Narrow" w:hAnsi="Arial Narrow"/>
          <w:snapToGrid w:val="0"/>
          <w:sz w:val="18"/>
          <w:szCs w:val="22"/>
        </w:rPr>
        <w:lastRenderedPageBreak/>
        <w:t>Source: 2</w:t>
      </w:r>
      <w:r w:rsidR="00FC7500">
        <w:rPr>
          <w:rFonts w:ascii="Arial Narrow" w:hAnsi="Arial Narrow"/>
          <w:snapToGrid w:val="0"/>
          <w:sz w:val="18"/>
          <w:szCs w:val="22"/>
        </w:rPr>
        <w:noBreakHyphen/>
      </w:r>
      <w:r w:rsidRPr="00F5408F">
        <w:rPr>
          <w:rFonts w:ascii="Arial Narrow" w:hAnsi="Arial Narrow"/>
          <w:snapToGrid w:val="0"/>
          <w:sz w:val="18"/>
          <w:szCs w:val="22"/>
        </w:rPr>
        <w:t>6, pp35</w:t>
      </w:r>
      <w:r w:rsidR="00FC7500">
        <w:rPr>
          <w:rFonts w:ascii="Arial Narrow" w:hAnsi="Arial Narrow"/>
          <w:snapToGrid w:val="0"/>
          <w:sz w:val="18"/>
          <w:szCs w:val="22"/>
        </w:rPr>
        <w:noBreakHyphen/>
      </w:r>
      <w:r w:rsidRPr="00F5408F">
        <w:rPr>
          <w:rFonts w:ascii="Arial Narrow" w:hAnsi="Arial Narrow"/>
          <w:snapToGrid w:val="0"/>
          <w:sz w:val="18"/>
          <w:szCs w:val="22"/>
        </w:rPr>
        <w:t>37; Table 2</w:t>
      </w:r>
      <w:r w:rsidR="00FC7500">
        <w:rPr>
          <w:rFonts w:ascii="Arial Narrow" w:hAnsi="Arial Narrow"/>
          <w:snapToGrid w:val="0"/>
          <w:sz w:val="18"/>
          <w:szCs w:val="22"/>
        </w:rPr>
        <w:noBreakHyphen/>
      </w:r>
      <w:r w:rsidRPr="00F5408F">
        <w:rPr>
          <w:rFonts w:ascii="Arial Narrow" w:hAnsi="Arial Narrow"/>
          <w:snapToGrid w:val="0"/>
          <w:sz w:val="18"/>
          <w:szCs w:val="22"/>
        </w:rPr>
        <w:t>11, p55; Table 2</w:t>
      </w:r>
      <w:r w:rsidR="00FC7500">
        <w:rPr>
          <w:rFonts w:ascii="Arial Narrow" w:hAnsi="Arial Narrow"/>
          <w:snapToGrid w:val="0"/>
          <w:sz w:val="18"/>
          <w:szCs w:val="22"/>
        </w:rPr>
        <w:noBreakHyphen/>
      </w:r>
      <w:r w:rsidRPr="00F5408F">
        <w:rPr>
          <w:rFonts w:ascii="Arial Narrow" w:hAnsi="Arial Narrow"/>
          <w:snapToGrid w:val="0"/>
          <w:sz w:val="18"/>
          <w:szCs w:val="22"/>
        </w:rPr>
        <w:t>12, pp56</w:t>
      </w:r>
      <w:r w:rsidR="00FC7500">
        <w:rPr>
          <w:rFonts w:ascii="Arial Narrow" w:hAnsi="Arial Narrow"/>
          <w:snapToGrid w:val="0"/>
          <w:sz w:val="18"/>
          <w:szCs w:val="22"/>
        </w:rPr>
        <w:noBreakHyphen/>
      </w:r>
      <w:r w:rsidRPr="00F5408F">
        <w:rPr>
          <w:rFonts w:ascii="Arial Narrow" w:hAnsi="Arial Narrow"/>
          <w:snapToGrid w:val="0"/>
          <w:sz w:val="18"/>
          <w:szCs w:val="22"/>
        </w:rPr>
        <w:t>57; Table 2</w:t>
      </w:r>
      <w:r w:rsidR="00FC7500">
        <w:rPr>
          <w:rFonts w:ascii="Arial Narrow" w:hAnsi="Arial Narrow"/>
          <w:snapToGrid w:val="0"/>
          <w:sz w:val="18"/>
          <w:szCs w:val="22"/>
        </w:rPr>
        <w:noBreakHyphen/>
      </w:r>
      <w:r w:rsidRPr="00F5408F">
        <w:rPr>
          <w:rFonts w:ascii="Arial Narrow" w:hAnsi="Arial Narrow"/>
          <w:snapToGrid w:val="0"/>
          <w:sz w:val="18"/>
          <w:szCs w:val="22"/>
        </w:rPr>
        <w:t>13, pp57</w:t>
      </w:r>
      <w:r w:rsidR="00FC7500">
        <w:rPr>
          <w:rFonts w:ascii="Arial Narrow" w:hAnsi="Arial Narrow"/>
          <w:snapToGrid w:val="0"/>
          <w:sz w:val="18"/>
          <w:szCs w:val="22"/>
        </w:rPr>
        <w:noBreakHyphen/>
      </w:r>
      <w:r w:rsidRPr="00F5408F">
        <w:rPr>
          <w:rFonts w:ascii="Arial Narrow" w:hAnsi="Arial Narrow"/>
          <w:snapToGrid w:val="0"/>
          <w:sz w:val="18"/>
          <w:szCs w:val="22"/>
        </w:rPr>
        <w:t>58; Table 2</w:t>
      </w:r>
      <w:r w:rsidR="00FC7500">
        <w:rPr>
          <w:rFonts w:ascii="Arial Narrow" w:hAnsi="Arial Narrow"/>
          <w:snapToGrid w:val="0"/>
          <w:sz w:val="18"/>
          <w:szCs w:val="22"/>
        </w:rPr>
        <w:noBreakHyphen/>
      </w:r>
      <w:r w:rsidRPr="00F5408F">
        <w:rPr>
          <w:rFonts w:ascii="Arial Narrow" w:hAnsi="Arial Narrow"/>
          <w:snapToGrid w:val="0"/>
          <w:sz w:val="18"/>
          <w:szCs w:val="22"/>
        </w:rPr>
        <w:t>18, p79; Table 2</w:t>
      </w:r>
      <w:r w:rsidR="00FC7500">
        <w:rPr>
          <w:rFonts w:ascii="Arial Narrow" w:hAnsi="Arial Narrow"/>
          <w:snapToGrid w:val="0"/>
          <w:sz w:val="18"/>
          <w:szCs w:val="22"/>
        </w:rPr>
        <w:noBreakHyphen/>
      </w:r>
      <w:r w:rsidRPr="00F5408F">
        <w:rPr>
          <w:rFonts w:ascii="Arial Narrow" w:hAnsi="Arial Narrow"/>
          <w:snapToGrid w:val="0"/>
          <w:sz w:val="18"/>
          <w:szCs w:val="22"/>
        </w:rPr>
        <w:t>38, p101; Table 239, pp101</w:t>
      </w:r>
      <w:r w:rsidR="00FC7500">
        <w:rPr>
          <w:rFonts w:ascii="Arial Narrow" w:hAnsi="Arial Narrow"/>
          <w:snapToGrid w:val="0"/>
          <w:sz w:val="18"/>
          <w:szCs w:val="22"/>
        </w:rPr>
        <w:noBreakHyphen/>
      </w:r>
      <w:r w:rsidRPr="00F5408F">
        <w:rPr>
          <w:rFonts w:ascii="Arial Narrow" w:hAnsi="Arial Narrow"/>
          <w:snapToGrid w:val="0"/>
          <w:sz w:val="18"/>
          <w:szCs w:val="22"/>
        </w:rPr>
        <w:t>102; Table 2</w:t>
      </w:r>
      <w:r w:rsidR="00FC7500">
        <w:rPr>
          <w:rFonts w:ascii="Arial Narrow" w:hAnsi="Arial Narrow"/>
          <w:snapToGrid w:val="0"/>
          <w:sz w:val="18"/>
          <w:szCs w:val="22"/>
        </w:rPr>
        <w:noBreakHyphen/>
      </w:r>
      <w:r w:rsidRPr="00F5408F">
        <w:rPr>
          <w:rFonts w:ascii="Arial Narrow" w:hAnsi="Arial Narrow"/>
          <w:snapToGrid w:val="0"/>
          <w:sz w:val="18"/>
          <w:szCs w:val="22"/>
        </w:rPr>
        <w:t>40, p102</w:t>
      </w:r>
      <w:r w:rsidR="00FC7500">
        <w:rPr>
          <w:rFonts w:ascii="Arial Narrow" w:hAnsi="Arial Narrow"/>
          <w:snapToGrid w:val="0"/>
          <w:sz w:val="18"/>
          <w:szCs w:val="22"/>
        </w:rPr>
        <w:noBreakHyphen/>
      </w:r>
      <w:r w:rsidRPr="00F5408F">
        <w:rPr>
          <w:rFonts w:ascii="Arial Narrow" w:hAnsi="Arial Narrow"/>
          <w:snapToGrid w:val="0"/>
          <w:sz w:val="18"/>
          <w:szCs w:val="22"/>
        </w:rPr>
        <w:t>103; Table 2</w:t>
      </w:r>
      <w:r w:rsidR="00FC7500">
        <w:rPr>
          <w:rFonts w:ascii="Arial Narrow" w:hAnsi="Arial Narrow"/>
          <w:snapToGrid w:val="0"/>
          <w:sz w:val="18"/>
          <w:szCs w:val="22"/>
        </w:rPr>
        <w:noBreakHyphen/>
      </w:r>
      <w:r w:rsidRPr="00F5408F">
        <w:rPr>
          <w:rFonts w:ascii="Arial Narrow" w:hAnsi="Arial Narrow"/>
          <w:snapToGrid w:val="0"/>
          <w:sz w:val="18"/>
          <w:szCs w:val="22"/>
        </w:rPr>
        <w:t>41, p103 of the submission; U</w:t>
      </w:r>
      <w:r w:rsidR="00FC7500">
        <w:rPr>
          <w:rFonts w:ascii="Arial Narrow" w:hAnsi="Arial Narrow"/>
          <w:snapToGrid w:val="0"/>
          <w:sz w:val="18"/>
          <w:szCs w:val="22"/>
        </w:rPr>
        <w:noBreakHyphen/>
      </w:r>
      <w:r w:rsidRPr="00F5408F">
        <w:rPr>
          <w:rFonts w:ascii="Arial Narrow" w:hAnsi="Arial Narrow"/>
          <w:snapToGrid w:val="0"/>
          <w:sz w:val="18"/>
          <w:szCs w:val="22"/>
        </w:rPr>
        <w:t>EXCEED CSR_m14431; U</w:t>
      </w:r>
      <w:r w:rsidR="00FC7500">
        <w:rPr>
          <w:rFonts w:ascii="Arial Narrow" w:hAnsi="Arial Narrow"/>
          <w:snapToGrid w:val="0"/>
          <w:sz w:val="18"/>
          <w:szCs w:val="22"/>
        </w:rPr>
        <w:noBreakHyphen/>
      </w:r>
      <w:r w:rsidRPr="00F5408F">
        <w:rPr>
          <w:rFonts w:ascii="Arial Narrow" w:hAnsi="Arial Narrow"/>
          <w:snapToGrid w:val="0"/>
          <w:sz w:val="18"/>
          <w:szCs w:val="22"/>
        </w:rPr>
        <w:t>EXCEL CSR_m14</w:t>
      </w:r>
      <w:r w:rsidR="00FC7500">
        <w:rPr>
          <w:rFonts w:ascii="Arial Narrow" w:hAnsi="Arial Narrow"/>
          <w:snapToGrid w:val="0"/>
          <w:sz w:val="18"/>
          <w:szCs w:val="22"/>
        </w:rPr>
        <w:noBreakHyphen/>
      </w:r>
      <w:r w:rsidRPr="00F5408F">
        <w:rPr>
          <w:rFonts w:ascii="Arial Narrow" w:hAnsi="Arial Narrow"/>
          <w:snapToGrid w:val="0"/>
          <w:sz w:val="18"/>
          <w:szCs w:val="22"/>
        </w:rPr>
        <w:t>433; U</w:t>
      </w:r>
      <w:r w:rsidR="00FC7500">
        <w:rPr>
          <w:rFonts w:ascii="Arial Narrow" w:hAnsi="Arial Narrow"/>
          <w:snapToGrid w:val="0"/>
          <w:sz w:val="18"/>
          <w:szCs w:val="22"/>
        </w:rPr>
        <w:noBreakHyphen/>
      </w:r>
      <w:r w:rsidRPr="00F5408F">
        <w:rPr>
          <w:rFonts w:ascii="Arial Narrow" w:hAnsi="Arial Narrow"/>
          <w:snapToGrid w:val="0"/>
          <w:sz w:val="18"/>
          <w:szCs w:val="22"/>
        </w:rPr>
        <w:t>ENDURE CSR_m14430; T20 Present et al., 1999; ACCENT II Sands et. al 2004; CLASSIC</w:t>
      </w:r>
      <w:r w:rsidR="00FC7500">
        <w:rPr>
          <w:rFonts w:ascii="Arial Narrow" w:hAnsi="Arial Narrow"/>
          <w:snapToGrid w:val="0"/>
          <w:sz w:val="18"/>
          <w:szCs w:val="22"/>
        </w:rPr>
        <w:noBreakHyphen/>
      </w:r>
      <w:r w:rsidRPr="00F5408F">
        <w:rPr>
          <w:rFonts w:ascii="Arial Narrow" w:hAnsi="Arial Narrow"/>
          <w:snapToGrid w:val="0"/>
          <w:sz w:val="18"/>
          <w:szCs w:val="22"/>
        </w:rPr>
        <w:t>I Sands et al 2004; CLASSIC</w:t>
      </w:r>
      <w:r w:rsidR="00FC7500">
        <w:rPr>
          <w:rFonts w:ascii="Arial Narrow" w:hAnsi="Arial Narrow"/>
          <w:snapToGrid w:val="0"/>
          <w:sz w:val="18"/>
          <w:szCs w:val="22"/>
        </w:rPr>
        <w:noBreakHyphen/>
      </w:r>
      <w:r w:rsidRPr="00F5408F">
        <w:rPr>
          <w:rFonts w:ascii="Arial Narrow" w:hAnsi="Arial Narrow"/>
          <w:snapToGrid w:val="0"/>
          <w:sz w:val="18"/>
          <w:szCs w:val="22"/>
        </w:rPr>
        <w:t>I Hanauer et al., 2006; GAIN Sandborn et al. 2007; CHARM Colombel et al., 2007; UNITI</w:t>
      </w:r>
      <w:r w:rsidR="00FC7500">
        <w:rPr>
          <w:rFonts w:ascii="Arial Narrow" w:hAnsi="Arial Narrow"/>
          <w:snapToGrid w:val="0"/>
          <w:sz w:val="18"/>
          <w:szCs w:val="22"/>
        </w:rPr>
        <w:noBreakHyphen/>
      </w:r>
      <w:r w:rsidRPr="00F5408F">
        <w:rPr>
          <w:rFonts w:ascii="Arial Narrow" w:hAnsi="Arial Narrow"/>
          <w:snapToGrid w:val="0"/>
          <w:sz w:val="18"/>
          <w:szCs w:val="22"/>
        </w:rPr>
        <w:t>I and UNITI</w:t>
      </w:r>
      <w:r w:rsidR="00FC7500">
        <w:rPr>
          <w:rFonts w:ascii="Arial Narrow" w:hAnsi="Arial Narrow"/>
          <w:snapToGrid w:val="0"/>
          <w:sz w:val="18"/>
          <w:szCs w:val="22"/>
        </w:rPr>
        <w:noBreakHyphen/>
      </w:r>
      <w:r w:rsidRPr="00F5408F">
        <w:rPr>
          <w:rFonts w:ascii="Arial Narrow" w:hAnsi="Arial Narrow"/>
          <w:snapToGrid w:val="0"/>
          <w:sz w:val="18"/>
          <w:szCs w:val="22"/>
        </w:rPr>
        <w:t>II Feagan et al., 2016; Table 3, ustekinumab, PSD, July 2024 PBAC Meeting.</w:t>
      </w:r>
    </w:p>
    <w:p w14:paraId="42AFA9AC" w14:textId="020637FB" w:rsidR="00620C4B" w:rsidRPr="00F5408F" w:rsidRDefault="00620C4B" w:rsidP="00620C4B">
      <w:pPr>
        <w:keepLines/>
        <w:spacing w:after="120"/>
        <w:contextualSpacing/>
        <w:jc w:val="left"/>
        <w:rPr>
          <w:rFonts w:ascii="Arial Narrow" w:hAnsi="Arial Narrow"/>
          <w:snapToGrid w:val="0"/>
          <w:sz w:val="18"/>
          <w:szCs w:val="22"/>
        </w:rPr>
      </w:pPr>
      <w:r w:rsidRPr="00F5408F">
        <w:rPr>
          <w:rFonts w:ascii="Arial Narrow" w:hAnsi="Arial Narrow"/>
          <w:snapToGrid w:val="0"/>
          <w:sz w:val="18"/>
          <w:szCs w:val="22"/>
        </w:rPr>
        <w:t>ADA= adalimumab; CD = Crohn’s Disease; CDAI = Crohn’s Disease Activity Index; DB = double</w:t>
      </w:r>
      <w:r w:rsidR="00FC7500">
        <w:rPr>
          <w:rFonts w:ascii="Arial Narrow" w:hAnsi="Arial Narrow"/>
          <w:snapToGrid w:val="0"/>
          <w:sz w:val="18"/>
          <w:szCs w:val="22"/>
        </w:rPr>
        <w:noBreakHyphen/>
      </w:r>
      <w:r w:rsidRPr="00F5408F">
        <w:rPr>
          <w:rFonts w:ascii="Arial Narrow" w:hAnsi="Arial Narrow"/>
          <w:snapToGrid w:val="0"/>
          <w:sz w:val="18"/>
          <w:szCs w:val="22"/>
        </w:rPr>
        <w:t>blind; dFCD = draining fistulising Crohn’s disease (population relevant to this submission); EOW = every other week; FCD = fistulising Crohn’s disease; IFX = infliximab; IP = Induction period; MC = multicentre; MP = Maintenance Phase; OL = Open</w:t>
      </w:r>
      <w:r w:rsidR="00FC7500">
        <w:rPr>
          <w:rFonts w:ascii="Arial Narrow" w:hAnsi="Arial Narrow"/>
          <w:snapToGrid w:val="0"/>
          <w:sz w:val="18"/>
          <w:szCs w:val="22"/>
        </w:rPr>
        <w:noBreakHyphen/>
      </w:r>
      <w:r w:rsidRPr="00F5408F">
        <w:rPr>
          <w:rFonts w:ascii="Arial Narrow" w:hAnsi="Arial Narrow"/>
          <w:snapToGrid w:val="0"/>
          <w:sz w:val="18"/>
          <w:szCs w:val="22"/>
        </w:rPr>
        <w:t>label; PC = placebo</w:t>
      </w:r>
      <w:r w:rsidR="00FC7500">
        <w:rPr>
          <w:rFonts w:ascii="Arial Narrow" w:hAnsi="Arial Narrow"/>
          <w:snapToGrid w:val="0"/>
          <w:sz w:val="18"/>
          <w:szCs w:val="22"/>
        </w:rPr>
        <w:noBreakHyphen/>
      </w:r>
      <w:r w:rsidRPr="00F5408F">
        <w:rPr>
          <w:rFonts w:ascii="Arial Narrow" w:hAnsi="Arial Narrow"/>
          <w:snapToGrid w:val="0"/>
          <w:sz w:val="18"/>
          <w:szCs w:val="22"/>
        </w:rPr>
        <w:t>controlled; R = randomised; RWD = Real</w:t>
      </w:r>
      <w:r w:rsidR="00FC7500">
        <w:rPr>
          <w:rFonts w:ascii="Arial Narrow" w:hAnsi="Arial Narrow"/>
          <w:snapToGrid w:val="0"/>
          <w:sz w:val="18"/>
          <w:szCs w:val="22"/>
        </w:rPr>
        <w:noBreakHyphen/>
      </w:r>
      <w:r w:rsidRPr="00F5408F">
        <w:rPr>
          <w:rFonts w:ascii="Arial Narrow" w:hAnsi="Arial Narrow"/>
          <w:snapToGrid w:val="0"/>
          <w:sz w:val="18"/>
          <w:szCs w:val="22"/>
        </w:rPr>
        <w:t>world data; TNF = Tumour Necrosis Factor.</w:t>
      </w:r>
    </w:p>
    <w:p w14:paraId="680D0B9E" w14:textId="7F6383FC" w:rsidR="00620C4B" w:rsidRPr="00F5408F" w:rsidRDefault="00620C4B" w:rsidP="00620C4B">
      <w:pPr>
        <w:keepLines/>
        <w:spacing w:after="120"/>
        <w:contextualSpacing/>
        <w:jc w:val="left"/>
        <w:rPr>
          <w:rFonts w:ascii="Arial Narrow" w:hAnsi="Arial Narrow"/>
          <w:snapToGrid w:val="0"/>
          <w:sz w:val="18"/>
          <w:szCs w:val="22"/>
        </w:rPr>
      </w:pPr>
      <w:proofErr w:type="spellStart"/>
      <w:r w:rsidRPr="00F5408F">
        <w:rPr>
          <w:rFonts w:ascii="Arial Narrow" w:hAnsi="Arial Narrow"/>
          <w:snapToGrid w:val="0"/>
          <w:sz w:val="18"/>
          <w:szCs w:val="22"/>
          <w:vertAlign w:val="superscript"/>
        </w:rPr>
        <w:t>a</w:t>
      </w:r>
      <w:proofErr w:type="spellEnd"/>
      <w:r w:rsidRPr="00F5408F">
        <w:rPr>
          <w:rFonts w:ascii="Arial Narrow" w:hAnsi="Arial Narrow"/>
          <w:snapToGrid w:val="0"/>
          <w:sz w:val="18"/>
          <w:szCs w:val="22"/>
          <w:vertAlign w:val="superscript"/>
        </w:rPr>
        <w:t xml:space="preserve"> </w:t>
      </w:r>
      <w:r w:rsidRPr="00F5408F">
        <w:rPr>
          <w:rFonts w:ascii="Arial Narrow" w:hAnsi="Arial Narrow"/>
          <w:snapToGrid w:val="0"/>
          <w:sz w:val="18"/>
          <w:szCs w:val="22"/>
        </w:rPr>
        <w:t>The upadacitinib FCD population (N=143) included patients with any fistula. Patients with draining fistula in the U</w:t>
      </w:r>
      <w:r w:rsidR="00FC7500">
        <w:rPr>
          <w:rFonts w:ascii="Arial Narrow" w:hAnsi="Arial Narrow"/>
          <w:snapToGrid w:val="0"/>
          <w:sz w:val="18"/>
          <w:szCs w:val="22"/>
        </w:rPr>
        <w:noBreakHyphen/>
      </w:r>
      <w:r w:rsidRPr="00F5408F">
        <w:rPr>
          <w:rFonts w:ascii="Arial Narrow" w:hAnsi="Arial Narrow"/>
          <w:snapToGrid w:val="0"/>
          <w:sz w:val="18"/>
          <w:szCs w:val="22"/>
        </w:rPr>
        <w:t>EXCEED/U</w:t>
      </w:r>
      <w:r w:rsidR="00FC7500">
        <w:rPr>
          <w:rFonts w:ascii="Arial Narrow" w:hAnsi="Arial Narrow"/>
          <w:snapToGrid w:val="0"/>
          <w:sz w:val="18"/>
          <w:szCs w:val="22"/>
        </w:rPr>
        <w:noBreakHyphen/>
      </w:r>
      <w:r w:rsidRPr="00F5408F">
        <w:rPr>
          <w:rFonts w:ascii="Arial Narrow" w:hAnsi="Arial Narrow"/>
          <w:snapToGrid w:val="0"/>
          <w:sz w:val="18"/>
          <w:szCs w:val="22"/>
        </w:rPr>
        <w:t>EXCEL trials n=66. CD populations obtained from trial CSRs.</w:t>
      </w:r>
    </w:p>
    <w:p w14:paraId="578387F6" w14:textId="3C041080" w:rsidR="00620C4B" w:rsidRPr="00F5408F" w:rsidRDefault="00620C4B" w:rsidP="00620C4B">
      <w:pPr>
        <w:keepLines/>
        <w:spacing w:after="120"/>
        <w:contextualSpacing/>
        <w:jc w:val="left"/>
        <w:rPr>
          <w:rFonts w:ascii="Arial Narrow" w:hAnsi="Arial Narrow"/>
          <w:snapToGrid w:val="0"/>
          <w:sz w:val="18"/>
          <w:szCs w:val="22"/>
        </w:rPr>
      </w:pPr>
      <w:r w:rsidRPr="00F5408F">
        <w:rPr>
          <w:rFonts w:ascii="Arial Narrow" w:hAnsi="Arial Narrow"/>
          <w:snapToGrid w:val="0"/>
          <w:sz w:val="18"/>
          <w:szCs w:val="22"/>
          <w:vertAlign w:val="superscript"/>
        </w:rPr>
        <w:t>b</w:t>
      </w:r>
      <w:r w:rsidRPr="00F5408F">
        <w:rPr>
          <w:rFonts w:ascii="Arial Narrow" w:hAnsi="Arial Narrow"/>
          <w:snapToGrid w:val="0"/>
          <w:sz w:val="18"/>
          <w:szCs w:val="22"/>
        </w:rPr>
        <w:t xml:space="preserve"> CD population obtained from trial CSR. N for U</w:t>
      </w:r>
      <w:r w:rsidR="00FC7500">
        <w:rPr>
          <w:rFonts w:ascii="Arial Narrow" w:hAnsi="Arial Narrow"/>
          <w:snapToGrid w:val="0"/>
          <w:sz w:val="18"/>
          <w:szCs w:val="22"/>
        </w:rPr>
        <w:noBreakHyphen/>
      </w:r>
      <w:r w:rsidRPr="00F5408F">
        <w:rPr>
          <w:rFonts w:ascii="Arial Narrow" w:hAnsi="Arial Narrow"/>
          <w:snapToGrid w:val="0"/>
          <w:sz w:val="18"/>
          <w:szCs w:val="22"/>
        </w:rPr>
        <w:t>ENDURE corresponds to Cohort 1.</w:t>
      </w:r>
    </w:p>
    <w:p w14:paraId="6C03C0DB" w14:textId="77777777" w:rsidR="00620C4B" w:rsidRPr="00F5408F" w:rsidRDefault="00620C4B" w:rsidP="00620C4B">
      <w:pPr>
        <w:keepLines/>
        <w:spacing w:after="120"/>
        <w:contextualSpacing/>
        <w:jc w:val="left"/>
        <w:rPr>
          <w:rFonts w:ascii="Arial Narrow" w:hAnsi="Arial Narrow"/>
          <w:snapToGrid w:val="0"/>
          <w:sz w:val="18"/>
          <w:szCs w:val="22"/>
        </w:rPr>
      </w:pPr>
      <w:r w:rsidRPr="00F5408F">
        <w:rPr>
          <w:rFonts w:ascii="Arial Narrow" w:hAnsi="Arial Narrow"/>
          <w:snapToGrid w:val="0"/>
          <w:sz w:val="18"/>
          <w:szCs w:val="22"/>
          <w:vertAlign w:val="superscript"/>
        </w:rPr>
        <w:t>c</w:t>
      </w:r>
      <w:r w:rsidRPr="00F5408F">
        <w:rPr>
          <w:rFonts w:ascii="Arial Narrow" w:hAnsi="Arial Narrow"/>
          <w:snapToGrid w:val="0"/>
          <w:sz w:val="18"/>
          <w:szCs w:val="22"/>
        </w:rPr>
        <w:t xml:space="preserve"> T20 also included 32 patients randomised to receive IFX 10 mg/kg. This dose was excluded as not relevant to the submission.</w:t>
      </w:r>
    </w:p>
    <w:p w14:paraId="670A7F40" w14:textId="0AB84B48" w:rsidR="00620C4B" w:rsidRPr="00F5408F" w:rsidRDefault="00620C4B" w:rsidP="00620C4B">
      <w:pPr>
        <w:keepLines/>
        <w:spacing w:after="120"/>
        <w:contextualSpacing/>
        <w:jc w:val="left"/>
        <w:rPr>
          <w:rFonts w:ascii="Arial Narrow" w:hAnsi="Arial Narrow"/>
          <w:snapToGrid w:val="0"/>
          <w:sz w:val="18"/>
          <w:szCs w:val="22"/>
          <w:vertAlign w:val="superscript"/>
        </w:rPr>
      </w:pPr>
      <w:r w:rsidRPr="00F5408F">
        <w:rPr>
          <w:rFonts w:ascii="Arial Narrow" w:hAnsi="Arial Narrow"/>
          <w:snapToGrid w:val="0"/>
          <w:sz w:val="18"/>
          <w:szCs w:val="22"/>
          <w:vertAlign w:val="superscript"/>
        </w:rPr>
        <w:t xml:space="preserve">d </w:t>
      </w:r>
      <w:r w:rsidRPr="00F5408F">
        <w:rPr>
          <w:rFonts w:ascii="Arial Narrow" w:hAnsi="Arial Narrow"/>
          <w:snapToGrid w:val="0"/>
          <w:sz w:val="18"/>
          <w:szCs w:val="22"/>
        </w:rPr>
        <w:t>ACCENT II analysed 276 patients maintenance response (Table 2</w:t>
      </w:r>
      <w:r w:rsidR="00FC7500">
        <w:rPr>
          <w:rFonts w:ascii="Arial Narrow" w:hAnsi="Arial Narrow"/>
          <w:snapToGrid w:val="0"/>
          <w:sz w:val="18"/>
          <w:szCs w:val="22"/>
        </w:rPr>
        <w:noBreakHyphen/>
      </w:r>
      <w:r w:rsidRPr="00F5408F">
        <w:rPr>
          <w:rFonts w:ascii="Arial Narrow" w:hAnsi="Arial Narrow"/>
          <w:snapToGrid w:val="0"/>
          <w:sz w:val="18"/>
          <w:szCs w:val="22"/>
        </w:rPr>
        <w:t>41 p103 of the submission) and 189 patients (maintenance remission (Table 2</w:t>
      </w:r>
      <w:r w:rsidR="00FC7500">
        <w:rPr>
          <w:rFonts w:ascii="Arial Narrow" w:hAnsi="Arial Narrow"/>
          <w:snapToGrid w:val="0"/>
          <w:sz w:val="18"/>
          <w:szCs w:val="22"/>
        </w:rPr>
        <w:noBreakHyphen/>
      </w:r>
      <w:r w:rsidRPr="00F5408F">
        <w:rPr>
          <w:rFonts w:ascii="Arial Narrow" w:hAnsi="Arial Narrow"/>
          <w:snapToGrid w:val="0"/>
          <w:sz w:val="18"/>
          <w:szCs w:val="22"/>
        </w:rPr>
        <w:t>40, pp102</w:t>
      </w:r>
      <w:r w:rsidR="00FC7500">
        <w:rPr>
          <w:rFonts w:ascii="Arial Narrow" w:hAnsi="Arial Narrow"/>
          <w:snapToGrid w:val="0"/>
          <w:sz w:val="18"/>
          <w:szCs w:val="22"/>
        </w:rPr>
        <w:noBreakHyphen/>
      </w:r>
      <w:r w:rsidRPr="00F5408F">
        <w:rPr>
          <w:rFonts w:ascii="Arial Narrow" w:hAnsi="Arial Narrow"/>
          <w:snapToGrid w:val="0"/>
          <w:sz w:val="18"/>
          <w:szCs w:val="22"/>
        </w:rPr>
        <w:t>103 of the submission); ACCENT II, CD N=282 (306 patients received IFX at induction phase; 282 patients (non</w:t>
      </w:r>
      <w:r w:rsidR="00FC7500">
        <w:rPr>
          <w:rFonts w:ascii="Arial Narrow" w:hAnsi="Arial Narrow"/>
          <w:snapToGrid w:val="0"/>
          <w:sz w:val="18"/>
          <w:szCs w:val="22"/>
        </w:rPr>
        <w:noBreakHyphen/>
      </w:r>
      <w:r w:rsidRPr="00F5408F">
        <w:rPr>
          <w:rFonts w:ascii="Arial Narrow" w:hAnsi="Arial Narrow"/>
          <w:snapToGrid w:val="0"/>
          <w:sz w:val="18"/>
          <w:szCs w:val="22"/>
        </w:rPr>
        <w:t>responders and responders) were randomised to IFX and PBO at Week 14, Sands et al., 2004</w:t>
      </w:r>
    </w:p>
    <w:p w14:paraId="18C0B775" w14:textId="617ADFEC" w:rsidR="00620C4B" w:rsidRPr="00F5408F" w:rsidRDefault="00620C4B" w:rsidP="00620C4B">
      <w:pPr>
        <w:keepLines/>
        <w:spacing w:after="120"/>
        <w:contextualSpacing/>
        <w:jc w:val="left"/>
        <w:rPr>
          <w:rFonts w:ascii="Arial Narrow" w:hAnsi="Arial Narrow"/>
          <w:snapToGrid w:val="0"/>
          <w:sz w:val="18"/>
          <w:szCs w:val="22"/>
        </w:rPr>
      </w:pPr>
      <w:r w:rsidRPr="00F5408F">
        <w:rPr>
          <w:rFonts w:ascii="Arial Narrow" w:hAnsi="Arial Narrow"/>
          <w:snapToGrid w:val="0"/>
          <w:sz w:val="18"/>
          <w:szCs w:val="22"/>
          <w:vertAlign w:val="superscript"/>
        </w:rPr>
        <w:t>e</w:t>
      </w:r>
      <w:r w:rsidRPr="00F5408F">
        <w:rPr>
          <w:rFonts w:ascii="Arial Narrow" w:hAnsi="Arial Narrow"/>
          <w:snapToGrid w:val="0"/>
          <w:sz w:val="18"/>
          <w:szCs w:val="22"/>
        </w:rPr>
        <w:t xml:space="preserve"> The CD population of CLASSIC</w:t>
      </w:r>
      <w:r w:rsidR="00FC7500">
        <w:rPr>
          <w:rFonts w:ascii="Arial Narrow" w:hAnsi="Arial Narrow"/>
          <w:snapToGrid w:val="0"/>
          <w:sz w:val="18"/>
          <w:szCs w:val="22"/>
        </w:rPr>
        <w:noBreakHyphen/>
      </w:r>
      <w:r w:rsidRPr="00F5408F">
        <w:rPr>
          <w:rFonts w:ascii="Arial Narrow" w:hAnsi="Arial Narrow"/>
          <w:snapToGrid w:val="0"/>
          <w:sz w:val="18"/>
          <w:szCs w:val="22"/>
        </w:rPr>
        <w:t xml:space="preserve">I also included 149 patients randomised to receive doses not relevant to the submission. Of these, 14 patients with FCD received doses not relevant to the submission. </w:t>
      </w:r>
    </w:p>
    <w:p w14:paraId="344ACAFD" w14:textId="77777777" w:rsidR="00620C4B" w:rsidRPr="00F5408F" w:rsidRDefault="00620C4B" w:rsidP="00620C4B">
      <w:pPr>
        <w:keepLines/>
        <w:spacing w:after="120"/>
        <w:contextualSpacing/>
        <w:jc w:val="left"/>
        <w:rPr>
          <w:rFonts w:ascii="Arial Narrow" w:hAnsi="Arial Narrow"/>
          <w:snapToGrid w:val="0"/>
          <w:sz w:val="18"/>
          <w:szCs w:val="22"/>
        </w:rPr>
      </w:pPr>
      <w:r w:rsidRPr="00F5408F">
        <w:rPr>
          <w:rFonts w:ascii="Arial Narrow" w:hAnsi="Arial Narrow"/>
          <w:snapToGrid w:val="0"/>
          <w:sz w:val="18"/>
          <w:szCs w:val="22"/>
          <w:vertAlign w:val="superscript"/>
        </w:rPr>
        <w:t>f</w:t>
      </w:r>
      <w:r w:rsidRPr="00F5408F">
        <w:rPr>
          <w:rFonts w:ascii="Arial Narrow" w:hAnsi="Arial Narrow"/>
          <w:snapToGrid w:val="0"/>
          <w:sz w:val="18"/>
          <w:szCs w:val="22"/>
        </w:rPr>
        <w:t xml:space="preserve"> The CD population of CHARM also included 257 patients randomised to receive ADA 40 mg weekly, which was not relevant to the submission. </w:t>
      </w:r>
    </w:p>
    <w:p w14:paraId="345A0A54" w14:textId="484E2426" w:rsidR="00620C4B" w:rsidRPr="00F5408F" w:rsidRDefault="00620C4B" w:rsidP="00620C4B">
      <w:pPr>
        <w:keepLines/>
        <w:spacing w:after="120"/>
        <w:contextualSpacing/>
        <w:jc w:val="left"/>
        <w:rPr>
          <w:rFonts w:ascii="Arial Narrow" w:hAnsi="Arial Narrow"/>
          <w:snapToGrid w:val="0"/>
          <w:sz w:val="18"/>
          <w:szCs w:val="22"/>
        </w:rPr>
      </w:pPr>
      <w:r w:rsidRPr="00F5408F">
        <w:rPr>
          <w:rFonts w:ascii="Arial Narrow" w:hAnsi="Arial Narrow"/>
          <w:snapToGrid w:val="0"/>
          <w:sz w:val="18"/>
          <w:szCs w:val="22"/>
          <w:vertAlign w:val="superscript"/>
        </w:rPr>
        <w:t>g</w:t>
      </w:r>
      <w:r w:rsidRPr="00F5408F">
        <w:rPr>
          <w:rFonts w:ascii="Arial Narrow" w:hAnsi="Arial Narrow"/>
          <w:snapToGrid w:val="0"/>
          <w:sz w:val="18"/>
          <w:szCs w:val="22"/>
        </w:rPr>
        <w:t xml:space="preserve"> The CD population of UNITI</w:t>
      </w:r>
      <w:r w:rsidR="00FC7500">
        <w:rPr>
          <w:rFonts w:ascii="Arial Narrow" w:hAnsi="Arial Narrow"/>
          <w:snapToGrid w:val="0"/>
          <w:sz w:val="18"/>
          <w:szCs w:val="22"/>
        </w:rPr>
        <w:noBreakHyphen/>
      </w:r>
      <w:r w:rsidRPr="00F5408F">
        <w:rPr>
          <w:rFonts w:ascii="Arial Narrow" w:hAnsi="Arial Narrow"/>
          <w:snapToGrid w:val="0"/>
          <w:sz w:val="18"/>
          <w:szCs w:val="22"/>
        </w:rPr>
        <w:t xml:space="preserve">I also included 249 patients randomised to receive UST 6 mg/kg, which was not relevant to the submission. </w:t>
      </w:r>
    </w:p>
    <w:p w14:paraId="7D4AF7C0" w14:textId="01758582" w:rsidR="00620C4B" w:rsidRPr="00F5408F" w:rsidRDefault="00620C4B" w:rsidP="00620C4B">
      <w:pPr>
        <w:keepLines/>
        <w:spacing w:after="120"/>
        <w:contextualSpacing/>
        <w:jc w:val="left"/>
        <w:rPr>
          <w:rFonts w:ascii="Arial Narrow" w:hAnsi="Arial Narrow"/>
          <w:snapToGrid w:val="0"/>
          <w:sz w:val="18"/>
          <w:szCs w:val="22"/>
        </w:rPr>
      </w:pPr>
      <w:r w:rsidRPr="00F5408F">
        <w:rPr>
          <w:rFonts w:ascii="Arial Narrow" w:hAnsi="Arial Narrow"/>
          <w:snapToGrid w:val="0"/>
          <w:sz w:val="18"/>
          <w:szCs w:val="22"/>
          <w:vertAlign w:val="superscript"/>
        </w:rPr>
        <w:t>h</w:t>
      </w:r>
      <w:r w:rsidRPr="00F5408F">
        <w:rPr>
          <w:rFonts w:ascii="Arial Narrow" w:hAnsi="Arial Narrow"/>
          <w:snapToGrid w:val="0"/>
          <w:sz w:val="18"/>
          <w:szCs w:val="22"/>
        </w:rPr>
        <w:t xml:space="preserve"> The CD population of UNITI</w:t>
      </w:r>
      <w:r w:rsidR="00FC7500">
        <w:rPr>
          <w:rFonts w:ascii="Arial Narrow" w:hAnsi="Arial Narrow"/>
          <w:snapToGrid w:val="0"/>
          <w:sz w:val="18"/>
          <w:szCs w:val="22"/>
        </w:rPr>
        <w:noBreakHyphen/>
      </w:r>
      <w:r w:rsidRPr="00F5408F">
        <w:rPr>
          <w:rFonts w:ascii="Arial Narrow" w:hAnsi="Arial Narrow"/>
          <w:snapToGrid w:val="0"/>
          <w:sz w:val="18"/>
          <w:szCs w:val="22"/>
        </w:rPr>
        <w:t xml:space="preserve">II also included 209 patients randomised to receive UST 6 mg/kg, which was not relevant to the submission. </w:t>
      </w:r>
    </w:p>
    <w:p w14:paraId="400F8CA4" w14:textId="77777777" w:rsidR="00620C4B" w:rsidRPr="00F5408F" w:rsidRDefault="00620C4B" w:rsidP="00620C4B">
      <w:pPr>
        <w:keepLines/>
        <w:spacing w:after="120"/>
        <w:contextualSpacing/>
        <w:jc w:val="left"/>
        <w:rPr>
          <w:rFonts w:ascii="Arial Narrow" w:hAnsi="Arial Narrow"/>
          <w:snapToGrid w:val="0"/>
          <w:sz w:val="18"/>
          <w:szCs w:val="22"/>
        </w:rPr>
      </w:pPr>
      <w:r w:rsidRPr="00F5408F">
        <w:rPr>
          <w:rFonts w:ascii="Arial Narrow" w:hAnsi="Arial Narrow"/>
          <w:snapToGrid w:val="0"/>
          <w:sz w:val="18"/>
          <w:szCs w:val="22"/>
          <w:vertAlign w:val="superscript"/>
        </w:rPr>
        <w:t xml:space="preserve">i </w:t>
      </w:r>
      <w:r w:rsidRPr="00F5408F">
        <w:rPr>
          <w:rFonts w:ascii="Arial Narrow" w:hAnsi="Arial Narrow"/>
          <w:snapToGrid w:val="0"/>
          <w:sz w:val="18"/>
          <w:szCs w:val="22"/>
        </w:rPr>
        <w:t>n=59 at baseline</w:t>
      </w:r>
      <w:bookmarkStart w:id="46" w:name="_Hlk216712041"/>
      <w:r w:rsidRPr="00F5408F">
        <w:rPr>
          <w:rFonts w:ascii="Arial Narrow" w:hAnsi="Arial Narrow"/>
          <w:snapToGrid w:val="0"/>
          <w:sz w:val="18"/>
          <w:szCs w:val="22"/>
        </w:rPr>
        <w:t xml:space="preserve">; n=26 outcome </w:t>
      </w:r>
      <w:bookmarkEnd w:id="46"/>
      <w:r w:rsidRPr="00F5408F">
        <w:rPr>
          <w:rFonts w:ascii="Arial Narrow" w:hAnsi="Arial Narrow"/>
          <w:snapToGrid w:val="0"/>
          <w:sz w:val="18"/>
          <w:szCs w:val="22"/>
        </w:rPr>
        <w:t>(Paragraph 6.8, ustekinumab PSD, July 2023 PBAC Meeting)</w:t>
      </w:r>
    </w:p>
    <w:p w14:paraId="2F934E37" w14:textId="2668D375" w:rsidR="00620C4B" w:rsidRPr="00661707" w:rsidRDefault="00620C4B" w:rsidP="00620C4B">
      <w:pPr>
        <w:pStyle w:val="3-BodyText"/>
      </w:pPr>
      <w:r w:rsidRPr="00661707">
        <w:t>The infliximab, adalimumab and ustekinumab trials were considered to have a low overall risk of bias for the intention</w:t>
      </w:r>
      <w:r w:rsidR="00FC7500">
        <w:noBreakHyphen/>
      </w:r>
      <w:r w:rsidRPr="00661707">
        <w:t>to</w:t>
      </w:r>
      <w:r w:rsidR="00FC7500">
        <w:noBreakHyphen/>
      </w:r>
      <w:r w:rsidRPr="00661707">
        <w:t>treat (ITT) analysis, but there was a high risk of bias in the adalimumab and ustekinumab trials for the subgroup of patients with FCD at baseline (paragraph 6.12, ustekinumab, PSD, July 2023 PBAC Meeting). This limitation also applied to the upadacitinib U</w:t>
      </w:r>
      <w:r w:rsidR="00FC7500">
        <w:noBreakHyphen/>
      </w:r>
      <w:r w:rsidRPr="00661707">
        <w:t>EXCEED/U</w:t>
      </w:r>
      <w:r w:rsidR="00FC7500">
        <w:noBreakHyphen/>
      </w:r>
      <w:r w:rsidRPr="00661707">
        <w:t>EXCEL (pooled) and U</w:t>
      </w:r>
      <w:r w:rsidR="00FC7500">
        <w:noBreakHyphen/>
      </w:r>
      <w:r w:rsidRPr="00661707">
        <w:t>ENDURE trials (Colombel et al., 2025) post</w:t>
      </w:r>
      <w:r w:rsidR="00FC7500">
        <w:noBreakHyphen/>
      </w:r>
      <w:r w:rsidRPr="00661707">
        <w:t>hoc subgroup analyses.</w:t>
      </w:r>
    </w:p>
    <w:p w14:paraId="65FC9777" w14:textId="5EFFB9BD" w:rsidR="00D06C8A" w:rsidRPr="00661707" w:rsidRDefault="00D06C8A" w:rsidP="00D06C8A">
      <w:pPr>
        <w:pStyle w:val="3-BodyText"/>
      </w:pPr>
      <w:r w:rsidRPr="00661707">
        <w:t>The upadacitinib</w:t>
      </w:r>
      <w:r w:rsidR="00457F81" w:rsidRPr="00661707">
        <w:t>, adalimumab, and ustekinumab</w:t>
      </w:r>
      <w:r w:rsidRPr="00661707">
        <w:t xml:space="preserve"> FCD subgroup</w:t>
      </w:r>
      <w:r w:rsidR="00457F81" w:rsidRPr="00661707">
        <w:t>s</w:t>
      </w:r>
      <w:r w:rsidRPr="00661707">
        <w:t xml:space="preserve"> w</w:t>
      </w:r>
      <w:r w:rsidR="00457F81" w:rsidRPr="00661707">
        <w:t>ere</w:t>
      </w:r>
      <w:r w:rsidRPr="00661707">
        <w:t xml:space="preserve"> taken from broader moderate to severe CD trials. In contrast the infliximab T20 trial enrolled only patients with </w:t>
      </w:r>
      <w:r w:rsidR="00283333" w:rsidRPr="00661707">
        <w:t>F</w:t>
      </w:r>
      <w:r w:rsidRPr="00661707">
        <w:t xml:space="preserve">CD. </w:t>
      </w:r>
      <w:r w:rsidR="00457F81" w:rsidRPr="00661707">
        <w:t>Patients in the infliximab trials had lower CDAI scores likely due to targeting patients with FCD and not CDAI severity at baseline. The infliximab trials also required all patients to have actively draining fistula at baseline, compared with only small fistula subpopulations in upadacitinib, adalimumab and ustekinumab trials</w:t>
      </w:r>
      <w:r w:rsidR="001A03E2" w:rsidRPr="00661707">
        <w:t>.</w:t>
      </w:r>
      <w:r w:rsidR="00457F81" w:rsidRPr="00661707">
        <w:t xml:space="preserve"> </w:t>
      </w:r>
      <w:r w:rsidR="001A03E2" w:rsidRPr="00661707">
        <w:t>T</w:t>
      </w:r>
      <w:r w:rsidR="00457F81" w:rsidRPr="00661707">
        <w:t xml:space="preserve">here was </w:t>
      </w:r>
      <w:r w:rsidR="001A03E2" w:rsidRPr="00661707">
        <w:t>also</w:t>
      </w:r>
      <w:r w:rsidR="00457F81" w:rsidRPr="00661707">
        <w:t xml:space="preserve"> variation in prior exposure to biologics across the trials</w:t>
      </w:r>
      <w:r w:rsidR="002A4623" w:rsidRPr="00661707">
        <w:t>,</w:t>
      </w:r>
      <w:r w:rsidR="00457F81" w:rsidRPr="00661707">
        <w:t xml:space="preserve"> with upadacitinib enrolling more refractory patients. </w:t>
      </w:r>
      <w:r w:rsidRPr="00661707">
        <w:t>Comparison</w:t>
      </w:r>
      <w:r w:rsidR="00926BB5" w:rsidRPr="00661707">
        <w:t xml:space="preserve"> </w:t>
      </w:r>
      <w:r w:rsidR="00CF4ABE" w:rsidRPr="00661707">
        <w:t>between</w:t>
      </w:r>
      <w:r w:rsidR="00926BB5" w:rsidRPr="00661707">
        <w:t xml:space="preserve"> the </w:t>
      </w:r>
      <w:r w:rsidR="00CF4ABE" w:rsidRPr="00661707">
        <w:t>up</w:t>
      </w:r>
      <w:r w:rsidR="0061716A" w:rsidRPr="00661707">
        <w:t>adacitinib,</w:t>
      </w:r>
      <w:r w:rsidRPr="00661707">
        <w:t xml:space="preserve"> adalimumab and ustekinumab </w:t>
      </w:r>
      <w:r w:rsidR="0061716A" w:rsidRPr="00661707">
        <w:t>FCD subgroups at baseline</w:t>
      </w:r>
      <w:r w:rsidRPr="00661707">
        <w:t xml:space="preserve"> was not possible as the comparator subgroup data was not presented.</w:t>
      </w:r>
    </w:p>
    <w:p w14:paraId="412C5744" w14:textId="7D5A70B4" w:rsidR="00620C4B" w:rsidRPr="00661707" w:rsidRDefault="00620C4B" w:rsidP="00620C4B">
      <w:pPr>
        <w:pStyle w:val="3-BodyText"/>
      </w:pPr>
      <w:r w:rsidRPr="00661707">
        <w:t>In the upadacitinib U</w:t>
      </w:r>
      <w:r w:rsidR="00FC7500">
        <w:noBreakHyphen/>
      </w:r>
      <w:r w:rsidRPr="00661707">
        <w:t>EXCEED, U</w:t>
      </w:r>
      <w:r w:rsidR="00FC7500">
        <w:noBreakHyphen/>
      </w:r>
      <w:r w:rsidRPr="00661707">
        <w:t>EXCEL, U</w:t>
      </w:r>
      <w:r w:rsidR="00FC7500">
        <w:noBreakHyphen/>
      </w:r>
      <w:r w:rsidRPr="00661707">
        <w:t>ENDURE trials, fistula outcomes were post</w:t>
      </w:r>
      <w:r w:rsidR="00FC7500">
        <w:noBreakHyphen/>
      </w:r>
      <w:r w:rsidRPr="00661707">
        <w:t>hoc and not prespecified primary or secondary endpoints. In contrast, the adalimumab CLASSIC</w:t>
      </w:r>
      <w:r w:rsidR="00FC7500">
        <w:noBreakHyphen/>
      </w:r>
      <w:r w:rsidRPr="00661707">
        <w:t>I, GAIN, CHARM trials and ustekinumab UNITI</w:t>
      </w:r>
      <w:r w:rsidR="00FC7500">
        <w:noBreakHyphen/>
      </w:r>
      <w:r w:rsidRPr="00661707">
        <w:t>1, UNITI</w:t>
      </w:r>
      <w:r w:rsidR="00FC7500">
        <w:noBreakHyphen/>
      </w:r>
      <w:r w:rsidRPr="00661707">
        <w:t>2, IM</w:t>
      </w:r>
      <w:r w:rsidR="00FC7500">
        <w:noBreakHyphen/>
      </w:r>
      <w:r w:rsidRPr="00661707">
        <w:t>UNITI trials included fistula response and fistula remission as</w:t>
      </w:r>
      <w:r w:rsidR="006704D9" w:rsidRPr="00661707">
        <w:t xml:space="preserve"> assessed pre</w:t>
      </w:r>
      <w:r w:rsidR="00FC7500">
        <w:noBreakHyphen/>
      </w:r>
      <w:r w:rsidR="006704D9" w:rsidRPr="00661707">
        <w:t xml:space="preserve">specified fistula subgroups within broader CD trials </w:t>
      </w:r>
      <w:r w:rsidRPr="00661707">
        <w:t>in the subset of patients with draining fistulas at baseline. The infliximab T20 and ACCENT II trials exclusively enrolled patients with FCD and assessed fistula response and fistula remission as primary outcomes.</w:t>
      </w:r>
    </w:p>
    <w:p w14:paraId="5D1CA9E3" w14:textId="2FE219B1" w:rsidR="00620C4B" w:rsidRPr="00661707" w:rsidRDefault="00620C4B" w:rsidP="00620C4B">
      <w:pPr>
        <w:pStyle w:val="3-BodyText"/>
      </w:pPr>
      <w:r w:rsidRPr="00661707">
        <w:t>The post</w:t>
      </w:r>
      <w:r w:rsidR="00FC7500">
        <w:noBreakHyphen/>
      </w:r>
      <w:r w:rsidRPr="00661707">
        <w:t xml:space="preserve">hoc approach of the FCD subgroup analysis was aligned with the </w:t>
      </w:r>
      <w:r w:rsidR="003623A9" w:rsidRPr="00661707">
        <w:t>evidence used to support the</w:t>
      </w:r>
      <w:r w:rsidRPr="00661707">
        <w:t xml:space="preserve"> comparator treatments on the PBS, where prespecified </w:t>
      </w:r>
      <w:r w:rsidRPr="00661707">
        <w:lastRenderedPageBreak/>
        <w:t>exploratory/secondary or post</w:t>
      </w:r>
      <w:r w:rsidR="00FC7500">
        <w:noBreakHyphen/>
      </w:r>
      <w:r w:rsidRPr="00661707">
        <w:t>hoc data were used to support listing for fistula response (≥ 50% reduction in draining fistulae) and fistula remission (complete closure/absence of all draining fistulas) (paragraph 12, infliximab, PSD, March 2010 PBAC meeting; paragraph 7, adalimumab, PSD, November 2010 PBAC Meeting; paragraph 6.16 and paragraph 6.21, ustekinumab, PSD, July 2023 PBAC meeting).</w:t>
      </w:r>
    </w:p>
    <w:p w14:paraId="2FAE4FAB" w14:textId="0CE6F26A" w:rsidR="00620C4B" w:rsidRPr="00661707" w:rsidRDefault="00620C4B" w:rsidP="00620C4B">
      <w:pPr>
        <w:pStyle w:val="3-BodyText"/>
      </w:pPr>
      <w:bookmarkStart w:id="47" w:name="_Ref216643379"/>
      <w:r w:rsidRPr="00661707">
        <w:t>The upadacitinib trials assessed fistula outcomes at a single, fixed timepoint, defining response as a ≥50 % reduction and remission as complete closure at one visit (Week 12 for induction; Week 52 for maintenance). Comparator trials assessed fistula activity earlier and more frequently, for example, the infliximab T20 trial required response to be confirmed at ≥2 consecutive visits, while the infliximab ACCENT II trial required confirmation at ≥4 consecutive visits with assessments scheduled at weeks 0, 2, 6, 10, 14, 22, 30, 38, 46 and 54 and the ustekinumab UNITI</w:t>
      </w:r>
      <w:r w:rsidR="00FC7500">
        <w:noBreakHyphen/>
      </w:r>
      <w:r w:rsidRPr="00661707">
        <w:t>I, UNITI</w:t>
      </w:r>
      <w:r w:rsidR="00FC7500">
        <w:noBreakHyphen/>
      </w:r>
      <w:r w:rsidRPr="00661707">
        <w:t>II trials incorporated structured assessments at Week 6 and 8, allowing repeated verification of fistula status.</w:t>
      </w:r>
      <w:bookmarkEnd w:id="47"/>
    </w:p>
    <w:p w14:paraId="2781A1D7" w14:textId="0DF43983" w:rsidR="007326D7" w:rsidRPr="00661707" w:rsidRDefault="00620C4B" w:rsidP="007326D7">
      <w:pPr>
        <w:pStyle w:val="3-BodyText"/>
      </w:pPr>
      <w:r w:rsidRPr="00661707">
        <w:t>The submission did not nominate a non</w:t>
      </w:r>
      <w:r w:rsidR="00FC7500">
        <w:noBreakHyphen/>
      </w:r>
      <w:r w:rsidRPr="00661707">
        <w:t>inferiority margin</w:t>
      </w:r>
      <w:r w:rsidR="001C0E3D">
        <w:t>.</w:t>
      </w:r>
      <w:r w:rsidRPr="00661707">
        <w:t xml:space="preserve"> </w:t>
      </w:r>
      <w:bookmarkStart w:id="48" w:name="_Hlk216690520"/>
      <w:r w:rsidRPr="00661707">
        <w:t>This was consistent with infliximab, adalimumab, ustekinumab where non</w:t>
      </w:r>
      <w:r w:rsidR="00FC7500">
        <w:noBreakHyphen/>
      </w:r>
      <w:r w:rsidRPr="00661707">
        <w:t xml:space="preserve">inferiority margins were not provided (paragraph 12, infliximab PSD, March 2010 PBAC Meeting; paragraph 12, adalimumab PSD, November 2010 PBAC meeting; paragraph 7.1, ustekinumab PSD, July 2023 PBAC Meeting). </w:t>
      </w:r>
      <w:bookmarkEnd w:id="48"/>
    </w:p>
    <w:p w14:paraId="51187343" w14:textId="77777777" w:rsidR="00620C4B" w:rsidRPr="0098262F" w:rsidRDefault="00620C4B" w:rsidP="00620C4B">
      <w:pPr>
        <w:pStyle w:val="4-SubsectionHeading"/>
      </w:pPr>
      <w:bookmarkStart w:id="49" w:name="_Toc22897641"/>
      <w:bookmarkStart w:id="50" w:name="_Toc216541083"/>
      <w:bookmarkStart w:id="51" w:name="_Toc219709219"/>
      <w:r w:rsidRPr="0098262F">
        <w:t>Comparative effectiveness</w:t>
      </w:r>
      <w:bookmarkEnd w:id="49"/>
      <w:bookmarkEnd w:id="50"/>
      <w:bookmarkEnd w:id="51"/>
    </w:p>
    <w:bookmarkStart w:id="52" w:name="_Hlk216435686"/>
    <w:p w14:paraId="320AABC8" w14:textId="77777777" w:rsidR="00620C4B" w:rsidRDefault="00620C4B" w:rsidP="00620C4B">
      <w:pPr>
        <w:pStyle w:val="3-BodyText"/>
        <w:sectPr w:rsidR="00620C4B" w:rsidSect="00620C4B">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cols w:space="708"/>
          <w:docGrid w:linePitch="360"/>
        </w:sectPr>
      </w:pPr>
      <w:r>
        <w:fldChar w:fldCharType="begin"/>
      </w:r>
      <w:r>
        <w:instrText xml:space="preserve"> REF _Ref216540955 \h </w:instrText>
      </w:r>
      <w:r>
        <w:fldChar w:fldCharType="separate"/>
      </w:r>
      <w:r>
        <w:t xml:space="preserve">Table </w:t>
      </w:r>
      <w:r>
        <w:rPr>
          <w:noProof/>
        </w:rPr>
        <w:t>4</w:t>
      </w:r>
      <w:r>
        <w:fldChar w:fldCharType="end"/>
      </w:r>
      <w:r>
        <w:t xml:space="preserve"> </w:t>
      </w:r>
      <w:r w:rsidRPr="006D595F">
        <w:t>summarises fistula response and fistula remission outcomes for patients with fistulising CD enrolled in the induction trials.</w:t>
      </w:r>
    </w:p>
    <w:p w14:paraId="5E6CD459" w14:textId="6A779257" w:rsidR="00620C4B" w:rsidRDefault="00620C4B" w:rsidP="00620C4B">
      <w:pPr>
        <w:pStyle w:val="Caption"/>
        <w:rPr>
          <w:rStyle w:val="CommentReference"/>
          <w:b/>
          <w:szCs w:val="24"/>
        </w:rPr>
      </w:pPr>
      <w:bookmarkStart w:id="55" w:name="_Ref216540955"/>
      <w:r>
        <w:lastRenderedPageBreak/>
        <w:t xml:space="preserve">Table </w:t>
      </w:r>
      <w:fldSimple w:instr=" SEQ Table \* ARABIC ">
        <w:r w:rsidR="000C3F10">
          <w:rPr>
            <w:noProof/>
          </w:rPr>
          <w:t>4</w:t>
        </w:r>
      </w:fldSimple>
      <w:bookmarkEnd w:id="55"/>
      <w:r w:rsidRPr="0098262F">
        <w:t>:</w:t>
      </w:r>
      <w:r w:rsidRPr="0098262F">
        <w:rPr>
          <w:rStyle w:val="CommentReference"/>
          <w:b/>
          <w:szCs w:val="24"/>
        </w:rPr>
        <w:t xml:space="preserve"> </w:t>
      </w:r>
      <w:r>
        <w:rPr>
          <w:rStyle w:val="CommentReference"/>
          <w:b/>
          <w:szCs w:val="24"/>
        </w:rPr>
        <w:t>Induction r</w:t>
      </w:r>
      <w:r w:rsidRPr="0098262F">
        <w:rPr>
          <w:rStyle w:val="CommentReference"/>
          <w:b/>
          <w:szCs w:val="24"/>
        </w:rPr>
        <w:t>esults of</w:t>
      </w:r>
      <w:r>
        <w:rPr>
          <w:rStyle w:val="CommentReference"/>
          <w:b/>
          <w:szCs w:val="24"/>
        </w:rPr>
        <w:t xml:space="preserve"> FCD</w:t>
      </w:r>
      <w:r w:rsidRPr="0098262F">
        <w:rPr>
          <w:rStyle w:val="CommentReference"/>
          <w:b/>
          <w:szCs w:val="24"/>
        </w:rPr>
        <w:t xml:space="preserve"> across the trials: </w:t>
      </w:r>
      <w:r w:rsidRPr="006D595F">
        <w:rPr>
          <w:rStyle w:val="CommentReference"/>
          <w:b/>
          <w:szCs w:val="24"/>
        </w:rPr>
        <w:t>fistula response and fistula remission</w:t>
      </w:r>
    </w:p>
    <w:tbl>
      <w:tblPr>
        <w:tblpPr w:leftFromText="180" w:rightFromText="180" w:vertAnchor="text" w:tblpXSpec="center" w:tblpY="1"/>
        <w:tblOverlap w:val="never"/>
        <w:tblW w:w="9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4: Induction results of FCD across the trials: fistula response and fistula remission"/>
      </w:tblPr>
      <w:tblGrid>
        <w:gridCol w:w="1129"/>
        <w:gridCol w:w="1134"/>
        <w:gridCol w:w="1134"/>
        <w:gridCol w:w="1701"/>
        <w:gridCol w:w="1560"/>
        <w:gridCol w:w="1569"/>
        <w:gridCol w:w="861"/>
      </w:tblGrid>
      <w:tr w:rsidR="00620C4B" w:rsidRPr="00782783" w14:paraId="1EBE1437" w14:textId="77777777">
        <w:trPr>
          <w:trHeight w:val="14"/>
          <w:tblHeader/>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101B391F" w14:textId="77777777" w:rsidR="00620C4B" w:rsidRPr="00782783" w:rsidRDefault="00620C4B">
            <w:pPr>
              <w:keepNext/>
              <w:jc w:val="center"/>
              <w:rPr>
                <w:rFonts w:ascii="Arial Narrow" w:eastAsia="Calibri" w:hAnsi="Arial Narrow" w:cs="Calibri"/>
                <w:b/>
                <w:sz w:val="20"/>
                <w:szCs w:val="20"/>
                <w:lang w:eastAsia="en-US"/>
              </w:rPr>
            </w:pPr>
            <w:r w:rsidRPr="00782783">
              <w:rPr>
                <w:rFonts w:ascii="Arial Narrow" w:eastAsia="Calibri" w:hAnsi="Arial Narrow" w:cs="Calibri"/>
                <w:b/>
                <w:sz w:val="20"/>
                <w:szCs w:val="20"/>
                <w:lang w:eastAsia="en-US"/>
              </w:rPr>
              <w:t>Trial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6B051E" w14:textId="77777777" w:rsidR="00620C4B" w:rsidRPr="00782783" w:rsidRDefault="00620C4B">
            <w:pPr>
              <w:keepNext/>
              <w:jc w:val="center"/>
              <w:rPr>
                <w:rFonts w:ascii="Arial Narrow" w:eastAsia="Calibri" w:hAnsi="Arial Narrow" w:cs="Calibri"/>
                <w:b/>
                <w:sz w:val="20"/>
                <w:szCs w:val="20"/>
                <w:lang w:eastAsia="en-US"/>
              </w:rPr>
            </w:pPr>
            <w:r w:rsidRPr="00782783">
              <w:rPr>
                <w:rFonts w:ascii="Arial Narrow" w:eastAsia="Calibri" w:hAnsi="Arial Narrow" w:cs="Calibri"/>
                <w:b/>
                <w:sz w:val="20"/>
                <w:szCs w:val="20"/>
                <w:lang w:eastAsia="en-US"/>
              </w:rPr>
              <w:t>Active treatment</w:t>
            </w:r>
          </w:p>
          <w:p w14:paraId="47B04C34" w14:textId="77777777" w:rsidR="00620C4B" w:rsidRPr="00782783" w:rsidRDefault="00620C4B">
            <w:pPr>
              <w:keepNext/>
              <w:jc w:val="center"/>
              <w:rPr>
                <w:rFonts w:ascii="Arial Narrow" w:eastAsia="Calibri" w:hAnsi="Arial Narrow" w:cs="Calibri"/>
                <w:b/>
                <w:sz w:val="20"/>
                <w:szCs w:val="20"/>
                <w:lang w:eastAsia="en-US"/>
              </w:rPr>
            </w:pPr>
            <w:r w:rsidRPr="00782783">
              <w:rPr>
                <w:rFonts w:ascii="Arial Narrow" w:eastAsia="Calibri" w:hAnsi="Arial Narrow" w:cs="Calibri"/>
                <w:b/>
                <w:sz w:val="20"/>
                <w:szCs w:val="20"/>
                <w:lang w:eastAsia="en-US"/>
              </w:rPr>
              <w:t>n/N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684DEB" w14:textId="77777777" w:rsidR="00620C4B" w:rsidRPr="00782783" w:rsidRDefault="00620C4B">
            <w:pPr>
              <w:keepNext/>
              <w:jc w:val="center"/>
              <w:rPr>
                <w:rFonts w:ascii="Arial Narrow" w:eastAsia="Calibri" w:hAnsi="Arial Narrow" w:cs="Calibri"/>
                <w:b/>
                <w:sz w:val="20"/>
                <w:szCs w:val="20"/>
                <w:lang w:eastAsia="en-US"/>
              </w:rPr>
            </w:pPr>
            <w:r w:rsidRPr="00782783">
              <w:rPr>
                <w:rFonts w:ascii="Arial Narrow" w:eastAsia="Calibri" w:hAnsi="Arial Narrow" w:cs="Calibri"/>
                <w:b/>
                <w:sz w:val="20"/>
                <w:szCs w:val="20"/>
                <w:lang w:eastAsia="en-US"/>
              </w:rPr>
              <w:t>PBO</w:t>
            </w:r>
          </w:p>
          <w:p w14:paraId="298200D9" w14:textId="77777777" w:rsidR="00620C4B" w:rsidRPr="00782783" w:rsidRDefault="00620C4B">
            <w:pPr>
              <w:keepNext/>
              <w:jc w:val="center"/>
              <w:rPr>
                <w:rFonts w:ascii="Arial Narrow" w:eastAsia="Calibri" w:hAnsi="Arial Narrow" w:cs="Calibri"/>
                <w:b/>
                <w:sz w:val="20"/>
                <w:szCs w:val="20"/>
                <w:lang w:eastAsia="en-US"/>
              </w:rPr>
            </w:pPr>
            <w:r w:rsidRPr="00782783">
              <w:rPr>
                <w:rFonts w:ascii="Arial Narrow" w:eastAsia="Calibri" w:hAnsi="Arial Narrow" w:cs="Calibri"/>
                <w:b/>
                <w:sz w:val="20"/>
                <w:szCs w:val="20"/>
                <w:lang w:eastAsia="en-US"/>
              </w:rPr>
              <w:t>n/N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673B74" w14:textId="77777777" w:rsidR="00620C4B" w:rsidRPr="00782783" w:rsidRDefault="00620C4B">
            <w:pPr>
              <w:keepNext/>
              <w:jc w:val="center"/>
              <w:rPr>
                <w:rFonts w:ascii="Arial Narrow" w:eastAsia="Calibri" w:hAnsi="Arial Narrow" w:cs="Calibri"/>
                <w:b/>
                <w:sz w:val="20"/>
                <w:szCs w:val="20"/>
                <w:lang w:eastAsia="en-US"/>
              </w:rPr>
            </w:pPr>
            <w:r w:rsidRPr="00782783">
              <w:rPr>
                <w:rFonts w:ascii="Arial Narrow" w:eastAsia="Calibri" w:hAnsi="Arial Narrow" w:cs="Calibri"/>
                <w:b/>
                <w:sz w:val="20"/>
                <w:szCs w:val="20"/>
                <w:lang w:eastAsia="en-US"/>
              </w:rPr>
              <w:t>OR (95%CI)</w:t>
            </w:r>
          </w:p>
          <w:p w14:paraId="4260BAF1" w14:textId="77777777" w:rsidR="00620C4B" w:rsidRPr="00782783" w:rsidRDefault="00620C4B">
            <w:pPr>
              <w:keepNext/>
              <w:jc w:val="center"/>
              <w:rPr>
                <w:rFonts w:ascii="Arial Narrow" w:eastAsia="Calibri" w:hAnsi="Arial Narrow" w:cs="Calibri"/>
                <w:b/>
                <w:sz w:val="20"/>
                <w:szCs w:val="20"/>
                <w:lang w:eastAsia="en-US"/>
              </w:rPr>
            </w:pPr>
            <w:r w:rsidRPr="00782783">
              <w:rPr>
                <w:rFonts w:ascii="Arial Narrow" w:eastAsia="Calibri" w:hAnsi="Arial Narrow" w:cs="Calibri"/>
                <w:b/>
                <w:sz w:val="20"/>
                <w:szCs w:val="20"/>
                <w:lang w:eastAsia="en-US"/>
              </w:rPr>
              <w:t xml:space="preserve">(result &gt; 1 favours intervention) </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13F07550" w14:textId="77777777" w:rsidR="00620C4B" w:rsidRPr="00782783" w:rsidRDefault="00620C4B">
            <w:pPr>
              <w:keepNext/>
              <w:jc w:val="center"/>
              <w:rPr>
                <w:rFonts w:ascii="Arial Narrow" w:eastAsia="Calibri" w:hAnsi="Arial Narrow" w:cs="Calibri"/>
                <w:b/>
                <w:sz w:val="20"/>
                <w:szCs w:val="20"/>
                <w:vertAlign w:val="superscript"/>
                <w:lang w:eastAsia="en-US"/>
              </w:rPr>
            </w:pPr>
            <w:r w:rsidRPr="00782783">
              <w:rPr>
                <w:rFonts w:ascii="Arial Narrow" w:eastAsia="Calibri" w:hAnsi="Arial Narrow" w:cs="Calibri"/>
                <w:b/>
                <w:sz w:val="20"/>
                <w:szCs w:val="20"/>
                <w:lang w:eastAsia="en-US"/>
              </w:rPr>
              <w:t>RD (95%CI)</w:t>
            </w:r>
            <w:r w:rsidRPr="00782783">
              <w:rPr>
                <w:rFonts w:ascii="Arial Narrow" w:eastAsia="Calibri" w:hAnsi="Arial Narrow" w:cs="Calibri"/>
                <w:b/>
                <w:sz w:val="20"/>
                <w:szCs w:val="20"/>
                <w:vertAlign w:val="superscript"/>
                <w:lang w:eastAsia="en-US"/>
              </w:rPr>
              <w:t>a</w:t>
            </w:r>
          </w:p>
          <w:p w14:paraId="0AD135AA" w14:textId="77777777" w:rsidR="00620C4B" w:rsidRPr="00782783" w:rsidRDefault="00620C4B">
            <w:pPr>
              <w:keepNext/>
              <w:jc w:val="center"/>
              <w:rPr>
                <w:rFonts w:ascii="Arial Narrow" w:eastAsia="Calibri" w:hAnsi="Arial Narrow" w:cs="Calibri"/>
                <w:b/>
                <w:sz w:val="20"/>
                <w:szCs w:val="20"/>
                <w:lang w:eastAsia="en-US"/>
              </w:rPr>
            </w:pPr>
            <w:r w:rsidRPr="00782783">
              <w:rPr>
                <w:rFonts w:ascii="Arial Narrow" w:eastAsia="Calibri" w:hAnsi="Arial Narrow" w:cs="Calibri"/>
                <w:b/>
                <w:sz w:val="20"/>
                <w:szCs w:val="20"/>
                <w:lang w:eastAsia="en-US"/>
              </w:rPr>
              <w:t xml:space="preserve">(result &gt; 0 favours intervention) </w:t>
            </w:r>
          </w:p>
        </w:tc>
        <w:tc>
          <w:tcPr>
            <w:tcW w:w="861" w:type="dxa"/>
            <w:tcBorders>
              <w:left w:val="single" w:sz="4" w:space="0" w:color="auto"/>
            </w:tcBorders>
            <w:vAlign w:val="center"/>
          </w:tcPr>
          <w:p w14:paraId="170465B2" w14:textId="77777777" w:rsidR="00620C4B" w:rsidRPr="00782783" w:rsidRDefault="00620C4B">
            <w:pPr>
              <w:keepNext/>
              <w:jc w:val="center"/>
              <w:rPr>
                <w:rFonts w:ascii="Arial Narrow" w:eastAsia="Calibri" w:hAnsi="Arial Narrow" w:cs="Calibri"/>
                <w:b/>
                <w:sz w:val="20"/>
                <w:szCs w:val="20"/>
                <w:lang w:eastAsia="en-US"/>
              </w:rPr>
            </w:pPr>
            <w:r w:rsidRPr="00782783">
              <w:rPr>
                <w:rFonts w:ascii="Arial Narrow" w:eastAsia="Calibri" w:hAnsi="Arial Narrow" w:cs="Calibri"/>
                <w:b/>
                <w:sz w:val="20"/>
                <w:szCs w:val="20"/>
                <w:lang w:eastAsia="en-US"/>
              </w:rPr>
              <w:t>NNT (95% CI)</w:t>
            </w:r>
          </w:p>
        </w:tc>
      </w:tr>
      <w:tr w:rsidR="00620C4B" w:rsidRPr="00782783" w14:paraId="72DA8BA7" w14:textId="77777777">
        <w:trPr>
          <w:trHeight w:val="17"/>
          <w:jc w:val="center"/>
        </w:trPr>
        <w:tc>
          <w:tcPr>
            <w:tcW w:w="9088" w:type="dxa"/>
            <w:gridSpan w:val="7"/>
            <w:tcBorders>
              <w:top w:val="single" w:sz="4" w:space="0" w:color="auto"/>
              <w:left w:val="single" w:sz="4" w:space="0" w:color="auto"/>
              <w:bottom w:val="single" w:sz="4" w:space="0" w:color="auto"/>
            </w:tcBorders>
            <w:noWrap/>
            <w:vAlign w:val="center"/>
          </w:tcPr>
          <w:p w14:paraId="7D1A3E72" w14:textId="77777777" w:rsidR="00620C4B" w:rsidRPr="00782783" w:rsidRDefault="00620C4B">
            <w:pPr>
              <w:keepNext/>
              <w:jc w:val="left"/>
              <w:rPr>
                <w:rFonts w:ascii="Arial Narrow" w:eastAsia="Calibri" w:hAnsi="Arial Narrow" w:cs="Calibri"/>
                <w:b/>
                <w:sz w:val="20"/>
                <w:szCs w:val="20"/>
                <w:lang w:eastAsia="en-US"/>
              </w:rPr>
            </w:pPr>
            <w:r w:rsidRPr="00782783">
              <w:rPr>
                <w:rFonts w:ascii="Arial Narrow" w:eastAsia="Calibri" w:hAnsi="Arial Narrow" w:cs="Calibri"/>
                <w:b/>
                <w:sz w:val="20"/>
                <w:szCs w:val="20"/>
                <w:lang w:eastAsia="en-US"/>
              </w:rPr>
              <w:t xml:space="preserve">Induction </w:t>
            </w:r>
          </w:p>
        </w:tc>
      </w:tr>
      <w:tr w:rsidR="00620C4B" w:rsidRPr="00782783" w14:paraId="58AE0708" w14:textId="77777777">
        <w:trPr>
          <w:trHeight w:val="17"/>
          <w:jc w:val="center"/>
        </w:trPr>
        <w:tc>
          <w:tcPr>
            <w:tcW w:w="9088" w:type="dxa"/>
            <w:gridSpan w:val="7"/>
            <w:tcBorders>
              <w:top w:val="single" w:sz="4" w:space="0" w:color="auto"/>
              <w:left w:val="single" w:sz="4" w:space="0" w:color="auto"/>
              <w:bottom w:val="single" w:sz="4" w:space="0" w:color="auto"/>
            </w:tcBorders>
            <w:noWrap/>
            <w:vAlign w:val="center"/>
            <w:hideMark/>
          </w:tcPr>
          <w:p w14:paraId="452C89C4" w14:textId="77777777" w:rsidR="00620C4B" w:rsidRPr="00782783" w:rsidRDefault="00620C4B">
            <w:pPr>
              <w:keepNext/>
              <w:keepLines/>
              <w:jc w:val="left"/>
              <w:rPr>
                <w:rFonts w:ascii="Arial Narrow" w:eastAsiaTheme="majorEastAsia" w:hAnsi="Arial Narrow" w:cstheme="minorHAnsi"/>
                <w:b/>
                <w:sz w:val="20"/>
              </w:rPr>
            </w:pPr>
            <w:r w:rsidRPr="00782783">
              <w:rPr>
                <w:rFonts w:ascii="Arial Narrow" w:eastAsiaTheme="majorEastAsia" w:hAnsi="Arial Narrow" w:cstheme="minorHAnsi"/>
                <w:b/>
                <w:sz w:val="20"/>
              </w:rPr>
              <w:t>Fistula Response (≥50% reduction in number of draining fistula from baseline), n (%)</w:t>
            </w:r>
          </w:p>
        </w:tc>
      </w:tr>
      <w:tr w:rsidR="00620C4B" w:rsidRPr="00782783" w14:paraId="72E26225" w14:textId="77777777">
        <w:trPr>
          <w:trHeight w:val="17"/>
          <w:jc w:val="center"/>
        </w:trPr>
        <w:tc>
          <w:tcPr>
            <w:tcW w:w="3397" w:type="dxa"/>
            <w:gridSpan w:val="3"/>
            <w:tcBorders>
              <w:top w:val="single" w:sz="4" w:space="0" w:color="auto"/>
              <w:left w:val="single" w:sz="4" w:space="0" w:color="auto"/>
              <w:bottom w:val="single" w:sz="4" w:space="0" w:color="auto"/>
            </w:tcBorders>
            <w:noWrap/>
            <w:vAlign w:val="center"/>
          </w:tcPr>
          <w:p w14:paraId="2750AE27" w14:textId="77777777" w:rsidR="00620C4B" w:rsidRPr="00782783" w:rsidRDefault="00620C4B">
            <w:pPr>
              <w:keepNext/>
              <w:keepLines/>
              <w:jc w:val="left"/>
              <w:rPr>
                <w:rFonts w:ascii="Arial Narrow" w:eastAsiaTheme="majorEastAsia" w:hAnsi="Arial Narrow" w:cstheme="minorHAnsi"/>
                <w:bCs/>
                <w:sz w:val="20"/>
              </w:rPr>
            </w:pPr>
            <w:r w:rsidRPr="00782783">
              <w:rPr>
                <w:rFonts w:ascii="Arial Narrow" w:eastAsiaTheme="majorEastAsia" w:hAnsi="Arial Narrow" w:cstheme="minorHAnsi"/>
                <w:bCs/>
                <w:sz w:val="20"/>
              </w:rPr>
              <w:t>UPA (45 mg) – Week 12</w:t>
            </w:r>
          </w:p>
        </w:tc>
        <w:tc>
          <w:tcPr>
            <w:tcW w:w="5691" w:type="dxa"/>
            <w:gridSpan w:val="4"/>
            <w:tcBorders>
              <w:top w:val="single" w:sz="4" w:space="0" w:color="auto"/>
              <w:left w:val="single" w:sz="4" w:space="0" w:color="auto"/>
              <w:bottom w:val="single" w:sz="4" w:space="0" w:color="auto"/>
            </w:tcBorders>
            <w:vAlign w:val="center"/>
          </w:tcPr>
          <w:p w14:paraId="5D35C563" w14:textId="77777777" w:rsidR="00620C4B" w:rsidRPr="00782783" w:rsidRDefault="00620C4B">
            <w:pPr>
              <w:keepNext/>
              <w:keepLines/>
              <w:jc w:val="left"/>
              <w:rPr>
                <w:rFonts w:ascii="Arial Narrow" w:eastAsiaTheme="majorEastAsia" w:hAnsi="Arial Narrow" w:cstheme="minorHAnsi"/>
                <w:bCs/>
                <w:sz w:val="20"/>
              </w:rPr>
            </w:pPr>
          </w:p>
        </w:tc>
      </w:tr>
      <w:tr w:rsidR="00620C4B" w:rsidRPr="00782783" w14:paraId="79A325E5" w14:textId="77777777">
        <w:trPr>
          <w:trHeight w:val="17"/>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71DC16F4" w14:textId="5F9D772E" w:rsidR="00620C4B" w:rsidRPr="00782783" w:rsidRDefault="00620C4B">
            <w:pPr>
              <w:keepNext/>
              <w:keepLines/>
              <w:rPr>
                <w:rFonts w:ascii="Arial Narrow" w:eastAsiaTheme="majorEastAsia" w:hAnsi="Arial Narrow" w:cstheme="minorHAnsi"/>
                <w:bCs/>
                <w:sz w:val="20"/>
              </w:rPr>
            </w:pPr>
            <w:r w:rsidRPr="00782783">
              <w:rPr>
                <w:rFonts w:ascii="Arial Narrow" w:eastAsiaTheme="majorEastAsia" w:hAnsi="Arial Narrow" w:cstheme="minorHAnsi"/>
                <w:bCs/>
                <w:sz w:val="20"/>
              </w:rPr>
              <w:t>U</w:t>
            </w:r>
            <w:r w:rsidR="00FC7500">
              <w:rPr>
                <w:rFonts w:ascii="Arial Narrow" w:eastAsiaTheme="majorEastAsia" w:hAnsi="Arial Narrow" w:cstheme="minorHAnsi"/>
                <w:bCs/>
                <w:sz w:val="20"/>
              </w:rPr>
              <w:noBreakHyphen/>
            </w:r>
            <w:r w:rsidRPr="00782783">
              <w:rPr>
                <w:rFonts w:ascii="Arial Narrow" w:eastAsiaTheme="majorEastAsia" w:hAnsi="Arial Narrow" w:cstheme="minorHAnsi"/>
                <w:bCs/>
                <w:sz w:val="20"/>
              </w:rPr>
              <w:t>EXCEED/ U</w:t>
            </w:r>
            <w:r w:rsidR="00FC7500">
              <w:rPr>
                <w:rFonts w:ascii="Arial Narrow" w:eastAsiaTheme="majorEastAsia" w:hAnsi="Arial Narrow" w:cstheme="minorHAnsi"/>
                <w:bCs/>
                <w:sz w:val="20"/>
              </w:rPr>
              <w:noBreakHyphen/>
            </w:r>
            <w:r w:rsidRPr="00782783">
              <w:rPr>
                <w:rFonts w:ascii="Arial Narrow" w:eastAsiaTheme="majorEastAsia" w:hAnsi="Arial Narrow" w:cstheme="minorHAnsi"/>
                <w:bCs/>
                <w:sz w:val="20"/>
              </w:rPr>
              <w:t>EXCEL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69960A" w14:textId="77777777" w:rsidR="00620C4B" w:rsidRPr="00782783" w:rsidRDefault="00620C4B">
            <w:pPr>
              <w:keepNext/>
              <w:keepLines/>
              <w:rPr>
                <w:rFonts w:ascii="Arial Narrow" w:eastAsiaTheme="majorEastAsia" w:hAnsi="Arial Narrow" w:cstheme="minorHAnsi"/>
                <w:bCs/>
                <w:sz w:val="20"/>
              </w:rPr>
            </w:pPr>
            <w:r w:rsidRPr="00782783">
              <w:rPr>
                <w:rFonts w:ascii="Arial Narrow" w:eastAsiaTheme="majorEastAsia" w:hAnsi="Arial Narrow" w:cstheme="minorHAnsi"/>
                <w:bCs/>
                <w:sz w:val="20"/>
              </w:rPr>
              <w:t>22/44 (50.0)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ADB9CD" w14:textId="00F90617" w:rsidR="00620C4B" w:rsidRPr="00782783" w:rsidRDefault="00620C4B">
            <w:pPr>
              <w:keepNext/>
              <w:keepLines/>
              <w:rPr>
                <w:rFonts w:ascii="Arial Narrow" w:eastAsiaTheme="majorEastAsia" w:hAnsi="Arial Narrow" w:cstheme="minorHAnsi"/>
                <w:bCs/>
                <w:sz w:val="20"/>
              </w:rPr>
            </w:pPr>
            <w:r w:rsidRPr="00782783">
              <w:rPr>
                <w:rFonts w:ascii="Arial Narrow" w:eastAsiaTheme="majorEastAsia" w:hAnsi="Arial Narrow" w:cstheme="minorHAnsi"/>
                <w:bCs/>
                <w:sz w:val="20"/>
              </w:rPr>
              <w:t>3/22 (13.6)</w:t>
            </w:r>
          </w:p>
        </w:tc>
        <w:tc>
          <w:tcPr>
            <w:tcW w:w="1701" w:type="dxa"/>
            <w:tcBorders>
              <w:top w:val="nil"/>
              <w:left w:val="single" w:sz="4" w:space="0" w:color="auto"/>
              <w:bottom w:val="nil"/>
              <w:right w:val="single" w:sz="4" w:space="0" w:color="auto"/>
            </w:tcBorders>
            <w:vAlign w:val="center"/>
            <w:hideMark/>
          </w:tcPr>
          <w:p w14:paraId="37BDC1D8" w14:textId="77777777" w:rsidR="00620C4B" w:rsidRPr="00782783" w:rsidRDefault="00620C4B">
            <w:pPr>
              <w:keepNext/>
              <w:keepLines/>
              <w:jc w:val="center"/>
              <w:rPr>
                <w:rFonts w:ascii="Arial Narrow" w:eastAsiaTheme="majorEastAsia" w:hAnsi="Arial Narrow" w:cstheme="minorHAnsi"/>
                <w:bCs/>
                <w:sz w:val="20"/>
              </w:rPr>
            </w:pPr>
            <w:r w:rsidRPr="00782783">
              <w:rPr>
                <w:rFonts w:ascii="Arial Narrow" w:eastAsiaTheme="majorEastAsia" w:hAnsi="Arial Narrow" w:cstheme="minorHAnsi"/>
                <w:bCs/>
                <w:sz w:val="20"/>
              </w:rPr>
              <w:t>6.33 (1.64, 24.52)</w:t>
            </w:r>
          </w:p>
        </w:tc>
        <w:tc>
          <w:tcPr>
            <w:tcW w:w="1560" w:type="dxa"/>
            <w:tcBorders>
              <w:top w:val="nil"/>
              <w:left w:val="single" w:sz="4" w:space="0" w:color="auto"/>
              <w:bottom w:val="nil"/>
              <w:right w:val="nil"/>
            </w:tcBorders>
            <w:vAlign w:val="center"/>
            <w:hideMark/>
          </w:tcPr>
          <w:p w14:paraId="05C2432E" w14:textId="77777777" w:rsidR="00620C4B" w:rsidRPr="00782783" w:rsidRDefault="00620C4B">
            <w:pPr>
              <w:keepNext/>
              <w:keepLines/>
              <w:jc w:val="center"/>
              <w:rPr>
                <w:rFonts w:ascii="Arial Narrow" w:eastAsiaTheme="majorEastAsia" w:hAnsi="Arial Narrow" w:cstheme="minorHAnsi"/>
                <w:bCs/>
                <w:sz w:val="20"/>
              </w:rPr>
            </w:pPr>
            <w:r w:rsidRPr="00782783">
              <w:rPr>
                <w:rFonts w:ascii="Arial Narrow" w:eastAsiaTheme="majorEastAsia" w:hAnsi="Arial Narrow" w:cstheme="minorHAnsi"/>
                <w:bCs/>
                <w:sz w:val="20"/>
              </w:rPr>
              <w:t>0.36 (0.16, 0.57)</w:t>
            </w:r>
          </w:p>
        </w:tc>
        <w:tc>
          <w:tcPr>
            <w:tcW w:w="1569" w:type="dxa"/>
            <w:vMerge w:val="restart"/>
            <w:tcBorders>
              <w:top w:val="single" w:sz="4" w:space="0" w:color="auto"/>
              <w:left w:val="nil"/>
              <w:right w:val="single" w:sz="4" w:space="0" w:color="auto"/>
            </w:tcBorders>
          </w:tcPr>
          <w:p w14:paraId="46C5C15C" w14:textId="5F3E127B" w:rsidR="00620C4B" w:rsidRPr="00782783" w:rsidRDefault="006D0AE3">
            <w:pPr>
              <w:keepNext/>
              <w:keepLines/>
              <w:jc w:val="center"/>
              <w:rPr>
                <w:rFonts w:ascii="Arial Narrow" w:eastAsiaTheme="majorEastAsia" w:hAnsi="Arial Narrow" w:cstheme="minorHAnsi"/>
                <w:bCs/>
                <w:sz w:val="20"/>
              </w:rPr>
            </w:pPr>
            <w:r w:rsidRPr="00782783">
              <w:rPr>
                <w:rFonts w:ascii="Arial Narrow" w:eastAsia="MS Gothic" w:hAnsi="Arial Narrow" w:cs="Calibri"/>
                <w:bCs/>
                <w:noProof/>
                <w:sz w:val="20"/>
              </w:rPr>
              <w:drawing>
                <wp:inline distT="0" distB="0" distL="0" distR="0" wp14:anchorId="6B57D272" wp14:editId="66B72F2E">
                  <wp:extent cx="971550" cy="2695575"/>
                  <wp:effectExtent l="0" t="0" r="0" b="9525"/>
                  <wp:docPr id="731219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219816" name=""/>
                          <pic:cNvPicPr/>
                        </pic:nvPicPr>
                        <pic:blipFill rotWithShape="1">
                          <a:blip r:embed="rId17"/>
                          <a:srcRect l="8869" r="6135"/>
                          <a:stretch>
                            <a:fillRect/>
                          </a:stretch>
                        </pic:blipFill>
                        <pic:spPr bwMode="auto">
                          <a:xfrm>
                            <a:off x="0" y="0"/>
                            <a:ext cx="971550" cy="2695575"/>
                          </a:xfrm>
                          <a:prstGeom prst="rect">
                            <a:avLst/>
                          </a:prstGeom>
                          <a:ln>
                            <a:noFill/>
                          </a:ln>
                          <a:extLst>
                            <a:ext uri="{53640926-AAD7-44D8-BBD7-CCE9431645EC}">
                              <a14:shadowObscured xmlns:a14="http://schemas.microsoft.com/office/drawing/2010/main"/>
                            </a:ext>
                          </a:extLst>
                        </pic:spPr>
                      </pic:pic>
                    </a:graphicData>
                  </a:graphic>
                </wp:inline>
              </w:drawing>
            </w:r>
          </w:p>
        </w:tc>
        <w:tc>
          <w:tcPr>
            <w:tcW w:w="861" w:type="dxa"/>
            <w:tcBorders>
              <w:top w:val="nil"/>
              <w:left w:val="single" w:sz="4" w:space="0" w:color="auto"/>
              <w:bottom w:val="nil"/>
              <w:right w:val="single" w:sz="4" w:space="0" w:color="auto"/>
            </w:tcBorders>
            <w:shd w:val="clear" w:color="auto" w:fill="FFFFFF" w:themeFill="background1"/>
            <w:vAlign w:val="center"/>
          </w:tcPr>
          <w:p w14:paraId="2B97CD13" w14:textId="77777777" w:rsidR="00620C4B" w:rsidRPr="00782783" w:rsidRDefault="00620C4B">
            <w:pPr>
              <w:keepNext/>
              <w:keepLines/>
              <w:jc w:val="center"/>
              <w:rPr>
                <w:rFonts w:ascii="Arial Narrow" w:eastAsiaTheme="majorEastAsia" w:hAnsi="Arial Narrow" w:cstheme="minorHAnsi"/>
                <w:bCs/>
                <w:sz w:val="20"/>
              </w:rPr>
            </w:pPr>
            <w:r w:rsidRPr="00782783">
              <w:rPr>
                <w:rFonts w:ascii="Arial Narrow" w:eastAsiaTheme="majorEastAsia" w:hAnsi="Arial Narrow" w:cstheme="minorHAnsi"/>
                <w:bCs/>
                <w:sz w:val="20"/>
              </w:rPr>
              <w:t>3 (2, 6)</w:t>
            </w:r>
          </w:p>
        </w:tc>
      </w:tr>
      <w:tr w:rsidR="00620C4B" w:rsidRPr="00782783" w14:paraId="00211E31" w14:textId="77777777" w:rsidTr="00BB49C9">
        <w:trPr>
          <w:trHeight w:val="17"/>
          <w:jc w:val="center"/>
        </w:trPr>
        <w:tc>
          <w:tcPr>
            <w:tcW w:w="3397" w:type="dxa"/>
            <w:gridSpan w:val="3"/>
            <w:tcBorders>
              <w:top w:val="nil"/>
              <w:right w:val="single" w:sz="4" w:space="0" w:color="auto"/>
            </w:tcBorders>
            <w:shd w:val="clear" w:color="auto" w:fill="DBE5F1" w:themeFill="accent1" w:themeFillTint="33"/>
            <w:noWrap/>
            <w:vAlign w:val="center"/>
          </w:tcPr>
          <w:p w14:paraId="02F1B3C9" w14:textId="77777777" w:rsidR="00620C4B" w:rsidRPr="00782783" w:rsidRDefault="00620C4B">
            <w:pPr>
              <w:keepNext/>
              <w:keepLines/>
              <w:rPr>
                <w:rFonts w:ascii="Arial Narrow" w:eastAsiaTheme="majorEastAsia" w:hAnsi="Arial Narrow" w:cstheme="minorHAnsi"/>
                <w:bCs/>
                <w:sz w:val="20"/>
              </w:rPr>
            </w:pPr>
            <w:r w:rsidRPr="00782783">
              <w:rPr>
                <w:rFonts w:ascii="Arial Narrow" w:eastAsiaTheme="majorEastAsia" w:hAnsi="Arial Narrow" w:cstheme="minorHAnsi"/>
                <w:sz w:val="20"/>
                <w:szCs w:val="20"/>
                <w:lang w:eastAsia="en-US" w:bidi="en-US"/>
              </w:rPr>
              <w:t>IFX (wk0: 5mg/kg) Week 18</w:t>
            </w:r>
            <w:r w:rsidRPr="00782783">
              <w:rPr>
                <w:rFonts w:ascii="Arial Narrow" w:eastAsiaTheme="majorEastAsia" w:hAnsi="Arial Narrow" w:cstheme="minorHAnsi"/>
                <w:sz w:val="20"/>
                <w:szCs w:val="20"/>
                <w:vertAlign w:val="superscript"/>
                <w:lang w:eastAsia="en-US" w:bidi="en-US"/>
              </w:rPr>
              <w:t>b</w:t>
            </w:r>
          </w:p>
        </w:tc>
        <w:tc>
          <w:tcPr>
            <w:tcW w:w="1701" w:type="dxa"/>
            <w:tcBorders>
              <w:top w:val="nil"/>
              <w:left w:val="single" w:sz="4" w:space="0" w:color="auto"/>
              <w:bottom w:val="nil"/>
              <w:right w:val="single" w:sz="4" w:space="0" w:color="auto"/>
            </w:tcBorders>
            <w:shd w:val="clear" w:color="auto" w:fill="DBE5F1" w:themeFill="accent1" w:themeFillTint="33"/>
            <w:vAlign w:val="center"/>
          </w:tcPr>
          <w:p w14:paraId="0D8AE796" w14:textId="77777777" w:rsidR="00620C4B" w:rsidRPr="00782783" w:rsidRDefault="00620C4B">
            <w:pPr>
              <w:keepNext/>
              <w:keepLines/>
              <w:jc w:val="center"/>
              <w:rPr>
                <w:rFonts w:ascii="Arial Narrow" w:eastAsiaTheme="majorEastAsia" w:hAnsi="Arial Narrow" w:cstheme="minorHAnsi"/>
                <w:bCs/>
                <w:sz w:val="20"/>
              </w:rPr>
            </w:pPr>
          </w:p>
        </w:tc>
        <w:tc>
          <w:tcPr>
            <w:tcW w:w="1560" w:type="dxa"/>
            <w:tcBorders>
              <w:top w:val="nil"/>
              <w:left w:val="single" w:sz="4" w:space="0" w:color="auto"/>
              <w:bottom w:val="nil"/>
              <w:right w:val="nil"/>
            </w:tcBorders>
            <w:shd w:val="clear" w:color="auto" w:fill="DBE5F1" w:themeFill="accent1" w:themeFillTint="33"/>
            <w:vAlign w:val="center"/>
          </w:tcPr>
          <w:p w14:paraId="24E31680" w14:textId="77777777" w:rsidR="00620C4B" w:rsidRPr="00782783" w:rsidRDefault="00620C4B">
            <w:pPr>
              <w:keepNext/>
              <w:keepLines/>
              <w:jc w:val="center"/>
              <w:rPr>
                <w:rFonts w:ascii="Arial Narrow" w:eastAsiaTheme="majorEastAsia" w:hAnsi="Arial Narrow" w:cstheme="minorHAnsi"/>
                <w:bCs/>
                <w:sz w:val="20"/>
              </w:rPr>
            </w:pPr>
          </w:p>
        </w:tc>
        <w:tc>
          <w:tcPr>
            <w:tcW w:w="1569" w:type="dxa"/>
            <w:vMerge/>
            <w:tcBorders>
              <w:left w:val="nil"/>
              <w:right w:val="single" w:sz="4" w:space="0" w:color="auto"/>
            </w:tcBorders>
          </w:tcPr>
          <w:p w14:paraId="36E2EF0A" w14:textId="77777777" w:rsidR="00620C4B" w:rsidRPr="00782783" w:rsidRDefault="00620C4B">
            <w:pPr>
              <w:keepNext/>
              <w:keepLines/>
              <w:rPr>
                <w:rFonts w:ascii="Arial Narrow" w:eastAsiaTheme="majorEastAsia" w:hAnsi="Arial Narrow" w:cstheme="minorHAnsi"/>
                <w:sz w:val="20"/>
                <w:szCs w:val="20"/>
                <w:lang w:eastAsia="en-US" w:bidi="en-US"/>
              </w:rPr>
            </w:pPr>
          </w:p>
        </w:tc>
        <w:tc>
          <w:tcPr>
            <w:tcW w:w="861" w:type="dxa"/>
            <w:tcBorders>
              <w:top w:val="nil"/>
              <w:left w:val="single" w:sz="4" w:space="0" w:color="auto"/>
              <w:bottom w:val="nil"/>
              <w:right w:val="single" w:sz="4" w:space="0" w:color="auto"/>
            </w:tcBorders>
            <w:shd w:val="clear" w:color="auto" w:fill="FFFFFF" w:themeFill="background1"/>
            <w:vAlign w:val="center"/>
          </w:tcPr>
          <w:p w14:paraId="3AF91180" w14:textId="77777777" w:rsidR="00620C4B" w:rsidRPr="00782783" w:rsidRDefault="00620C4B">
            <w:pPr>
              <w:keepNext/>
              <w:keepLines/>
              <w:jc w:val="center"/>
              <w:rPr>
                <w:rFonts w:ascii="Arial Narrow" w:eastAsiaTheme="majorEastAsia" w:hAnsi="Arial Narrow" w:cstheme="minorHAnsi"/>
                <w:sz w:val="20"/>
                <w:szCs w:val="20"/>
                <w:lang w:eastAsia="en-US" w:bidi="en-US"/>
              </w:rPr>
            </w:pPr>
          </w:p>
        </w:tc>
      </w:tr>
      <w:tr w:rsidR="00620C4B" w:rsidRPr="00782783" w14:paraId="70500BA1" w14:textId="77777777" w:rsidTr="00BB49C9">
        <w:trPr>
          <w:trHeight w:val="17"/>
          <w:jc w:val="center"/>
        </w:trPr>
        <w:tc>
          <w:tcPr>
            <w:tcW w:w="1129" w:type="dxa"/>
            <w:shd w:val="clear" w:color="auto" w:fill="DBE5F1" w:themeFill="accent1" w:themeFillTint="33"/>
            <w:noWrap/>
            <w:vAlign w:val="center"/>
          </w:tcPr>
          <w:p w14:paraId="118FE43E" w14:textId="77777777" w:rsidR="00620C4B" w:rsidRPr="00782783" w:rsidRDefault="00620C4B">
            <w:pPr>
              <w:keepNext/>
              <w:keepLines/>
              <w:jc w:val="left"/>
              <w:rPr>
                <w:rFonts w:ascii="Arial Narrow" w:eastAsiaTheme="majorEastAsia" w:hAnsi="Arial Narrow" w:cstheme="minorHAnsi"/>
                <w:bCs/>
                <w:sz w:val="20"/>
              </w:rPr>
            </w:pPr>
            <w:r w:rsidRPr="00782783">
              <w:rPr>
                <w:rFonts w:ascii="Arial Narrow" w:eastAsiaTheme="majorEastAsia" w:hAnsi="Arial Narrow" w:cstheme="minorHAnsi"/>
                <w:color w:val="000000" w:themeColor="text1"/>
                <w:sz w:val="20"/>
                <w:szCs w:val="20"/>
                <w:lang w:eastAsia="en-US" w:bidi="en-US"/>
              </w:rPr>
              <w:t>T20</w:t>
            </w:r>
          </w:p>
        </w:tc>
        <w:tc>
          <w:tcPr>
            <w:tcW w:w="1134" w:type="dxa"/>
            <w:shd w:val="clear" w:color="auto" w:fill="DBE5F1" w:themeFill="accent1" w:themeFillTint="33"/>
            <w:vAlign w:val="center"/>
          </w:tcPr>
          <w:p w14:paraId="5833D8F8" w14:textId="77777777" w:rsidR="00620C4B" w:rsidRPr="00782783" w:rsidRDefault="00620C4B">
            <w:pPr>
              <w:keepNext/>
              <w:keepLines/>
              <w:rPr>
                <w:rFonts w:ascii="Arial Narrow" w:eastAsiaTheme="majorEastAsia" w:hAnsi="Arial Narrow" w:cstheme="minorHAnsi"/>
                <w:bCs/>
                <w:sz w:val="20"/>
              </w:rPr>
            </w:pPr>
            <w:r w:rsidRPr="00782783">
              <w:rPr>
                <w:rFonts w:ascii="Arial Narrow" w:eastAsiaTheme="majorEastAsia" w:hAnsi="Arial Narrow" w:cstheme="minorHAnsi"/>
                <w:color w:val="000000" w:themeColor="text1"/>
                <w:sz w:val="20"/>
                <w:szCs w:val="20"/>
                <w:lang w:eastAsia="en-US" w:bidi="en-US"/>
              </w:rPr>
              <w:t>21/31 (67.7)</w:t>
            </w:r>
          </w:p>
        </w:tc>
        <w:tc>
          <w:tcPr>
            <w:tcW w:w="1134" w:type="dxa"/>
            <w:tcBorders>
              <w:right w:val="single" w:sz="4" w:space="0" w:color="auto"/>
            </w:tcBorders>
            <w:shd w:val="clear" w:color="auto" w:fill="DBE5F1" w:themeFill="accent1" w:themeFillTint="33"/>
            <w:vAlign w:val="center"/>
          </w:tcPr>
          <w:p w14:paraId="58177E03" w14:textId="77777777" w:rsidR="00620C4B" w:rsidRPr="00782783" w:rsidRDefault="00620C4B">
            <w:pPr>
              <w:keepNext/>
              <w:keepLines/>
              <w:rPr>
                <w:rFonts w:ascii="Arial Narrow" w:eastAsiaTheme="majorEastAsia" w:hAnsi="Arial Narrow" w:cstheme="minorHAnsi"/>
                <w:bCs/>
                <w:sz w:val="20"/>
              </w:rPr>
            </w:pPr>
            <w:r w:rsidRPr="00782783">
              <w:rPr>
                <w:rFonts w:ascii="Arial Narrow" w:eastAsiaTheme="majorEastAsia" w:hAnsi="Arial Narrow" w:cstheme="minorHAnsi"/>
                <w:color w:val="000000" w:themeColor="text1"/>
                <w:sz w:val="20"/>
                <w:szCs w:val="20"/>
                <w:lang w:eastAsia="en-US" w:bidi="en-US"/>
              </w:rPr>
              <w:t>8/31 (25.8)</w:t>
            </w:r>
          </w:p>
        </w:tc>
        <w:tc>
          <w:tcPr>
            <w:tcW w:w="1701" w:type="dxa"/>
            <w:tcBorders>
              <w:top w:val="nil"/>
              <w:left w:val="single" w:sz="4" w:space="0" w:color="auto"/>
              <w:bottom w:val="nil"/>
              <w:right w:val="single" w:sz="4" w:space="0" w:color="auto"/>
            </w:tcBorders>
            <w:shd w:val="clear" w:color="auto" w:fill="DBE5F1" w:themeFill="accent1" w:themeFillTint="33"/>
            <w:vAlign w:val="center"/>
          </w:tcPr>
          <w:p w14:paraId="184A15EE" w14:textId="77777777" w:rsidR="00620C4B" w:rsidRPr="00782783" w:rsidRDefault="00620C4B">
            <w:pPr>
              <w:keepNext/>
              <w:keepLines/>
              <w:jc w:val="center"/>
              <w:rPr>
                <w:rFonts w:ascii="Arial Narrow" w:eastAsiaTheme="majorEastAsia" w:hAnsi="Arial Narrow" w:cstheme="minorHAnsi"/>
                <w:bCs/>
                <w:sz w:val="20"/>
              </w:rPr>
            </w:pPr>
            <w:r w:rsidRPr="00782783">
              <w:rPr>
                <w:rFonts w:ascii="Arial Narrow" w:eastAsiaTheme="majorEastAsia" w:hAnsi="Arial Narrow" w:cstheme="minorHAnsi"/>
                <w:color w:val="000000" w:themeColor="text1"/>
                <w:sz w:val="20"/>
                <w:szCs w:val="20"/>
                <w:lang w:eastAsia="en-US" w:bidi="en-US"/>
              </w:rPr>
              <w:t>6.04 (2.01, 18.17)</w:t>
            </w:r>
          </w:p>
        </w:tc>
        <w:tc>
          <w:tcPr>
            <w:tcW w:w="1560" w:type="dxa"/>
            <w:tcBorders>
              <w:top w:val="nil"/>
              <w:left w:val="single" w:sz="4" w:space="0" w:color="auto"/>
              <w:bottom w:val="nil"/>
              <w:right w:val="nil"/>
            </w:tcBorders>
            <w:shd w:val="clear" w:color="auto" w:fill="DBE5F1" w:themeFill="accent1" w:themeFillTint="33"/>
            <w:vAlign w:val="center"/>
          </w:tcPr>
          <w:p w14:paraId="6D3800F5" w14:textId="77777777" w:rsidR="00620C4B" w:rsidRPr="00782783" w:rsidRDefault="00620C4B">
            <w:pPr>
              <w:keepNext/>
              <w:keepLines/>
              <w:jc w:val="center"/>
              <w:rPr>
                <w:rFonts w:ascii="Arial Narrow" w:eastAsiaTheme="majorEastAsia" w:hAnsi="Arial Narrow" w:cstheme="minorHAnsi"/>
                <w:bCs/>
                <w:sz w:val="20"/>
              </w:rPr>
            </w:pPr>
            <w:r w:rsidRPr="00782783">
              <w:rPr>
                <w:rFonts w:ascii="Arial Narrow" w:eastAsiaTheme="majorEastAsia" w:hAnsi="Arial Narrow" w:cstheme="minorHAnsi"/>
                <w:bCs/>
                <w:sz w:val="20"/>
              </w:rPr>
              <w:t>0.42 (0.19, 0.64)</w:t>
            </w:r>
          </w:p>
        </w:tc>
        <w:tc>
          <w:tcPr>
            <w:tcW w:w="1569" w:type="dxa"/>
            <w:vMerge/>
            <w:tcBorders>
              <w:left w:val="nil"/>
              <w:right w:val="single" w:sz="4" w:space="0" w:color="auto"/>
            </w:tcBorders>
          </w:tcPr>
          <w:p w14:paraId="1889AB5F" w14:textId="77777777" w:rsidR="00620C4B" w:rsidRPr="00782783" w:rsidRDefault="00620C4B">
            <w:pPr>
              <w:keepNext/>
              <w:keepLines/>
              <w:jc w:val="center"/>
              <w:rPr>
                <w:rFonts w:ascii="Arial Narrow" w:eastAsiaTheme="majorEastAsia" w:hAnsi="Arial Narrow" w:cstheme="minorHAnsi"/>
                <w:sz w:val="20"/>
                <w:szCs w:val="20"/>
                <w:lang w:eastAsia="en-US" w:bidi="en-US"/>
              </w:rPr>
            </w:pPr>
          </w:p>
        </w:tc>
        <w:tc>
          <w:tcPr>
            <w:tcW w:w="861" w:type="dxa"/>
            <w:tcBorders>
              <w:top w:val="nil"/>
              <w:left w:val="single" w:sz="4" w:space="0" w:color="auto"/>
              <w:bottom w:val="nil"/>
              <w:right w:val="single" w:sz="4" w:space="0" w:color="auto"/>
            </w:tcBorders>
            <w:shd w:val="clear" w:color="auto" w:fill="FFFFFF" w:themeFill="background1"/>
            <w:vAlign w:val="center"/>
          </w:tcPr>
          <w:p w14:paraId="7480126E"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Theme="majorEastAsia" w:hAnsi="Arial Narrow" w:cstheme="minorHAnsi"/>
                <w:sz w:val="20"/>
                <w:szCs w:val="20"/>
                <w:lang w:eastAsia="en-US" w:bidi="en-US"/>
              </w:rPr>
              <w:t>2 (2, 5)</w:t>
            </w:r>
          </w:p>
        </w:tc>
      </w:tr>
      <w:tr w:rsidR="00620C4B" w:rsidRPr="00782783" w14:paraId="509038C6" w14:textId="77777777" w:rsidTr="00BB49C9">
        <w:trPr>
          <w:trHeight w:val="17"/>
          <w:jc w:val="center"/>
        </w:trPr>
        <w:tc>
          <w:tcPr>
            <w:tcW w:w="3397" w:type="dxa"/>
            <w:gridSpan w:val="3"/>
            <w:tcBorders>
              <w:top w:val="nil"/>
              <w:bottom w:val="single" w:sz="4" w:space="0" w:color="auto"/>
              <w:right w:val="single" w:sz="4" w:space="0" w:color="auto"/>
            </w:tcBorders>
            <w:shd w:val="clear" w:color="auto" w:fill="DBE5F1" w:themeFill="accent1" w:themeFillTint="33"/>
            <w:noWrap/>
            <w:vAlign w:val="center"/>
          </w:tcPr>
          <w:p w14:paraId="49DB217D" w14:textId="77777777" w:rsidR="00620C4B" w:rsidRPr="00782783" w:rsidRDefault="00620C4B">
            <w:pPr>
              <w:keepNext/>
              <w:keepLines/>
              <w:rPr>
                <w:rFonts w:ascii="Arial Narrow" w:eastAsiaTheme="majorEastAsia" w:hAnsi="Arial Narrow" w:cstheme="minorHAnsi"/>
                <w:bCs/>
                <w:sz w:val="20"/>
              </w:rPr>
            </w:pPr>
            <w:r w:rsidRPr="00782783">
              <w:rPr>
                <w:rFonts w:ascii="Arial Narrow" w:eastAsiaTheme="majorEastAsia" w:hAnsi="Arial Narrow" w:cstheme="minorHAnsi"/>
                <w:sz w:val="20"/>
                <w:szCs w:val="20"/>
                <w:lang w:eastAsia="en-US" w:bidi="en-US"/>
              </w:rPr>
              <w:t>ADA (wk0: 160 mg, wk 2: 80 mg) – Week 4</w:t>
            </w:r>
          </w:p>
        </w:tc>
        <w:tc>
          <w:tcPr>
            <w:tcW w:w="1701" w:type="dxa"/>
            <w:tcBorders>
              <w:top w:val="nil"/>
              <w:left w:val="single" w:sz="4" w:space="0" w:color="auto"/>
              <w:bottom w:val="nil"/>
              <w:right w:val="single" w:sz="4" w:space="0" w:color="auto"/>
            </w:tcBorders>
            <w:shd w:val="clear" w:color="auto" w:fill="DBE5F1" w:themeFill="accent1" w:themeFillTint="33"/>
            <w:vAlign w:val="center"/>
          </w:tcPr>
          <w:p w14:paraId="76A097F1" w14:textId="77777777" w:rsidR="00620C4B" w:rsidRPr="00782783" w:rsidRDefault="00620C4B">
            <w:pPr>
              <w:keepNext/>
              <w:keepLines/>
              <w:jc w:val="center"/>
              <w:rPr>
                <w:rFonts w:ascii="Arial Narrow" w:eastAsiaTheme="majorEastAsia" w:hAnsi="Arial Narrow" w:cstheme="minorHAnsi"/>
                <w:bCs/>
                <w:sz w:val="20"/>
              </w:rPr>
            </w:pPr>
          </w:p>
        </w:tc>
        <w:tc>
          <w:tcPr>
            <w:tcW w:w="1560" w:type="dxa"/>
            <w:tcBorders>
              <w:top w:val="nil"/>
              <w:left w:val="single" w:sz="4" w:space="0" w:color="auto"/>
              <w:bottom w:val="nil"/>
              <w:right w:val="nil"/>
            </w:tcBorders>
            <w:shd w:val="clear" w:color="auto" w:fill="DBE5F1" w:themeFill="accent1" w:themeFillTint="33"/>
            <w:vAlign w:val="center"/>
          </w:tcPr>
          <w:p w14:paraId="09F1E919" w14:textId="77777777" w:rsidR="00620C4B" w:rsidRPr="00782783" w:rsidRDefault="00620C4B">
            <w:pPr>
              <w:keepNext/>
              <w:keepLines/>
              <w:jc w:val="center"/>
              <w:rPr>
                <w:rFonts w:ascii="Arial Narrow" w:eastAsiaTheme="majorEastAsia" w:hAnsi="Arial Narrow" w:cstheme="minorHAnsi"/>
                <w:bCs/>
                <w:sz w:val="20"/>
              </w:rPr>
            </w:pPr>
          </w:p>
        </w:tc>
        <w:tc>
          <w:tcPr>
            <w:tcW w:w="1569" w:type="dxa"/>
            <w:vMerge/>
            <w:tcBorders>
              <w:left w:val="nil"/>
              <w:right w:val="single" w:sz="4" w:space="0" w:color="auto"/>
            </w:tcBorders>
          </w:tcPr>
          <w:p w14:paraId="208810F7" w14:textId="77777777" w:rsidR="00620C4B" w:rsidRPr="00782783" w:rsidRDefault="00620C4B">
            <w:pPr>
              <w:keepNext/>
              <w:keepLines/>
              <w:rPr>
                <w:rFonts w:ascii="Arial Narrow" w:eastAsiaTheme="majorEastAsia" w:hAnsi="Arial Narrow" w:cstheme="minorHAnsi"/>
                <w:sz w:val="20"/>
                <w:szCs w:val="20"/>
                <w:lang w:eastAsia="en-US" w:bidi="en-US"/>
              </w:rPr>
            </w:pPr>
          </w:p>
        </w:tc>
        <w:tc>
          <w:tcPr>
            <w:tcW w:w="861" w:type="dxa"/>
            <w:tcBorders>
              <w:top w:val="nil"/>
              <w:left w:val="single" w:sz="4" w:space="0" w:color="auto"/>
              <w:bottom w:val="nil"/>
              <w:right w:val="single" w:sz="4" w:space="0" w:color="auto"/>
            </w:tcBorders>
            <w:shd w:val="clear" w:color="auto" w:fill="FFFFFF" w:themeFill="background1"/>
            <w:vAlign w:val="center"/>
          </w:tcPr>
          <w:p w14:paraId="1EFFA601" w14:textId="77777777" w:rsidR="00620C4B" w:rsidRPr="00782783" w:rsidRDefault="00620C4B">
            <w:pPr>
              <w:keepNext/>
              <w:keepLines/>
              <w:jc w:val="center"/>
              <w:rPr>
                <w:rFonts w:ascii="Arial Narrow" w:eastAsiaTheme="majorEastAsia" w:hAnsi="Arial Narrow" w:cstheme="minorHAnsi"/>
                <w:sz w:val="20"/>
                <w:szCs w:val="20"/>
                <w:lang w:eastAsia="en-US" w:bidi="en-US"/>
              </w:rPr>
            </w:pPr>
          </w:p>
        </w:tc>
      </w:tr>
      <w:tr w:rsidR="00620C4B" w:rsidRPr="00782783" w14:paraId="1F1318F3" w14:textId="77777777" w:rsidTr="00BB49C9">
        <w:trPr>
          <w:trHeight w:val="17"/>
          <w:jc w:val="center"/>
        </w:trPr>
        <w:tc>
          <w:tcPr>
            <w:tcW w:w="1129" w:type="dxa"/>
            <w:tcBorders>
              <w:bottom w:val="single" w:sz="4" w:space="0" w:color="auto"/>
            </w:tcBorders>
            <w:shd w:val="clear" w:color="auto" w:fill="DBE5F1" w:themeFill="accent1" w:themeFillTint="33"/>
            <w:noWrap/>
            <w:vAlign w:val="center"/>
          </w:tcPr>
          <w:p w14:paraId="47DED78D" w14:textId="7EB9E877" w:rsidR="00620C4B" w:rsidRPr="00782783" w:rsidRDefault="00620C4B">
            <w:pPr>
              <w:keepNext/>
              <w:keepLines/>
              <w:jc w:val="left"/>
              <w:rPr>
                <w:rFonts w:ascii="Arial Narrow" w:eastAsiaTheme="majorEastAsia" w:hAnsi="Arial Narrow" w:cstheme="minorHAnsi"/>
                <w:bCs/>
                <w:sz w:val="20"/>
              </w:rPr>
            </w:pPr>
            <w:r w:rsidRPr="00782783">
              <w:rPr>
                <w:rFonts w:ascii="Arial Narrow" w:eastAsiaTheme="majorEastAsia" w:hAnsi="Arial Narrow" w:cstheme="minorHAnsi"/>
                <w:sz w:val="20"/>
                <w:szCs w:val="20"/>
                <w:lang w:eastAsia="en-US" w:bidi="en-US"/>
              </w:rPr>
              <w:t>CLASSIC</w:t>
            </w:r>
            <w:r w:rsidR="00FC7500">
              <w:rPr>
                <w:rFonts w:ascii="Arial Narrow" w:eastAsiaTheme="majorEastAsia" w:hAnsi="Arial Narrow" w:cstheme="minorHAnsi"/>
                <w:sz w:val="20"/>
                <w:szCs w:val="20"/>
                <w:lang w:eastAsia="en-US" w:bidi="en-US"/>
              </w:rPr>
              <w:noBreakHyphen/>
            </w:r>
            <w:r w:rsidRPr="00782783">
              <w:rPr>
                <w:rFonts w:ascii="Arial Narrow" w:eastAsiaTheme="majorEastAsia" w:hAnsi="Arial Narrow" w:cstheme="minorHAnsi"/>
                <w:sz w:val="20"/>
                <w:szCs w:val="20"/>
                <w:lang w:eastAsia="en-US" w:bidi="en-US"/>
              </w:rPr>
              <w:t>I</w:t>
            </w:r>
          </w:p>
        </w:tc>
        <w:tc>
          <w:tcPr>
            <w:tcW w:w="1134" w:type="dxa"/>
            <w:tcBorders>
              <w:bottom w:val="single" w:sz="4" w:space="0" w:color="auto"/>
            </w:tcBorders>
            <w:shd w:val="clear" w:color="auto" w:fill="DBE5F1" w:themeFill="accent1" w:themeFillTint="33"/>
            <w:vAlign w:val="center"/>
          </w:tcPr>
          <w:p w14:paraId="4B000AF9" w14:textId="77777777" w:rsidR="00620C4B" w:rsidRPr="00782783" w:rsidRDefault="00620C4B">
            <w:pPr>
              <w:keepNext/>
              <w:keepLines/>
              <w:rPr>
                <w:rFonts w:ascii="Arial Narrow" w:eastAsiaTheme="majorEastAsia" w:hAnsi="Arial Narrow" w:cstheme="minorHAnsi"/>
                <w:bCs/>
                <w:sz w:val="20"/>
              </w:rPr>
            </w:pPr>
            <w:r w:rsidRPr="00782783">
              <w:rPr>
                <w:rFonts w:ascii="Arial Narrow" w:eastAsiaTheme="majorEastAsia" w:hAnsi="Arial Narrow" w:cstheme="minorHAnsi"/>
                <w:sz w:val="20"/>
                <w:szCs w:val="20"/>
                <w:lang w:eastAsia="en-US" w:bidi="en-US"/>
              </w:rPr>
              <w:t>1/12 (8.3)</w:t>
            </w:r>
          </w:p>
        </w:tc>
        <w:tc>
          <w:tcPr>
            <w:tcW w:w="1134" w:type="dxa"/>
            <w:tcBorders>
              <w:bottom w:val="single" w:sz="4" w:space="0" w:color="auto"/>
              <w:right w:val="single" w:sz="4" w:space="0" w:color="auto"/>
            </w:tcBorders>
            <w:shd w:val="clear" w:color="auto" w:fill="DBE5F1" w:themeFill="accent1" w:themeFillTint="33"/>
            <w:vAlign w:val="center"/>
          </w:tcPr>
          <w:p w14:paraId="5BB1C8A0" w14:textId="77777777" w:rsidR="00620C4B" w:rsidRPr="00782783" w:rsidRDefault="00620C4B">
            <w:pPr>
              <w:keepNext/>
              <w:keepLines/>
              <w:rPr>
                <w:rFonts w:ascii="Arial Narrow" w:eastAsiaTheme="majorEastAsia" w:hAnsi="Arial Narrow" w:cstheme="minorHAnsi"/>
                <w:bCs/>
                <w:sz w:val="20"/>
              </w:rPr>
            </w:pPr>
            <w:r w:rsidRPr="00782783">
              <w:rPr>
                <w:rFonts w:ascii="Arial Narrow" w:eastAsiaTheme="majorEastAsia" w:hAnsi="Arial Narrow" w:cstheme="minorHAnsi"/>
                <w:sz w:val="20"/>
                <w:szCs w:val="20"/>
                <w:lang w:eastAsia="en-US" w:bidi="en-US"/>
              </w:rPr>
              <w:t>2/6 (33.3)</w:t>
            </w:r>
          </w:p>
        </w:tc>
        <w:tc>
          <w:tcPr>
            <w:tcW w:w="1701" w:type="dxa"/>
            <w:tcBorders>
              <w:top w:val="nil"/>
              <w:left w:val="single" w:sz="4" w:space="0" w:color="auto"/>
              <w:bottom w:val="nil"/>
              <w:right w:val="single" w:sz="4" w:space="0" w:color="auto"/>
            </w:tcBorders>
            <w:shd w:val="clear" w:color="auto" w:fill="DBE5F1" w:themeFill="accent1" w:themeFillTint="33"/>
            <w:vAlign w:val="center"/>
          </w:tcPr>
          <w:p w14:paraId="4E6A779E" w14:textId="77777777" w:rsidR="00620C4B" w:rsidRPr="00782783" w:rsidRDefault="00620C4B">
            <w:pPr>
              <w:keepNext/>
              <w:keepLines/>
              <w:jc w:val="center"/>
              <w:rPr>
                <w:rFonts w:ascii="Arial Narrow" w:eastAsiaTheme="majorEastAsia" w:hAnsi="Arial Narrow" w:cstheme="minorHAnsi"/>
                <w:bCs/>
                <w:sz w:val="20"/>
              </w:rPr>
            </w:pPr>
            <w:r w:rsidRPr="00782783">
              <w:rPr>
                <w:rFonts w:ascii="Arial Narrow" w:eastAsiaTheme="majorEastAsia" w:hAnsi="Arial Narrow" w:cstheme="minorHAnsi"/>
                <w:sz w:val="20"/>
                <w:szCs w:val="20"/>
                <w:lang w:eastAsia="en-US" w:bidi="en-US"/>
              </w:rPr>
              <w:t>0.18 (0.01, 2.60)</w:t>
            </w:r>
          </w:p>
        </w:tc>
        <w:tc>
          <w:tcPr>
            <w:tcW w:w="1560" w:type="dxa"/>
            <w:tcBorders>
              <w:top w:val="nil"/>
              <w:left w:val="single" w:sz="4" w:space="0" w:color="auto"/>
              <w:bottom w:val="nil"/>
              <w:right w:val="nil"/>
            </w:tcBorders>
            <w:shd w:val="clear" w:color="auto" w:fill="DBE5F1" w:themeFill="accent1" w:themeFillTint="33"/>
            <w:vAlign w:val="center"/>
          </w:tcPr>
          <w:p w14:paraId="657BCBE7" w14:textId="128B0ACF" w:rsidR="00620C4B" w:rsidRPr="00782783" w:rsidRDefault="00FC7500">
            <w:pPr>
              <w:keepNext/>
              <w:keepLines/>
              <w:jc w:val="center"/>
              <w:rPr>
                <w:rFonts w:ascii="Arial Narrow" w:eastAsiaTheme="majorEastAsia" w:hAnsi="Arial Narrow" w:cstheme="minorHAnsi"/>
                <w:bCs/>
                <w:sz w:val="20"/>
              </w:rPr>
            </w:pPr>
            <w:r>
              <w:rPr>
                <w:rFonts w:ascii="Arial Narrow" w:eastAsiaTheme="majorEastAsia" w:hAnsi="Arial Narrow" w:cstheme="minorHAnsi"/>
                <w:bCs/>
                <w:sz w:val="20"/>
              </w:rPr>
              <w:noBreakHyphen/>
            </w:r>
            <w:r w:rsidR="00620C4B" w:rsidRPr="00782783">
              <w:rPr>
                <w:rFonts w:ascii="Arial Narrow" w:eastAsiaTheme="majorEastAsia" w:hAnsi="Arial Narrow" w:cstheme="minorHAnsi"/>
                <w:bCs/>
                <w:sz w:val="20"/>
              </w:rPr>
              <w:t>0.25 (</w:t>
            </w:r>
            <w:r>
              <w:rPr>
                <w:rFonts w:ascii="Arial Narrow" w:eastAsiaTheme="majorEastAsia" w:hAnsi="Arial Narrow" w:cstheme="minorHAnsi"/>
                <w:bCs/>
                <w:sz w:val="20"/>
              </w:rPr>
              <w:noBreakHyphen/>
            </w:r>
            <w:r w:rsidR="00620C4B" w:rsidRPr="00782783">
              <w:rPr>
                <w:rFonts w:ascii="Arial Narrow" w:eastAsiaTheme="majorEastAsia" w:hAnsi="Arial Narrow" w:cstheme="minorHAnsi"/>
                <w:bCs/>
                <w:sz w:val="20"/>
              </w:rPr>
              <w:t>0.66, 0.16)</w:t>
            </w:r>
          </w:p>
        </w:tc>
        <w:tc>
          <w:tcPr>
            <w:tcW w:w="1569" w:type="dxa"/>
            <w:vMerge/>
            <w:tcBorders>
              <w:left w:val="nil"/>
              <w:right w:val="single" w:sz="4" w:space="0" w:color="auto"/>
            </w:tcBorders>
          </w:tcPr>
          <w:p w14:paraId="594A3F26" w14:textId="77777777" w:rsidR="00620C4B" w:rsidRPr="00782783" w:rsidRDefault="00620C4B">
            <w:pPr>
              <w:keepNext/>
              <w:keepLines/>
              <w:rPr>
                <w:rFonts w:ascii="Arial Narrow" w:eastAsiaTheme="majorEastAsia" w:hAnsi="Arial Narrow" w:cstheme="minorHAnsi"/>
                <w:sz w:val="20"/>
                <w:szCs w:val="20"/>
                <w:lang w:eastAsia="en-US" w:bidi="en-US"/>
              </w:rPr>
            </w:pPr>
          </w:p>
        </w:tc>
        <w:tc>
          <w:tcPr>
            <w:tcW w:w="861" w:type="dxa"/>
            <w:tcBorders>
              <w:top w:val="nil"/>
              <w:left w:val="single" w:sz="4" w:space="0" w:color="auto"/>
              <w:bottom w:val="nil"/>
              <w:right w:val="single" w:sz="4" w:space="0" w:color="auto"/>
            </w:tcBorders>
            <w:shd w:val="clear" w:color="auto" w:fill="FFFFFF" w:themeFill="background1"/>
            <w:vAlign w:val="center"/>
          </w:tcPr>
          <w:p w14:paraId="106573AB"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Theme="majorEastAsia" w:hAnsi="Arial Narrow" w:cstheme="minorHAnsi"/>
                <w:sz w:val="20"/>
                <w:szCs w:val="20"/>
                <w:lang w:eastAsia="en-US" w:bidi="en-US"/>
              </w:rPr>
              <w:t>NS</w:t>
            </w:r>
          </w:p>
        </w:tc>
      </w:tr>
      <w:tr w:rsidR="00620C4B" w:rsidRPr="00782783" w14:paraId="45B4D718" w14:textId="77777777" w:rsidTr="00BB49C9">
        <w:trPr>
          <w:trHeight w:val="17"/>
          <w:jc w:val="center"/>
        </w:trPr>
        <w:tc>
          <w:tcPr>
            <w:tcW w:w="1129" w:type="dxa"/>
            <w:tcBorders>
              <w:bottom w:val="single" w:sz="4" w:space="0" w:color="auto"/>
            </w:tcBorders>
            <w:shd w:val="clear" w:color="auto" w:fill="DBE5F1" w:themeFill="accent1" w:themeFillTint="33"/>
            <w:noWrap/>
            <w:vAlign w:val="center"/>
          </w:tcPr>
          <w:p w14:paraId="3AB0F41A" w14:textId="77777777" w:rsidR="00620C4B" w:rsidRPr="00782783" w:rsidRDefault="00620C4B">
            <w:pPr>
              <w:keepNext/>
              <w:keepLines/>
              <w:jc w:val="left"/>
              <w:rPr>
                <w:rFonts w:ascii="Arial Narrow" w:eastAsiaTheme="majorEastAsia" w:hAnsi="Arial Narrow" w:cstheme="minorHAnsi"/>
                <w:bCs/>
                <w:sz w:val="20"/>
              </w:rPr>
            </w:pPr>
            <w:r w:rsidRPr="00782783">
              <w:rPr>
                <w:rFonts w:ascii="Arial Narrow" w:eastAsiaTheme="majorEastAsia" w:hAnsi="Arial Narrow" w:cstheme="minorHAnsi"/>
                <w:sz w:val="20"/>
                <w:szCs w:val="20"/>
                <w:lang w:eastAsia="en-US" w:bidi="en-US"/>
              </w:rPr>
              <w:t>GAIN</w:t>
            </w:r>
          </w:p>
        </w:tc>
        <w:tc>
          <w:tcPr>
            <w:tcW w:w="1134" w:type="dxa"/>
            <w:tcBorders>
              <w:bottom w:val="single" w:sz="4" w:space="0" w:color="auto"/>
            </w:tcBorders>
            <w:shd w:val="clear" w:color="auto" w:fill="DBE5F1" w:themeFill="accent1" w:themeFillTint="33"/>
            <w:vAlign w:val="center"/>
          </w:tcPr>
          <w:p w14:paraId="31914A69" w14:textId="77777777" w:rsidR="00620C4B" w:rsidRPr="00782783" w:rsidRDefault="00620C4B">
            <w:pPr>
              <w:keepNext/>
              <w:keepLines/>
              <w:rPr>
                <w:rFonts w:ascii="Arial Narrow" w:eastAsiaTheme="majorEastAsia" w:hAnsi="Arial Narrow" w:cstheme="minorHAnsi"/>
                <w:bCs/>
                <w:sz w:val="20"/>
              </w:rPr>
            </w:pPr>
            <w:r w:rsidRPr="00782783">
              <w:rPr>
                <w:rFonts w:ascii="Arial Narrow" w:eastAsiaTheme="majorEastAsia" w:hAnsi="Arial Narrow" w:cstheme="minorHAnsi"/>
                <w:sz w:val="20"/>
                <w:szCs w:val="20"/>
                <w:lang w:eastAsia="en-US" w:bidi="en-US"/>
              </w:rPr>
              <w:t>3/20 (15.0)</w:t>
            </w:r>
          </w:p>
        </w:tc>
        <w:tc>
          <w:tcPr>
            <w:tcW w:w="1134" w:type="dxa"/>
            <w:tcBorders>
              <w:top w:val="single" w:sz="4" w:space="0" w:color="auto"/>
              <w:bottom w:val="single" w:sz="4" w:space="0" w:color="auto"/>
              <w:right w:val="single" w:sz="4" w:space="0" w:color="auto"/>
            </w:tcBorders>
            <w:shd w:val="clear" w:color="auto" w:fill="DBE5F1" w:themeFill="accent1" w:themeFillTint="33"/>
            <w:vAlign w:val="center"/>
          </w:tcPr>
          <w:p w14:paraId="2DE06421" w14:textId="77777777" w:rsidR="00620C4B" w:rsidRPr="00782783" w:rsidRDefault="00620C4B">
            <w:pPr>
              <w:keepNext/>
              <w:keepLines/>
              <w:rPr>
                <w:rFonts w:ascii="Arial Narrow" w:eastAsiaTheme="majorEastAsia" w:hAnsi="Arial Narrow" w:cstheme="minorHAnsi"/>
                <w:bCs/>
                <w:sz w:val="20"/>
              </w:rPr>
            </w:pPr>
            <w:r w:rsidRPr="00782783">
              <w:rPr>
                <w:rFonts w:ascii="Arial Narrow" w:eastAsiaTheme="majorEastAsia" w:hAnsi="Arial Narrow" w:cstheme="minorHAnsi"/>
                <w:sz w:val="20"/>
                <w:szCs w:val="20"/>
                <w:lang w:eastAsia="en-US" w:bidi="en-US"/>
              </w:rPr>
              <w:t>5/25 (20.0)</w:t>
            </w:r>
          </w:p>
        </w:tc>
        <w:tc>
          <w:tcPr>
            <w:tcW w:w="1701" w:type="dxa"/>
            <w:tcBorders>
              <w:top w:val="nil"/>
              <w:left w:val="single" w:sz="4" w:space="0" w:color="auto"/>
              <w:bottom w:val="nil"/>
              <w:right w:val="single" w:sz="4" w:space="0" w:color="auto"/>
            </w:tcBorders>
            <w:shd w:val="clear" w:color="auto" w:fill="DBE5F1" w:themeFill="accent1" w:themeFillTint="33"/>
            <w:vAlign w:val="center"/>
          </w:tcPr>
          <w:p w14:paraId="146E127E" w14:textId="77777777" w:rsidR="00620C4B" w:rsidRPr="00782783" w:rsidRDefault="00620C4B">
            <w:pPr>
              <w:keepNext/>
              <w:keepLines/>
              <w:jc w:val="center"/>
              <w:rPr>
                <w:rFonts w:ascii="Arial Narrow" w:eastAsiaTheme="majorEastAsia" w:hAnsi="Arial Narrow" w:cstheme="minorHAnsi"/>
                <w:bCs/>
                <w:sz w:val="20"/>
              </w:rPr>
            </w:pPr>
            <w:r w:rsidRPr="00782783">
              <w:rPr>
                <w:rFonts w:ascii="Arial Narrow" w:eastAsiaTheme="majorEastAsia" w:hAnsi="Arial Narrow" w:cstheme="minorHAnsi"/>
                <w:sz w:val="20"/>
                <w:szCs w:val="20"/>
                <w:lang w:eastAsia="en-US" w:bidi="en-US"/>
              </w:rPr>
              <w:t>0.71 (0.15, 3.40)</w:t>
            </w:r>
          </w:p>
        </w:tc>
        <w:tc>
          <w:tcPr>
            <w:tcW w:w="1560" w:type="dxa"/>
            <w:tcBorders>
              <w:top w:val="nil"/>
              <w:left w:val="single" w:sz="4" w:space="0" w:color="auto"/>
              <w:bottom w:val="nil"/>
              <w:right w:val="nil"/>
            </w:tcBorders>
            <w:shd w:val="clear" w:color="auto" w:fill="DBE5F1" w:themeFill="accent1" w:themeFillTint="33"/>
            <w:vAlign w:val="center"/>
          </w:tcPr>
          <w:p w14:paraId="5DC830B5" w14:textId="7FE5DDEA" w:rsidR="00620C4B" w:rsidRPr="00782783" w:rsidRDefault="00FC7500">
            <w:pPr>
              <w:keepNext/>
              <w:keepLines/>
              <w:jc w:val="center"/>
              <w:rPr>
                <w:rFonts w:ascii="Arial Narrow" w:eastAsiaTheme="majorEastAsia" w:hAnsi="Arial Narrow" w:cstheme="minorHAnsi"/>
                <w:bCs/>
                <w:sz w:val="20"/>
              </w:rPr>
            </w:pPr>
            <w:r>
              <w:rPr>
                <w:rFonts w:ascii="Arial Narrow" w:eastAsiaTheme="majorEastAsia" w:hAnsi="Arial Narrow" w:cstheme="minorHAnsi"/>
                <w:bCs/>
                <w:sz w:val="20"/>
              </w:rPr>
              <w:noBreakHyphen/>
            </w:r>
            <w:r w:rsidR="00620C4B" w:rsidRPr="00782783">
              <w:rPr>
                <w:rFonts w:ascii="Arial Narrow" w:eastAsiaTheme="majorEastAsia" w:hAnsi="Arial Narrow" w:cstheme="minorHAnsi"/>
                <w:bCs/>
                <w:sz w:val="20"/>
              </w:rPr>
              <w:t>0.05 (</w:t>
            </w:r>
            <w:r>
              <w:rPr>
                <w:rFonts w:ascii="Arial Narrow" w:eastAsiaTheme="majorEastAsia" w:hAnsi="Arial Narrow" w:cstheme="minorHAnsi"/>
                <w:bCs/>
                <w:sz w:val="20"/>
              </w:rPr>
              <w:noBreakHyphen/>
            </w:r>
            <w:r w:rsidR="00620C4B" w:rsidRPr="00782783">
              <w:rPr>
                <w:rFonts w:ascii="Arial Narrow" w:eastAsiaTheme="majorEastAsia" w:hAnsi="Arial Narrow" w:cstheme="minorHAnsi"/>
                <w:bCs/>
                <w:sz w:val="20"/>
              </w:rPr>
              <w:t>0.27, 0.17)</w:t>
            </w:r>
          </w:p>
        </w:tc>
        <w:tc>
          <w:tcPr>
            <w:tcW w:w="1569" w:type="dxa"/>
            <w:vMerge/>
            <w:tcBorders>
              <w:left w:val="nil"/>
              <w:right w:val="single" w:sz="4" w:space="0" w:color="auto"/>
            </w:tcBorders>
          </w:tcPr>
          <w:p w14:paraId="64016DC9" w14:textId="77777777" w:rsidR="00620C4B" w:rsidRPr="00782783" w:rsidRDefault="00620C4B">
            <w:pPr>
              <w:keepNext/>
              <w:keepLines/>
              <w:jc w:val="center"/>
              <w:rPr>
                <w:rFonts w:ascii="Arial Narrow" w:eastAsiaTheme="majorEastAsia" w:hAnsi="Arial Narrow" w:cstheme="minorHAnsi"/>
                <w:sz w:val="20"/>
                <w:szCs w:val="20"/>
                <w:lang w:eastAsia="en-US" w:bidi="en-US"/>
              </w:rPr>
            </w:pPr>
          </w:p>
        </w:tc>
        <w:tc>
          <w:tcPr>
            <w:tcW w:w="861" w:type="dxa"/>
            <w:tcBorders>
              <w:top w:val="nil"/>
              <w:left w:val="single" w:sz="4" w:space="0" w:color="auto"/>
              <w:bottom w:val="nil"/>
              <w:right w:val="single" w:sz="4" w:space="0" w:color="auto"/>
            </w:tcBorders>
            <w:shd w:val="clear" w:color="auto" w:fill="FFFFFF" w:themeFill="background1"/>
            <w:vAlign w:val="center"/>
          </w:tcPr>
          <w:p w14:paraId="25DDB6A6"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Theme="majorEastAsia" w:hAnsi="Arial Narrow" w:cstheme="minorHAnsi"/>
                <w:sz w:val="20"/>
                <w:szCs w:val="20"/>
                <w:lang w:eastAsia="en-US" w:bidi="en-US"/>
              </w:rPr>
              <w:t>NS</w:t>
            </w:r>
          </w:p>
        </w:tc>
      </w:tr>
      <w:tr w:rsidR="00620C4B" w:rsidRPr="00782783" w14:paraId="7630B1B2" w14:textId="77777777" w:rsidTr="00BB49C9">
        <w:trPr>
          <w:trHeight w:val="17"/>
          <w:jc w:val="center"/>
        </w:trPr>
        <w:tc>
          <w:tcPr>
            <w:tcW w:w="3397" w:type="dxa"/>
            <w:gridSpan w:val="3"/>
            <w:tcBorders>
              <w:bottom w:val="single" w:sz="4" w:space="0" w:color="auto"/>
              <w:right w:val="single" w:sz="4" w:space="0" w:color="auto"/>
            </w:tcBorders>
            <w:shd w:val="clear" w:color="auto" w:fill="DBE5F1" w:themeFill="accent1" w:themeFillTint="33"/>
            <w:noWrap/>
            <w:vAlign w:val="center"/>
          </w:tcPr>
          <w:p w14:paraId="45AC96EC" w14:textId="77777777" w:rsidR="00620C4B" w:rsidRPr="00782783" w:rsidRDefault="00620C4B">
            <w:pPr>
              <w:keepNext/>
              <w:keepLines/>
              <w:rPr>
                <w:rFonts w:ascii="Arial Narrow" w:eastAsiaTheme="majorEastAsia" w:hAnsi="Arial Narrow" w:cstheme="minorHAnsi"/>
                <w:bCs/>
                <w:sz w:val="20"/>
              </w:rPr>
            </w:pPr>
            <w:r w:rsidRPr="00782783">
              <w:rPr>
                <w:rFonts w:ascii="Arial Narrow" w:eastAsiaTheme="majorEastAsia" w:hAnsi="Arial Narrow" w:cstheme="minorHAnsi"/>
                <w:sz w:val="20"/>
                <w:szCs w:val="20"/>
                <w:lang w:eastAsia="en-US" w:bidi="en-US"/>
              </w:rPr>
              <w:t xml:space="preserve">UST (wk 0: tiered dose/kg) – Week 8 </w:t>
            </w:r>
          </w:p>
        </w:tc>
        <w:tc>
          <w:tcPr>
            <w:tcW w:w="1701" w:type="dxa"/>
            <w:tcBorders>
              <w:top w:val="nil"/>
              <w:left w:val="single" w:sz="4" w:space="0" w:color="auto"/>
              <w:bottom w:val="nil"/>
              <w:right w:val="single" w:sz="4" w:space="0" w:color="auto"/>
            </w:tcBorders>
            <w:shd w:val="clear" w:color="auto" w:fill="DBE5F1" w:themeFill="accent1" w:themeFillTint="33"/>
            <w:vAlign w:val="center"/>
          </w:tcPr>
          <w:p w14:paraId="0926C876" w14:textId="77777777" w:rsidR="00620C4B" w:rsidRPr="00782783" w:rsidRDefault="00620C4B">
            <w:pPr>
              <w:keepNext/>
              <w:keepLines/>
              <w:jc w:val="center"/>
              <w:rPr>
                <w:rFonts w:ascii="Arial Narrow" w:eastAsiaTheme="majorEastAsia" w:hAnsi="Arial Narrow" w:cstheme="minorHAnsi"/>
                <w:bCs/>
                <w:sz w:val="20"/>
              </w:rPr>
            </w:pPr>
          </w:p>
        </w:tc>
        <w:tc>
          <w:tcPr>
            <w:tcW w:w="1560" w:type="dxa"/>
            <w:tcBorders>
              <w:top w:val="nil"/>
              <w:left w:val="single" w:sz="4" w:space="0" w:color="auto"/>
              <w:bottom w:val="nil"/>
              <w:right w:val="nil"/>
            </w:tcBorders>
            <w:shd w:val="clear" w:color="auto" w:fill="DBE5F1" w:themeFill="accent1" w:themeFillTint="33"/>
            <w:vAlign w:val="center"/>
          </w:tcPr>
          <w:p w14:paraId="2FE4F97C" w14:textId="77777777" w:rsidR="00620C4B" w:rsidRPr="00782783" w:rsidRDefault="00620C4B">
            <w:pPr>
              <w:keepNext/>
              <w:keepLines/>
              <w:jc w:val="center"/>
              <w:rPr>
                <w:rFonts w:ascii="Arial Narrow" w:eastAsiaTheme="majorEastAsia" w:hAnsi="Arial Narrow" w:cstheme="minorHAnsi"/>
                <w:bCs/>
                <w:sz w:val="20"/>
              </w:rPr>
            </w:pPr>
          </w:p>
        </w:tc>
        <w:tc>
          <w:tcPr>
            <w:tcW w:w="1569" w:type="dxa"/>
            <w:vMerge/>
            <w:tcBorders>
              <w:left w:val="nil"/>
              <w:right w:val="single" w:sz="4" w:space="0" w:color="auto"/>
            </w:tcBorders>
          </w:tcPr>
          <w:p w14:paraId="7E43E0BC" w14:textId="77777777" w:rsidR="00620C4B" w:rsidRPr="00782783" w:rsidRDefault="00620C4B">
            <w:pPr>
              <w:keepNext/>
              <w:keepLines/>
              <w:rPr>
                <w:rFonts w:ascii="Arial Narrow" w:eastAsiaTheme="majorEastAsia" w:hAnsi="Arial Narrow" w:cstheme="minorHAnsi"/>
                <w:sz w:val="20"/>
                <w:szCs w:val="20"/>
                <w:lang w:eastAsia="en-US" w:bidi="en-US"/>
              </w:rPr>
            </w:pPr>
          </w:p>
        </w:tc>
        <w:tc>
          <w:tcPr>
            <w:tcW w:w="861" w:type="dxa"/>
            <w:tcBorders>
              <w:top w:val="nil"/>
              <w:left w:val="single" w:sz="4" w:space="0" w:color="auto"/>
              <w:bottom w:val="nil"/>
              <w:right w:val="single" w:sz="4" w:space="0" w:color="auto"/>
            </w:tcBorders>
            <w:shd w:val="clear" w:color="auto" w:fill="FFFFFF" w:themeFill="background1"/>
            <w:vAlign w:val="center"/>
          </w:tcPr>
          <w:p w14:paraId="0D119292" w14:textId="77777777" w:rsidR="00620C4B" w:rsidRPr="00782783" w:rsidRDefault="00620C4B">
            <w:pPr>
              <w:keepNext/>
              <w:keepLines/>
              <w:jc w:val="center"/>
              <w:rPr>
                <w:rFonts w:ascii="Arial Narrow" w:eastAsiaTheme="majorEastAsia" w:hAnsi="Arial Narrow" w:cstheme="minorHAnsi"/>
                <w:sz w:val="20"/>
                <w:szCs w:val="20"/>
                <w:lang w:eastAsia="en-US" w:bidi="en-US"/>
              </w:rPr>
            </w:pPr>
          </w:p>
        </w:tc>
      </w:tr>
      <w:tr w:rsidR="00620C4B" w:rsidRPr="00782783" w14:paraId="335121FE" w14:textId="77777777" w:rsidTr="00BB49C9">
        <w:trPr>
          <w:trHeight w:val="17"/>
          <w:jc w:val="center"/>
        </w:trPr>
        <w:tc>
          <w:tcPr>
            <w:tcW w:w="1129" w:type="dxa"/>
            <w:tcBorders>
              <w:bottom w:val="single" w:sz="4" w:space="0" w:color="auto"/>
            </w:tcBorders>
            <w:shd w:val="clear" w:color="auto" w:fill="DBE5F1" w:themeFill="accent1" w:themeFillTint="33"/>
            <w:noWrap/>
            <w:vAlign w:val="center"/>
          </w:tcPr>
          <w:p w14:paraId="451DDE84" w14:textId="2207CC1B" w:rsidR="00620C4B" w:rsidRPr="00782783" w:rsidRDefault="00620C4B">
            <w:pPr>
              <w:keepNext/>
              <w:keepLines/>
              <w:jc w:val="left"/>
              <w:rPr>
                <w:rFonts w:ascii="Arial Narrow" w:eastAsiaTheme="majorEastAsia" w:hAnsi="Arial Narrow" w:cstheme="minorHAnsi"/>
                <w:bCs/>
                <w:sz w:val="20"/>
              </w:rPr>
            </w:pPr>
            <w:r w:rsidRPr="00782783">
              <w:rPr>
                <w:rFonts w:ascii="Arial Narrow" w:eastAsiaTheme="majorEastAsia" w:hAnsi="Arial Narrow" w:cstheme="minorHAnsi"/>
                <w:sz w:val="20"/>
                <w:szCs w:val="20"/>
                <w:lang w:eastAsia="en-US" w:bidi="en-US"/>
              </w:rPr>
              <w:t>UNITI</w:t>
            </w:r>
            <w:r w:rsidR="00FC7500">
              <w:rPr>
                <w:rFonts w:ascii="Arial Narrow" w:eastAsiaTheme="majorEastAsia" w:hAnsi="Arial Narrow" w:cstheme="minorHAnsi"/>
                <w:sz w:val="20"/>
                <w:szCs w:val="20"/>
                <w:lang w:eastAsia="en-US" w:bidi="en-US"/>
              </w:rPr>
              <w:noBreakHyphen/>
            </w:r>
            <w:r w:rsidRPr="00782783">
              <w:rPr>
                <w:rFonts w:ascii="Arial Narrow" w:eastAsiaTheme="majorEastAsia" w:hAnsi="Arial Narrow" w:cstheme="minorHAnsi"/>
                <w:sz w:val="20"/>
                <w:szCs w:val="20"/>
                <w:lang w:eastAsia="en-US" w:bidi="en-US"/>
              </w:rPr>
              <w:t>1</w:t>
            </w:r>
          </w:p>
        </w:tc>
        <w:tc>
          <w:tcPr>
            <w:tcW w:w="1134" w:type="dxa"/>
            <w:tcBorders>
              <w:bottom w:val="single" w:sz="4" w:space="0" w:color="auto"/>
            </w:tcBorders>
            <w:shd w:val="clear" w:color="auto" w:fill="DBE5F1" w:themeFill="accent1" w:themeFillTint="33"/>
            <w:vAlign w:val="center"/>
          </w:tcPr>
          <w:p w14:paraId="25EE5AAD" w14:textId="77777777" w:rsidR="00620C4B" w:rsidRPr="00782783" w:rsidRDefault="00620C4B">
            <w:pPr>
              <w:keepNext/>
              <w:keepLines/>
              <w:rPr>
                <w:rFonts w:ascii="Arial Narrow" w:eastAsiaTheme="majorEastAsia" w:hAnsi="Arial Narrow" w:cstheme="minorHAnsi"/>
                <w:bCs/>
                <w:sz w:val="20"/>
              </w:rPr>
            </w:pPr>
            <w:r w:rsidRPr="00782783">
              <w:rPr>
                <w:rFonts w:ascii="Arial Narrow" w:eastAsiaTheme="majorEastAsia" w:hAnsi="Arial Narrow" w:cstheme="minorHAnsi"/>
                <w:sz w:val="20"/>
                <w:szCs w:val="20"/>
                <w:lang w:eastAsia="en-US" w:bidi="en-US"/>
              </w:rPr>
              <w:t>4/29 (13.8)</w:t>
            </w:r>
          </w:p>
        </w:tc>
        <w:tc>
          <w:tcPr>
            <w:tcW w:w="1134" w:type="dxa"/>
            <w:tcBorders>
              <w:bottom w:val="single" w:sz="4" w:space="0" w:color="auto"/>
              <w:right w:val="single" w:sz="4" w:space="0" w:color="auto"/>
            </w:tcBorders>
            <w:shd w:val="clear" w:color="auto" w:fill="DBE5F1" w:themeFill="accent1" w:themeFillTint="33"/>
            <w:vAlign w:val="center"/>
          </w:tcPr>
          <w:p w14:paraId="441967D4" w14:textId="77777777" w:rsidR="00620C4B" w:rsidRPr="00782783" w:rsidRDefault="00620C4B">
            <w:pPr>
              <w:keepNext/>
              <w:keepLines/>
              <w:rPr>
                <w:rFonts w:ascii="Arial Narrow" w:eastAsiaTheme="majorEastAsia" w:hAnsi="Arial Narrow" w:cstheme="minorHAnsi"/>
                <w:bCs/>
                <w:sz w:val="20"/>
              </w:rPr>
            </w:pPr>
            <w:r w:rsidRPr="00782783">
              <w:rPr>
                <w:rFonts w:ascii="Arial Narrow" w:eastAsiaTheme="majorEastAsia" w:hAnsi="Arial Narrow" w:cstheme="minorHAnsi"/>
                <w:sz w:val="20"/>
                <w:szCs w:val="20"/>
                <w:lang w:eastAsia="en-US" w:bidi="en-US"/>
              </w:rPr>
              <w:t>4/34 (11.8)</w:t>
            </w:r>
          </w:p>
        </w:tc>
        <w:tc>
          <w:tcPr>
            <w:tcW w:w="1701" w:type="dxa"/>
            <w:tcBorders>
              <w:top w:val="nil"/>
              <w:left w:val="single" w:sz="4" w:space="0" w:color="auto"/>
              <w:bottom w:val="nil"/>
              <w:right w:val="single" w:sz="4" w:space="0" w:color="auto"/>
            </w:tcBorders>
            <w:shd w:val="clear" w:color="auto" w:fill="DBE5F1" w:themeFill="accent1" w:themeFillTint="33"/>
            <w:vAlign w:val="center"/>
          </w:tcPr>
          <w:p w14:paraId="1DB106B6" w14:textId="77777777" w:rsidR="00620C4B" w:rsidRPr="00782783" w:rsidRDefault="00620C4B">
            <w:pPr>
              <w:keepNext/>
              <w:keepLines/>
              <w:jc w:val="center"/>
              <w:rPr>
                <w:rFonts w:ascii="Arial Narrow" w:eastAsiaTheme="majorEastAsia" w:hAnsi="Arial Narrow" w:cstheme="minorHAnsi"/>
                <w:bCs/>
                <w:sz w:val="20"/>
              </w:rPr>
            </w:pPr>
            <w:r w:rsidRPr="00782783">
              <w:rPr>
                <w:rFonts w:ascii="Arial Narrow" w:eastAsiaTheme="majorEastAsia" w:hAnsi="Arial Narrow" w:cstheme="minorHAnsi"/>
                <w:sz w:val="20"/>
                <w:szCs w:val="20"/>
                <w:lang w:eastAsia="en-US" w:bidi="en-US"/>
              </w:rPr>
              <w:t>1.20 (0.27, 5.29)</w:t>
            </w:r>
          </w:p>
        </w:tc>
        <w:tc>
          <w:tcPr>
            <w:tcW w:w="1560" w:type="dxa"/>
            <w:tcBorders>
              <w:top w:val="nil"/>
              <w:left w:val="single" w:sz="4" w:space="0" w:color="auto"/>
              <w:bottom w:val="nil"/>
              <w:right w:val="nil"/>
            </w:tcBorders>
            <w:shd w:val="clear" w:color="auto" w:fill="DBE5F1" w:themeFill="accent1" w:themeFillTint="33"/>
            <w:vAlign w:val="center"/>
          </w:tcPr>
          <w:p w14:paraId="2B5B2DAA" w14:textId="1D199079" w:rsidR="00620C4B" w:rsidRPr="00782783" w:rsidRDefault="00620C4B">
            <w:pPr>
              <w:keepNext/>
              <w:keepLines/>
              <w:jc w:val="center"/>
              <w:rPr>
                <w:rFonts w:ascii="Arial Narrow" w:eastAsiaTheme="majorEastAsia" w:hAnsi="Arial Narrow" w:cstheme="minorHAnsi"/>
                <w:bCs/>
                <w:sz w:val="20"/>
              </w:rPr>
            </w:pPr>
            <w:r w:rsidRPr="00782783">
              <w:rPr>
                <w:rFonts w:ascii="Arial Narrow" w:eastAsiaTheme="majorEastAsia" w:hAnsi="Arial Narrow" w:cstheme="minorHAnsi"/>
                <w:bCs/>
                <w:sz w:val="20"/>
              </w:rPr>
              <w:t>0.02 (</w:t>
            </w:r>
            <w:r w:rsidR="00FC7500">
              <w:rPr>
                <w:rFonts w:ascii="Arial Narrow" w:eastAsiaTheme="majorEastAsia" w:hAnsi="Arial Narrow" w:cstheme="minorHAnsi"/>
                <w:bCs/>
                <w:sz w:val="20"/>
              </w:rPr>
              <w:noBreakHyphen/>
            </w:r>
            <w:r w:rsidRPr="00782783">
              <w:rPr>
                <w:rFonts w:ascii="Arial Narrow" w:eastAsiaTheme="majorEastAsia" w:hAnsi="Arial Narrow" w:cstheme="minorHAnsi"/>
                <w:bCs/>
                <w:sz w:val="20"/>
              </w:rPr>
              <w:t>0.15, 0.19)</w:t>
            </w:r>
          </w:p>
        </w:tc>
        <w:tc>
          <w:tcPr>
            <w:tcW w:w="1569" w:type="dxa"/>
            <w:vMerge/>
            <w:tcBorders>
              <w:left w:val="nil"/>
              <w:right w:val="single" w:sz="4" w:space="0" w:color="auto"/>
            </w:tcBorders>
          </w:tcPr>
          <w:p w14:paraId="63F3996A" w14:textId="77777777" w:rsidR="00620C4B" w:rsidRPr="00782783" w:rsidRDefault="00620C4B">
            <w:pPr>
              <w:keepNext/>
              <w:keepLines/>
              <w:jc w:val="center"/>
              <w:rPr>
                <w:rFonts w:ascii="Arial Narrow" w:eastAsiaTheme="majorEastAsia" w:hAnsi="Arial Narrow" w:cstheme="minorHAnsi"/>
                <w:sz w:val="20"/>
                <w:szCs w:val="20"/>
                <w:lang w:eastAsia="en-US" w:bidi="en-US"/>
              </w:rPr>
            </w:pPr>
          </w:p>
        </w:tc>
        <w:tc>
          <w:tcPr>
            <w:tcW w:w="861" w:type="dxa"/>
            <w:tcBorders>
              <w:top w:val="nil"/>
              <w:left w:val="single" w:sz="4" w:space="0" w:color="auto"/>
              <w:bottom w:val="nil"/>
              <w:right w:val="single" w:sz="4" w:space="0" w:color="auto"/>
            </w:tcBorders>
            <w:shd w:val="clear" w:color="auto" w:fill="FFFFFF" w:themeFill="background1"/>
            <w:vAlign w:val="center"/>
          </w:tcPr>
          <w:p w14:paraId="13515C5D"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Theme="majorEastAsia" w:hAnsi="Arial Narrow" w:cstheme="minorHAnsi"/>
                <w:sz w:val="20"/>
                <w:szCs w:val="20"/>
                <w:lang w:eastAsia="en-US" w:bidi="en-US"/>
              </w:rPr>
              <w:t>NS</w:t>
            </w:r>
          </w:p>
        </w:tc>
      </w:tr>
      <w:tr w:rsidR="00620C4B" w:rsidRPr="00782783" w14:paraId="4EEC2EE3" w14:textId="77777777" w:rsidTr="00BB49C9">
        <w:trPr>
          <w:trHeight w:val="17"/>
          <w:jc w:val="center"/>
        </w:trPr>
        <w:tc>
          <w:tcPr>
            <w:tcW w:w="1129" w:type="dxa"/>
            <w:shd w:val="clear" w:color="auto" w:fill="DBE5F1" w:themeFill="accent1" w:themeFillTint="33"/>
            <w:noWrap/>
            <w:vAlign w:val="center"/>
          </w:tcPr>
          <w:p w14:paraId="4A91EEAE" w14:textId="35F9CF54" w:rsidR="00620C4B" w:rsidRPr="00782783" w:rsidRDefault="00620C4B">
            <w:pPr>
              <w:keepNext/>
              <w:keepLines/>
              <w:jc w:val="left"/>
              <w:rPr>
                <w:rFonts w:ascii="Arial Narrow" w:eastAsiaTheme="majorEastAsia" w:hAnsi="Arial Narrow" w:cstheme="minorHAnsi"/>
                <w:bCs/>
                <w:sz w:val="20"/>
              </w:rPr>
            </w:pPr>
            <w:r w:rsidRPr="00782783">
              <w:rPr>
                <w:rFonts w:ascii="Arial Narrow" w:eastAsiaTheme="majorEastAsia" w:hAnsi="Arial Narrow" w:cstheme="minorHAnsi"/>
                <w:sz w:val="20"/>
                <w:szCs w:val="20"/>
                <w:lang w:eastAsia="en-US" w:bidi="en-US"/>
              </w:rPr>
              <w:t>UNITI</w:t>
            </w:r>
            <w:r w:rsidR="00FC7500">
              <w:rPr>
                <w:rFonts w:ascii="Arial Narrow" w:eastAsiaTheme="majorEastAsia" w:hAnsi="Arial Narrow" w:cstheme="minorHAnsi"/>
                <w:sz w:val="20"/>
                <w:szCs w:val="20"/>
                <w:lang w:eastAsia="en-US" w:bidi="en-US"/>
              </w:rPr>
              <w:noBreakHyphen/>
            </w:r>
            <w:r w:rsidRPr="00782783">
              <w:rPr>
                <w:rFonts w:ascii="Arial Narrow" w:eastAsiaTheme="majorEastAsia" w:hAnsi="Arial Narrow" w:cstheme="minorHAnsi"/>
                <w:sz w:val="20"/>
                <w:szCs w:val="20"/>
                <w:lang w:eastAsia="en-US" w:bidi="en-US"/>
              </w:rPr>
              <w:t>2</w:t>
            </w:r>
          </w:p>
        </w:tc>
        <w:tc>
          <w:tcPr>
            <w:tcW w:w="1134" w:type="dxa"/>
            <w:shd w:val="clear" w:color="auto" w:fill="DBE5F1" w:themeFill="accent1" w:themeFillTint="33"/>
            <w:vAlign w:val="center"/>
          </w:tcPr>
          <w:p w14:paraId="5B7E6825" w14:textId="77777777" w:rsidR="00620C4B" w:rsidRPr="00782783" w:rsidRDefault="00620C4B">
            <w:pPr>
              <w:keepNext/>
              <w:keepLines/>
              <w:rPr>
                <w:rFonts w:ascii="Arial Narrow" w:eastAsiaTheme="majorEastAsia" w:hAnsi="Arial Narrow" w:cstheme="minorHAnsi"/>
                <w:bCs/>
                <w:sz w:val="20"/>
              </w:rPr>
            </w:pPr>
            <w:r w:rsidRPr="00782783">
              <w:rPr>
                <w:rFonts w:ascii="Arial Narrow" w:eastAsiaTheme="majorEastAsia" w:hAnsi="Arial Narrow" w:cstheme="minorHAnsi"/>
                <w:sz w:val="20"/>
                <w:szCs w:val="20"/>
                <w:lang w:eastAsia="en-US" w:bidi="en-US"/>
              </w:rPr>
              <w:t>6/19 (31.6)</w:t>
            </w:r>
          </w:p>
        </w:tc>
        <w:tc>
          <w:tcPr>
            <w:tcW w:w="1134" w:type="dxa"/>
            <w:tcBorders>
              <w:right w:val="single" w:sz="4" w:space="0" w:color="auto"/>
            </w:tcBorders>
            <w:shd w:val="clear" w:color="auto" w:fill="DBE5F1" w:themeFill="accent1" w:themeFillTint="33"/>
            <w:vAlign w:val="center"/>
          </w:tcPr>
          <w:p w14:paraId="1B6E329A" w14:textId="77777777" w:rsidR="00620C4B" w:rsidRPr="00782783" w:rsidRDefault="00620C4B">
            <w:pPr>
              <w:keepNext/>
              <w:keepLines/>
              <w:rPr>
                <w:rFonts w:ascii="Arial Narrow" w:eastAsiaTheme="majorEastAsia" w:hAnsi="Arial Narrow" w:cstheme="minorHAnsi"/>
                <w:bCs/>
                <w:sz w:val="20"/>
              </w:rPr>
            </w:pPr>
            <w:r w:rsidRPr="00782783">
              <w:rPr>
                <w:rFonts w:ascii="Arial Narrow" w:eastAsiaTheme="majorEastAsia" w:hAnsi="Arial Narrow" w:cstheme="minorHAnsi"/>
                <w:sz w:val="20"/>
                <w:szCs w:val="20"/>
                <w:lang w:eastAsia="en-US" w:bidi="en-US"/>
              </w:rPr>
              <w:t>4/23 (17.4)</w:t>
            </w:r>
          </w:p>
        </w:tc>
        <w:tc>
          <w:tcPr>
            <w:tcW w:w="1701" w:type="dxa"/>
            <w:tcBorders>
              <w:top w:val="nil"/>
              <w:left w:val="single" w:sz="4" w:space="0" w:color="auto"/>
              <w:bottom w:val="nil"/>
              <w:right w:val="single" w:sz="4" w:space="0" w:color="auto"/>
            </w:tcBorders>
            <w:shd w:val="clear" w:color="auto" w:fill="DBE5F1" w:themeFill="accent1" w:themeFillTint="33"/>
            <w:vAlign w:val="center"/>
          </w:tcPr>
          <w:p w14:paraId="6D980BA5" w14:textId="77777777" w:rsidR="00620C4B" w:rsidRPr="00782783" w:rsidRDefault="00620C4B">
            <w:pPr>
              <w:keepNext/>
              <w:keepLines/>
              <w:jc w:val="center"/>
              <w:rPr>
                <w:rFonts w:ascii="Arial Narrow" w:eastAsiaTheme="majorEastAsia" w:hAnsi="Arial Narrow" w:cstheme="minorHAnsi"/>
                <w:bCs/>
                <w:sz w:val="20"/>
              </w:rPr>
            </w:pPr>
            <w:r w:rsidRPr="00782783">
              <w:rPr>
                <w:rFonts w:ascii="Arial Narrow" w:eastAsiaTheme="majorEastAsia" w:hAnsi="Arial Narrow" w:cstheme="minorHAnsi"/>
                <w:sz w:val="20"/>
                <w:szCs w:val="20"/>
                <w:lang w:eastAsia="en-US" w:bidi="en-US"/>
              </w:rPr>
              <w:t>2.19 (0.51, 9.33)</w:t>
            </w:r>
          </w:p>
        </w:tc>
        <w:tc>
          <w:tcPr>
            <w:tcW w:w="1560" w:type="dxa"/>
            <w:tcBorders>
              <w:top w:val="nil"/>
              <w:left w:val="single" w:sz="4" w:space="0" w:color="auto"/>
              <w:bottom w:val="nil"/>
              <w:right w:val="nil"/>
            </w:tcBorders>
            <w:shd w:val="clear" w:color="auto" w:fill="DBE5F1" w:themeFill="accent1" w:themeFillTint="33"/>
            <w:vAlign w:val="center"/>
          </w:tcPr>
          <w:p w14:paraId="7D03A0A4" w14:textId="768A92C9" w:rsidR="00620C4B" w:rsidRPr="00782783" w:rsidRDefault="00620C4B">
            <w:pPr>
              <w:keepNext/>
              <w:keepLines/>
              <w:jc w:val="center"/>
              <w:rPr>
                <w:rFonts w:ascii="Arial Narrow" w:eastAsiaTheme="majorEastAsia" w:hAnsi="Arial Narrow" w:cstheme="minorHAnsi"/>
                <w:bCs/>
                <w:sz w:val="20"/>
              </w:rPr>
            </w:pPr>
            <w:r w:rsidRPr="00782783">
              <w:rPr>
                <w:rFonts w:ascii="Arial Narrow" w:eastAsiaTheme="majorEastAsia" w:hAnsi="Arial Narrow" w:cstheme="minorHAnsi"/>
                <w:bCs/>
                <w:sz w:val="20"/>
              </w:rPr>
              <w:t>0.14 (</w:t>
            </w:r>
            <w:r w:rsidR="00FC7500">
              <w:rPr>
                <w:rFonts w:ascii="Arial Narrow" w:eastAsiaTheme="majorEastAsia" w:hAnsi="Arial Narrow" w:cstheme="minorHAnsi"/>
                <w:bCs/>
                <w:sz w:val="20"/>
              </w:rPr>
              <w:noBreakHyphen/>
            </w:r>
            <w:r w:rsidRPr="00782783">
              <w:rPr>
                <w:rFonts w:ascii="Arial Narrow" w:eastAsiaTheme="majorEastAsia" w:hAnsi="Arial Narrow" w:cstheme="minorHAnsi"/>
                <w:bCs/>
                <w:sz w:val="20"/>
              </w:rPr>
              <w:t>0.12, 0.40)</w:t>
            </w:r>
          </w:p>
        </w:tc>
        <w:tc>
          <w:tcPr>
            <w:tcW w:w="1569" w:type="dxa"/>
            <w:vMerge/>
            <w:tcBorders>
              <w:left w:val="nil"/>
              <w:right w:val="single" w:sz="4" w:space="0" w:color="auto"/>
            </w:tcBorders>
          </w:tcPr>
          <w:p w14:paraId="0F369C68" w14:textId="77777777" w:rsidR="00620C4B" w:rsidRPr="00782783" w:rsidRDefault="00620C4B">
            <w:pPr>
              <w:keepNext/>
              <w:keepLines/>
              <w:jc w:val="center"/>
              <w:rPr>
                <w:rFonts w:ascii="Arial Narrow" w:eastAsiaTheme="majorEastAsia" w:hAnsi="Arial Narrow" w:cstheme="minorHAnsi"/>
                <w:sz w:val="20"/>
                <w:szCs w:val="20"/>
                <w:lang w:eastAsia="en-US" w:bidi="en-US"/>
              </w:rPr>
            </w:pPr>
          </w:p>
        </w:tc>
        <w:tc>
          <w:tcPr>
            <w:tcW w:w="861" w:type="dxa"/>
            <w:tcBorders>
              <w:top w:val="nil"/>
              <w:left w:val="single" w:sz="4" w:space="0" w:color="auto"/>
              <w:bottom w:val="nil"/>
              <w:right w:val="single" w:sz="4" w:space="0" w:color="auto"/>
            </w:tcBorders>
            <w:shd w:val="clear" w:color="auto" w:fill="FFFFFF" w:themeFill="background1"/>
            <w:vAlign w:val="center"/>
          </w:tcPr>
          <w:p w14:paraId="3D1AF9C1"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Theme="majorEastAsia" w:hAnsi="Arial Narrow" w:cstheme="minorHAnsi"/>
                <w:sz w:val="20"/>
                <w:szCs w:val="20"/>
                <w:lang w:eastAsia="en-US" w:bidi="en-US"/>
              </w:rPr>
              <w:t>NS</w:t>
            </w:r>
          </w:p>
        </w:tc>
      </w:tr>
      <w:tr w:rsidR="00620C4B" w:rsidRPr="00782783" w14:paraId="79823134" w14:textId="77777777">
        <w:trPr>
          <w:trHeight w:val="17"/>
          <w:jc w:val="center"/>
        </w:trPr>
        <w:tc>
          <w:tcPr>
            <w:tcW w:w="3397" w:type="dxa"/>
            <w:gridSpan w:val="3"/>
            <w:tcBorders>
              <w:right w:val="single" w:sz="4" w:space="0" w:color="auto"/>
            </w:tcBorders>
            <w:noWrap/>
            <w:vAlign w:val="center"/>
          </w:tcPr>
          <w:p w14:paraId="55CFA922" w14:textId="77777777" w:rsidR="00620C4B" w:rsidRPr="00782783" w:rsidRDefault="00620C4B">
            <w:pPr>
              <w:keepNext/>
              <w:keepLines/>
              <w:jc w:val="right"/>
              <w:rPr>
                <w:rFonts w:ascii="Arial Narrow" w:eastAsiaTheme="majorEastAsia" w:hAnsi="Arial Narrow" w:cstheme="minorHAnsi"/>
                <w:sz w:val="20"/>
                <w:szCs w:val="20"/>
                <w:lang w:eastAsia="en-US" w:bidi="en-US"/>
              </w:rPr>
            </w:pPr>
            <w:r w:rsidRPr="00782783">
              <w:rPr>
                <w:rFonts w:ascii="Arial Narrow" w:eastAsia="Aptos" w:hAnsi="Arial Narrow" w:cs="Times New Roman"/>
                <w:kern w:val="2"/>
                <w:sz w:val="20"/>
                <w:szCs w:val="20"/>
                <w:lang w:eastAsia="en-US"/>
                <w14:ligatures w14:val="standardContextual"/>
              </w:rPr>
              <w:t xml:space="preserve">Meta analysis UPA vs PBO </w:t>
            </w:r>
          </w:p>
        </w:tc>
        <w:tc>
          <w:tcPr>
            <w:tcW w:w="1701" w:type="dxa"/>
            <w:tcBorders>
              <w:top w:val="nil"/>
              <w:left w:val="single" w:sz="4" w:space="0" w:color="auto"/>
              <w:bottom w:val="nil"/>
              <w:right w:val="single" w:sz="4" w:space="0" w:color="auto"/>
            </w:tcBorders>
            <w:vAlign w:val="center"/>
          </w:tcPr>
          <w:p w14:paraId="1A98620F"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Theme="majorEastAsia" w:hAnsi="Arial Narrow" w:cstheme="minorHAnsi"/>
                <w:sz w:val="20"/>
                <w:szCs w:val="20"/>
                <w:lang w:eastAsia="en-US" w:bidi="en-US"/>
              </w:rPr>
              <w:t>6.33 (1.64,24.52)</w:t>
            </w:r>
          </w:p>
        </w:tc>
        <w:tc>
          <w:tcPr>
            <w:tcW w:w="1560" w:type="dxa"/>
            <w:tcBorders>
              <w:top w:val="nil"/>
              <w:left w:val="single" w:sz="4" w:space="0" w:color="auto"/>
              <w:bottom w:val="nil"/>
              <w:right w:val="nil"/>
            </w:tcBorders>
            <w:vAlign w:val="center"/>
          </w:tcPr>
          <w:p w14:paraId="62F691B8"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Theme="majorEastAsia" w:hAnsi="Arial Narrow" w:cstheme="minorHAnsi"/>
                <w:sz w:val="20"/>
                <w:szCs w:val="20"/>
                <w:lang w:eastAsia="en-US" w:bidi="en-US"/>
              </w:rPr>
              <w:t>0.36 (0.16, 0.57)</w:t>
            </w:r>
          </w:p>
        </w:tc>
        <w:tc>
          <w:tcPr>
            <w:tcW w:w="1569" w:type="dxa"/>
            <w:vMerge/>
            <w:tcBorders>
              <w:left w:val="nil"/>
              <w:right w:val="single" w:sz="4" w:space="0" w:color="auto"/>
            </w:tcBorders>
          </w:tcPr>
          <w:p w14:paraId="2841297F" w14:textId="77777777" w:rsidR="00620C4B" w:rsidRPr="00782783" w:rsidRDefault="00620C4B">
            <w:pPr>
              <w:keepNext/>
              <w:keepLines/>
              <w:jc w:val="center"/>
              <w:rPr>
                <w:rFonts w:ascii="Arial Narrow" w:eastAsiaTheme="majorEastAsia" w:hAnsi="Arial Narrow" w:cstheme="minorHAnsi"/>
                <w:sz w:val="20"/>
                <w:szCs w:val="20"/>
                <w:lang w:eastAsia="en-US" w:bidi="en-US"/>
              </w:rPr>
            </w:pPr>
          </w:p>
        </w:tc>
        <w:tc>
          <w:tcPr>
            <w:tcW w:w="861" w:type="dxa"/>
            <w:tcBorders>
              <w:top w:val="nil"/>
              <w:left w:val="single" w:sz="4" w:space="0" w:color="auto"/>
              <w:bottom w:val="nil"/>
              <w:right w:val="single" w:sz="4" w:space="0" w:color="auto"/>
            </w:tcBorders>
            <w:shd w:val="clear" w:color="auto" w:fill="FFFFFF" w:themeFill="background1"/>
            <w:vAlign w:val="center"/>
          </w:tcPr>
          <w:p w14:paraId="66E1A4F5"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Theme="majorEastAsia" w:hAnsi="Arial Narrow" w:cstheme="minorHAnsi"/>
                <w:sz w:val="20"/>
                <w:szCs w:val="20"/>
                <w:lang w:eastAsia="en-US" w:bidi="en-US"/>
              </w:rPr>
              <w:t>3 (2, 6)</w:t>
            </w:r>
          </w:p>
        </w:tc>
      </w:tr>
      <w:tr w:rsidR="00620C4B" w:rsidRPr="00782783" w14:paraId="66B0DDB1" w14:textId="77777777">
        <w:trPr>
          <w:trHeight w:val="17"/>
          <w:jc w:val="center"/>
        </w:trPr>
        <w:tc>
          <w:tcPr>
            <w:tcW w:w="3397" w:type="dxa"/>
            <w:gridSpan w:val="3"/>
            <w:tcBorders>
              <w:right w:val="single" w:sz="4" w:space="0" w:color="auto"/>
            </w:tcBorders>
            <w:noWrap/>
            <w:vAlign w:val="center"/>
          </w:tcPr>
          <w:p w14:paraId="12A68ECE" w14:textId="77777777" w:rsidR="00620C4B" w:rsidRPr="00782783" w:rsidRDefault="00620C4B">
            <w:pPr>
              <w:keepNext/>
              <w:keepLines/>
              <w:jc w:val="right"/>
              <w:rPr>
                <w:rFonts w:ascii="Arial Narrow" w:eastAsiaTheme="majorEastAsia" w:hAnsi="Arial Narrow" w:cstheme="minorHAnsi"/>
                <w:sz w:val="20"/>
                <w:szCs w:val="20"/>
                <w:lang w:eastAsia="en-US" w:bidi="en-US"/>
              </w:rPr>
            </w:pPr>
            <w:r w:rsidRPr="00782783">
              <w:rPr>
                <w:rFonts w:ascii="Arial Narrow" w:eastAsia="Aptos" w:hAnsi="Arial Narrow" w:cs="Times New Roman"/>
                <w:kern w:val="2"/>
                <w:sz w:val="20"/>
                <w:szCs w:val="20"/>
                <w:lang w:eastAsia="en-US"/>
                <w14:ligatures w14:val="standardContextual"/>
              </w:rPr>
              <w:t>Meta analysis IFX VS PBO</w:t>
            </w:r>
          </w:p>
        </w:tc>
        <w:tc>
          <w:tcPr>
            <w:tcW w:w="1701" w:type="dxa"/>
            <w:tcBorders>
              <w:top w:val="nil"/>
              <w:left w:val="single" w:sz="4" w:space="0" w:color="auto"/>
              <w:bottom w:val="nil"/>
              <w:right w:val="single" w:sz="4" w:space="0" w:color="auto"/>
            </w:tcBorders>
            <w:vAlign w:val="center"/>
          </w:tcPr>
          <w:p w14:paraId="1AC13281"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Theme="majorEastAsia" w:hAnsi="Arial Narrow" w:cstheme="minorHAnsi"/>
                <w:sz w:val="20"/>
                <w:szCs w:val="20"/>
                <w:lang w:eastAsia="en-US" w:bidi="en-US"/>
              </w:rPr>
              <w:t>6.04 (2.01,18.17)</w:t>
            </w:r>
          </w:p>
        </w:tc>
        <w:tc>
          <w:tcPr>
            <w:tcW w:w="1560" w:type="dxa"/>
            <w:tcBorders>
              <w:top w:val="nil"/>
              <w:left w:val="single" w:sz="4" w:space="0" w:color="auto"/>
              <w:bottom w:val="nil"/>
              <w:right w:val="nil"/>
            </w:tcBorders>
            <w:vAlign w:val="center"/>
          </w:tcPr>
          <w:p w14:paraId="00BB4526"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Theme="majorEastAsia" w:hAnsi="Arial Narrow" w:cstheme="minorHAnsi"/>
                <w:sz w:val="20"/>
                <w:szCs w:val="20"/>
                <w:lang w:eastAsia="en-US" w:bidi="en-US"/>
              </w:rPr>
              <w:t>0.42 (0.19, 0.64)</w:t>
            </w:r>
          </w:p>
        </w:tc>
        <w:tc>
          <w:tcPr>
            <w:tcW w:w="1569" w:type="dxa"/>
            <w:vMerge/>
            <w:tcBorders>
              <w:left w:val="nil"/>
              <w:right w:val="single" w:sz="4" w:space="0" w:color="auto"/>
            </w:tcBorders>
          </w:tcPr>
          <w:p w14:paraId="2B5884D1" w14:textId="77777777" w:rsidR="00620C4B" w:rsidRPr="00782783" w:rsidRDefault="00620C4B">
            <w:pPr>
              <w:keepNext/>
              <w:keepLines/>
              <w:jc w:val="center"/>
              <w:rPr>
                <w:rFonts w:ascii="Arial Narrow" w:eastAsiaTheme="majorEastAsia" w:hAnsi="Arial Narrow" w:cstheme="minorHAnsi"/>
                <w:sz w:val="20"/>
                <w:szCs w:val="20"/>
                <w:lang w:eastAsia="en-US" w:bidi="en-US"/>
              </w:rPr>
            </w:pPr>
          </w:p>
        </w:tc>
        <w:tc>
          <w:tcPr>
            <w:tcW w:w="861" w:type="dxa"/>
            <w:tcBorders>
              <w:top w:val="nil"/>
              <w:left w:val="single" w:sz="4" w:space="0" w:color="auto"/>
              <w:bottom w:val="nil"/>
              <w:right w:val="single" w:sz="4" w:space="0" w:color="auto"/>
            </w:tcBorders>
            <w:vAlign w:val="center"/>
          </w:tcPr>
          <w:p w14:paraId="7DEC20BD"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Theme="majorEastAsia" w:hAnsi="Arial Narrow" w:cstheme="minorHAnsi"/>
                <w:sz w:val="20"/>
                <w:szCs w:val="20"/>
                <w:lang w:eastAsia="en-US" w:bidi="en-US"/>
              </w:rPr>
              <w:t>2 (2, 5)</w:t>
            </w:r>
          </w:p>
        </w:tc>
      </w:tr>
      <w:tr w:rsidR="00620C4B" w:rsidRPr="00782783" w14:paraId="49B91272" w14:textId="77777777">
        <w:trPr>
          <w:trHeight w:val="17"/>
          <w:jc w:val="center"/>
        </w:trPr>
        <w:tc>
          <w:tcPr>
            <w:tcW w:w="3397" w:type="dxa"/>
            <w:gridSpan w:val="3"/>
            <w:tcBorders>
              <w:right w:val="single" w:sz="4" w:space="0" w:color="auto"/>
            </w:tcBorders>
            <w:noWrap/>
            <w:vAlign w:val="center"/>
          </w:tcPr>
          <w:p w14:paraId="2A35CE9B" w14:textId="77777777" w:rsidR="00620C4B" w:rsidRPr="00782783" w:rsidRDefault="00620C4B">
            <w:pPr>
              <w:keepNext/>
              <w:keepLines/>
              <w:jc w:val="right"/>
              <w:rPr>
                <w:rFonts w:ascii="Arial Narrow" w:eastAsiaTheme="majorEastAsia" w:hAnsi="Arial Narrow" w:cstheme="minorHAnsi"/>
                <w:sz w:val="20"/>
                <w:szCs w:val="20"/>
                <w:lang w:val="pt-BR" w:eastAsia="en-US" w:bidi="en-US"/>
              </w:rPr>
            </w:pPr>
            <w:r w:rsidRPr="00782783">
              <w:rPr>
                <w:rFonts w:ascii="Arial Narrow" w:eastAsia="Aptos" w:hAnsi="Arial Narrow" w:cs="Times New Roman"/>
                <w:kern w:val="2"/>
                <w:sz w:val="20"/>
                <w:szCs w:val="20"/>
                <w:lang w:val="pt-BR" w:eastAsia="en-US"/>
                <w14:ligatures w14:val="standardContextual"/>
              </w:rPr>
              <w:t>Meta analysis ADA vs PBO</w:t>
            </w:r>
          </w:p>
        </w:tc>
        <w:tc>
          <w:tcPr>
            <w:tcW w:w="1701" w:type="dxa"/>
            <w:tcBorders>
              <w:top w:val="nil"/>
              <w:left w:val="single" w:sz="4" w:space="0" w:color="auto"/>
              <w:bottom w:val="nil"/>
              <w:right w:val="single" w:sz="4" w:space="0" w:color="auto"/>
            </w:tcBorders>
            <w:vAlign w:val="center"/>
          </w:tcPr>
          <w:p w14:paraId="6D43DB16"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Theme="majorEastAsia" w:hAnsi="Arial Narrow" w:cstheme="minorHAnsi"/>
                <w:sz w:val="20"/>
                <w:szCs w:val="20"/>
                <w:lang w:eastAsia="en-US" w:bidi="en-US"/>
              </w:rPr>
              <w:t>0.50 (0.13, 1.92)</w:t>
            </w:r>
          </w:p>
        </w:tc>
        <w:tc>
          <w:tcPr>
            <w:tcW w:w="1560" w:type="dxa"/>
            <w:tcBorders>
              <w:top w:val="nil"/>
              <w:left w:val="single" w:sz="4" w:space="0" w:color="auto"/>
              <w:bottom w:val="nil"/>
              <w:right w:val="nil"/>
            </w:tcBorders>
            <w:vAlign w:val="center"/>
          </w:tcPr>
          <w:p w14:paraId="5F38BF78" w14:textId="697E8065" w:rsidR="00620C4B" w:rsidRPr="00782783" w:rsidRDefault="00FC7500">
            <w:pPr>
              <w:keepNext/>
              <w:keepLines/>
              <w:jc w:val="center"/>
              <w:rPr>
                <w:rFonts w:ascii="Arial Narrow" w:eastAsiaTheme="majorEastAsia" w:hAnsi="Arial Narrow" w:cstheme="minorHAnsi"/>
                <w:sz w:val="20"/>
                <w:szCs w:val="20"/>
                <w:lang w:eastAsia="en-US" w:bidi="en-US"/>
              </w:rPr>
            </w:pPr>
            <w:r>
              <w:rPr>
                <w:rFonts w:ascii="Arial Narrow" w:eastAsiaTheme="majorEastAsia" w:hAnsi="Arial Narrow" w:cstheme="minorHAnsi"/>
                <w:sz w:val="20"/>
                <w:szCs w:val="20"/>
                <w:lang w:eastAsia="en-US" w:bidi="en-US"/>
              </w:rPr>
              <w:noBreakHyphen/>
            </w:r>
            <w:r w:rsidR="00620C4B" w:rsidRPr="00782783">
              <w:rPr>
                <w:rFonts w:ascii="Arial Narrow" w:eastAsiaTheme="majorEastAsia" w:hAnsi="Arial Narrow" w:cstheme="minorHAnsi"/>
                <w:sz w:val="20"/>
                <w:szCs w:val="20"/>
                <w:lang w:eastAsia="en-US" w:bidi="en-US"/>
              </w:rPr>
              <w:t>0.10 (</w:t>
            </w:r>
            <w:r>
              <w:rPr>
                <w:rFonts w:ascii="Arial Narrow" w:eastAsiaTheme="majorEastAsia" w:hAnsi="Arial Narrow" w:cstheme="minorHAnsi"/>
                <w:sz w:val="20"/>
                <w:szCs w:val="20"/>
                <w:lang w:eastAsia="en-US" w:bidi="en-US"/>
              </w:rPr>
              <w:noBreakHyphen/>
            </w:r>
            <w:r w:rsidR="00620C4B" w:rsidRPr="00782783">
              <w:rPr>
                <w:rFonts w:ascii="Arial Narrow" w:eastAsiaTheme="majorEastAsia" w:hAnsi="Arial Narrow" w:cstheme="minorHAnsi"/>
                <w:sz w:val="20"/>
                <w:szCs w:val="20"/>
                <w:lang w:eastAsia="en-US" w:bidi="en-US"/>
              </w:rPr>
              <w:t>1.16, 0.97)</w:t>
            </w:r>
          </w:p>
        </w:tc>
        <w:tc>
          <w:tcPr>
            <w:tcW w:w="1569" w:type="dxa"/>
            <w:vMerge/>
            <w:tcBorders>
              <w:left w:val="nil"/>
              <w:right w:val="single" w:sz="4" w:space="0" w:color="auto"/>
            </w:tcBorders>
          </w:tcPr>
          <w:p w14:paraId="1F164EC4" w14:textId="77777777" w:rsidR="00620C4B" w:rsidRPr="00782783" w:rsidRDefault="00620C4B">
            <w:pPr>
              <w:keepNext/>
              <w:keepLines/>
              <w:jc w:val="center"/>
              <w:rPr>
                <w:rFonts w:ascii="Arial Narrow" w:eastAsiaTheme="majorEastAsia" w:hAnsi="Arial Narrow" w:cstheme="minorHAnsi"/>
                <w:sz w:val="20"/>
                <w:szCs w:val="20"/>
                <w:lang w:eastAsia="en-US" w:bidi="en-US"/>
              </w:rPr>
            </w:pPr>
          </w:p>
        </w:tc>
        <w:tc>
          <w:tcPr>
            <w:tcW w:w="861" w:type="dxa"/>
            <w:tcBorders>
              <w:top w:val="nil"/>
              <w:left w:val="single" w:sz="4" w:space="0" w:color="auto"/>
              <w:bottom w:val="nil"/>
              <w:right w:val="single" w:sz="4" w:space="0" w:color="auto"/>
            </w:tcBorders>
            <w:vAlign w:val="center"/>
          </w:tcPr>
          <w:p w14:paraId="35D86575"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Theme="majorEastAsia" w:hAnsi="Arial Narrow" w:cstheme="minorHAnsi"/>
                <w:sz w:val="20"/>
                <w:szCs w:val="20"/>
                <w:lang w:eastAsia="en-US" w:bidi="en-US"/>
              </w:rPr>
              <w:t>NS</w:t>
            </w:r>
          </w:p>
        </w:tc>
      </w:tr>
      <w:tr w:rsidR="00620C4B" w:rsidRPr="00782783" w14:paraId="265C69FD" w14:textId="77777777">
        <w:trPr>
          <w:trHeight w:val="17"/>
          <w:jc w:val="center"/>
        </w:trPr>
        <w:tc>
          <w:tcPr>
            <w:tcW w:w="3397" w:type="dxa"/>
            <w:gridSpan w:val="3"/>
            <w:tcBorders>
              <w:right w:val="single" w:sz="4" w:space="0" w:color="auto"/>
            </w:tcBorders>
            <w:noWrap/>
            <w:vAlign w:val="center"/>
          </w:tcPr>
          <w:p w14:paraId="5C056A31" w14:textId="77777777" w:rsidR="00620C4B" w:rsidRPr="00782783" w:rsidRDefault="00620C4B">
            <w:pPr>
              <w:keepNext/>
              <w:keepLines/>
              <w:jc w:val="right"/>
              <w:rPr>
                <w:rFonts w:ascii="Arial Narrow" w:eastAsiaTheme="majorEastAsia" w:hAnsi="Arial Narrow" w:cstheme="minorHAnsi"/>
                <w:sz w:val="20"/>
                <w:szCs w:val="20"/>
                <w:lang w:eastAsia="en-US" w:bidi="en-US"/>
              </w:rPr>
            </w:pPr>
            <w:r w:rsidRPr="00782783">
              <w:rPr>
                <w:rFonts w:ascii="Arial Narrow" w:eastAsiaTheme="majorEastAsia" w:hAnsi="Arial Narrow" w:cstheme="minorHAnsi"/>
                <w:sz w:val="20"/>
                <w:szCs w:val="20"/>
                <w:lang w:eastAsia="en-US" w:bidi="en-US"/>
              </w:rPr>
              <w:t>Meta analysis UST vs PBO</w:t>
            </w:r>
          </w:p>
        </w:tc>
        <w:tc>
          <w:tcPr>
            <w:tcW w:w="1701" w:type="dxa"/>
            <w:tcBorders>
              <w:top w:val="nil"/>
              <w:left w:val="single" w:sz="4" w:space="0" w:color="auto"/>
              <w:bottom w:val="nil"/>
              <w:right w:val="single" w:sz="4" w:space="0" w:color="auto"/>
            </w:tcBorders>
            <w:vAlign w:val="center"/>
          </w:tcPr>
          <w:p w14:paraId="56C7BE47"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Theme="majorEastAsia" w:hAnsi="Arial Narrow" w:cstheme="minorHAnsi"/>
                <w:sz w:val="20"/>
                <w:szCs w:val="20"/>
                <w:lang w:eastAsia="en-US" w:bidi="en-US"/>
              </w:rPr>
              <w:t>1.63 (0.58, 4.61)</w:t>
            </w:r>
          </w:p>
        </w:tc>
        <w:tc>
          <w:tcPr>
            <w:tcW w:w="1560" w:type="dxa"/>
            <w:tcBorders>
              <w:top w:val="nil"/>
              <w:left w:val="single" w:sz="4" w:space="0" w:color="auto"/>
              <w:bottom w:val="nil"/>
              <w:right w:val="nil"/>
            </w:tcBorders>
            <w:vAlign w:val="center"/>
          </w:tcPr>
          <w:p w14:paraId="47DB99E3" w14:textId="57188176"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Theme="majorEastAsia" w:hAnsi="Arial Narrow" w:cstheme="minorHAnsi"/>
                <w:sz w:val="20"/>
                <w:szCs w:val="20"/>
                <w:lang w:eastAsia="en-US" w:bidi="en-US"/>
              </w:rPr>
              <w:t>0.06 (</w:t>
            </w:r>
            <w:r w:rsidR="00FC7500">
              <w:rPr>
                <w:rFonts w:ascii="Arial Narrow" w:eastAsiaTheme="majorEastAsia" w:hAnsi="Arial Narrow" w:cstheme="minorHAnsi"/>
                <w:sz w:val="20"/>
                <w:szCs w:val="20"/>
                <w:lang w:eastAsia="en-US" w:bidi="en-US"/>
              </w:rPr>
              <w:noBreakHyphen/>
            </w:r>
            <w:r w:rsidRPr="00782783">
              <w:rPr>
                <w:rFonts w:ascii="Arial Narrow" w:eastAsiaTheme="majorEastAsia" w:hAnsi="Arial Narrow" w:cstheme="minorHAnsi"/>
                <w:sz w:val="20"/>
                <w:szCs w:val="20"/>
                <w:lang w:eastAsia="en-US" w:bidi="en-US"/>
              </w:rPr>
              <w:t>0.64, 0.76)</w:t>
            </w:r>
          </w:p>
        </w:tc>
        <w:tc>
          <w:tcPr>
            <w:tcW w:w="1569" w:type="dxa"/>
            <w:vMerge/>
            <w:tcBorders>
              <w:left w:val="nil"/>
              <w:right w:val="single" w:sz="4" w:space="0" w:color="auto"/>
            </w:tcBorders>
          </w:tcPr>
          <w:p w14:paraId="4EAB691D" w14:textId="77777777" w:rsidR="00620C4B" w:rsidRPr="00782783" w:rsidRDefault="00620C4B">
            <w:pPr>
              <w:keepNext/>
              <w:keepLines/>
              <w:jc w:val="center"/>
              <w:rPr>
                <w:rFonts w:ascii="Arial Narrow" w:eastAsiaTheme="majorEastAsia" w:hAnsi="Arial Narrow" w:cstheme="minorHAnsi"/>
                <w:sz w:val="20"/>
                <w:szCs w:val="20"/>
                <w:lang w:eastAsia="en-US" w:bidi="en-US"/>
              </w:rPr>
            </w:pPr>
          </w:p>
        </w:tc>
        <w:tc>
          <w:tcPr>
            <w:tcW w:w="861" w:type="dxa"/>
            <w:tcBorders>
              <w:top w:val="nil"/>
              <w:left w:val="single" w:sz="4" w:space="0" w:color="auto"/>
              <w:bottom w:val="nil"/>
              <w:right w:val="single" w:sz="4" w:space="0" w:color="auto"/>
            </w:tcBorders>
            <w:vAlign w:val="center"/>
          </w:tcPr>
          <w:p w14:paraId="20EC5A99"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Theme="majorEastAsia" w:hAnsi="Arial Narrow" w:cstheme="minorHAnsi"/>
                <w:sz w:val="20"/>
                <w:szCs w:val="20"/>
                <w:lang w:eastAsia="en-US" w:bidi="en-US"/>
              </w:rPr>
              <w:t>NS</w:t>
            </w:r>
          </w:p>
        </w:tc>
      </w:tr>
      <w:tr w:rsidR="00620C4B" w:rsidRPr="00782783" w14:paraId="27EC03FA" w14:textId="77777777">
        <w:trPr>
          <w:trHeight w:val="17"/>
          <w:jc w:val="center"/>
        </w:trPr>
        <w:tc>
          <w:tcPr>
            <w:tcW w:w="3397" w:type="dxa"/>
            <w:gridSpan w:val="3"/>
            <w:tcBorders>
              <w:right w:val="single" w:sz="4" w:space="0" w:color="auto"/>
            </w:tcBorders>
            <w:noWrap/>
            <w:vAlign w:val="center"/>
          </w:tcPr>
          <w:p w14:paraId="425AD08C" w14:textId="77777777" w:rsidR="00620C4B" w:rsidRPr="00782783" w:rsidRDefault="00620C4B">
            <w:pPr>
              <w:pStyle w:val="TableText0"/>
              <w:jc w:val="right"/>
              <w:rPr>
                <w:lang w:eastAsia="en-US" w:bidi="en-US"/>
              </w:rPr>
            </w:pPr>
            <w:r w:rsidRPr="00782783">
              <w:rPr>
                <w:lang w:eastAsia="en-US" w:bidi="en-US"/>
              </w:rPr>
              <w:t xml:space="preserve">Indirect comparison: UPA vs IFX </w:t>
            </w:r>
          </w:p>
        </w:tc>
        <w:tc>
          <w:tcPr>
            <w:tcW w:w="1701" w:type="dxa"/>
            <w:tcBorders>
              <w:top w:val="nil"/>
              <w:left w:val="single" w:sz="4" w:space="0" w:color="auto"/>
              <w:bottom w:val="nil"/>
              <w:right w:val="single" w:sz="4" w:space="0" w:color="auto"/>
            </w:tcBorders>
            <w:vAlign w:val="center"/>
          </w:tcPr>
          <w:p w14:paraId="30FF6932" w14:textId="77777777" w:rsidR="00620C4B" w:rsidRPr="00782783" w:rsidRDefault="00620C4B">
            <w:pPr>
              <w:pStyle w:val="TableText0"/>
              <w:widowControl w:val="0"/>
              <w:jc w:val="center"/>
              <w:rPr>
                <w:rFonts w:cstheme="minorHAnsi"/>
                <w:szCs w:val="20"/>
              </w:rPr>
            </w:pPr>
            <w:r w:rsidRPr="00782783">
              <w:rPr>
                <w:rFonts w:cstheme="minorHAnsi"/>
                <w:szCs w:val="20"/>
              </w:rPr>
              <w:t>1.05 (0.18, 6.01)</w:t>
            </w:r>
          </w:p>
        </w:tc>
        <w:tc>
          <w:tcPr>
            <w:tcW w:w="1560" w:type="dxa"/>
            <w:tcBorders>
              <w:top w:val="nil"/>
              <w:left w:val="single" w:sz="4" w:space="0" w:color="auto"/>
              <w:bottom w:val="nil"/>
              <w:right w:val="nil"/>
            </w:tcBorders>
            <w:vAlign w:val="center"/>
          </w:tcPr>
          <w:p w14:paraId="517370F0" w14:textId="08FCF87D" w:rsidR="00620C4B" w:rsidRPr="00782783" w:rsidRDefault="00FC7500">
            <w:pPr>
              <w:jc w:val="center"/>
              <w:rPr>
                <w:rFonts w:ascii="Arial Narrow" w:hAnsi="Arial Narrow" w:cstheme="minorHAnsi"/>
                <w:sz w:val="20"/>
                <w:szCs w:val="20"/>
              </w:rPr>
            </w:pPr>
            <w:r>
              <w:rPr>
                <w:rFonts w:ascii="Arial Narrow" w:hAnsi="Arial Narrow" w:cstheme="minorHAnsi"/>
                <w:sz w:val="20"/>
                <w:szCs w:val="20"/>
              </w:rPr>
              <w:noBreakHyphen/>
            </w:r>
            <w:r w:rsidR="00620C4B" w:rsidRPr="00782783">
              <w:rPr>
                <w:rFonts w:ascii="Arial Narrow" w:hAnsi="Arial Narrow" w:cstheme="minorHAnsi"/>
                <w:sz w:val="20"/>
                <w:szCs w:val="20"/>
              </w:rPr>
              <w:t>0.06 (</w:t>
            </w:r>
            <w:r>
              <w:rPr>
                <w:rFonts w:ascii="Arial Narrow" w:hAnsi="Arial Narrow" w:cstheme="minorHAnsi"/>
                <w:sz w:val="20"/>
                <w:szCs w:val="20"/>
              </w:rPr>
              <w:noBreakHyphen/>
            </w:r>
            <w:r w:rsidR="00620C4B" w:rsidRPr="00782783">
              <w:rPr>
                <w:rFonts w:ascii="Arial Narrow" w:hAnsi="Arial Narrow" w:cstheme="minorHAnsi"/>
                <w:sz w:val="20"/>
                <w:szCs w:val="20"/>
              </w:rPr>
              <w:t>0.36, 0.25)</w:t>
            </w:r>
          </w:p>
        </w:tc>
        <w:tc>
          <w:tcPr>
            <w:tcW w:w="1569" w:type="dxa"/>
            <w:vMerge/>
            <w:tcBorders>
              <w:left w:val="nil"/>
              <w:right w:val="single" w:sz="4" w:space="0" w:color="auto"/>
            </w:tcBorders>
          </w:tcPr>
          <w:p w14:paraId="54C095DB" w14:textId="77777777" w:rsidR="00620C4B" w:rsidRPr="00782783" w:rsidRDefault="00620C4B">
            <w:pPr>
              <w:pStyle w:val="TableText0"/>
              <w:rPr>
                <w:lang w:eastAsia="en-US" w:bidi="en-US"/>
              </w:rPr>
            </w:pPr>
          </w:p>
        </w:tc>
        <w:tc>
          <w:tcPr>
            <w:tcW w:w="861" w:type="dxa"/>
            <w:tcBorders>
              <w:top w:val="nil"/>
              <w:left w:val="single" w:sz="4" w:space="0" w:color="auto"/>
              <w:bottom w:val="nil"/>
              <w:right w:val="single" w:sz="4" w:space="0" w:color="auto"/>
            </w:tcBorders>
            <w:vAlign w:val="center"/>
          </w:tcPr>
          <w:p w14:paraId="7B41D742" w14:textId="77777777" w:rsidR="00620C4B" w:rsidRPr="00782783" w:rsidRDefault="00620C4B">
            <w:pPr>
              <w:pStyle w:val="TableText0"/>
              <w:jc w:val="center"/>
              <w:rPr>
                <w:lang w:eastAsia="en-US" w:bidi="en-US"/>
              </w:rPr>
            </w:pPr>
            <w:r w:rsidRPr="00782783">
              <w:rPr>
                <w:lang w:eastAsia="en-US" w:bidi="en-US"/>
              </w:rPr>
              <w:t>NS</w:t>
            </w:r>
          </w:p>
        </w:tc>
      </w:tr>
      <w:tr w:rsidR="00620C4B" w:rsidRPr="00782783" w14:paraId="19B0A088" w14:textId="77777777">
        <w:trPr>
          <w:trHeight w:val="17"/>
          <w:jc w:val="center"/>
        </w:trPr>
        <w:tc>
          <w:tcPr>
            <w:tcW w:w="3397" w:type="dxa"/>
            <w:gridSpan w:val="3"/>
            <w:tcBorders>
              <w:bottom w:val="single" w:sz="4" w:space="0" w:color="auto"/>
              <w:right w:val="single" w:sz="4" w:space="0" w:color="auto"/>
            </w:tcBorders>
            <w:noWrap/>
            <w:vAlign w:val="center"/>
          </w:tcPr>
          <w:p w14:paraId="2461512F" w14:textId="77777777" w:rsidR="00620C4B" w:rsidRPr="00782783" w:rsidRDefault="00620C4B">
            <w:pPr>
              <w:pStyle w:val="TableText0"/>
              <w:jc w:val="right"/>
              <w:rPr>
                <w:lang w:eastAsia="en-US" w:bidi="en-US"/>
              </w:rPr>
            </w:pPr>
            <w:r w:rsidRPr="00782783">
              <w:t xml:space="preserve">Indirect comparison: UPA vs ADA </w:t>
            </w:r>
          </w:p>
        </w:tc>
        <w:tc>
          <w:tcPr>
            <w:tcW w:w="1701" w:type="dxa"/>
            <w:tcBorders>
              <w:top w:val="nil"/>
              <w:left w:val="single" w:sz="4" w:space="0" w:color="auto"/>
              <w:bottom w:val="nil"/>
              <w:right w:val="single" w:sz="4" w:space="0" w:color="auto"/>
            </w:tcBorders>
            <w:vAlign w:val="center"/>
          </w:tcPr>
          <w:p w14:paraId="447436DD" w14:textId="77777777" w:rsidR="00620C4B" w:rsidRPr="00782783" w:rsidRDefault="00620C4B">
            <w:pPr>
              <w:pStyle w:val="TableText0"/>
              <w:jc w:val="center"/>
            </w:pPr>
            <w:r w:rsidRPr="00782783">
              <w:rPr>
                <w:rFonts w:cstheme="minorHAnsi"/>
                <w:szCs w:val="20"/>
              </w:rPr>
              <w:t>12.74 (1.88,86.34)</w:t>
            </w:r>
          </w:p>
        </w:tc>
        <w:tc>
          <w:tcPr>
            <w:tcW w:w="1560" w:type="dxa"/>
            <w:tcBorders>
              <w:top w:val="nil"/>
              <w:left w:val="single" w:sz="4" w:space="0" w:color="auto"/>
              <w:bottom w:val="nil"/>
              <w:right w:val="nil"/>
            </w:tcBorders>
            <w:vAlign w:val="center"/>
          </w:tcPr>
          <w:p w14:paraId="39699E5E" w14:textId="77777777" w:rsidR="00620C4B" w:rsidRPr="00782783" w:rsidRDefault="00620C4B">
            <w:pPr>
              <w:pStyle w:val="TableText0"/>
              <w:jc w:val="center"/>
            </w:pPr>
            <w:r w:rsidRPr="00782783">
              <w:t>0.46 (0.20, 0.72)</w:t>
            </w:r>
          </w:p>
        </w:tc>
        <w:tc>
          <w:tcPr>
            <w:tcW w:w="1569" w:type="dxa"/>
            <w:vMerge/>
            <w:tcBorders>
              <w:left w:val="nil"/>
              <w:right w:val="single" w:sz="4" w:space="0" w:color="auto"/>
            </w:tcBorders>
          </w:tcPr>
          <w:p w14:paraId="23ED4D13" w14:textId="77777777" w:rsidR="00620C4B" w:rsidRPr="00782783" w:rsidRDefault="00620C4B">
            <w:pPr>
              <w:pStyle w:val="TableText0"/>
              <w:rPr>
                <w:lang w:eastAsia="en-US" w:bidi="en-US"/>
              </w:rPr>
            </w:pPr>
          </w:p>
        </w:tc>
        <w:tc>
          <w:tcPr>
            <w:tcW w:w="861" w:type="dxa"/>
            <w:tcBorders>
              <w:top w:val="nil"/>
              <w:left w:val="single" w:sz="4" w:space="0" w:color="auto"/>
              <w:bottom w:val="nil"/>
              <w:right w:val="single" w:sz="4" w:space="0" w:color="auto"/>
            </w:tcBorders>
            <w:vAlign w:val="center"/>
          </w:tcPr>
          <w:p w14:paraId="61B28BF8" w14:textId="77777777" w:rsidR="00620C4B" w:rsidRPr="00782783" w:rsidRDefault="00620C4B">
            <w:pPr>
              <w:pStyle w:val="TableText0"/>
              <w:jc w:val="center"/>
              <w:rPr>
                <w:lang w:eastAsia="en-US" w:bidi="en-US"/>
              </w:rPr>
            </w:pPr>
            <w:r w:rsidRPr="00782783">
              <w:rPr>
                <w:lang w:eastAsia="en-US" w:bidi="en-US"/>
              </w:rPr>
              <w:t>2 (1, 5)</w:t>
            </w:r>
          </w:p>
        </w:tc>
      </w:tr>
      <w:tr w:rsidR="00620C4B" w:rsidRPr="00782783" w14:paraId="7BA73E56" w14:textId="77777777" w:rsidTr="00B42FC3">
        <w:trPr>
          <w:trHeight w:val="427"/>
          <w:jc w:val="center"/>
        </w:trPr>
        <w:tc>
          <w:tcPr>
            <w:tcW w:w="3397" w:type="dxa"/>
            <w:gridSpan w:val="3"/>
            <w:tcBorders>
              <w:bottom w:val="single" w:sz="4" w:space="0" w:color="auto"/>
              <w:right w:val="single" w:sz="4" w:space="0" w:color="auto"/>
            </w:tcBorders>
            <w:noWrap/>
          </w:tcPr>
          <w:p w14:paraId="280B496A" w14:textId="77777777" w:rsidR="00620C4B" w:rsidRPr="00782783" w:rsidRDefault="00620C4B" w:rsidP="00A65976">
            <w:pPr>
              <w:pStyle w:val="TableText0"/>
              <w:jc w:val="right"/>
              <w:rPr>
                <w:lang w:eastAsia="en-US" w:bidi="en-US"/>
              </w:rPr>
            </w:pPr>
            <w:r w:rsidRPr="00782783">
              <w:t>Indirect comparison: UPA vs UST</w:t>
            </w:r>
          </w:p>
        </w:tc>
        <w:tc>
          <w:tcPr>
            <w:tcW w:w="1701" w:type="dxa"/>
            <w:tcBorders>
              <w:top w:val="nil"/>
              <w:left w:val="single" w:sz="4" w:space="0" w:color="auto"/>
              <w:bottom w:val="nil"/>
              <w:right w:val="single" w:sz="4" w:space="0" w:color="auto"/>
            </w:tcBorders>
          </w:tcPr>
          <w:p w14:paraId="540C3056" w14:textId="77777777" w:rsidR="00620C4B" w:rsidRPr="00782783" w:rsidRDefault="00620C4B" w:rsidP="00A65976">
            <w:pPr>
              <w:pStyle w:val="TableText0"/>
              <w:jc w:val="center"/>
            </w:pPr>
            <w:r w:rsidRPr="00782783">
              <w:rPr>
                <w:rFonts w:cstheme="minorHAnsi"/>
                <w:szCs w:val="20"/>
              </w:rPr>
              <w:t>3.88 (0.70, 21.32)</w:t>
            </w:r>
          </w:p>
        </w:tc>
        <w:tc>
          <w:tcPr>
            <w:tcW w:w="1560" w:type="dxa"/>
            <w:tcBorders>
              <w:top w:val="nil"/>
              <w:left w:val="single" w:sz="4" w:space="0" w:color="auto"/>
              <w:bottom w:val="nil"/>
              <w:right w:val="nil"/>
            </w:tcBorders>
          </w:tcPr>
          <w:p w14:paraId="72A7425C" w14:textId="77777777" w:rsidR="00620C4B" w:rsidRPr="00782783" w:rsidRDefault="00620C4B" w:rsidP="00A65976">
            <w:pPr>
              <w:pStyle w:val="TableText0"/>
              <w:jc w:val="center"/>
            </w:pPr>
            <w:r w:rsidRPr="00782783">
              <w:t>0.31 (0.08, 0.54)</w:t>
            </w:r>
          </w:p>
        </w:tc>
        <w:tc>
          <w:tcPr>
            <w:tcW w:w="1569" w:type="dxa"/>
            <w:vMerge/>
            <w:tcBorders>
              <w:left w:val="nil"/>
              <w:right w:val="single" w:sz="4" w:space="0" w:color="auto"/>
            </w:tcBorders>
          </w:tcPr>
          <w:p w14:paraId="15A9AB93" w14:textId="77777777" w:rsidR="00620C4B" w:rsidRPr="00782783" w:rsidRDefault="00620C4B">
            <w:pPr>
              <w:pStyle w:val="TableText0"/>
              <w:rPr>
                <w:lang w:eastAsia="en-US" w:bidi="en-US"/>
              </w:rPr>
            </w:pPr>
          </w:p>
        </w:tc>
        <w:tc>
          <w:tcPr>
            <w:tcW w:w="861" w:type="dxa"/>
            <w:tcBorders>
              <w:top w:val="nil"/>
              <w:left w:val="single" w:sz="4" w:space="0" w:color="auto"/>
              <w:bottom w:val="nil"/>
              <w:right w:val="single" w:sz="4" w:space="0" w:color="auto"/>
            </w:tcBorders>
          </w:tcPr>
          <w:p w14:paraId="2927EC76" w14:textId="77777777" w:rsidR="00620C4B" w:rsidRPr="00782783" w:rsidRDefault="00620C4B" w:rsidP="004B6BA5">
            <w:pPr>
              <w:pStyle w:val="TableText0"/>
              <w:jc w:val="center"/>
              <w:rPr>
                <w:lang w:eastAsia="en-US" w:bidi="en-US"/>
              </w:rPr>
            </w:pPr>
            <w:r w:rsidRPr="00782783">
              <w:rPr>
                <w:lang w:eastAsia="en-US" w:bidi="en-US"/>
              </w:rPr>
              <w:t>3 (2,13)</w:t>
            </w:r>
          </w:p>
        </w:tc>
      </w:tr>
      <w:tr w:rsidR="00620C4B" w:rsidRPr="00782783" w14:paraId="188CF75C" w14:textId="77777777">
        <w:trPr>
          <w:trHeight w:val="17"/>
          <w:jc w:val="center"/>
        </w:trPr>
        <w:tc>
          <w:tcPr>
            <w:tcW w:w="9088" w:type="dxa"/>
            <w:gridSpan w:val="7"/>
            <w:tcBorders>
              <w:top w:val="single" w:sz="4" w:space="0" w:color="auto"/>
              <w:left w:val="single" w:sz="4" w:space="0" w:color="auto"/>
              <w:bottom w:val="single" w:sz="4" w:space="0" w:color="auto"/>
            </w:tcBorders>
            <w:noWrap/>
            <w:vAlign w:val="center"/>
          </w:tcPr>
          <w:p w14:paraId="5A0F506B" w14:textId="77777777" w:rsidR="00620C4B" w:rsidRPr="00782783" w:rsidRDefault="00620C4B">
            <w:pPr>
              <w:keepNext/>
              <w:keepLines/>
              <w:rPr>
                <w:rFonts w:ascii="Arial Narrow" w:eastAsia="Calibri" w:hAnsi="Arial Narrow" w:cs="Calibri"/>
                <w:b/>
                <w:sz w:val="20"/>
                <w:szCs w:val="20"/>
                <w:lang w:eastAsia="en-US"/>
              </w:rPr>
            </w:pPr>
            <w:r w:rsidRPr="00782783">
              <w:rPr>
                <w:rFonts w:ascii="Arial Narrow" w:eastAsia="Calibri" w:hAnsi="Arial Narrow" w:cs="Calibri"/>
                <w:b/>
                <w:sz w:val="20"/>
                <w:szCs w:val="20"/>
                <w:lang w:eastAsia="en-US"/>
              </w:rPr>
              <w:t>Fistula Remission (complete closure/absence of all draining fistula), n (%)</w:t>
            </w:r>
          </w:p>
        </w:tc>
      </w:tr>
      <w:tr w:rsidR="00620C4B" w:rsidRPr="00782783" w14:paraId="048720FF" w14:textId="77777777">
        <w:trPr>
          <w:trHeight w:val="17"/>
          <w:jc w:val="center"/>
        </w:trPr>
        <w:tc>
          <w:tcPr>
            <w:tcW w:w="9088" w:type="dxa"/>
            <w:gridSpan w:val="7"/>
            <w:tcBorders>
              <w:top w:val="single" w:sz="4" w:space="0" w:color="auto"/>
              <w:left w:val="single" w:sz="4" w:space="0" w:color="auto"/>
              <w:bottom w:val="single" w:sz="4" w:space="0" w:color="auto"/>
            </w:tcBorders>
            <w:noWrap/>
            <w:vAlign w:val="center"/>
          </w:tcPr>
          <w:p w14:paraId="72FA39C5" w14:textId="77777777" w:rsidR="00620C4B" w:rsidRPr="00782783" w:rsidRDefault="00620C4B">
            <w:pPr>
              <w:keepNext/>
              <w:keepLines/>
              <w:rPr>
                <w:rFonts w:ascii="Arial Narrow" w:eastAsia="Calibri" w:hAnsi="Arial Narrow" w:cs="Calibri"/>
                <w:sz w:val="20"/>
                <w:szCs w:val="20"/>
                <w:lang w:eastAsia="en-US"/>
              </w:rPr>
            </w:pPr>
            <w:r w:rsidRPr="00782783">
              <w:rPr>
                <w:rFonts w:ascii="Arial Narrow" w:eastAsia="Calibri" w:hAnsi="Arial Narrow" w:cs="Calibri"/>
                <w:sz w:val="20"/>
                <w:szCs w:val="20"/>
                <w:lang w:eastAsia="en-US"/>
              </w:rPr>
              <w:t>UPA (45 mg) – Week 12 results</w:t>
            </w:r>
          </w:p>
        </w:tc>
      </w:tr>
      <w:tr w:rsidR="00620C4B" w:rsidRPr="00782783" w14:paraId="0F442121" w14:textId="77777777" w:rsidTr="00622AF2">
        <w:trPr>
          <w:trHeight w:val="325"/>
          <w:jc w:val="center"/>
        </w:trPr>
        <w:tc>
          <w:tcPr>
            <w:tcW w:w="1129" w:type="dxa"/>
            <w:tcBorders>
              <w:top w:val="single" w:sz="4" w:space="0" w:color="auto"/>
              <w:left w:val="single" w:sz="4" w:space="0" w:color="auto"/>
              <w:bottom w:val="single" w:sz="4" w:space="0" w:color="auto"/>
              <w:right w:val="single" w:sz="4" w:space="0" w:color="auto"/>
            </w:tcBorders>
            <w:noWrap/>
          </w:tcPr>
          <w:p w14:paraId="4F0995CD" w14:textId="7C94ABE5" w:rsidR="00620C4B" w:rsidRPr="00782783" w:rsidRDefault="00620C4B">
            <w:pPr>
              <w:keepNext/>
              <w:keepLines/>
              <w:jc w:val="left"/>
              <w:rPr>
                <w:rFonts w:ascii="Arial Narrow" w:eastAsiaTheme="majorEastAsia" w:hAnsi="Arial Narrow" w:cstheme="minorHAnsi"/>
                <w:sz w:val="20"/>
                <w:szCs w:val="20"/>
                <w:lang w:eastAsia="en-US" w:bidi="en-US"/>
              </w:rPr>
            </w:pPr>
            <w:r w:rsidRPr="00782783">
              <w:rPr>
                <w:rFonts w:ascii="Arial Narrow" w:eastAsia="Calibri" w:hAnsi="Arial Narrow" w:cs="Calibri"/>
                <w:sz w:val="20"/>
                <w:szCs w:val="20"/>
                <w:lang w:eastAsia="en-US"/>
              </w:rPr>
              <w:t>U</w:t>
            </w:r>
            <w:r w:rsidR="00FC7500">
              <w:rPr>
                <w:rFonts w:ascii="Arial Narrow" w:eastAsia="Calibri" w:hAnsi="Arial Narrow" w:cs="Calibri"/>
                <w:sz w:val="20"/>
                <w:szCs w:val="20"/>
                <w:lang w:eastAsia="en-US"/>
              </w:rPr>
              <w:noBreakHyphen/>
            </w:r>
            <w:r w:rsidRPr="00782783">
              <w:rPr>
                <w:rFonts w:ascii="Arial Narrow" w:eastAsia="Calibri" w:hAnsi="Arial Narrow" w:cs="Calibri"/>
                <w:sz w:val="20"/>
                <w:szCs w:val="20"/>
                <w:lang w:eastAsia="en-US"/>
              </w:rPr>
              <w:t>EXCEED/ U</w:t>
            </w:r>
            <w:r w:rsidR="00FC7500">
              <w:rPr>
                <w:rFonts w:ascii="Arial Narrow" w:eastAsia="Calibri" w:hAnsi="Arial Narrow" w:cs="Calibri"/>
                <w:sz w:val="20"/>
                <w:szCs w:val="20"/>
                <w:lang w:eastAsia="en-US"/>
              </w:rPr>
              <w:noBreakHyphen/>
            </w:r>
            <w:r w:rsidRPr="00782783">
              <w:rPr>
                <w:rFonts w:ascii="Arial Narrow" w:eastAsia="Calibri" w:hAnsi="Arial Narrow" w:cs="Calibri"/>
                <w:sz w:val="20"/>
                <w:szCs w:val="20"/>
                <w:lang w:eastAsia="en-US"/>
              </w:rPr>
              <w:t>EXCEL</w:t>
            </w:r>
          </w:p>
        </w:tc>
        <w:tc>
          <w:tcPr>
            <w:tcW w:w="1134" w:type="dxa"/>
            <w:tcBorders>
              <w:top w:val="single" w:sz="4" w:space="0" w:color="auto"/>
              <w:left w:val="single" w:sz="4" w:space="0" w:color="auto"/>
              <w:bottom w:val="single" w:sz="4" w:space="0" w:color="auto"/>
              <w:right w:val="single" w:sz="4" w:space="0" w:color="auto"/>
            </w:tcBorders>
            <w:vAlign w:val="center"/>
          </w:tcPr>
          <w:p w14:paraId="3DC4B808" w14:textId="77777777" w:rsidR="00620C4B" w:rsidRPr="00782783" w:rsidRDefault="00620C4B" w:rsidP="00622AF2">
            <w:pPr>
              <w:keepNext/>
              <w:keepLines/>
              <w:jc w:val="center"/>
              <w:rPr>
                <w:rFonts w:ascii="Arial Narrow" w:eastAsiaTheme="majorEastAsia" w:hAnsi="Arial Narrow" w:cstheme="minorHAnsi"/>
                <w:sz w:val="20"/>
                <w:szCs w:val="20"/>
                <w:lang w:eastAsia="en-US" w:bidi="en-US"/>
              </w:rPr>
            </w:pPr>
            <w:r w:rsidRPr="00782783">
              <w:rPr>
                <w:rFonts w:ascii="Arial Narrow" w:eastAsia="Calibri" w:hAnsi="Arial Narrow" w:cs="Calibri"/>
                <w:sz w:val="20"/>
                <w:szCs w:val="20"/>
                <w:lang w:eastAsia="en-US"/>
              </w:rPr>
              <w:t>21/44 (47.7)</w:t>
            </w:r>
          </w:p>
        </w:tc>
        <w:tc>
          <w:tcPr>
            <w:tcW w:w="1134" w:type="dxa"/>
            <w:tcBorders>
              <w:top w:val="single" w:sz="4" w:space="0" w:color="auto"/>
              <w:left w:val="single" w:sz="4" w:space="0" w:color="auto"/>
              <w:bottom w:val="single" w:sz="4" w:space="0" w:color="auto"/>
              <w:right w:val="single" w:sz="4" w:space="0" w:color="auto"/>
            </w:tcBorders>
            <w:vAlign w:val="center"/>
          </w:tcPr>
          <w:p w14:paraId="3ED4ED96" w14:textId="77777777" w:rsidR="00620C4B" w:rsidRPr="00782783" w:rsidRDefault="00620C4B" w:rsidP="00622AF2">
            <w:pPr>
              <w:keepNext/>
              <w:keepLines/>
              <w:jc w:val="center"/>
              <w:rPr>
                <w:rFonts w:ascii="Arial Narrow" w:eastAsiaTheme="majorEastAsia" w:hAnsi="Arial Narrow" w:cstheme="minorHAnsi"/>
                <w:sz w:val="20"/>
                <w:szCs w:val="20"/>
                <w:lang w:eastAsia="en-US" w:bidi="en-US"/>
              </w:rPr>
            </w:pPr>
            <w:r w:rsidRPr="00782783">
              <w:rPr>
                <w:rFonts w:ascii="Arial Narrow" w:eastAsia="Calibri" w:hAnsi="Arial Narrow" w:cs="Calibri"/>
                <w:sz w:val="20"/>
                <w:szCs w:val="20"/>
                <w:lang w:eastAsia="en-US"/>
              </w:rPr>
              <w:t>2/22 (9.1)</w:t>
            </w:r>
          </w:p>
        </w:tc>
        <w:tc>
          <w:tcPr>
            <w:tcW w:w="1701" w:type="dxa"/>
            <w:tcBorders>
              <w:top w:val="nil"/>
              <w:left w:val="single" w:sz="4" w:space="0" w:color="auto"/>
              <w:bottom w:val="nil"/>
              <w:right w:val="single" w:sz="4" w:space="0" w:color="auto"/>
            </w:tcBorders>
            <w:vAlign w:val="center"/>
          </w:tcPr>
          <w:p w14:paraId="09AB75CD" w14:textId="77777777" w:rsidR="00620C4B" w:rsidRPr="00782783" w:rsidRDefault="00620C4B" w:rsidP="00622AF2">
            <w:pPr>
              <w:keepNext/>
              <w:keepLines/>
              <w:jc w:val="center"/>
              <w:rPr>
                <w:rFonts w:ascii="Arial Narrow" w:eastAsiaTheme="majorEastAsia" w:hAnsi="Arial Narrow" w:cstheme="minorHAnsi"/>
                <w:sz w:val="20"/>
                <w:szCs w:val="20"/>
                <w:lang w:eastAsia="en-US" w:bidi="en-US"/>
              </w:rPr>
            </w:pPr>
            <w:r w:rsidRPr="00782783">
              <w:rPr>
                <w:rFonts w:ascii="Arial Narrow" w:eastAsia="Calibri" w:hAnsi="Arial Narrow" w:cs="Calibri"/>
                <w:sz w:val="20"/>
                <w:szCs w:val="20"/>
                <w:lang w:eastAsia="en-US"/>
              </w:rPr>
              <w:t>9.13 (1.90, 43.86)</w:t>
            </w:r>
          </w:p>
        </w:tc>
        <w:tc>
          <w:tcPr>
            <w:tcW w:w="1560" w:type="dxa"/>
            <w:tcBorders>
              <w:top w:val="nil"/>
              <w:left w:val="single" w:sz="4" w:space="0" w:color="auto"/>
              <w:bottom w:val="nil"/>
              <w:right w:val="nil"/>
            </w:tcBorders>
            <w:vAlign w:val="center"/>
          </w:tcPr>
          <w:p w14:paraId="11D2F8F1" w14:textId="77777777" w:rsidR="00620C4B" w:rsidRPr="00782783" w:rsidRDefault="00620C4B" w:rsidP="00622AF2">
            <w:pPr>
              <w:keepNext/>
              <w:keepLines/>
              <w:jc w:val="center"/>
              <w:rPr>
                <w:rFonts w:ascii="Arial Narrow" w:eastAsiaTheme="majorEastAsia" w:hAnsi="Arial Narrow" w:cstheme="minorHAnsi"/>
                <w:sz w:val="20"/>
                <w:szCs w:val="20"/>
                <w:lang w:eastAsia="en-US" w:bidi="en-US"/>
              </w:rPr>
            </w:pPr>
            <w:r w:rsidRPr="00782783">
              <w:rPr>
                <w:rFonts w:ascii="Arial Narrow" w:eastAsiaTheme="majorEastAsia" w:hAnsi="Arial Narrow" w:cstheme="minorHAnsi"/>
                <w:sz w:val="20"/>
                <w:szCs w:val="20"/>
                <w:lang w:eastAsia="en-US" w:bidi="en-US"/>
              </w:rPr>
              <w:t>0.39 (0.20, 0.58)</w:t>
            </w:r>
          </w:p>
        </w:tc>
        <w:tc>
          <w:tcPr>
            <w:tcW w:w="1569" w:type="dxa"/>
            <w:vMerge w:val="restart"/>
            <w:tcBorders>
              <w:left w:val="nil"/>
              <w:right w:val="single" w:sz="4" w:space="0" w:color="auto"/>
            </w:tcBorders>
          </w:tcPr>
          <w:p w14:paraId="01AF2D2D" w14:textId="3A987E1E" w:rsidR="00622AF2" w:rsidRPr="00782783" w:rsidRDefault="001B2ABA" w:rsidP="00200CD6">
            <w:pPr>
              <w:keepNext/>
              <w:keepLines/>
              <w:jc w:val="center"/>
              <w:rPr>
                <w:rFonts w:ascii="Arial Narrow" w:eastAsia="Calibri" w:hAnsi="Arial Narrow" w:cs="Calibri"/>
                <w:noProof/>
                <w:sz w:val="20"/>
                <w:szCs w:val="20"/>
                <w:lang w:eastAsia="en-US"/>
              </w:rPr>
            </w:pPr>
            <w:r w:rsidRPr="00782783">
              <w:rPr>
                <w:rFonts w:ascii="Arial Narrow" w:eastAsia="Calibri" w:hAnsi="Arial Narrow" w:cs="Calibri"/>
                <w:noProof/>
                <w:sz w:val="20"/>
                <w:szCs w:val="20"/>
                <w:lang w:eastAsia="en-US"/>
              </w:rPr>
              <w:drawing>
                <wp:inline distT="0" distB="0" distL="0" distR="0" wp14:anchorId="07F4D3AD" wp14:editId="6F424CFB">
                  <wp:extent cx="895350" cy="2466975"/>
                  <wp:effectExtent l="0" t="0" r="0" b="9525"/>
                  <wp:docPr id="1071023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23795" name=""/>
                          <pic:cNvPicPr/>
                        </pic:nvPicPr>
                        <pic:blipFill rotWithShape="1">
                          <a:blip r:embed="rId18"/>
                          <a:srcRect l="2958" r="4656"/>
                          <a:stretch>
                            <a:fillRect/>
                          </a:stretch>
                        </pic:blipFill>
                        <pic:spPr bwMode="auto">
                          <a:xfrm>
                            <a:off x="0" y="0"/>
                            <a:ext cx="895350" cy="2466975"/>
                          </a:xfrm>
                          <a:prstGeom prst="rect">
                            <a:avLst/>
                          </a:prstGeom>
                          <a:ln>
                            <a:noFill/>
                          </a:ln>
                          <a:extLst>
                            <a:ext uri="{53640926-AAD7-44D8-BBD7-CCE9431645EC}">
                              <a14:shadowObscured xmlns:a14="http://schemas.microsoft.com/office/drawing/2010/main"/>
                            </a:ext>
                          </a:extLst>
                        </pic:spPr>
                      </pic:pic>
                    </a:graphicData>
                  </a:graphic>
                </wp:inline>
              </w:drawing>
            </w:r>
          </w:p>
        </w:tc>
        <w:tc>
          <w:tcPr>
            <w:tcW w:w="861" w:type="dxa"/>
            <w:tcBorders>
              <w:top w:val="nil"/>
              <w:left w:val="single" w:sz="4" w:space="0" w:color="auto"/>
              <w:bottom w:val="nil"/>
              <w:right w:val="single" w:sz="4" w:space="0" w:color="auto"/>
            </w:tcBorders>
            <w:shd w:val="clear" w:color="auto" w:fill="FFFFFF" w:themeFill="background1"/>
            <w:vAlign w:val="center"/>
          </w:tcPr>
          <w:p w14:paraId="3864D4CA" w14:textId="77777777" w:rsidR="00620C4B" w:rsidRPr="00782783" w:rsidRDefault="00620C4B">
            <w:pPr>
              <w:keepNext/>
              <w:keepLines/>
              <w:jc w:val="center"/>
              <w:rPr>
                <w:rFonts w:ascii="Arial Narrow" w:eastAsia="Calibri" w:hAnsi="Arial Narrow" w:cs="Calibri"/>
                <w:sz w:val="20"/>
                <w:szCs w:val="20"/>
                <w:lang w:eastAsia="en-US"/>
              </w:rPr>
            </w:pPr>
            <w:r w:rsidRPr="00782783">
              <w:rPr>
                <w:rFonts w:ascii="Arial Narrow" w:eastAsia="Calibri" w:hAnsi="Arial Narrow" w:cs="Calibri"/>
                <w:sz w:val="20"/>
                <w:szCs w:val="20"/>
                <w:lang w:eastAsia="en-US"/>
              </w:rPr>
              <w:t>3 (2, 5)</w:t>
            </w:r>
          </w:p>
        </w:tc>
      </w:tr>
      <w:tr w:rsidR="00620C4B" w:rsidRPr="00782783" w14:paraId="095C4A88" w14:textId="77777777" w:rsidTr="00BB49C9">
        <w:trPr>
          <w:trHeight w:val="17"/>
          <w:jc w:val="center"/>
        </w:trPr>
        <w:tc>
          <w:tcPr>
            <w:tcW w:w="3397" w:type="dxa"/>
            <w:gridSpan w:val="3"/>
            <w:tcBorders>
              <w:top w:val="single" w:sz="4" w:space="0" w:color="auto"/>
              <w:bottom w:val="single" w:sz="4" w:space="0" w:color="auto"/>
              <w:right w:val="single" w:sz="4" w:space="0" w:color="auto"/>
            </w:tcBorders>
            <w:shd w:val="clear" w:color="auto" w:fill="DBE5F1" w:themeFill="accent1" w:themeFillTint="33"/>
            <w:noWrap/>
            <w:vAlign w:val="center"/>
          </w:tcPr>
          <w:p w14:paraId="43B7AE01" w14:textId="77777777" w:rsidR="00620C4B" w:rsidRPr="00782783" w:rsidRDefault="00620C4B">
            <w:pPr>
              <w:keepNext/>
              <w:keepLines/>
              <w:rPr>
                <w:rFonts w:ascii="Arial Narrow" w:eastAsiaTheme="majorEastAsia" w:hAnsi="Arial Narrow" w:cstheme="minorHAnsi"/>
                <w:sz w:val="20"/>
                <w:szCs w:val="20"/>
                <w:lang w:eastAsia="en-US" w:bidi="en-US"/>
              </w:rPr>
            </w:pPr>
            <w:r w:rsidRPr="00782783">
              <w:rPr>
                <w:rFonts w:ascii="Arial Narrow" w:eastAsia="Calibri" w:hAnsi="Arial Narrow" w:cs="Calibri"/>
                <w:sz w:val="20"/>
                <w:szCs w:val="20"/>
                <w:lang w:eastAsia="en-US"/>
              </w:rPr>
              <w:t>IFX (wk0: 5mg/kg) – Week 18</w:t>
            </w:r>
            <w:r w:rsidRPr="00782783">
              <w:rPr>
                <w:rFonts w:ascii="Arial Narrow" w:eastAsia="Calibri" w:hAnsi="Arial Narrow" w:cs="Calibri"/>
                <w:sz w:val="20"/>
                <w:szCs w:val="20"/>
                <w:vertAlign w:val="superscript"/>
                <w:lang w:eastAsia="en-US"/>
              </w:rPr>
              <w:t>c</w:t>
            </w:r>
            <w:r w:rsidRPr="00782783">
              <w:rPr>
                <w:rFonts w:ascii="Arial Narrow" w:eastAsia="Calibri" w:hAnsi="Arial Narrow" w:cs="Calibri"/>
                <w:sz w:val="20"/>
                <w:szCs w:val="20"/>
                <w:lang w:eastAsia="en-US"/>
              </w:rPr>
              <w:t xml:space="preserve"> </w:t>
            </w:r>
          </w:p>
        </w:tc>
        <w:tc>
          <w:tcPr>
            <w:tcW w:w="1701" w:type="dxa"/>
            <w:tcBorders>
              <w:top w:val="nil"/>
              <w:left w:val="single" w:sz="4" w:space="0" w:color="auto"/>
              <w:bottom w:val="nil"/>
              <w:right w:val="single" w:sz="4" w:space="0" w:color="auto"/>
            </w:tcBorders>
            <w:shd w:val="clear" w:color="auto" w:fill="DBE5F1" w:themeFill="accent1" w:themeFillTint="33"/>
            <w:vAlign w:val="center"/>
          </w:tcPr>
          <w:p w14:paraId="789B2CFC" w14:textId="77777777" w:rsidR="00620C4B" w:rsidRPr="00782783" w:rsidRDefault="00620C4B">
            <w:pPr>
              <w:keepNext/>
              <w:keepLines/>
              <w:jc w:val="center"/>
              <w:rPr>
                <w:rFonts w:ascii="Arial Narrow" w:eastAsiaTheme="majorEastAsia" w:hAnsi="Arial Narrow" w:cstheme="minorHAnsi"/>
                <w:sz w:val="20"/>
                <w:szCs w:val="20"/>
                <w:lang w:eastAsia="en-US" w:bidi="en-US"/>
              </w:rPr>
            </w:pPr>
          </w:p>
        </w:tc>
        <w:tc>
          <w:tcPr>
            <w:tcW w:w="1560" w:type="dxa"/>
            <w:tcBorders>
              <w:top w:val="nil"/>
              <w:left w:val="single" w:sz="4" w:space="0" w:color="auto"/>
              <w:bottom w:val="nil"/>
              <w:right w:val="nil"/>
            </w:tcBorders>
            <w:shd w:val="clear" w:color="auto" w:fill="DBE5F1" w:themeFill="accent1" w:themeFillTint="33"/>
            <w:vAlign w:val="center"/>
          </w:tcPr>
          <w:p w14:paraId="7419AA77" w14:textId="77777777" w:rsidR="00620C4B" w:rsidRPr="00782783" w:rsidRDefault="00620C4B">
            <w:pPr>
              <w:keepNext/>
              <w:keepLines/>
              <w:jc w:val="center"/>
              <w:rPr>
                <w:rFonts w:ascii="Arial Narrow" w:eastAsiaTheme="majorEastAsia" w:hAnsi="Arial Narrow" w:cstheme="minorHAnsi"/>
                <w:sz w:val="20"/>
                <w:szCs w:val="20"/>
                <w:lang w:eastAsia="en-US" w:bidi="en-US"/>
              </w:rPr>
            </w:pPr>
          </w:p>
        </w:tc>
        <w:tc>
          <w:tcPr>
            <w:tcW w:w="1569" w:type="dxa"/>
            <w:vMerge/>
            <w:tcBorders>
              <w:left w:val="nil"/>
              <w:right w:val="single" w:sz="4" w:space="0" w:color="auto"/>
            </w:tcBorders>
          </w:tcPr>
          <w:p w14:paraId="17AD9F3A" w14:textId="77777777" w:rsidR="00620C4B" w:rsidRPr="00782783" w:rsidRDefault="00620C4B">
            <w:pPr>
              <w:keepNext/>
              <w:keepLines/>
              <w:rPr>
                <w:rFonts w:ascii="Arial Narrow" w:eastAsia="Calibri" w:hAnsi="Arial Narrow" w:cs="Calibri"/>
                <w:sz w:val="20"/>
                <w:szCs w:val="20"/>
                <w:lang w:eastAsia="en-US"/>
              </w:rPr>
            </w:pPr>
          </w:p>
        </w:tc>
        <w:tc>
          <w:tcPr>
            <w:tcW w:w="861" w:type="dxa"/>
            <w:tcBorders>
              <w:top w:val="nil"/>
              <w:left w:val="single" w:sz="4" w:space="0" w:color="auto"/>
              <w:bottom w:val="nil"/>
              <w:right w:val="single" w:sz="4" w:space="0" w:color="auto"/>
            </w:tcBorders>
            <w:shd w:val="clear" w:color="auto" w:fill="FFFFFF" w:themeFill="background1"/>
            <w:vAlign w:val="center"/>
          </w:tcPr>
          <w:p w14:paraId="7AC2419E" w14:textId="77777777" w:rsidR="00620C4B" w:rsidRPr="00782783" w:rsidRDefault="00620C4B">
            <w:pPr>
              <w:keepNext/>
              <w:keepLines/>
              <w:jc w:val="center"/>
              <w:rPr>
                <w:rFonts w:ascii="Arial Narrow" w:eastAsia="Calibri" w:hAnsi="Arial Narrow" w:cs="Calibri"/>
                <w:sz w:val="20"/>
                <w:szCs w:val="20"/>
                <w:lang w:eastAsia="en-US"/>
              </w:rPr>
            </w:pPr>
          </w:p>
        </w:tc>
      </w:tr>
      <w:tr w:rsidR="00620C4B" w:rsidRPr="00782783" w14:paraId="319A7D37" w14:textId="77777777" w:rsidTr="00BB49C9">
        <w:trPr>
          <w:trHeight w:val="17"/>
          <w:jc w:val="center"/>
        </w:trPr>
        <w:tc>
          <w:tcPr>
            <w:tcW w:w="1129" w:type="dxa"/>
            <w:tcBorders>
              <w:bottom w:val="single" w:sz="4" w:space="0" w:color="auto"/>
            </w:tcBorders>
            <w:shd w:val="clear" w:color="auto" w:fill="DBE5F1" w:themeFill="accent1" w:themeFillTint="33"/>
            <w:noWrap/>
            <w:vAlign w:val="center"/>
          </w:tcPr>
          <w:p w14:paraId="34A3E7E6" w14:textId="77777777" w:rsidR="00620C4B" w:rsidRPr="00782783" w:rsidRDefault="00620C4B">
            <w:pPr>
              <w:keepNext/>
              <w:keepLines/>
              <w:jc w:val="left"/>
              <w:rPr>
                <w:rFonts w:ascii="Arial Narrow" w:eastAsiaTheme="majorEastAsia" w:hAnsi="Arial Narrow" w:cstheme="minorHAnsi"/>
                <w:sz w:val="20"/>
                <w:szCs w:val="20"/>
                <w:lang w:eastAsia="en-US" w:bidi="en-US"/>
              </w:rPr>
            </w:pPr>
            <w:r w:rsidRPr="00782783">
              <w:rPr>
                <w:rFonts w:ascii="Arial Narrow" w:eastAsia="Calibri" w:hAnsi="Arial Narrow" w:cs="Calibri"/>
                <w:sz w:val="20"/>
                <w:szCs w:val="20"/>
                <w:lang w:eastAsia="en-US"/>
              </w:rPr>
              <w:t>T20</w:t>
            </w:r>
          </w:p>
        </w:tc>
        <w:tc>
          <w:tcPr>
            <w:tcW w:w="1134" w:type="dxa"/>
            <w:tcBorders>
              <w:bottom w:val="single" w:sz="4" w:space="0" w:color="auto"/>
            </w:tcBorders>
            <w:shd w:val="clear" w:color="auto" w:fill="DBE5F1" w:themeFill="accent1" w:themeFillTint="33"/>
            <w:vAlign w:val="center"/>
          </w:tcPr>
          <w:p w14:paraId="0F0427A4"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Calibri" w:hAnsi="Arial Narrow" w:cs="Calibri"/>
                <w:sz w:val="20"/>
                <w:szCs w:val="20"/>
                <w:lang w:eastAsia="en-US"/>
              </w:rPr>
              <w:t>17/31 (55.8)</w:t>
            </w:r>
          </w:p>
        </w:tc>
        <w:tc>
          <w:tcPr>
            <w:tcW w:w="1134" w:type="dxa"/>
            <w:tcBorders>
              <w:bottom w:val="single" w:sz="4" w:space="0" w:color="auto"/>
              <w:right w:val="single" w:sz="4" w:space="0" w:color="auto"/>
            </w:tcBorders>
            <w:shd w:val="clear" w:color="auto" w:fill="DBE5F1" w:themeFill="accent1" w:themeFillTint="33"/>
            <w:vAlign w:val="center"/>
          </w:tcPr>
          <w:p w14:paraId="2D718430"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Calibri" w:hAnsi="Arial Narrow" w:cs="Calibri"/>
                <w:sz w:val="20"/>
                <w:szCs w:val="20"/>
                <w:lang w:eastAsia="en-US"/>
              </w:rPr>
              <w:t>4/31 (12.9)</w:t>
            </w:r>
          </w:p>
        </w:tc>
        <w:tc>
          <w:tcPr>
            <w:tcW w:w="1701" w:type="dxa"/>
            <w:tcBorders>
              <w:top w:val="nil"/>
              <w:left w:val="single" w:sz="4" w:space="0" w:color="auto"/>
              <w:bottom w:val="nil"/>
              <w:right w:val="single" w:sz="4" w:space="0" w:color="auto"/>
            </w:tcBorders>
            <w:shd w:val="clear" w:color="auto" w:fill="DBE5F1" w:themeFill="accent1" w:themeFillTint="33"/>
            <w:vAlign w:val="center"/>
          </w:tcPr>
          <w:p w14:paraId="76E8F575"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Calibri" w:hAnsi="Arial Narrow" w:cs="Calibri"/>
                <w:sz w:val="20"/>
                <w:szCs w:val="20"/>
                <w:lang w:eastAsia="en-US"/>
              </w:rPr>
              <w:t>8.20 (2.31, 29.07)</w:t>
            </w:r>
          </w:p>
        </w:tc>
        <w:tc>
          <w:tcPr>
            <w:tcW w:w="1560" w:type="dxa"/>
            <w:tcBorders>
              <w:top w:val="nil"/>
              <w:left w:val="single" w:sz="4" w:space="0" w:color="auto"/>
              <w:bottom w:val="nil"/>
              <w:right w:val="nil"/>
            </w:tcBorders>
            <w:shd w:val="clear" w:color="auto" w:fill="DBE5F1" w:themeFill="accent1" w:themeFillTint="33"/>
            <w:vAlign w:val="center"/>
          </w:tcPr>
          <w:p w14:paraId="621D8968"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Theme="majorEastAsia" w:hAnsi="Arial Narrow" w:cstheme="minorHAnsi"/>
                <w:sz w:val="20"/>
                <w:szCs w:val="20"/>
                <w:lang w:eastAsia="en-US" w:bidi="en-US"/>
              </w:rPr>
              <w:t>0.42 (0.21, 0.63)</w:t>
            </w:r>
          </w:p>
        </w:tc>
        <w:tc>
          <w:tcPr>
            <w:tcW w:w="1569" w:type="dxa"/>
            <w:vMerge/>
            <w:tcBorders>
              <w:left w:val="nil"/>
              <w:right w:val="single" w:sz="4" w:space="0" w:color="auto"/>
            </w:tcBorders>
          </w:tcPr>
          <w:p w14:paraId="222D3705" w14:textId="77777777" w:rsidR="00620C4B" w:rsidRPr="00782783" w:rsidRDefault="00620C4B">
            <w:pPr>
              <w:keepNext/>
              <w:keepLines/>
              <w:jc w:val="center"/>
              <w:rPr>
                <w:rFonts w:ascii="Arial Narrow" w:eastAsia="Calibri" w:hAnsi="Arial Narrow" w:cs="Calibri"/>
                <w:sz w:val="20"/>
                <w:szCs w:val="20"/>
                <w:lang w:eastAsia="en-US"/>
              </w:rPr>
            </w:pPr>
          </w:p>
        </w:tc>
        <w:tc>
          <w:tcPr>
            <w:tcW w:w="861" w:type="dxa"/>
            <w:tcBorders>
              <w:top w:val="nil"/>
              <w:left w:val="single" w:sz="4" w:space="0" w:color="auto"/>
              <w:bottom w:val="nil"/>
              <w:right w:val="single" w:sz="4" w:space="0" w:color="auto"/>
            </w:tcBorders>
            <w:shd w:val="clear" w:color="auto" w:fill="FFFFFF" w:themeFill="background1"/>
            <w:vAlign w:val="center"/>
          </w:tcPr>
          <w:p w14:paraId="3BA4854C" w14:textId="77777777" w:rsidR="00620C4B" w:rsidRPr="00782783" w:rsidRDefault="00620C4B">
            <w:pPr>
              <w:keepNext/>
              <w:keepLines/>
              <w:jc w:val="center"/>
              <w:rPr>
                <w:rFonts w:ascii="Arial Narrow" w:eastAsia="Calibri" w:hAnsi="Arial Narrow" w:cs="Calibri"/>
                <w:sz w:val="20"/>
                <w:szCs w:val="20"/>
                <w:lang w:eastAsia="en-US"/>
              </w:rPr>
            </w:pPr>
            <w:r w:rsidRPr="00782783">
              <w:rPr>
                <w:rFonts w:ascii="Arial Narrow" w:eastAsia="Calibri" w:hAnsi="Arial Narrow" w:cs="Calibri"/>
                <w:sz w:val="20"/>
                <w:szCs w:val="20"/>
                <w:lang w:eastAsia="en-US"/>
              </w:rPr>
              <w:t>2 (2, 5)</w:t>
            </w:r>
          </w:p>
        </w:tc>
      </w:tr>
      <w:tr w:rsidR="00620C4B" w:rsidRPr="00782783" w14:paraId="28C2BDF4" w14:textId="77777777" w:rsidTr="00BB49C9">
        <w:trPr>
          <w:trHeight w:val="17"/>
          <w:jc w:val="center"/>
        </w:trPr>
        <w:tc>
          <w:tcPr>
            <w:tcW w:w="3397" w:type="dxa"/>
            <w:gridSpan w:val="3"/>
            <w:tcBorders>
              <w:top w:val="single" w:sz="4" w:space="0" w:color="auto"/>
              <w:bottom w:val="single" w:sz="4" w:space="0" w:color="auto"/>
              <w:right w:val="single" w:sz="4" w:space="0" w:color="auto"/>
            </w:tcBorders>
            <w:shd w:val="clear" w:color="auto" w:fill="DBE5F1" w:themeFill="accent1" w:themeFillTint="33"/>
            <w:noWrap/>
            <w:vAlign w:val="center"/>
          </w:tcPr>
          <w:p w14:paraId="0EC28133" w14:textId="77777777" w:rsidR="00620C4B" w:rsidRPr="00782783" w:rsidRDefault="00620C4B">
            <w:pPr>
              <w:keepNext/>
              <w:keepLines/>
              <w:rPr>
                <w:rFonts w:ascii="Arial Narrow" w:eastAsiaTheme="majorEastAsia" w:hAnsi="Arial Narrow" w:cstheme="minorHAnsi"/>
                <w:sz w:val="20"/>
                <w:szCs w:val="20"/>
                <w:lang w:eastAsia="en-US" w:bidi="en-US"/>
              </w:rPr>
            </w:pPr>
            <w:r w:rsidRPr="00782783">
              <w:rPr>
                <w:rFonts w:ascii="Arial Narrow" w:eastAsia="Calibri" w:hAnsi="Arial Narrow" w:cs="Calibri"/>
                <w:sz w:val="20"/>
                <w:szCs w:val="20"/>
                <w:lang w:eastAsia="en-US"/>
              </w:rPr>
              <w:t xml:space="preserve">ADA (wk0: 160 mg, wk 2: 80 mg) – Week 4 </w:t>
            </w:r>
          </w:p>
        </w:tc>
        <w:tc>
          <w:tcPr>
            <w:tcW w:w="1701" w:type="dxa"/>
            <w:tcBorders>
              <w:top w:val="nil"/>
              <w:left w:val="single" w:sz="4" w:space="0" w:color="auto"/>
              <w:bottom w:val="nil"/>
              <w:right w:val="single" w:sz="4" w:space="0" w:color="auto"/>
            </w:tcBorders>
            <w:shd w:val="clear" w:color="auto" w:fill="DBE5F1" w:themeFill="accent1" w:themeFillTint="33"/>
            <w:vAlign w:val="center"/>
          </w:tcPr>
          <w:p w14:paraId="56E32950" w14:textId="77777777" w:rsidR="00620C4B" w:rsidRPr="00782783" w:rsidRDefault="00620C4B">
            <w:pPr>
              <w:keepNext/>
              <w:keepLines/>
              <w:jc w:val="center"/>
              <w:rPr>
                <w:rFonts w:ascii="Arial Narrow" w:eastAsiaTheme="majorEastAsia" w:hAnsi="Arial Narrow" w:cstheme="minorHAnsi"/>
                <w:sz w:val="20"/>
                <w:szCs w:val="20"/>
                <w:lang w:eastAsia="en-US" w:bidi="en-US"/>
              </w:rPr>
            </w:pPr>
          </w:p>
        </w:tc>
        <w:tc>
          <w:tcPr>
            <w:tcW w:w="1560" w:type="dxa"/>
            <w:tcBorders>
              <w:top w:val="nil"/>
              <w:left w:val="single" w:sz="4" w:space="0" w:color="auto"/>
              <w:bottom w:val="nil"/>
              <w:right w:val="nil"/>
            </w:tcBorders>
            <w:shd w:val="clear" w:color="auto" w:fill="DBE5F1" w:themeFill="accent1" w:themeFillTint="33"/>
            <w:vAlign w:val="center"/>
          </w:tcPr>
          <w:p w14:paraId="63B4CD35" w14:textId="77777777" w:rsidR="00620C4B" w:rsidRPr="00782783" w:rsidRDefault="00620C4B">
            <w:pPr>
              <w:keepNext/>
              <w:keepLines/>
              <w:jc w:val="center"/>
              <w:rPr>
                <w:rFonts w:ascii="Arial Narrow" w:eastAsiaTheme="majorEastAsia" w:hAnsi="Arial Narrow" w:cstheme="minorHAnsi"/>
                <w:sz w:val="20"/>
                <w:szCs w:val="20"/>
                <w:lang w:eastAsia="en-US" w:bidi="en-US"/>
              </w:rPr>
            </w:pPr>
          </w:p>
        </w:tc>
        <w:tc>
          <w:tcPr>
            <w:tcW w:w="1569" w:type="dxa"/>
            <w:vMerge/>
            <w:tcBorders>
              <w:left w:val="nil"/>
              <w:right w:val="single" w:sz="4" w:space="0" w:color="auto"/>
            </w:tcBorders>
          </w:tcPr>
          <w:p w14:paraId="2A3160B8" w14:textId="77777777" w:rsidR="00620C4B" w:rsidRPr="00782783" w:rsidRDefault="00620C4B">
            <w:pPr>
              <w:keepNext/>
              <w:keepLines/>
              <w:rPr>
                <w:rFonts w:ascii="Arial Narrow" w:eastAsia="Calibri" w:hAnsi="Arial Narrow" w:cs="Calibri"/>
                <w:sz w:val="20"/>
                <w:szCs w:val="20"/>
                <w:lang w:eastAsia="en-US"/>
              </w:rPr>
            </w:pPr>
          </w:p>
        </w:tc>
        <w:tc>
          <w:tcPr>
            <w:tcW w:w="861" w:type="dxa"/>
            <w:tcBorders>
              <w:top w:val="nil"/>
              <w:left w:val="single" w:sz="4" w:space="0" w:color="auto"/>
              <w:bottom w:val="nil"/>
              <w:right w:val="single" w:sz="4" w:space="0" w:color="auto"/>
            </w:tcBorders>
            <w:shd w:val="clear" w:color="auto" w:fill="FFFFFF" w:themeFill="background1"/>
            <w:vAlign w:val="center"/>
          </w:tcPr>
          <w:p w14:paraId="43582CFD" w14:textId="77777777" w:rsidR="00620C4B" w:rsidRPr="00782783" w:rsidRDefault="00620C4B">
            <w:pPr>
              <w:keepNext/>
              <w:keepLines/>
              <w:jc w:val="center"/>
              <w:rPr>
                <w:rFonts w:ascii="Arial Narrow" w:eastAsia="Calibri" w:hAnsi="Arial Narrow" w:cs="Calibri"/>
                <w:sz w:val="20"/>
                <w:szCs w:val="20"/>
                <w:lang w:eastAsia="en-US"/>
              </w:rPr>
            </w:pPr>
          </w:p>
        </w:tc>
      </w:tr>
      <w:tr w:rsidR="00620C4B" w:rsidRPr="00782783" w14:paraId="5FE6A4F5" w14:textId="77777777" w:rsidTr="00BB49C9">
        <w:trPr>
          <w:trHeight w:val="17"/>
          <w:jc w:val="center"/>
        </w:trPr>
        <w:tc>
          <w:tcPr>
            <w:tcW w:w="1129" w:type="dxa"/>
            <w:tcBorders>
              <w:bottom w:val="single" w:sz="4" w:space="0" w:color="auto"/>
            </w:tcBorders>
            <w:shd w:val="clear" w:color="auto" w:fill="DBE5F1" w:themeFill="accent1" w:themeFillTint="33"/>
            <w:noWrap/>
            <w:vAlign w:val="center"/>
          </w:tcPr>
          <w:p w14:paraId="51FDFD86" w14:textId="26A822C2" w:rsidR="00620C4B" w:rsidRPr="00782783" w:rsidRDefault="00620C4B">
            <w:pPr>
              <w:keepNext/>
              <w:keepLines/>
              <w:jc w:val="left"/>
              <w:rPr>
                <w:rFonts w:ascii="Arial Narrow" w:eastAsiaTheme="majorEastAsia" w:hAnsi="Arial Narrow" w:cstheme="minorHAnsi"/>
                <w:sz w:val="20"/>
                <w:szCs w:val="20"/>
                <w:lang w:eastAsia="en-US" w:bidi="en-US"/>
              </w:rPr>
            </w:pPr>
            <w:r w:rsidRPr="00782783">
              <w:rPr>
                <w:rFonts w:ascii="Arial Narrow" w:eastAsia="Calibri" w:hAnsi="Arial Narrow" w:cs="Calibri"/>
                <w:sz w:val="20"/>
                <w:szCs w:val="20"/>
                <w:lang w:eastAsia="en-US"/>
              </w:rPr>
              <w:t>CLASSIC</w:t>
            </w:r>
            <w:r w:rsidR="00FC7500">
              <w:rPr>
                <w:rFonts w:ascii="Arial Narrow" w:eastAsia="Calibri" w:hAnsi="Arial Narrow" w:cs="Calibri"/>
                <w:sz w:val="20"/>
                <w:szCs w:val="20"/>
                <w:lang w:eastAsia="en-US"/>
              </w:rPr>
              <w:noBreakHyphen/>
            </w:r>
            <w:r w:rsidRPr="00782783">
              <w:rPr>
                <w:rFonts w:ascii="Arial Narrow" w:eastAsia="Calibri" w:hAnsi="Arial Narrow" w:cs="Calibri"/>
                <w:sz w:val="20"/>
                <w:szCs w:val="20"/>
                <w:lang w:eastAsia="en-US"/>
              </w:rPr>
              <w:t>I</w:t>
            </w:r>
            <w:r w:rsidRPr="00782783">
              <w:rPr>
                <w:rFonts w:ascii="Arial Narrow" w:eastAsia="Calibri" w:hAnsi="Arial Narrow" w:cs="Calibri"/>
                <w:sz w:val="20"/>
                <w:szCs w:val="20"/>
                <w:vertAlign w:val="superscript"/>
                <w:lang w:eastAsia="en-US"/>
              </w:rPr>
              <w:t>c</w:t>
            </w:r>
          </w:p>
        </w:tc>
        <w:tc>
          <w:tcPr>
            <w:tcW w:w="1134" w:type="dxa"/>
            <w:tcBorders>
              <w:bottom w:val="single" w:sz="4" w:space="0" w:color="auto"/>
            </w:tcBorders>
            <w:vAlign w:val="center"/>
          </w:tcPr>
          <w:p w14:paraId="17F3ED40"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Calibri" w:hAnsi="Arial Narrow" w:cs="Calibri"/>
                <w:b/>
                <w:bCs/>
                <w:sz w:val="20"/>
                <w:szCs w:val="20"/>
                <w:lang w:eastAsia="en-US"/>
              </w:rPr>
              <w:t>0</w:t>
            </w:r>
          </w:p>
        </w:tc>
        <w:tc>
          <w:tcPr>
            <w:tcW w:w="1134" w:type="dxa"/>
            <w:tcBorders>
              <w:bottom w:val="single" w:sz="4" w:space="0" w:color="auto"/>
              <w:right w:val="single" w:sz="4" w:space="0" w:color="auto"/>
            </w:tcBorders>
            <w:shd w:val="clear" w:color="auto" w:fill="DBE5F1" w:themeFill="accent1" w:themeFillTint="33"/>
            <w:vAlign w:val="center"/>
          </w:tcPr>
          <w:p w14:paraId="03E1757D"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Calibri" w:hAnsi="Arial Narrow" w:cs="Calibri"/>
                <w:sz w:val="20"/>
                <w:szCs w:val="20"/>
                <w:lang w:eastAsia="en-US"/>
              </w:rPr>
              <w:t>1/6 (16.7)</w:t>
            </w:r>
          </w:p>
        </w:tc>
        <w:tc>
          <w:tcPr>
            <w:tcW w:w="1701" w:type="dxa"/>
            <w:tcBorders>
              <w:top w:val="nil"/>
              <w:left w:val="single" w:sz="4" w:space="0" w:color="auto"/>
              <w:bottom w:val="nil"/>
              <w:right w:val="single" w:sz="4" w:space="0" w:color="auto"/>
            </w:tcBorders>
            <w:shd w:val="clear" w:color="auto" w:fill="DBE5F1" w:themeFill="accent1" w:themeFillTint="33"/>
            <w:vAlign w:val="center"/>
          </w:tcPr>
          <w:p w14:paraId="7B64E997"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Calibri" w:hAnsi="Arial Narrow" w:cs="Calibri"/>
                <w:sz w:val="20"/>
                <w:szCs w:val="20"/>
                <w:lang w:eastAsia="en-US"/>
              </w:rPr>
              <w:t>0.15 (0.01, 4.20)</w:t>
            </w:r>
          </w:p>
        </w:tc>
        <w:tc>
          <w:tcPr>
            <w:tcW w:w="1560" w:type="dxa"/>
            <w:tcBorders>
              <w:top w:val="nil"/>
              <w:left w:val="single" w:sz="4" w:space="0" w:color="auto"/>
              <w:bottom w:val="nil"/>
              <w:right w:val="nil"/>
            </w:tcBorders>
            <w:shd w:val="clear" w:color="auto" w:fill="DBE5F1" w:themeFill="accent1" w:themeFillTint="33"/>
            <w:vAlign w:val="center"/>
          </w:tcPr>
          <w:p w14:paraId="696233FF" w14:textId="197813B3" w:rsidR="00620C4B" w:rsidRPr="00782783" w:rsidRDefault="00FC7500">
            <w:pPr>
              <w:keepNext/>
              <w:keepLines/>
              <w:jc w:val="center"/>
              <w:rPr>
                <w:rFonts w:ascii="Arial Narrow" w:eastAsiaTheme="majorEastAsia" w:hAnsi="Arial Narrow" w:cstheme="minorHAnsi"/>
                <w:sz w:val="20"/>
                <w:szCs w:val="20"/>
                <w:lang w:eastAsia="en-US" w:bidi="en-US"/>
              </w:rPr>
            </w:pPr>
            <w:r>
              <w:rPr>
                <w:rFonts w:ascii="Arial Narrow" w:eastAsia="Calibri" w:hAnsi="Arial Narrow" w:cs="Calibri"/>
                <w:sz w:val="20"/>
                <w:szCs w:val="20"/>
                <w:lang w:eastAsia="en-US"/>
              </w:rPr>
              <w:noBreakHyphen/>
            </w:r>
            <w:r w:rsidR="00620C4B" w:rsidRPr="00782783">
              <w:rPr>
                <w:rFonts w:ascii="Arial Narrow" w:eastAsia="Calibri" w:hAnsi="Arial Narrow" w:cs="Calibri"/>
                <w:sz w:val="20"/>
                <w:szCs w:val="20"/>
                <w:lang w:eastAsia="en-US"/>
              </w:rPr>
              <w:t>0.17 (</w:t>
            </w:r>
            <w:r>
              <w:rPr>
                <w:rFonts w:ascii="Arial Narrow" w:eastAsia="Calibri" w:hAnsi="Arial Narrow" w:cs="Calibri"/>
                <w:sz w:val="20"/>
                <w:szCs w:val="20"/>
                <w:lang w:eastAsia="en-US"/>
              </w:rPr>
              <w:noBreakHyphen/>
            </w:r>
            <w:r w:rsidR="00620C4B" w:rsidRPr="00782783">
              <w:rPr>
                <w:rFonts w:ascii="Arial Narrow" w:eastAsia="Calibri" w:hAnsi="Arial Narrow" w:cs="Calibri"/>
                <w:sz w:val="20"/>
                <w:szCs w:val="20"/>
                <w:lang w:eastAsia="en-US"/>
              </w:rPr>
              <w:t>0.49,0.15)</w:t>
            </w:r>
          </w:p>
        </w:tc>
        <w:tc>
          <w:tcPr>
            <w:tcW w:w="1569" w:type="dxa"/>
            <w:vMerge/>
            <w:tcBorders>
              <w:left w:val="nil"/>
              <w:right w:val="single" w:sz="4" w:space="0" w:color="auto"/>
            </w:tcBorders>
          </w:tcPr>
          <w:p w14:paraId="7771BE6F" w14:textId="77777777" w:rsidR="00620C4B" w:rsidRPr="00782783" w:rsidRDefault="00620C4B">
            <w:pPr>
              <w:keepNext/>
              <w:keepLines/>
              <w:jc w:val="center"/>
              <w:rPr>
                <w:rFonts w:ascii="Arial Narrow" w:eastAsia="Calibri" w:hAnsi="Arial Narrow" w:cs="Calibri"/>
                <w:sz w:val="20"/>
                <w:szCs w:val="20"/>
                <w:lang w:eastAsia="en-US"/>
              </w:rPr>
            </w:pPr>
          </w:p>
        </w:tc>
        <w:tc>
          <w:tcPr>
            <w:tcW w:w="861" w:type="dxa"/>
            <w:tcBorders>
              <w:top w:val="nil"/>
              <w:left w:val="single" w:sz="4" w:space="0" w:color="auto"/>
              <w:bottom w:val="nil"/>
              <w:right w:val="single" w:sz="4" w:space="0" w:color="auto"/>
            </w:tcBorders>
            <w:shd w:val="clear" w:color="auto" w:fill="FFFFFF" w:themeFill="background1"/>
            <w:vAlign w:val="center"/>
          </w:tcPr>
          <w:p w14:paraId="61A3B1BE" w14:textId="77777777" w:rsidR="00620C4B" w:rsidRPr="00782783" w:rsidRDefault="00620C4B">
            <w:pPr>
              <w:keepNext/>
              <w:keepLines/>
              <w:jc w:val="center"/>
              <w:rPr>
                <w:rFonts w:ascii="Arial Narrow" w:eastAsia="Calibri" w:hAnsi="Arial Narrow" w:cs="Calibri"/>
                <w:sz w:val="20"/>
                <w:szCs w:val="20"/>
                <w:lang w:eastAsia="en-US"/>
              </w:rPr>
            </w:pPr>
            <w:r w:rsidRPr="00782783">
              <w:rPr>
                <w:rFonts w:ascii="Arial Narrow" w:eastAsia="Calibri" w:hAnsi="Arial Narrow" w:cs="Calibri"/>
                <w:sz w:val="20"/>
                <w:szCs w:val="20"/>
                <w:lang w:eastAsia="en-US"/>
              </w:rPr>
              <w:t>NS</w:t>
            </w:r>
          </w:p>
        </w:tc>
      </w:tr>
      <w:tr w:rsidR="00620C4B" w:rsidRPr="00782783" w14:paraId="2479D0AB" w14:textId="77777777" w:rsidTr="00BB49C9">
        <w:trPr>
          <w:trHeight w:val="17"/>
          <w:jc w:val="center"/>
        </w:trPr>
        <w:tc>
          <w:tcPr>
            <w:tcW w:w="1129" w:type="dxa"/>
            <w:tcBorders>
              <w:bottom w:val="single" w:sz="4" w:space="0" w:color="auto"/>
            </w:tcBorders>
            <w:shd w:val="clear" w:color="auto" w:fill="DBE5F1" w:themeFill="accent1" w:themeFillTint="33"/>
            <w:noWrap/>
            <w:vAlign w:val="center"/>
          </w:tcPr>
          <w:p w14:paraId="2E532A2A" w14:textId="77777777" w:rsidR="00620C4B" w:rsidRPr="00782783" w:rsidRDefault="00620C4B">
            <w:pPr>
              <w:keepNext/>
              <w:keepLines/>
              <w:jc w:val="left"/>
              <w:rPr>
                <w:rFonts w:ascii="Arial Narrow" w:eastAsiaTheme="majorEastAsia" w:hAnsi="Arial Narrow" w:cstheme="minorHAnsi"/>
                <w:sz w:val="20"/>
                <w:szCs w:val="20"/>
                <w:lang w:eastAsia="en-US" w:bidi="en-US"/>
              </w:rPr>
            </w:pPr>
            <w:proofErr w:type="spellStart"/>
            <w:r w:rsidRPr="00782783">
              <w:rPr>
                <w:rFonts w:ascii="Arial Narrow" w:eastAsia="Calibri" w:hAnsi="Arial Narrow" w:cs="Calibri"/>
                <w:sz w:val="20"/>
                <w:szCs w:val="20"/>
                <w:lang w:eastAsia="en-US"/>
              </w:rPr>
              <w:t>GAIN</w:t>
            </w:r>
            <w:r w:rsidRPr="00782783">
              <w:rPr>
                <w:rFonts w:ascii="Arial Narrow" w:eastAsia="Calibri" w:hAnsi="Arial Narrow" w:cs="Calibri"/>
                <w:sz w:val="20"/>
                <w:szCs w:val="20"/>
                <w:vertAlign w:val="superscript"/>
                <w:lang w:eastAsia="en-US"/>
              </w:rPr>
              <w:t>c</w:t>
            </w:r>
            <w:proofErr w:type="spellEnd"/>
          </w:p>
        </w:tc>
        <w:tc>
          <w:tcPr>
            <w:tcW w:w="1134" w:type="dxa"/>
            <w:tcBorders>
              <w:bottom w:val="single" w:sz="4" w:space="0" w:color="auto"/>
            </w:tcBorders>
            <w:shd w:val="clear" w:color="auto" w:fill="DBE5F1" w:themeFill="accent1" w:themeFillTint="33"/>
            <w:vAlign w:val="center"/>
          </w:tcPr>
          <w:p w14:paraId="47855AF5"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Calibri" w:hAnsi="Arial Narrow" w:cs="Calibri"/>
                <w:sz w:val="20"/>
                <w:szCs w:val="20"/>
                <w:lang w:eastAsia="en-US"/>
              </w:rPr>
              <w:t>1/20 (5.0)</w:t>
            </w:r>
          </w:p>
        </w:tc>
        <w:tc>
          <w:tcPr>
            <w:tcW w:w="1134" w:type="dxa"/>
            <w:tcBorders>
              <w:bottom w:val="single" w:sz="4" w:space="0" w:color="auto"/>
              <w:right w:val="single" w:sz="4" w:space="0" w:color="auto"/>
            </w:tcBorders>
            <w:shd w:val="clear" w:color="auto" w:fill="DBE5F1" w:themeFill="accent1" w:themeFillTint="33"/>
            <w:vAlign w:val="center"/>
          </w:tcPr>
          <w:p w14:paraId="61FF50B4"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Calibri" w:hAnsi="Arial Narrow" w:cs="Calibri"/>
                <w:sz w:val="20"/>
                <w:szCs w:val="20"/>
                <w:lang w:eastAsia="en-US"/>
              </w:rPr>
              <w:t>2/25 (8.0)</w:t>
            </w:r>
          </w:p>
        </w:tc>
        <w:tc>
          <w:tcPr>
            <w:tcW w:w="1701" w:type="dxa"/>
            <w:tcBorders>
              <w:top w:val="nil"/>
              <w:left w:val="single" w:sz="4" w:space="0" w:color="auto"/>
              <w:bottom w:val="nil"/>
              <w:right w:val="single" w:sz="4" w:space="0" w:color="auto"/>
            </w:tcBorders>
            <w:shd w:val="clear" w:color="auto" w:fill="DBE5F1" w:themeFill="accent1" w:themeFillTint="33"/>
            <w:vAlign w:val="center"/>
          </w:tcPr>
          <w:p w14:paraId="1AC7F238"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Calibri" w:hAnsi="Arial Narrow" w:cs="Calibri"/>
                <w:sz w:val="20"/>
                <w:szCs w:val="20"/>
                <w:lang w:eastAsia="en-US"/>
              </w:rPr>
              <w:t>0.61 (0.05, 7.20)</w:t>
            </w:r>
          </w:p>
        </w:tc>
        <w:tc>
          <w:tcPr>
            <w:tcW w:w="1560" w:type="dxa"/>
            <w:tcBorders>
              <w:top w:val="nil"/>
              <w:left w:val="single" w:sz="4" w:space="0" w:color="auto"/>
              <w:bottom w:val="nil"/>
              <w:right w:val="nil"/>
            </w:tcBorders>
            <w:shd w:val="clear" w:color="auto" w:fill="DBE5F1" w:themeFill="accent1" w:themeFillTint="33"/>
            <w:vAlign w:val="center"/>
          </w:tcPr>
          <w:p w14:paraId="03A4063F" w14:textId="343A2732" w:rsidR="00620C4B" w:rsidRPr="00782783" w:rsidRDefault="00FC7500">
            <w:pPr>
              <w:keepNext/>
              <w:keepLines/>
              <w:jc w:val="center"/>
              <w:rPr>
                <w:rFonts w:ascii="Arial Narrow" w:eastAsiaTheme="majorEastAsia" w:hAnsi="Arial Narrow" w:cstheme="minorHAnsi"/>
                <w:sz w:val="20"/>
                <w:szCs w:val="20"/>
                <w:lang w:eastAsia="en-US" w:bidi="en-US"/>
              </w:rPr>
            </w:pPr>
            <w:r>
              <w:rPr>
                <w:rFonts w:ascii="Arial Narrow" w:eastAsia="Calibri" w:hAnsi="Arial Narrow" w:cs="Calibri"/>
                <w:sz w:val="20"/>
                <w:szCs w:val="20"/>
                <w:lang w:eastAsia="en-US"/>
              </w:rPr>
              <w:noBreakHyphen/>
            </w:r>
            <w:r w:rsidR="00620C4B" w:rsidRPr="00782783">
              <w:rPr>
                <w:rFonts w:ascii="Arial Narrow" w:eastAsia="Calibri" w:hAnsi="Arial Narrow" w:cs="Calibri"/>
                <w:sz w:val="20"/>
                <w:szCs w:val="20"/>
                <w:lang w:eastAsia="en-US"/>
              </w:rPr>
              <w:t>0.03 (</w:t>
            </w:r>
            <w:r>
              <w:rPr>
                <w:rFonts w:ascii="Arial Narrow" w:eastAsia="Calibri" w:hAnsi="Arial Narrow" w:cs="Calibri"/>
                <w:b/>
                <w:bCs/>
                <w:sz w:val="20"/>
                <w:szCs w:val="20"/>
                <w:lang w:eastAsia="en-US"/>
              </w:rPr>
              <w:noBreakHyphen/>
            </w:r>
            <w:r w:rsidR="00620C4B" w:rsidRPr="00782783">
              <w:rPr>
                <w:rFonts w:ascii="Arial Narrow" w:eastAsia="Calibri" w:hAnsi="Arial Narrow" w:cs="Calibri"/>
                <w:sz w:val="20"/>
                <w:szCs w:val="20"/>
                <w:lang w:eastAsia="en-US"/>
              </w:rPr>
              <w:t>0.17,0.11)</w:t>
            </w:r>
          </w:p>
        </w:tc>
        <w:tc>
          <w:tcPr>
            <w:tcW w:w="1569" w:type="dxa"/>
            <w:vMerge/>
            <w:tcBorders>
              <w:left w:val="nil"/>
              <w:right w:val="single" w:sz="4" w:space="0" w:color="auto"/>
            </w:tcBorders>
          </w:tcPr>
          <w:p w14:paraId="46903F55" w14:textId="77777777" w:rsidR="00620C4B" w:rsidRPr="00782783" w:rsidRDefault="00620C4B">
            <w:pPr>
              <w:keepNext/>
              <w:keepLines/>
              <w:jc w:val="center"/>
              <w:rPr>
                <w:rFonts w:ascii="Arial Narrow" w:eastAsia="Calibri" w:hAnsi="Arial Narrow" w:cs="Calibri"/>
                <w:sz w:val="20"/>
                <w:szCs w:val="20"/>
                <w:lang w:eastAsia="en-US"/>
              </w:rPr>
            </w:pPr>
          </w:p>
        </w:tc>
        <w:tc>
          <w:tcPr>
            <w:tcW w:w="861" w:type="dxa"/>
            <w:tcBorders>
              <w:top w:val="nil"/>
              <w:left w:val="single" w:sz="4" w:space="0" w:color="auto"/>
              <w:bottom w:val="nil"/>
              <w:right w:val="single" w:sz="4" w:space="0" w:color="auto"/>
            </w:tcBorders>
            <w:shd w:val="clear" w:color="auto" w:fill="FFFFFF" w:themeFill="background1"/>
            <w:vAlign w:val="center"/>
          </w:tcPr>
          <w:p w14:paraId="26DA6C4F" w14:textId="77777777" w:rsidR="00620C4B" w:rsidRPr="00782783" w:rsidRDefault="00620C4B">
            <w:pPr>
              <w:keepNext/>
              <w:keepLines/>
              <w:jc w:val="center"/>
              <w:rPr>
                <w:rFonts w:ascii="Arial Narrow" w:eastAsia="Calibri" w:hAnsi="Arial Narrow" w:cs="Calibri"/>
                <w:sz w:val="20"/>
                <w:szCs w:val="20"/>
                <w:lang w:eastAsia="en-US"/>
              </w:rPr>
            </w:pPr>
            <w:r w:rsidRPr="00782783">
              <w:rPr>
                <w:rFonts w:ascii="Arial Narrow" w:eastAsia="Calibri" w:hAnsi="Arial Narrow" w:cs="Calibri"/>
                <w:sz w:val="20"/>
                <w:szCs w:val="20"/>
                <w:lang w:eastAsia="en-US"/>
              </w:rPr>
              <w:t>NS</w:t>
            </w:r>
          </w:p>
        </w:tc>
      </w:tr>
      <w:tr w:rsidR="00620C4B" w:rsidRPr="00782783" w14:paraId="3F0BA23B" w14:textId="77777777" w:rsidTr="00BB49C9">
        <w:trPr>
          <w:trHeight w:val="17"/>
          <w:jc w:val="center"/>
        </w:trPr>
        <w:tc>
          <w:tcPr>
            <w:tcW w:w="3397" w:type="dxa"/>
            <w:gridSpan w:val="3"/>
            <w:tcBorders>
              <w:bottom w:val="single" w:sz="4" w:space="0" w:color="auto"/>
              <w:right w:val="single" w:sz="4" w:space="0" w:color="auto"/>
            </w:tcBorders>
            <w:shd w:val="clear" w:color="auto" w:fill="DBE5F1" w:themeFill="accent1" w:themeFillTint="33"/>
            <w:noWrap/>
          </w:tcPr>
          <w:p w14:paraId="7046EBE9" w14:textId="77777777" w:rsidR="00620C4B" w:rsidRPr="00782783" w:rsidRDefault="00620C4B">
            <w:pPr>
              <w:keepNext/>
              <w:keepLines/>
              <w:rPr>
                <w:rFonts w:ascii="Arial Narrow" w:eastAsiaTheme="majorEastAsia" w:hAnsi="Arial Narrow" w:cstheme="minorHAnsi"/>
                <w:sz w:val="20"/>
                <w:szCs w:val="20"/>
                <w:lang w:eastAsia="en-US" w:bidi="en-US"/>
              </w:rPr>
            </w:pPr>
            <w:r w:rsidRPr="00782783">
              <w:rPr>
                <w:rFonts w:ascii="Arial Narrow" w:eastAsia="Calibri" w:hAnsi="Arial Narrow" w:cs="Calibri"/>
                <w:sz w:val="20"/>
                <w:szCs w:val="20"/>
                <w:lang w:eastAsia="en-US"/>
              </w:rPr>
              <w:t xml:space="preserve">UST (wk 0: tiered dose/kg) – Week 8 </w:t>
            </w:r>
          </w:p>
        </w:tc>
        <w:tc>
          <w:tcPr>
            <w:tcW w:w="1701" w:type="dxa"/>
            <w:tcBorders>
              <w:top w:val="nil"/>
              <w:left w:val="single" w:sz="4" w:space="0" w:color="auto"/>
              <w:bottom w:val="nil"/>
              <w:right w:val="single" w:sz="4" w:space="0" w:color="auto"/>
            </w:tcBorders>
            <w:shd w:val="clear" w:color="auto" w:fill="DBE5F1" w:themeFill="accent1" w:themeFillTint="33"/>
            <w:vAlign w:val="center"/>
          </w:tcPr>
          <w:p w14:paraId="6BD547E5" w14:textId="77777777" w:rsidR="00620C4B" w:rsidRPr="00782783" w:rsidRDefault="00620C4B">
            <w:pPr>
              <w:keepNext/>
              <w:keepLines/>
              <w:jc w:val="center"/>
              <w:rPr>
                <w:rFonts w:ascii="Arial Narrow" w:eastAsiaTheme="majorEastAsia" w:hAnsi="Arial Narrow" w:cstheme="minorHAnsi"/>
                <w:sz w:val="20"/>
                <w:szCs w:val="20"/>
                <w:lang w:eastAsia="en-US" w:bidi="en-US"/>
              </w:rPr>
            </w:pPr>
          </w:p>
        </w:tc>
        <w:tc>
          <w:tcPr>
            <w:tcW w:w="1560" w:type="dxa"/>
            <w:tcBorders>
              <w:top w:val="nil"/>
              <w:left w:val="single" w:sz="4" w:space="0" w:color="auto"/>
              <w:bottom w:val="nil"/>
              <w:right w:val="nil"/>
            </w:tcBorders>
            <w:shd w:val="clear" w:color="auto" w:fill="DBE5F1" w:themeFill="accent1" w:themeFillTint="33"/>
            <w:vAlign w:val="center"/>
          </w:tcPr>
          <w:p w14:paraId="70341EF0" w14:textId="77777777" w:rsidR="00620C4B" w:rsidRPr="00782783" w:rsidRDefault="00620C4B">
            <w:pPr>
              <w:keepNext/>
              <w:keepLines/>
              <w:jc w:val="center"/>
              <w:rPr>
                <w:rFonts w:ascii="Arial Narrow" w:eastAsiaTheme="majorEastAsia" w:hAnsi="Arial Narrow" w:cstheme="minorHAnsi"/>
                <w:sz w:val="20"/>
                <w:szCs w:val="20"/>
                <w:lang w:eastAsia="en-US" w:bidi="en-US"/>
              </w:rPr>
            </w:pPr>
          </w:p>
        </w:tc>
        <w:tc>
          <w:tcPr>
            <w:tcW w:w="1569" w:type="dxa"/>
            <w:vMerge/>
            <w:tcBorders>
              <w:left w:val="nil"/>
              <w:right w:val="single" w:sz="4" w:space="0" w:color="auto"/>
            </w:tcBorders>
          </w:tcPr>
          <w:p w14:paraId="1A93DC0B" w14:textId="77777777" w:rsidR="00620C4B" w:rsidRPr="00782783" w:rsidRDefault="00620C4B">
            <w:pPr>
              <w:keepNext/>
              <w:keepLines/>
              <w:rPr>
                <w:rFonts w:ascii="Arial Narrow" w:eastAsia="Calibri" w:hAnsi="Arial Narrow" w:cs="Calibri"/>
                <w:sz w:val="20"/>
                <w:szCs w:val="20"/>
                <w:lang w:eastAsia="en-US"/>
              </w:rPr>
            </w:pPr>
          </w:p>
        </w:tc>
        <w:tc>
          <w:tcPr>
            <w:tcW w:w="861" w:type="dxa"/>
            <w:tcBorders>
              <w:top w:val="nil"/>
              <w:left w:val="single" w:sz="4" w:space="0" w:color="auto"/>
              <w:bottom w:val="nil"/>
              <w:right w:val="single" w:sz="4" w:space="0" w:color="auto"/>
            </w:tcBorders>
            <w:shd w:val="clear" w:color="auto" w:fill="FFFFFF" w:themeFill="background1"/>
            <w:vAlign w:val="center"/>
          </w:tcPr>
          <w:p w14:paraId="356D5967" w14:textId="77777777" w:rsidR="00620C4B" w:rsidRPr="00782783" w:rsidRDefault="00620C4B">
            <w:pPr>
              <w:keepNext/>
              <w:keepLines/>
              <w:jc w:val="center"/>
              <w:rPr>
                <w:rFonts w:ascii="Arial Narrow" w:eastAsia="Calibri" w:hAnsi="Arial Narrow" w:cs="Calibri"/>
                <w:sz w:val="20"/>
                <w:szCs w:val="20"/>
                <w:lang w:eastAsia="en-US"/>
              </w:rPr>
            </w:pPr>
          </w:p>
        </w:tc>
      </w:tr>
      <w:tr w:rsidR="00620C4B" w:rsidRPr="00782783" w14:paraId="700E8F37" w14:textId="77777777" w:rsidTr="00BB49C9">
        <w:trPr>
          <w:trHeight w:val="200"/>
          <w:jc w:val="center"/>
        </w:trPr>
        <w:tc>
          <w:tcPr>
            <w:tcW w:w="1129" w:type="dxa"/>
            <w:shd w:val="clear" w:color="auto" w:fill="DBE5F1" w:themeFill="accent1" w:themeFillTint="33"/>
            <w:noWrap/>
            <w:vAlign w:val="center"/>
          </w:tcPr>
          <w:p w14:paraId="3C5B74CB" w14:textId="7DCCA7DD" w:rsidR="00620C4B" w:rsidRPr="00782783" w:rsidRDefault="00620C4B">
            <w:pPr>
              <w:keepNext/>
              <w:keepLines/>
              <w:jc w:val="left"/>
              <w:rPr>
                <w:rFonts w:ascii="Arial Narrow" w:eastAsiaTheme="majorEastAsia" w:hAnsi="Arial Narrow" w:cstheme="minorHAnsi"/>
                <w:sz w:val="20"/>
                <w:szCs w:val="20"/>
                <w:lang w:eastAsia="en-US" w:bidi="en-US"/>
              </w:rPr>
            </w:pPr>
            <w:r w:rsidRPr="00782783">
              <w:rPr>
                <w:rFonts w:ascii="Arial Narrow" w:eastAsia="Calibri" w:hAnsi="Arial Narrow" w:cs="Calibri"/>
                <w:sz w:val="20"/>
                <w:szCs w:val="20"/>
                <w:lang w:eastAsia="en-US"/>
              </w:rPr>
              <w:t>UNITI</w:t>
            </w:r>
            <w:r w:rsidR="00FC7500">
              <w:rPr>
                <w:rFonts w:ascii="Arial Narrow" w:eastAsia="Calibri" w:hAnsi="Arial Narrow" w:cs="Calibri"/>
                <w:sz w:val="20"/>
                <w:szCs w:val="20"/>
                <w:lang w:eastAsia="en-US"/>
              </w:rPr>
              <w:noBreakHyphen/>
            </w:r>
            <w:r w:rsidRPr="00782783">
              <w:rPr>
                <w:rFonts w:ascii="Arial Narrow" w:eastAsia="Calibri" w:hAnsi="Arial Narrow" w:cs="Calibri"/>
                <w:sz w:val="20"/>
                <w:szCs w:val="20"/>
                <w:lang w:eastAsia="en-US"/>
              </w:rPr>
              <w:t>1/2</w:t>
            </w:r>
            <w:r w:rsidRPr="00782783">
              <w:rPr>
                <w:rFonts w:ascii="Arial Narrow" w:eastAsia="Calibri" w:hAnsi="Arial Narrow" w:cs="Calibri"/>
                <w:sz w:val="20"/>
                <w:szCs w:val="20"/>
                <w:vertAlign w:val="superscript"/>
                <w:lang w:eastAsia="en-US"/>
              </w:rPr>
              <w:t>d</w:t>
            </w:r>
          </w:p>
        </w:tc>
        <w:tc>
          <w:tcPr>
            <w:tcW w:w="1134" w:type="dxa"/>
            <w:shd w:val="clear" w:color="auto" w:fill="DBE5F1" w:themeFill="accent1" w:themeFillTint="33"/>
            <w:vAlign w:val="center"/>
          </w:tcPr>
          <w:p w14:paraId="1B9C74E7"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hAnsi="Arial Narrow" w:cs="Times New Roman"/>
                <w:sz w:val="20"/>
                <w:szCs w:val="20"/>
                <w:lang w:eastAsia="en-US"/>
              </w:rPr>
              <w:t>9/38 (23.7)</w:t>
            </w:r>
          </w:p>
        </w:tc>
        <w:tc>
          <w:tcPr>
            <w:tcW w:w="1134" w:type="dxa"/>
            <w:tcBorders>
              <w:right w:val="single" w:sz="4" w:space="0" w:color="auto"/>
            </w:tcBorders>
            <w:shd w:val="clear" w:color="auto" w:fill="DBE5F1" w:themeFill="accent1" w:themeFillTint="33"/>
            <w:vAlign w:val="center"/>
          </w:tcPr>
          <w:p w14:paraId="5C3D7DA2"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hAnsi="Arial Narrow" w:cs="Times New Roman"/>
                <w:sz w:val="20"/>
                <w:szCs w:val="20"/>
                <w:lang w:eastAsia="en-US"/>
              </w:rPr>
              <w:t>4/43 (9.3)</w:t>
            </w:r>
          </w:p>
        </w:tc>
        <w:tc>
          <w:tcPr>
            <w:tcW w:w="1701" w:type="dxa"/>
            <w:tcBorders>
              <w:top w:val="nil"/>
              <w:left w:val="single" w:sz="4" w:space="0" w:color="auto"/>
              <w:bottom w:val="nil"/>
              <w:right w:val="single" w:sz="4" w:space="0" w:color="auto"/>
            </w:tcBorders>
            <w:shd w:val="clear" w:color="auto" w:fill="DBE5F1" w:themeFill="accent1" w:themeFillTint="33"/>
            <w:vAlign w:val="center"/>
          </w:tcPr>
          <w:p w14:paraId="3E09A723" w14:textId="77777777"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Calibri" w:hAnsi="Arial Narrow" w:cs="Calibri"/>
                <w:sz w:val="20"/>
                <w:szCs w:val="20"/>
                <w:lang w:eastAsia="en-US"/>
              </w:rPr>
              <w:t>3.03 (0.85, 10.80)</w:t>
            </w:r>
          </w:p>
        </w:tc>
        <w:tc>
          <w:tcPr>
            <w:tcW w:w="1560" w:type="dxa"/>
            <w:tcBorders>
              <w:top w:val="nil"/>
              <w:left w:val="single" w:sz="4" w:space="0" w:color="auto"/>
              <w:bottom w:val="nil"/>
              <w:right w:val="nil"/>
            </w:tcBorders>
            <w:shd w:val="clear" w:color="auto" w:fill="DBE5F1" w:themeFill="accent1" w:themeFillTint="33"/>
            <w:vAlign w:val="center"/>
          </w:tcPr>
          <w:p w14:paraId="135DCA27" w14:textId="47156BC3" w:rsidR="00620C4B" w:rsidRPr="00782783" w:rsidRDefault="00620C4B">
            <w:pPr>
              <w:keepNext/>
              <w:keepLines/>
              <w:jc w:val="center"/>
              <w:rPr>
                <w:rFonts w:ascii="Arial Narrow" w:eastAsiaTheme="majorEastAsia" w:hAnsi="Arial Narrow" w:cstheme="minorHAnsi"/>
                <w:sz w:val="20"/>
                <w:szCs w:val="20"/>
                <w:lang w:eastAsia="en-US" w:bidi="en-US"/>
              </w:rPr>
            </w:pPr>
            <w:r w:rsidRPr="00782783">
              <w:rPr>
                <w:rFonts w:ascii="Arial Narrow" w:eastAsia="Calibri" w:hAnsi="Arial Narrow" w:cs="Calibri"/>
                <w:sz w:val="20"/>
                <w:szCs w:val="20"/>
                <w:lang w:eastAsia="en-US"/>
              </w:rPr>
              <w:t>0.14 (</w:t>
            </w:r>
            <w:r w:rsidR="00FC7500">
              <w:rPr>
                <w:rFonts w:ascii="Arial Narrow" w:eastAsia="Calibri" w:hAnsi="Arial Narrow" w:cs="Calibri"/>
                <w:sz w:val="20"/>
                <w:szCs w:val="20"/>
                <w:lang w:eastAsia="en-US"/>
              </w:rPr>
              <w:noBreakHyphen/>
            </w:r>
            <w:r w:rsidRPr="00782783">
              <w:rPr>
                <w:rFonts w:ascii="Arial Narrow" w:eastAsia="Calibri" w:hAnsi="Arial Narrow" w:cs="Calibri"/>
                <w:sz w:val="20"/>
                <w:szCs w:val="20"/>
                <w:lang w:eastAsia="en-US"/>
              </w:rPr>
              <w:t>0.02, 0.30)</w:t>
            </w:r>
          </w:p>
        </w:tc>
        <w:tc>
          <w:tcPr>
            <w:tcW w:w="1569" w:type="dxa"/>
            <w:vMerge/>
            <w:tcBorders>
              <w:left w:val="nil"/>
              <w:right w:val="single" w:sz="4" w:space="0" w:color="auto"/>
            </w:tcBorders>
          </w:tcPr>
          <w:p w14:paraId="1020E4E1" w14:textId="77777777" w:rsidR="00620C4B" w:rsidRPr="00782783" w:rsidRDefault="00620C4B">
            <w:pPr>
              <w:keepNext/>
              <w:keepLines/>
              <w:jc w:val="center"/>
              <w:rPr>
                <w:rFonts w:ascii="Arial Narrow" w:eastAsia="Calibri" w:hAnsi="Arial Narrow" w:cs="Calibri"/>
                <w:sz w:val="20"/>
                <w:szCs w:val="20"/>
                <w:lang w:eastAsia="en-US"/>
              </w:rPr>
            </w:pPr>
          </w:p>
        </w:tc>
        <w:tc>
          <w:tcPr>
            <w:tcW w:w="861" w:type="dxa"/>
            <w:tcBorders>
              <w:top w:val="nil"/>
              <w:left w:val="single" w:sz="4" w:space="0" w:color="auto"/>
              <w:bottom w:val="nil"/>
              <w:right w:val="single" w:sz="4" w:space="0" w:color="auto"/>
            </w:tcBorders>
            <w:shd w:val="clear" w:color="auto" w:fill="FFFFFF" w:themeFill="background1"/>
            <w:vAlign w:val="center"/>
          </w:tcPr>
          <w:p w14:paraId="58F953BE" w14:textId="77777777" w:rsidR="00620C4B" w:rsidRPr="00782783" w:rsidRDefault="00620C4B">
            <w:pPr>
              <w:keepNext/>
              <w:keepLines/>
              <w:jc w:val="center"/>
              <w:rPr>
                <w:rFonts w:ascii="Arial Narrow" w:eastAsia="Calibri" w:hAnsi="Arial Narrow" w:cs="Calibri"/>
                <w:sz w:val="20"/>
                <w:szCs w:val="20"/>
                <w:lang w:eastAsia="en-US"/>
              </w:rPr>
            </w:pPr>
            <w:r w:rsidRPr="00782783">
              <w:rPr>
                <w:rFonts w:ascii="Arial Narrow" w:eastAsia="Calibri" w:hAnsi="Arial Narrow" w:cs="Calibri"/>
                <w:sz w:val="20"/>
                <w:szCs w:val="20"/>
                <w:lang w:eastAsia="en-US"/>
              </w:rPr>
              <w:t>NS</w:t>
            </w:r>
          </w:p>
        </w:tc>
      </w:tr>
      <w:tr w:rsidR="00620C4B" w:rsidRPr="00782783" w14:paraId="5F8B0AB7" w14:textId="77777777">
        <w:trPr>
          <w:trHeight w:val="17"/>
          <w:jc w:val="center"/>
        </w:trPr>
        <w:tc>
          <w:tcPr>
            <w:tcW w:w="3397" w:type="dxa"/>
            <w:gridSpan w:val="3"/>
            <w:tcBorders>
              <w:right w:val="single" w:sz="4" w:space="0" w:color="auto"/>
            </w:tcBorders>
            <w:noWrap/>
            <w:vAlign w:val="center"/>
          </w:tcPr>
          <w:p w14:paraId="79992019" w14:textId="77777777" w:rsidR="00620C4B" w:rsidRPr="00782783" w:rsidRDefault="00620C4B">
            <w:pPr>
              <w:keepNext/>
              <w:keepLines/>
              <w:jc w:val="right"/>
              <w:rPr>
                <w:rFonts w:ascii="Arial Narrow" w:hAnsi="Arial Narrow" w:cs="Times New Roman"/>
                <w:sz w:val="20"/>
                <w:szCs w:val="20"/>
                <w:lang w:eastAsia="en-US"/>
              </w:rPr>
            </w:pPr>
            <w:r w:rsidRPr="00782783">
              <w:rPr>
                <w:rFonts w:ascii="Arial Narrow" w:eastAsia="Aptos" w:hAnsi="Arial Narrow" w:cs="Times New Roman"/>
                <w:kern w:val="2"/>
                <w:sz w:val="20"/>
                <w:szCs w:val="20"/>
                <w:lang w:eastAsia="en-US"/>
                <w14:ligatures w14:val="standardContextual"/>
              </w:rPr>
              <w:t>Meta analysis UPA vs PBO</w:t>
            </w:r>
          </w:p>
        </w:tc>
        <w:tc>
          <w:tcPr>
            <w:tcW w:w="1701" w:type="dxa"/>
            <w:tcBorders>
              <w:top w:val="nil"/>
              <w:left w:val="single" w:sz="4" w:space="0" w:color="auto"/>
              <w:bottom w:val="nil"/>
              <w:right w:val="single" w:sz="4" w:space="0" w:color="auto"/>
            </w:tcBorders>
            <w:vAlign w:val="center"/>
          </w:tcPr>
          <w:p w14:paraId="02714750" w14:textId="77777777" w:rsidR="00620C4B" w:rsidRPr="00782783" w:rsidRDefault="00620C4B">
            <w:pPr>
              <w:keepNext/>
              <w:keepLines/>
              <w:jc w:val="center"/>
              <w:rPr>
                <w:rFonts w:ascii="Arial Narrow" w:eastAsia="Calibri" w:hAnsi="Arial Narrow" w:cs="Calibri"/>
                <w:sz w:val="20"/>
                <w:szCs w:val="20"/>
                <w:lang w:eastAsia="en-US"/>
              </w:rPr>
            </w:pPr>
            <w:r w:rsidRPr="00782783">
              <w:rPr>
                <w:rFonts w:ascii="Arial Narrow" w:eastAsia="Calibri" w:hAnsi="Arial Narrow" w:cs="Calibri"/>
                <w:sz w:val="20"/>
                <w:szCs w:val="20"/>
                <w:lang w:eastAsia="en-US"/>
              </w:rPr>
              <w:t>9.13 (1.90,43.86)</w:t>
            </w:r>
          </w:p>
        </w:tc>
        <w:tc>
          <w:tcPr>
            <w:tcW w:w="1560" w:type="dxa"/>
            <w:tcBorders>
              <w:top w:val="nil"/>
              <w:left w:val="single" w:sz="4" w:space="0" w:color="auto"/>
              <w:bottom w:val="nil"/>
              <w:right w:val="nil"/>
            </w:tcBorders>
            <w:vAlign w:val="center"/>
          </w:tcPr>
          <w:p w14:paraId="4EC96EA6" w14:textId="77777777" w:rsidR="00620C4B" w:rsidRPr="00782783" w:rsidRDefault="00620C4B">
            <w:pPr>
              <w:keepNext/>
              <w:keepLines/>
              <w:jc w:val="center"/>
              <w:rPr>
                <w:rFonts w:ascii="Arial Narrow" w:eastAsia="Calibri" w:hAnsi="Arial Narrow" w:cs="Calibri"/>
                <w:sz w:val="20"/>
                <w:szCs w:val="20"/>
                <w:lang w:eastAsia="en-US"/>
              </w:rPr>
            </w:pPr>
            <w:r w:rsidRPr="00782783">
              <w:rPr>
                <w:rFonts w:ascii="Arial Narrow" w:eastAsia="Calibri" w:hAnsi="Arial Narrow" w:cs="Calibri"/>
                <w:sz w:val="20"/>
                <w:szCs w:val="20"/>
                <w:lang w:eastAsia="en-US"/>
              </w:rPr>
              <w:t>0.39 (0.20, 0.58)</w:t>
            </w:r>
          </w:p>
        </w:tc>
        <w:tc>
          <w:tcPr>
            <w:tcW w:w="1569" w:type="dxa"/>
            <w:vMerge/>
            <w:tcBorders>
              <w:left w:val="nil"/>
              <w:right w:val="single" w:sz="4" w:space="0" w:color="auto"/>
            </w:tcBorders>
          </w:tcPr>
          <w:p w14:paraId="20A6C50E" w14:textId="77777777" w:rsidR="00620C4B" w:rsidRPr="00782783" w:rsidRDefault="00620C4B">
            <w:pPr>
              <w:keepNext/>
              <w:keepLines/>
              <w:jc w:val="center"/>
              <w:rPr>
                <w:rFonts w:ascii="Arial Narrow" w:eastAsia="Calibri" w:hAnsi="Arial Narrow" w:cs="Calibri"/>
                <w:sz w:val="20"/>
                <w:szCs w:val="20"/>
                <w:lang w:eastAsia="en-US"/>
              </w:rPr>
            </w:pPr>
          </w:p>
        </w:tc>
        <w:tc>
          <w:tcPr>
            <w:tcW w:w="861" w:type="dxa"/>
            <w:tcBorders>
              <w:top w:val="nil"/>
              <w:left w:val="single" w:sz="4" w:space="0" w:color="auto"/>
              <w:bottom w:val="nil"/>
              <w:right w:val="single" w:sz="4" w:space="0" w:color="auto"/>
            </w:tcBorders>
            <w:shd w:val="clear" w:color="auto" w:fill="FFFFFF" w:themeFill="background1"/>
            <w:vAlign w:val="center"/>
          </w:tcPr>
          <w:p w14:paraId="38E26009" w14:textId="77777777" w:rsidR="00620C4B" w:rsidRPr="00782783" w:rsidRDefault="00620C4B">
            <w:pPr>
              <w:keepNext/>
              <w:keepLines/>
              <w:jc w:val="center"/>
              <w:rPr>
                <w:rFonts w:ascii="Arial Narrow" w:eastAsia="Calibri" w:hAnsi="Arial Narrow" w:cs="Calibri"/>
                <w:sz w:val="20"/>
                <w:szCs w:val="20"/>
                <w:lang w:eastAsia="en-US"/>
              </w:rPr>
            </w:pPr>
            <w:r w:rsidRPr="00782783">
              <w:rPr>
                <w:rFonts w:ascii="Arial Narrow" w:eastAsia="Calibri" w:hAnsi="Arial Narrow" w:cs="Calibri"/>
                <w:sz w:val="20"/>
                <w:szCs w:val="20"/>
                <w:lang w:eastAsia="en-US"/>
              </w:rPr>
              <w:t>3 (2, 5)</w:t>
            </w:r>
          </w:p>
        </w:tc>
      </w:tr>
      <w:tr w:rsidR="00620C4B" w:rsidRPr="00782783" w14:paraId="67B2E4E2" w14:textId="77777777">
        <w:trPr>
          <w:trHeight w:val="17"/>
          <w:jc w:val="center"/>
        </w:trPr>
        <w:tc>
          <w:tcPr>
            <w:tcW w:w="3397" w:type="dxa"/>
            <w:gridSpan w:val="3"/>
            <w:tcBorders>
              <w:right w:val="single" w:sz="4" w:space="0" w:color="auto"/>
            </w:tcBorders>
            <w:noWrap/>
            <w:vAlign w:val="center"/>
          </w:tcPr>
          <w:p w14:paraId="7426F953" w14:textId="77777777" w:rsidR="00620C4B" w:rsidRPr="00782783" w:rsidRDefault="00620C4B">
            <w:pPr>
              <w:keepNext/>
              <w:keepLines/>
              <w:jc w:val="right"/>
              <w:rPr>
                <w:rFonts w:ascii="Arial Narrow" w:hAnsi="Arial Narrow" w:cs="Times New Roman"/>
                <w:sz w:val="20"/>
                <w:szCs w:val="20"/>
                <w:lang w:eastAsia="en-US"/>
              </w:rPr>
            </w:pPr>
            <w:r w:rsidRPr="00782783">
              <w:rPr>
                <w:rFonts w:ascii="Arial Narrow" w:eastAsia="Aptos" w:hAnsi="Arial Narrow" w:cs="Times New Roman"/>
                <w:kern w:val="2"/>
                <w:sz w:val="20"/>
                <w:szCs w:val="20"/>
                <w:lang w:eastAsia="en-US"/>
                <w14:ligatures w14:val="standardContextual"/>
              </w:rPr>
              <w:t>Meta analysis IFX vs PBO</w:t>
            </w:r>
          </w:p>
        </w:tc>
        <w:tc>
          <w:tcPr>
            <w:tcW w:w="1701" w:type="dxa"/>
            <w:tcBorders>
              <w:top w:val="nil"/>
              <w:left w:val="single" w:sz="4" w:space="0" w:color="auto"/>
              <w:bottom w:val="nil"/>
              <w:right w:val="single" w:sz="4" w:space="0" w:color="auto"/>
            </w:tcBorders>
            <w:vAlign w:val="center"/>
          </w:tcPr>
          <w:p w14:paraId="1637E61B" w14:textId="77777777" w:rsidR="00620C4B" w:rsidRPr="00782783" w:rsidRDefault="00620C4B">
            <w:pPr>
              <w:keepNext/>
              <w:keepLines/>
              <w:jc w:val="center"/>
              <w:rPr>
                <w:rFonts w:ascii="Arial Narrow" w:eastAsia="Calibri" w:hAnsi="Arial Narrow" w:cs="Calibri"/>
                <w:sz w:val="20"/>
                <w:szCs w:val="20"/>
                <w:lang w:eastAsia="en-US"/>
              </w:rPr>
            </w:pPr>
            <w:r w:rsidRPr="00782783">
              <w:rPr>
                <w:rFonts w:ascii="Arial Narrow" w:eastAsia="Calibri" w:hAnsi="Arial Narrow" w:cs="Calibri"/>
                <w:sz w:val="20"/>
                <w:szCs w:val="20"/>
                <w:lang w:eastAsia="en-US"/>
              </w:rPr>
              <w:t>8.20 (2.31,29.07)</w:t>
            </w:r>
          </w:p>
        </w:tc>
        <w:tc>
          <w:tcPr>
            <w:tcW w:w="1560" w:type="dxa"/>
            <w:tcBorders>
              <w:top w:val="nil"/>
              <w:left w:val="single" w:sz="4" w:space="0" w:color="auto"/>
              <w:bottom w:val="nil"/>
              <w:right w:val="nil"/>
            </w:tcBorders>
            <w:vAlign w:val="center"/>
          </w:tcPr>
          <w:p w14:paraId="79836482" w14:textId="77777777" w:rsidR="00620C4B" w:rsidRPr="00782783" w:rsidRDefault="00620C4B">
            <w:pPr>
              <w:keepNext/>
              <w:keepLines/>
              <w:jc w:val="center"/>
              <w:rPr>
                <w:rFonts w:ascii="Arial Narrow" w:eastAsia="Calibri" w:hAnsi="Arial Narrow" w:cs="Calibri"/>
                <w:sz w:val="20"/>
                <w:szCs w:val="20"/>
                <w:lang w:eastAsia="en-US"/>
              </w:rPr>
            </w:pPr>
            <w:r w:rsidRPr="00782783">
              <w:rPr>
                <w:rFonts w:ascii="Arial Narrow" w:eastAsia="Calibri" w:hAnsi="Arial Narrow" w:cs="Calibri"/>
                <w:sz w:val="20"/>
                <w:szCs w:val="20"/>
                <w:lang w:eastAsia="en-US"/>
              </w:rPr>
              <w:t>0.42 (0.21, 0.63)</w:t>
            </w:r>
          </w:p>
        </w:tc>
        <w:tc>
          <w:tcPr>
            <w:tcW w:w="1569" w:type="dxa"/>
            <w:vMerge/>
            <w:tcBorders>
              <w:left w:val="nil"/>
              <w:right w:val="single" w:sz="4" w:space="0" w:color="auto"/>
            </w:tcBorders>
          </w:tcPr>
          <w:p w14:paraId="40B3D31A" w14:textId="77777777" w:rsidR="00620C4B" w:rsidRPr="00782783" w:rsidRDefault="00620C4B">
            <w:pPr>
              <w:keepNext/>
              <w:keepLines/>
              <w:jc w:val="center"/>
              <w:rPr>
                <w:rFonts w:ascii="Arial Narrow" w:eastAsia="Calibri" w:hAnsi="Arial Narrow" w:cs="Calibri"/>
                <w:sz w:val="20"/>
                <w:szCs w:val="20"/>
                <w:lang w:eastAsia="en-US"/>
              </w:rPr>
            </w:pPr>
          </w:p>
        </w:tc>
        <w:tc>
          <w:tcPr>
            <w:tcW w:w="861" w:type="dxa"/>
            <w:tcBorders>
              <w:top w:val="nil"/>
              <w:left w:val="single" w:sz="4" w:space="0" w:color="auto"/>
              <w:bottom w:val="nil"/>
              <w:right w:val="single" w:sz="4" w:space="0" w:color="auto"/>
            </w:tcBorders>
            <w:vAlign w:val="center"/>
          </w:tcPr>
          <w:p w14:paraId="4DB65A4C" w14:textId="77777777" w:rsidR="00620C4B" w:rsidRPr="00782783" w:rsidRDefault="00620C4B">
            <w:pPr>
              <w:keepNext/>
              <w:keepLines/>
              <w:jc w:val="center"/>
              <w:rPr>
                <w:rFonts w:ascii="Arial Narrow" w:eastAsia="Calibri" w:hAnsi="Arial Narrow" w:cs="Calibri"/>
                <w:sz w:val="20"/>
                <w:szCs w:val="20"/>
                <w:lang w:eastAsia="en-US"/>
              </w:rPr>
            </w:pPr>
            <w:r w:rsidRPr="00782783">
              <w:rPr>
                <w:rFonts w:ascii="Arial Narrow" w:eastAsia="Calibri" w:hAnsi="Arial Narrow" w:cs="Calibri"/>
                <w:sz w:val="20"/>
                <w:szCs w:val="20"/>
                <w:lang w:eastAsia="en-US"/>
              </w:rPr>
              <w:t>2 (2, 5)</w:t>
            </w:r>
          </w:p>
        </w:tc>
      </w:tr>
      <w:tr w:rsidR="00620C4B" w:rsidRPr="00782783" w14:paraId="6F2B04B2" w14:textId="77777777">
        <w:trPr>
          <w:trHeight w:val="17"/>
          <w:jc w:val="center"/>
        </w:trPr>
        <w:tc>
          <w:tcPr>
            <w:tcW w:w="3397" w:type="dxa"/>
            <w:gridSpan w:val="3"/>
            <w:tcBorders>
              <w:right w:val="single" w:sz="4" w:space="0" w:color="auto"/>
            </w:tcBorders>
            <w:noWrap/>
            <w:vAlign w:val="center"/>
          </w:tcPr>
          <w:p w14:paraId="550392AF" w14:textId="77777777" w:rsidR="00620C4B" w:rsidRPr="00782783" w:rsidRDefault="00620C4B">
            <w:pPr>
              <w:keepNext/>
              <w:keepLines/>
              <w:jc w:val="right"/>
              <w:rPr>
                <w:rFonts w:ascii="Arial Narrow" w:hAnsi="Arial Narrow" w:cs="Times New Roman"/>
                <w:sz w:val="20"/>
                <w:szCs w:val="20"/>
                <w:lang w:val="pt-BR" w:eastAsia="en-US"/>
              </w:rPr>
            </w:pPr>
            <w:r w:rsidRPr="00782783">
              <w:rPr>
                <w:rFonts w:ascii="Arial Narrow" w:eastAsia="Aptos" w:hAnsi="Arial Narrow" w:cs="Times New Roman"/>
                <w:kern w:val="2"/>
                <w:sz w:val="20"/>
                <w:szCs w:val="20"/>
                <w:lang w:val="pt-BR" w:eastAsia="en-US"/>
                <w14:ligatures w14:val="standardContextual"/>
              </w:rPr>
              <w:t>Meta analysis ADA vs PBO</w:t>
            </w:r>
          </w:p>
        </w:tc>
        <w:tc>
          <w:tcPr>
            <w:tcW w:w="1701" w:type="dxa"/>
            <w:tcBorders>
              <w:top w:val="nil"/>
              <w:left w:val="single" w:sz="4" w:space="0" w:color="auto"/>
              <w:bottom w:val="nil"/>
              <w:right w:val="single" w:sz="4" w:space="0" w:color="auto"/>
            </w:tcBorders>
            <w:vAlign w:val="center"/>
          </w:tcPr>
          <w:p w14:paraId="051F2296" w14:textId="77777777" w:rsidR="00620C4B" w:rsidRPr="00782783" w:rsidRDefault="00620C4B">
            <w:pPr>
              <w:keepNext/>
              <w:keepLines/>
              <w:jc w:val="center"/>
              <w:rPr>
                <w:rFonts w:ascii="Arial Narrow" w:eastAsia="Calibri" w:hAnsi="Arial Narrow" w:cs="Calibri"/>
                <w:sz w:val="20"/>
                <w:szCs w:val="20"/>
                <w:lang w:eastAsia="en-US"/>
              </w:rPr>
            </w:pPr>
            <w:r w:rsidRPr="00782783">
              <w:rPr>
                <w:rFonts w:ascii="Arial Narrow" w:eastAsia="Calibri" w:hAnsi="Arial Narrow" w:cs="Calibri"/>
                <w:sz w:val="20"/>
                <w:szCs w:val="20"/>
                <w:lang w:eastAsia="en-US"/>
              </w:rPr>
              <w:t>0.37 (0.05, 2.69)</w:t>
            </w:r>
          </w:p>
        </w:tc>
        <w:tc>
          <w:tcPr>
            <w:tcW w:w="1560" w:type="dxa"/>
            <w:tcBorders>
              <w:top w:val="nil"/>
              <w:left w:val="single" w:sz="4" w:space="0" w:color="auto"/>
              <w:bottom w:val="nil"/>
              <w:right w:val="nil"/>
            </w:tcBorders>
            <w:vAlign w:val="center"/>
          </w:tcPr>
          <w:p w14:paraId="167E9442" w14:textId="369D619F" w:rsidR="00620C4B" w:rsidRPr="00782783" w:rsidRDefault="00FC7500">
            <w:pPr>
              <w:keepNext/>
              <w:keepLines/>
              <w:jc w:val="center"/>
              <w:rPr>
                <w:rFonts w:ascii="Arial Narrow" w:eastAsia="Calibri" w:hAnsi="Arial Narrow" w:cs="Calibri"/>
                <w:sz w:val="20"/>
                <w:szCs w:val="20"/>
                <w:lang w:eastAsia="en-US"/>
              </w:rPr>
            </w:pPr>
            <w:r>
              <w:rPr>
                <w:rFonts w:ascii="Arial Narrow" w:eastAsia="Calibri" w:hAnsi="Arial Narrow" w:cs="Calibri"/>
                <w:sz w:val="20"/>
                <w:szCs w:val="20"/>
                <w:lang w:eastAsia="en-US"/>
              </w:rPr>
              <w:noBreakHyphen/>
            </w:r>
            <w:r w:rsidR="00620C4B" w:rsidRPr="00782783">
              <w:rPr>
                <w:rFonts w:ascii="Arial Narrow" w:eastAsia="Calibri" w:hAnsi="Arial Narrow" w:cs="Calibri"/>
                <w:sz w:val="20"/>
                <w:szCs w:val="20"/>
                <w:lang w:eastAsia="en-US"/>
              </w:rPr>
              <w:t>0.05 (</w:t>
            </w:r>
            <w:r>
              <w:rPr>
                <w:rFonts w:ascii="Arial Narrow" w:eastAsia="Calibri" w:hAnsi="Arial Narrow" w:cs="Calibri"/>
                <w:sz w:val="20"/>
                <w:szCs w:val="20"/>
                <w:lang w:eastAsia="en-US"/>
              </w:rPr>
              <w:noBreakHyphen/>
            </w:r>
            <w:r w:rsidR="00620C4B" w:rsidRPr="00782783">
              <w:rPr>
                <w:rFonts w:ascii="Arial Narrow" w:eastAsia="Calibri" w:hAnsi="Arial Narrow" w:cs="Calibri"/>
                <w:sz w:val="20"/>
                <w:szCs w:val="20"/>
                <w:lang w:eastAsia="en-US"/>
              </w:rPr>
              <w:t>0.70, 0.59)</w:t>
            </w:r>
          </w:p>
        </w:tc>
        <w:tc>
          <w:tcPr>
            <w:tcW w:w="1569" w:type="dxa"/>
            <w:vMerge/>
            <w:tcBorders>
              <w:left w:val="nil"/>
              <w:right w:val="single" w:sz="4" w:space="0" w:color="auto"/>
            </w:tcBorders>
          </w:tcPr>
          <w:p w14:paraId="110A718F" w14:textId="77777777" w:rsidR="00620C4B" w:rsidRPr="00782783" w:rsidRDefault="00620C4B">
            <w:pPr>
              <w:keepNext/>
              <w:keepLines/>
              <w:jc w:val="center"/>
              <w:rPr>
                <w:rFonts w:ascii="Arial Narrow" w:eastAsia="Calibri" w:hAnsi="Arial Narrow" w:cs="Calibri"/>
                <w:sz w:val="20"/>
                <w:szCs w:val="20"/>
                <w:lang w:eastAsia="en-US"/>
              </w:rPr>
            </w:pPr>
          </w:p>
        </w:tc>
        <w:tc>
          <w:tcPr>
            <w:tcW w:w="861" w:type="dxa"/>
            <w:tcBorders>
              <w:top w:val="nil"/>
              <w:left w:val="single" w:sz="4" w:space="0" w:color="auto"/>
              <w:bottom w:val="nil"/>
              <w:right w:val="single" w:sz="4" w:space="0" w:color="auto"/>
            </w:tcBorders>
            <w:vAlign w:val="center"/>
          </w:tcPr>
          <w:p w14:paraId="58B33CA9" w14:textId="77777777" w:rsidR="00620C4B" w:rsidRPr="00782783" w:rsidRDefault="00620C4B">
            <w:pPr>
              <w:keepNext/>
              <w:keepLines/>
              <w:jc w:val="center"/>
              <w:rPr>
                <w:rFonts w:ascii="Arial Narrow" w:eastAsia="Calibri" w:hAnsi="Arial Narrow" w:cs="Calibri"/>
                <w:sz w:val="20"/>
                <w:szCs w:val="20"/>
                <w:lang w:eastAsia="en-US"/>
              </w:rPr>
            </w:pPr>
            <w:r w:rsidRPr="00782783">
              <w:rPr>
                <w:rFonts w:ascii="Arial Narrow" w:eastAsia="Calibri" w:hAnsi="Arial Narrow" w:cs="Calibri"/>
                <w:sz w:val="20"/>
                <w:szCs w:val="20"/>
                <w:lang w:eastAsia="en-US"/>
              </w:rPr>
              <w:t>NS</w:t>
            </w:r>
          </w:p>
        </w:tc>
      </w:tr>
      <w:tr w:rsidR="00620C4B" w:rsidRPr="00782783" w14:paraId="53B9CE1B" w14:textId="77777777">
        <w:trPr>
          <w:trHeight w:val="17"/>
          <w:jc w:val="center"/>
        </w:trPr>
        <w:tc>
          <w:tcPr>
            <w:tcW w:w="3397" w:type="dxa"/>
            <w:gridSpan w:val="3"/>
            <w:tcBorders>
              <w:right w:val="single" w:sz="4" w:space="0" w:color="auto"/>
            </w:tcBorders>
            <w:noWrap/>
            <w:vAlign w:val="center"/>
          </w:tcPr>
          <w:p w14:paraId="606010AE" w14:textId="77777777" w:rsidR="00620C4B" w:rsidRPr="00782783" w:rsidRDefault="00620C4B">
            <w:pPr>
              <w:keepNext/>
              <w:keepLines/>
              <w:jc w:val="right"/>
              <w:rPr>
                <w:rFonts w:ascii="Arial Narrow" w:hAnsi="Arial Narrow" w:cs="Times New Roman"/>
                <w:sz w:val="20"/>
                <w:szCs w:val="20"/>
                <w:lang w:eastAsia="en-US"/>
              </w:rPr>
            </w:pPr>
            <w:r w:rsidRPr="00782783">
              <w:rPr>
                <w:rFonts w:ascii="Arial Narrow" w:eastAsia="Aptos" w:hAnsi="Arial Narrow" w:cs="Times New Roman"/>
                <w:kern w:val="2"/>
                <w:sz w:val="20"/>
                <w:szCs w:val="20"/>
                <w:lang w:eastAsia="en-US"/>
                <w14:ligatures w14:val="standardContextual"/>
              </w:rPr>
              <w:t>Meta analysis UST vs PBO</w:t>
            </w:r>
          </w:p>
        </w:tc>
        <w:tc>
          <w:tcPr>
            <w:tcW w:w="1701" w:type="dxa"/>
            <w:tcBorders>
              <w:top w:val="nil"/>
              <w:left w:val="single" w:sz="4" w:space="0" w:color="auto"/>
              <w:bottom w:val="nil"/>
              <w:right w:val="single" w:sz="4" w:space="0" w:color="auto"/>
            </w:tcBorders>
            <w:vAlign w:val="center"/>
          </w:tcPr>
          <w:p w14:paraId="606CD254" w14:textId="77777777" w:rsidR="00620C4B" w:rsidRPr="00782783" w:rsidRDefault="00620C4B">
            <w:pPr>
              <w:keepNext/>
              <w:keepLines/>
              <w:jc w:val="center"/>
              <w:rPr>
                <w:rFonts w:ascii="Arial Narrow" w:eastAsia="Calibri" w:hAnsi="Arial Narrow" w:cs="Calibri"/>
                <w:sz w:val="20"/>
                <w:szCs w:val="20"/>
                <w:lang w:eastAsia="en-US"/>
              </w:rPr>
            </w:pPr>
            <w:r w:rsidRPr="00782783">
              <w:rPr>
                <w:rFonts w:ascii="Arial Narrow" w:eastAsia="Calibri" w:hAnsi="Arial Narrow" w:cs="Calibri"/>
                <w:sz w:val="20"/>
                <w:szCs w:val="20"/>
                <w:lang w:eastAsia="en-US"/>
              </w:rPr>
              <w:t>3.03 (0.85,10.80)</w:t>
            </w:r>
          </w:p>
        </w:tc>
        <w:tc>
          <w:tcPr>
            <w:tcW w:w="1560" w:type="dxa"/>
            <w:tcBorders>
              <w:top w:val="nil"/>
              <w:left w:val="single" w:sz="4" w:space="0" w:color="auto"/>
              <w:bottom w:val="nil"/>
              <w:right w:val="nil"/>
            </w:tcBorders>
            <w:vAlign w:val="center"/>
          </w:tcPr>
          <w:p w14:paraId="49CDC8AA" w14:textId="5A33490A" w:rsidR="00620C4B" w:rsidRPr="00782783" w:rsidRDefault="00620C4B">
            <w:pPr>
              <w:keepNext/>
              <w:keepLines/>
              <w:jc w:val="center"/>
              <w:rPr>
                <w:rFonts w:ascii="Arial Narrow" w:eastAsia="Calibri" w:hAnsi="Arial Narrow" w:cs="Calibri"/>
                <w:sz w:val="20"/>
                <w:szCs w:val="20"/>
                <w:lang w:eastAsia="en-US"/>
              </w:rPr>
            </w:pPr>
            <w:r w:rsidRPr="00782783">
              <w:rPr>
                <w:rFonts w:ascii="Arial Narrow" w:eastAsia="Calibri" w:hAnsi="Arial Narrow" w:cs="Calibri"/>
                <w:sz w:val="20"/>
                <w:szCs w:val="20"/>
                <w:lang w:eastAsia="en-US"/>
              </w:rPr>
              <w:t>0.14 (</w:t>
            </w:r>
            <w:r w:rsidR="00FC7500">
              <w:rPr>
                <w:rFonts w:ascii="Arial Narrow" w:eastAsia="Calibri" w:hAnsi="Arial Narrow" w:cs="Calibri"/>
                <w:sz w:val="20"/>
                <w:szCs w:val="20"/>
                <w:lang w:eastAsia="en-US"/>
              </w:rPr>
              <w:noBreakHyphen/>
            </w:r>
            <w:r w:rsidRPr="00782783">
              <w:rPr>
                <w:rFonts w:ascii="Arial Narrow" w:eastAsia="Calibri" w:hAnsi="Arial Narrow" w:cs="Calibri"/>
                <w:sz w:val="20"/>
                <w:szCs w:val="20"/>
                <w:lang w:eastAsia="en-US"/>
              </w:rPr>
              <w:t>0.02, 0.30)</w:t>
            </w:r>
          </w:p>
        </w:tc>
        <w:tc>
          <w:tcPr>
            <w:tcW w:w="1569" w:type="dxa"/>
            <w:vMerge/>
            <w:tcBorders>
              <w:left w:val="nil"/>
              <w:right w:val="single" w:sz="4" w:space="0" w:color="auto"/>
            </w:tcBorders>
          </w:tcPr>
          <w:p w14:paraId="76980E07" w14:textId="77777777" w:rsidR="00620C4B" w:rsidRPr="00782783" w:rsidRDefault="00620C4B">
            <w:pPr>
              <w:keepNext/>
              <w:keepLines/>
              <w:jc w:val="center"/>
              <w:rPr>
                <w:rFonts w:ascii="Arial Narrow" w:eastAsia="Calibri" w:hAnsi="Arial Narrow" w:cs="Calibri"/>
                <w:sz w:val="20"/>
                <w:szCs w:val="20"/>
                <w:lang w:eastAsia="en-US"/>
              </w:rPr>
            </w:pPr>
          </w:p>
        </w:tc>
        <w:tc>
          <w:tcPr>
            <w:tcW w:w="861" w:type="dxa"/>
            <w:tcBorders>
              <w:top w:val="nil"/>
              <w:left w:val="single" w:sz="4" w:space="0" w:color="auto"/>
              <w:bottom w:val="nil"/>
              <w:right w:val="single" w:sz="4" w:space="0" w:color="auto"/>
            </w:tcBorders>
            <w:vAlign w:val="center"/>
          </w:tcPr>
          <w:p w14:paraId="425F0E71" w14:textId="77777777" w:rsidR="00620C4B" w:rsidRPr="00782783" w:rsidRDefault="00620C4B">
            <w:pPr>
              <w:keepNext/>
              <w:keepLines/>
              <w:jc w:val="center"/>
              <w:rPr>
                <w:rFonts w:ascii="Arial Narrow" w:eastAsia="Calibri" w:hAnsi="Arial Narrow" w:cs="Calibri"/>
                <w:sz w:val="20"/>
                <w:szCs w:val="20"/>
                <w:lang w:eastAsia="en-US"/>
              </w:rPr>
            </w:pPr>
            <w:r w:rsidRPr="00782783">
              <w:rPr>
                <w:rFonts w:ascii="Arial Narrow" w:eastAsia="Calibri" w:hAnsi="Arial Narrow" w:cs="Calibri"/>
                <w:sz w:val="20"/>
                <w:szCs w:val="20"/>
                <w:lang w:eastAsia="en-US"/>
              </w:rPr>
              <w:t>NS</w:t>
            </w:r>
          </w:p>
        </w:tc>
      </w:tr>
      <w:tr w:rsidR="00620C4B" w:rsidRPr="00782783" w14:paraId="285EE9EA" w14:textId="77777777">
        <w:trPr>
          <w:trHeight w:val="17"/>
          <w:jc w:val="center"/>
        </w:trPr>
        <w:tc>
          <w:tcPr>
            <w:tcW w:w="3397" w:type="dxa"/>
            <w:gridSpan w:val="3"/>
            <w:tcBorders>
              <w:bottom w:val="single" w:sz="4" w:space="0" w:color="auto"/>
              <w:right w:val="single" w:sz="4" w:space="0" w:color="auto"/>
            </w:tcBorders>
            <w:noWrap/>
            <w:vAlign w:val="center"/>
          </w:tcPr>
          <w:p w14:paraId="1A24BF79" w14:textId="77777777" w:rsidR="00620C4B" w:rsidRPr="00782783" w:rsidRDefault="00620C4B">
            <w:pPr>
              <w:keepNext/>
              <w:keepLines/>
              <w:jc w:val="right"/>
              <w:rPr>
                <w:rFonts w:ascii="Arial Narrow" w:hAnsi="Arial Narrow" w:cs="Times New Roman"/>
                <w:sz w:val="20"/>
                <w:szCs w:val="20"/>
                <w:lang w:eastAsia="en-US"/>
              </w:rPr>
            </w:pPr>
            <w:r w:rsidRPr="00782783">
              <w:rPr>
                <w:rFonts w:ascii="Arial Narrow" w:hAnsi="Arial Narrow" w:cstheme="minorHAnsi"/>
                <w:sz w:val="20"/>
                <w:szCs w:val="20"/>
              </w:rPr>
              <w:t xml:space="preserve">Indirect comparison: UPA vs IFX </w:t>
            </w:r>
          </w:p>
        </w:tc>
        <w:tc>
          <w:tcPr>
            <w:tcW w:w="1701" w:type="dxa"/>
            <w:tcBorders>
              <w:top w:val="nil"/>
              <w:left w:val="single" w:sz="4" w:space="0" w:color="auto"/>
              <w:bottom w:val="nil"/>
              <w:right w:val="single" w:sz="4" w:space="0" w:color="auto"/>
            </w:tcBorders>
            <w:vAlign w:val="center"/>
          </w:tcPr>
          <w:p w14:paraId="0ED23A62" w14:textId="77777777" w:rsidR="00620C4B" w:rsidRPr="00782783" w:rsidRDefault="00620C4B">
            <w:pPr>
              <w:keepNext/>
              <w:keepLines/>
              <w:jc w:val="center"/>
              <w:rPr>
                <w:rFonts w:ascii="Arial Narrow" w:eastAsia="Calibri" w:hAnsi="Arial Narrow" w:cs="Calibri"/>
                <w:color w:val="EE0000"/>
                <w:sz w:val="20"/>
                <w:szCs w:val="20"/>
                <w:lang w:eastAsia="en-US"/>
              </w:rPr>
            </w:pPr>
            <w:r w:rsidRPr="00782783">
              <w:rPr>
                <w:rFonts w:ascii="Arial Narrow" w:hAnsi="Arial Narrow"/>
                <w:sz w:val="20"/>
                <w:szCs w:val="20"/>
              </w:rPr>
              <w:t>1.11 (0.15, 8.37)</w:t>
            </w:r>
          </w:p>
        </w:tc>
        <w:tc>
          <w:tcPr>
            <w:tcW w:w="1560" w:type="dxa"/>
            <w:tcBorders>
              <w:top w:val="nil"/>
              <w:left w:val="single" w:sz="4" w:space="0" w:color="auto"/>
              <w:bottom w:val="nil"/>
              <w:right w:val="nil"/>
            </w:tcBorders>
            <w:vAlign w:val="center"/>
          </w:tcPr>
          <w:p w14:paraId="321688A2" w14:textId="03463D7B" w:rsidR="00620C4B" w:rsidRPr="00782783" w:rsidRDefault="00FC7500">
            <w:pPr>
              <w:keepNext/>
              <w:keepLines/>
              <w:jc w:val="center"/>
              <w:rPr>
                <w:rFonts w:ascii="Arial Narrow" w:eastAsia="Calibri" w:hAnsi="Arial Narrow" w:cs="Calibri"/>
                <w:color w:val="EE0000"/>
                <w:sz w:val="20"/>
                <w:szCs w:val="20"/>
                <w:lang w:eastAsia="en-US"/>
              </w:rPr>
            </w:pPr>
            <w:r>
              <w:rPr>
                <w:rFonts w:ascii="Arial Narrow" w:eastAsia="Calibri" w:hAnsi="Arial Narrow" w:cs="Calibri"/>
                <w:sz w:val="20"/>
                <w:szCs w:val="20"/>
                <w:lang w:eastAsia="en-US"/>
              </w:rPr>
              <w:noBreakHyphen/>
            </w:r>
            <w:r w:rsidR="00620C4B" w:rsidRPr="00782783">
              <w:rPr>
                <w:rFonts w:ascii="Arial Narrow" w:eastAsia="Calibri" w:hAnsi="Arial Narrow" w:cs="Calibri"/>
                <w:sz w:val="20"/>
                <w:szCs w:val="20"/>
                <w:lang w:eastAsia="en-US"/>
              </w:rPr>
              <w:t>0.03 (</w:t>
            </w:r>
            <w:r>
              <w:rPr>
                <w:rFonts w:ascii="Arial Narrow" w:eastAsia="Calibri" w:hAnsi="Arial Narrow" w:cs="Calibri"/>
                <w:sz w:val="20"/>
                <w:szCs w:val="20"/>
                <w:lang w:eastAsia="en-US"/>
              </w:rPr>
              <w:noBreakHyphen/>
            </w:r>
            <w:r w:rsidR="00620C4B" w:rsidRPr="00782783">
              <w:rPr>
                <w:rFonts w:ascii="Arial Narrow" w:eastAsia="Calibri" w:hAnsi="Arial Narrow" w:cs="Calibri"/>
                <w:sz w:val="20"/>
                <w:szCs w:val="20"/>
                <w:lang w:eastAsia="en-US"/>
              </w:rPr>
              <w:t>0.32, 0.25)</w:t>
            </w:r>
          </w:p>
        </w:tc>
        <w:tc>
          <w:tcPr>
            <w:tcW w:w="1569" w:type="dxa"/>
            <w:vMerge/>
            <w:tcBorders>
              <w:left w:val="nil"/>
              <w:right w:val="single" w:sz="4" w:space="0" w:color="auto"/>
            </w:tcBorders>
          </w:tcPr>
          <w:p w14:paraId="2584902F" w14:textId="77777777" w:rsidR="00620C4B" w:rsidRPr="00782783" w:rsidRDefault="00620C4B">
            <w:pPr>
              <w:keepNext/>
              <w:keepLines/>
              <w:jc w:val="center"/>
              <w:rPr>
                <w:rFonts w:ascii="Arial Narrow" w:eastAsia="Calibri" w:hAnsi="Arial Narrow" w:cs="Calibri"/>
                <w:sz w:val="20"/>
                <w:szCs w:val="20"/>
                <w:lang w:eastAsia="en-US"/>
              </w:rPr>
            </w:pPr>
          </w:p>
        </w:tc>
        <w:tc>
          <w:tcPr>
            <w:tcW w:w="861" w:type="dxa"/>
            <w:tcBorders>
              <w:top w:val="nil"/>
              <w:left w:val="single" w:sz="4" w:space="0" w:color="auto"/>
              <w:bottom w:val="nil"/>
              <w:right w:val="single" w:sz="4" w:space="0" w:color="auto"/>
            </w:tcBorders>
            <w:vAlign w:val="center"/>
          </w:tcPr>
          <w:p w14:paraId="699C330A" w14:textId="77777777" w:rsidR="00620C4B" w:rsidRPr="00782783" w:rsidRDefault="00620C4B">
            <w:pPr>
              <w:keepNext/>
              <w:keepLines/>
              <w:jc w:val="center"/>
              <w:rPr>
                <w:rFonts w:ascii="Arial Narrow" w:eastAsia="Calibri" w:hAnsi="Arial Narrow" w:cs="Calibri"/>
                <w:sz w:val="20"/>
                <w:szCs w:val="20"/>
                <w:lang w:eastAsia="en-US"/>
              </w:rPr>
            </w:pPr>
            <w:r w:rsidRPr="00782783">
              <w:rPr>
                <w:rFonts w:ascii="Arial Narrow" w:eastAsia="Calibri" w:hAnsi="Arial Narrow" w:cs="Calibri"/>
                <w:sz w:val="20"/>
                <w:szCs w:val="20"/>
                <w:lang w:eastAsia="en-US"/>
              </w:rPr>
              <w:t>NS</w:t>
            </w:r>
          </w:p>
        </w:tc>
      </w:tr>
      <w:tr w:rsidR="00620C4B" w:rsidRPr="00782783" w14:paraId="528CD786" w14:textId="77777777">
        <w:trPr>
          <w:trHeight w:val="17"/>
          <w:jc w:val="center"/>
        </w:trPr>
        <w:tc>
          <w:tcPr>
            <w:tcW w:w="3397" w:type="dxa"/>
            <w:gridSpan w:val="3"/>
            <w:tcBorders>
              <w:bottom w:val="single" w:sz="4" w:space="0" w:color="auto"/>
              <w:right w:val="single" w:sz="4" w:space="0" w:color="auto"/>
            </w:tcBorders>
            <w:noWrap/>
            <w:vAlign w:val="center"/>
          </w:tcPr>
          <w:p w14:paraId="5C408355" w14:textId="77777777" w:rsidR="00620C4B" w:rsidRPr="00782783" w:rsidRDefault="00620C4B">
            <w:pPr>
              <w:keepNext/>
              <w:keepLines/>
              <w:jc w:val="right"/>
              <w:rPr>
                <w:rFonts w:ascii="Arial Narrow" w:hAnsi="Arial Narrow" w:cs="Times New Roman"/>
                <w:sz w:val="20"/>
                <w:szCs w:val="20"/>
                <w:lang w:eastAsia="en-US"/>
              </w:rPr>
            </w:pPr>
            <w:r w:rsidRPr="00782783">
              <w:rPr>
                <w:rFonts w:ascii="Arial Narrow" w:hAnsi="Arial Narrow" w:cstheme="minorHAnsi"/>
                <w:sz w:val="20"/>
                <w:szCs w:val="20"/>
              </w:rPr>
              <w:t xml:space="preserve">Indirect comparison: UPA vs ADA </w:t>
            </w:r>
          </w:p>
        </w:tc>
        <w:tc>
          <w:tcPr>
            <w:tcW w:w="1701" w:type="dxa"/>
            <w:tcBorders>
              <w:top w:val="nil"/>
              <w:left w:val="single" w:sz="4" w:space="0" w:color="auto"/>
              <w:bottom w:val="nil"/>
              <w:right w:val="single" w:sz="4" w:space="0" w:color="auto"/>
            </w:tcBorders>
            <w:vAlign w:val="center"/>
          </w:tcPr>
          <w:p w14:paraId="31FB3F1A" w14:textId="77777777" w:rsidR="00620C4B" w:rsidRPr="00782783" w:rsidRDefault="00620C4B">
            <w:pPr>
              <w:pStyle w:val="TableText0"/>
              <w:widowControl w:val="0"/>
              <w:jc w:val="center"/>
              <w:rPr>
                <w:rFonts w:cstheme="minorHAnsi"/>
                <w:color w:val="EE0000"/>
                <w:szCs w:val="20"/>
              </w:rPr>
            </w:pPr>
            <w:r w:rsidRPr="00782783">
              <w:rPr>
                <w:szCs w:val="20"/>
              </w:rPr>
              <w:t>24.87 (1.97, 314.11)</w:t>
            </w:r>
          </w:p>
        </w:tc>
        <w:tc>
          <w:tcPr>
            <w:tcW w:w="1560" w:type="dxa"/>
            <w:tcBorders>
              <w:top w:val="nil"/>
              <w:left w:val="single" w:sz="4" w:space="0" w:color="auto"/>
              <w:bottom w:val="nil"/>
              <w:right w:val="nil"/>
            </w:tcBorders>
            <w:vAlign w:val="center"/>
          </w:tcPr>
          <w:p w14:paraId="0EB09F84" w14:textId="77777777" w:rsidR="00620C4B" w:rsidRPr="00782783" w:rsidRDefault="00620C4B">
            <w:pPr>
              <w:pStyle w:val="TableText0"/>
              <w:widowControl w:val="0"/>
              <w:jc w:val="center"/>
              <w:rPr>
                <w:rFonts w:cstheme="minorHAnsi"/>
                <w:color w:val="EE0000"/>
                <w:szCs w:val="20"/>
              </w:rPr>
            </w:pPr>
            <w:r w:rsidRPr="00782783">
              <w:rPr>
                <w:rFonts w:cstheme="minorHAnsi"/>
                <w:szCs w:val="20"/>
              </w:rPr>
              <w:t>0.44 (0.22, 0.65)</w:t>
            </w:r>
          </w:p>
        </w:tc>
        <w:tc>
          <w:tcPr>
            <w:tcW w:w="1569" w:type="dxa"/>
            <w:vMerge/>
            <w:tcBorders>
              <w:left w:val="nil"/>
              <w:right w:val="single" w:sz="4" w:space="0" w:color="auto"/>
            </w:tcBorders>
          </w:tcPr>
          <w:p w14:paraId="28E440FA" w14:textId="77777777" w:rsidR="00620C4B" w:rsidRPr="00782783" w:rsidRDefault="00620C4B">
            <w:pPr>
              <w:keepNext/>
              <w:keepLines/>
              <w:jc w:val="center"/>
              <w:rPr>
                <w:rFonts w:ascii="Arial Narrow" w:eastAsia="Calibri" w:hAnsi="Arial Narrow" w:cs="Calibri"/>
                <w:sz w:val="20"/>
                <w:szCs w:val="20"/>
                <w:lang w:eastAsia="en-US"/>
              </w:rPr>
            </w:pPr>
          </w:p>
        </w:tc>
        <w:tc>
          <w:tcPr>
            <w:tcW w:w="861" w:type="dxa"/>
            <w:tcBorders>
              <w:top w:val="nil"/>
              <w:left w:val="single" w:sz="4" w:space="0" w:color="auto"/>
              <w:bottom w:val="nil"/>
              <w:right w:val="single" w:sz="4" w:space="0" w:color="auto"/>
            </w:tcBorders>
            <w:vAlign w:val="center"/>
          </w:tcPr>
          <w:p w14:paraId="579D8F3C" w14:textId="77777777" w:rsidR="00620C4B" w:rsidRPr="00782783" w:rsidRDefault="00620C4B">
            <w:pPr>
              <w:keepNext/>
              <w:keepLines/>
              <w:jc w:val="center"/>
              <w:rPr>
                <w:rFonts w:ascii="Arial Narrow" w:eastAsia="Calibri" w:hAnsi="Arial Narrow" w:cs="Calibri"/>
                <w:sz w:val="20"/>
                <w:szCs w:val="20"/>
                <w:lang w:eastAsia="en-US"/>
              </w:rPr>
            </w:pPr>
            <w:r w:rsidRPr="00782783">
              <w:rPr>
                <w:rFonts w:ascii="Arial Narrow" w:eastAsia="Calibri" w:hAnsi="Arial Narrow" w:cs="Calibri"/>
                <w:sz w:val="20"/>
                <w:szCs w:val="20"/>
                <w:lang w:eastAsia="en-US"/>
              </w:rPr>
              <w:t>2 (2, 5)</w:t>
            </w:r>
          </w:p>
        </w:tc>
      </w:tr>
      <w:tr w:rsidR="00620C4B" w:rsidRPr="00782783" w14:paraId="1615E53C" w14:textId="77777777" w:rsidTr="00200CD6">
        <w:trPr>
          <w:trHeight w:val="463"/>
          <w:jc w:val="center"/>
        </w:trPr>
        <w:tc>
          <w:tcPr>
            <w:tcW w:w="3397" w:type="dxa"/>
            <w:gridSpan w:val="3"/>
            <w:tcBorders>
              <w:bottom w:val="single" w:sz="4" w:space="0" w:color="auto"/>
              <w:right w:val="single" w:sz="4" w:space="0" w:color="auto"/>
            </w:tcBorders>
            <w:noWrap/>
          </w:tcPr>
          <w:p w14:paraId="00350AA6" w14:textId="77777777" w:rsidR="00620C4B" w:rsidRPr="00782783" w:rsidRDefault="00620C4B" w:rsidP="003A5DA6">
            <w:pPr>
              <w:keepNext/>
              <w:keepLines/>
              <w:jc w:val="right"/>
              <w:rPr>
                <w:rFonts w:ascii="Arial Narrow" w:hAnsi="Arial Narrow" w:cs="Times New Roman"/>
                <w:sz w:val="20"/>
                <w:szCs w:val="20"/>
                <w:lang w:eastAsia="en-US"/>
              </w:rPr>
            </w:pPr>
            <w:r w:rsidRPr="00782783">
              <w:rPr>
                <w:rFonts w:ascii="Arial Narrow" w:hAnsi="Arial Narrow" w:cstheme="minorHAnsi"/>
                <w:sz w:val="20"/>
                <w:szCs w:val="20"/>
              </w:rPr>
              <w:t>Indirect comparison: UPA vs UST</w:t>
            </w:r>
          </w:p>
        </w:tc>
        <w:tc>
          <w:tcPr>
            <w:tcW w:w="1701" w:type="dxa"/>
            <w:tcBorders>
              <w:top w:val="nil"/>
              <w:left w:val="single" w:sz="4" w:space="0" w:color="auto"/>
              <w:bottom w:val="single" w:sz="4" w:space="0" w:color="auto"/>
              <w:right w:val="single" w:sz="4" w:space="0" w:color="auto"/>
            </w:tcBorders>
          </w:tcPr>
          <w:p w14:paraId="0DE6230D" w14:textId="77777777" w:rsidR="00620C4B" w:rsidRPr="00782783" w:rsidRDefault="00620C4B" w:rsidP="003A5DA6">
            <w:pPr>
              <w:pStyle w:val="TableText0"/>
              <w:widowControl w:val="0"/>
              <w:jc w:val="center"/>
              <w:rPr>
                <w:rFonts w:cstheme="minorHAnsi"/>
                <w:color w:val="EE0000"/>
                <w:szCs w:val="20"/>
              </w:rPr>
            </w:pPr>
            <w:r w:rsidRPr="00782783">
              <w:rPr>
                <w:szCs w:val="20"/>
              </w:rPr>
              <w:t>3.02 (0.40, 22.75)</w:t>
            </w:r>
          </w:p>
        </w:tc>
        <w:tc>
          <w:tcPr>
            <w:tcW w:w="1560" w:type="dxa"/>
            <w:tcBorders>
              <w:top w:val="nil"/>
              <w:left w:val="single" w:sz="4" w:space="0" w:color="auto"/>
              <w:bottom w:val="single" w:sz="4" w:space="0" w:color="auto"/>
              <w:right w:val="nil"/>
            </w:tcBorders>
          </w:tcPr>
          <w:p w14:paraId="50DB6BA9" w14:textId="01F6D418" w:rsidR="00620C4B" w:rsidRPr="00782783" w:rsidRDefault="00620C4B" w:rsidP="003A5DA6">
            <w:pPr>
              <w:pStyle w:val="TableText0"/>
              <w:widowControl w:val="0"/>
              <w:jc w:val="center"/>
              <w:rPr>
                <w:szCs w:val="20"/>
              </w:rPr>
            </w:pPr>
            <w:r w:rsidRPr="00782783">
              <w:rPr>
                <w:szCs w:val="20"/>
              </w:rPr>
              <w:t>0.24 (</w:t>
            </w:r>
            <w:r w:rsidR="00FC7500">
              <w:rPr>
                <w:szCs w:val="20"/>
              </w:rPr>
              <w:noBreakHyphen/>
            </w:r>
            <w:r w:rsidRPr="00782783">
              <w:rPr>
                <w:szCs w:val="20"/>
              </w:rPr>
              <w:t>0.01, 0.49)</w:t>
            </w:r>
          </w:p>
        </w:tc>
        <w:tc>
          <w:tcPr>
            <w:tcW w:w="1569" w:type="dxa"/>
            <w:vMerge/>
            <w:tcBorders>
              <w:left w:val="nil"/>
              <w:right w:val="single" w:sz="4" w:space="0" w:color="auto"/>
            </w:tcBorders>
          </w:tcPr>
          <w:p w14:paraId="0CBE149C" w14:textId="77777777" w:rsidR="00620C4B" w:rsidRPr="00782783" w:rsidRDefault="00620C4B">
            <w:pPr>
              <w:keepNext/>
              <w:keepLines/>
              <w:jc w:val="center"/>
              <w:rPr>
                <w:rFonts w:ascii="Arial Narrow" w:eastAsia="Calibri" w:hAnsi="Arial Narrow" w:cs="Calibri"/>
                <w:sz w:val="20"/>
                <w:szCs w:val="20"/>
                <w:lang w:eastAsia="en-US"/>
              </w:rPr>
            </w:pPr>
          </w:p>
        </w:tc>
        <w:tc>
          <w:tcPr>
            <w:tcW w:w="861" w:type="dxa"/>
            <w:tcBorders>
              <w:top w:val="nil"/>
              <w:left w:val="single" w:sz="4" w:space="0" w:color="auto"/>
              <w:bottom w:val="single" w:sz="4" w:space="0" w:color="auto"/>
              <w:right w:val="single" w:sz="4" w:space="0" w:color="auto"/>
            </w:tcBorders>
          </w:tcPr>
          <w:p w14:paraId="73296508" w14:textId="77777777" w:rsidR="00620C4B" w:rsidRPr="00782783" w:rsidRDefault="00620C4B" w:rsidP="003A5DA6">
            <w:pPr>
              <w:keepNext/>
              <w:keepLines/>
              <w:jc w:val="center"/>
              <w:rPr>
                <w:rFonts w:ascii="Arial Narrow" w:eastAsia="Calibri" w:hAnsi="Arial Narrow" w:cs="Calibri"/>
                <w:sz w:val="20"/>
                <w:szCs w:val="20"/>
                <w:lang w:eastAsia="en-US"/>
              </w:rPr>
            </w:pPr>
            <w:r w:rsidRPr="00782783">
              <w:rPr>
                <w:rFonts w:ascii="Arial Narrow" w:eastAsia="Calibri" w:hAnsi="Arial Narrow" w:cs="Calibri"/>
                <w:sz w:val="20"/>
                <w:szCs w:val="20"/>
                <w:lang w:eastAsia="en-US"/>
              </w:rPr>
              <w:t>NS</w:t>
            </w:r>
          </w:p>
        </w:tc>
      </w:tr>
    </w:tbl>
    <w:p w14:paraId="6107F60D" w14:textId="5BA51885" w:rsidR="00620C4B" w:rsidRDefault="00620C4B" w:rsidP="00620C4B">
      <w:pPr>
        <w:pStyle w:val="TableFigureFooter"/>
      </w:pPr>
      <w:bookmarkStart w:id="56" w:name="_Hlk216276782"/>
      <w:bookmarkEnd w:id="52"/>
      <w:r>
        <w:t>Source: 2</w:t>
      </w:r>
      <w:r w:rsidR="00FC7500">
        <w:noBreakHyphen/>
      </w:r>
      <w:r>
        <w:t>18, p79, Table 2</w:t>
      </w:r>
      <w:r w:rsidR="00FC7500">
        <w:noBreakHyphen/>
      </w:r>
      <w:r>
        <w:t>19, p80; Table 2</w:t>
      </w:r>
      <w:r w:rsidR="00FC7500">
        <w:noBreakHyphen/>
      </w:r>
      <w:r>
        <w:t>21, pp81</w:t>
      </w:r>
      <w:r w:rsidR="00FC7500">
        <w:noBreakHyphen/>
      </w:r>
      <w:r>
        <w:t>82; Table 2</w:t>
      </w:r>
      <w:r w:rsidR="00FC7500">
        <w:noBreakHyphen/>
      </w:r>
      <w:r>
        <w:t>35, pp95</w:t>
      </w:r>
      <w:r w:rsidR="00FC7500">
        <w:noBreakHyphen/>
      </w:r>
      <w:r>
        <w:t>96; Table 2</w:t>
      </w:r>
      <w:r w:rsidR="00FC7500">
        <w:noBreakHyphen/>
      </w:r>
      <w:r>
        <w:t>38, p101; Table 2</w:t>
      </w:r>
      <w:r w:rsidR="00FC7500">
        <w:noBreakHyphen/>
      </w:r>
      <w:r>
        <w:t>39, pp101</w:t>
      </w:r>
      <w:r w:rsidR="00FC7500">
        <w:noBreakHyphen/>
      </w:r>
      <w:r>
        <w:t>102 of the submission; Table 1.3, pp5</w:t>
      </w:r>
      <w:r w:rsidR="00FC7500">
        <w:noBreakHyphen/>
      </w:r>
      <w:r>
        <w:t>6, Attachment 2.9 of the submission. U</w:t>
      </w:r>
      <w:r w:rsidR="00FC7500">
        <w:noBreakHyphen/>
      </w:r>
      <w:r>
        <w:t>EXCEED and U</w:t>
      </w:r>
      <w:r w:rsidR="00FC7500">
        <w:noBreakHyphen/>
      </w:r>
      <w:r>
        <w:t>EXCEL: Colombel et al., 2023; T20 Present et al., 1999; Table 4, ustekinumab, PSD, July 2023 PBAC meeting. Italicised text added during the evaluation.</w:t>
      </w:r>
    </w:p>
    <w:p w14:paraId="097746F7" w14:textId="67F825DA" w:rsidR="00620C4B" w:rsidRDefault="00620C4B" w:rsidP="00620C4B">
      <w:pPr>
        <w:pStyle w:val="TableFigureFooter"/>
      </w:pPr>
      <w:r>
        <w:t xml:space="preserve">ADA = adalimumab; IFX = infliximab; PBO = placebo; NNT = Number needed to treat; </w:t>
      </w:r>
      <w:r w:rsidR="00B36B24">
        <w:t xml:space="preserve">NS = not significant; </w:t>
      </w:r>
      <w:r>
        <w:t>PBO = placebo; RD = risk difference; UPA = upadacitinib; UST = ustekinumab.</w:t>
      </w:r>
    </w:p>
    <w:p w14:paraId="3FEA16F8" w14:textId="13456D3B" w:rsidR="00620C4B" w:rsidRPr="00F5408F" w:rsidRDefault="00620C4B" w:rsidP="00620C4B">
      <w:pPr>
        <w:pStyle w:val="TableFigureFooter"/>
      </w:pPr>
      <w:r w:rsidRPr="00F5408F">
        <w:t>Note: Significance was not bolded due to post</w:t>
      </w:r>
      <w:r w:rsidR="00FC7500">
        <w:noBreakHyphen/>
      </w:r>
      <w:r w:rsidRPr="00F5408F">
        <w:t>hoc subgroup analysis</w:t>
      </w:r>
    </w:p>
    <w:p w14:paraId="12800C80" w14:textId="77777777" w:rsidR="00620C4B" w:rsidRPr="00F5408F" w:rsidRDefault="00620C4B" w:rsidP="00620C4B">
      <w:pPr>
        <w:pStyle w:val="TableFigureFooter"/>
      </w:pPr>
      <w:r w:rsidRPr="00F5408F">
        <w:rPr>
          <w:vertAlign w:val="superscript"/>
        </w:rPr>
        <w:t>a</w:t>
      </w:r>
      <w:r w:rsidRPr="00F5408F">
        <w:t xml:space="preserve"> RD results were presented as a percentage in the submission and Attachment 2.9 and not as a proportion therefore they differed from the ustekinumab submission considered at the July 2023 PBAC Meeting. Results were converted to proportions during the evaluation to match the ustekinumab PSD, July 2023 PBAC Meeting for comparison.</w:t>
      </w:r>
    </w:p>
    <w:p w14:paraId="556C4D43" w14:textId="77777777" w:rsidR="00620C4B" w:rsidRPr="00F5408F" w:rsidRDefault="00620C4B" w:rsidP="00620C4B">
      <w:pPr>
        <w:pStyle w:val="TableFigureFooter"/>
      </w:pPr>
      <w:r w:rsidRPr="00F5408F">
        <w:rPr>
          <w:vertAlign w:val="superscript"/>
        </w:rPr>
        <w:t>b</w:t>
      </w:r>
      <w:r w:rsidRPr="00F5408F">
        <w:t xml:space="preserve"> IFX – Presented in the submission as Week 4. 18 weeks was consistent with Present et al., 1999, page:1401 ‘median duration of response was approximately 3 months (Table 2)’</w:t>
      </w:r>
    </w:p>
    <w:p w14:paraId="36DCD71C" w14:textId="77777777" w:rsidR="00620C4B" w:rsidRPr="00F5408F" w:rsidRDefault="00620C4B" w:rsidP="00620C4B">
      <w:pPr>
        <w:pStyle w:val="TableFigureFooter"/>
      </w:pPr>
      <w:r w:rsidRPr="00F5408F">
        <w:rPr>
          <w:vertAlign w:val="superscript"/>
        </w:rPr>
        <w:lastRenderedPageBreak/>
        <w:t>c</w:t>
      </w:r>
      <w:r w:rsidRPr="00F5408F">
        <w:t xml:space="preserve"> Data in the submission appear to be duplication of ‘response’ results. Data presented are from Attachment 2.9</w:t>
      </w:r>
    </w:p>
    <w:p w14:paraId="513529DC" w14:textId="5D74310B" w:rsidR="00620C4B" w:rsidRPr="00F5408F" w:rsidRDefault="00620C4B" w:rsidP="00620C4B">
      <w:pPr>
        <w:pStyle w:val="TableFigureFooter"/>
      </w:pPr>
      <w:r w:rsidRPr="00F5408F">
        <w:rPr>
          <w:vertAlign w:val="superscript"/>
        </w:rPr>
        <w:t>d</w:t>
      </w:r>
      <w:r w:rsidRPr="00F5408F">
        <w:t xml:space="preserve"> Pooled UNITI</w:t>
      </w:r>
      <w:r w:rsidR="00FC7500">
        <w:noBreakHyphen/>
      </w:r>
      <w:r w:rsidRPr="00F5408F">
        <w:t>1/2 pooled results from Attachment 2.9.</w:t>
      </w:r>
    </w:p>
    <w:p w14:paraId="32665AB6" w14:textId="50D28FA7" w:rsidR="00863700" w:rsidRPr="00661707" w:rsidRDefault="007215EC" w:rsidP="00620C4B">
      <w:pPr>
        <w:pStyle w:val="3-BodyText"/>
      </w:pPr>
      <w:bookmarkStart w:id="57" w:name="_Hlk216449619"/>
      <w:bookmarkEnd w:id="56"/>
      <w:r w:rsidRPr="00661707">
        <w:rPr>
          <w:rFonts w:eastAsia="Calibri"/>
        </w:rPr>
        <w:t>D</w:t>
      </w:r>
      <w:r w:rsidR="007F5584" w:rsidRPr="00661707">
        <w:rPr>
          <w:rFonts w:eastAsia="Calibri"/>
        </w:rPr>
        <w:t xml:space="preserve">uring induction, </w:t>
      </w:r>
      <w:r w:rsidR="001100A6" w:rsidRPr="00661707">
        <w:rPr>
          <w:rFonts w:eastAsia="Calibri"/>
        </w:rPr>
        <w:t xml:space="preserve">upadacitinib </w:t>
      </w:r>
      <w:r w:rsidR="005508DC" w:rsidRPr="00661707">
        <w:rPr>
          <w:rFonts w:eastAsia="Calibri"/>
        </w:rPr>
        <w:t>achieved</w:t>
      </w:r>
      <w:r w:rsidR="008675F8" w:rsidRPr="00661707">
        <w:rPr>
          <w:rFonts w:eastAsia="Calibri"/>
        </w:rPr>
        <w:t xml:space="preserve"> significant</w:t>
      </w:r>
      <w:r w:rsidR="00D047CC" w:rsidRPr="00661707">
        <w:rPr>
          <w:rFonts w:eastAsia="Calibri"/>
        </w:rPr>
        <w:t>ly higher rates of fistula</w:t>
      </w:r>
      <w:r w:rsidR="007055CC" w:rsidRPr="00661707">
        <w:rPr>
          <w:rFonts w:eastAsia="Calibri"/>
        </w:rPr>
        <w:t xml:space="preserve"> </w:t>
      </w:r>
      <w:r w:rsidR="007F5584" w:rsidRPr="00661707">
        <w:rPr>
          <w:rFonts w:eastAsia="Calibri"/>
        </w:rPr>
        <w:t xml:space="preserve">response and </w:t>
      </w:r>
      <w:r w:rsidR="00D047CC" w:rsidRPr="00661707">
        <w:rPr>
          <w:rFonts w:eastAsia="Calibri"/>
        </w:rPr>
        <w:t xml:space="preserve">fistula </w:t>
      </w:r>
      <w:r w:rsidR="007F5584" w:rsidRPr="00661707">
        <w:rPr>
          <w:rFonts w:eastAsia="Calibri"/>
        </w:rPr>
        <w:t xml:space="preserve">remission </w:t>
      </w:r>
      <w:r w:rsidRPr="00661707">
        <w:rPr>
          <w:rFonts w:eastAsia="Calibri"/>
        </w:rPr>
        <w:t>compared to placebo</w:t>
      </w:r>
      <w:r w:rsidR="007F5584" w:rsidRPr="00661707">
        <w:rPr>
          <w:rFonts w:eastAsia="Calibri"/>
        </w:rPr>
        <w:t xml:space="preserve"> </w:t>
      </w:r>
      <w:r w:rsidR="005C78F5" w:rsidRPr="00661707">
        <w:rPr>
          <w:rFonts w:eastAsia="Calibri"/>
        </w:rPr>
        <w:t>(risk difference (</w:t>
      </w:r>
      <w:r w:rsidR="007F5584" w:rsidRPr="00661707">
        <w:rPr>
          <w:rFonts w:eastAsia="Calibri"/>
        </w:rPr>
        <w:t>RD</w:t>
      </w:r>
      <w:r w:rsidR="001D4B54" w:rsidRPr="00661707">
        <w:rPr>
          <w:rFonts w:eastAsia="Calibri"/>
        </w:rPr>
        <w:t xml:space="preserve">) = 0.36 </w:t>
      </w:r>
      <w:r w:rsidR="00AC039A" w:rsidRPr="00661707">
        <w:rPr>
          <w:rFonts w:eastAsia="Calibri"/>
        </w:rPr>
        <w:t xml:space="preserve">(0.16, 0.57) </w:t>
      </w:r>
      <w:r w:rsidR="001D4B54" w:rsidRPr="00661707">
        <w:rPr>
          <w:rFonts w:eastAsia="Calibri"/>
        </w:rPr>
        <w:t>and 0.39</w:t>
      </w:r>
      <w:r w:rsidR="00AC039A" w:rsidRPr="00661707">
        <w:rPr>
          <w:rFonts w:eastAsia="Calibri"/>
        </w:rPr>
        <w:t xml:space="preserve"> (0.20, 0.58)</w:t>
      </w:r>
      <w:r w:rsidR="001D4B54" w:rsidRPr="00661707">
        <w:rPr>
          <w:rFonts w:eastAsia="Calibri"/>
        </w:rPr>
        <w:t xml:space="preserve">, </w:t>
      </w:r>
      <w:r w:rsidR="005C2E2D" w:rsidRPr="00661707">
        <w:rPr>
          <w:rFonts w:eastAsia="Calibri"/>
        </w:rPr>
        <w:t>respectively).</w:t>
      </w:r>
      <w:r w:rsidR="007F5584" w:rsidRPr="00661707">
        <w:rPr>
          <w:rFonts w:eastAsia="Calibri"/>
        </w:rPr>
        <w:t xml:space="preserve"> </w:t>
      </w:r>
      <w:bookmarkStart w:id="58" w:name="_Hlk216712991"/>
    </w:p>
    <w:p w14:paraId="5F0E1D13" w14:textId="50B1FCE2" w:rsidR="00620C4B" w:rsidRPr="00661707" w:rsidRDefault="00620C4B" w:rsidP="00620C4B">
      <w:pPr>
        <w:pStyle w:val="3-BodyText"/>
      </w:pPr>
      <w:r w:rsidRPr="00661707">
        <w:t>For the outcome of fistula response (≥50% reduction in number of draining fistulae from baseline) in the induction trials, the indirect comparison favoured upadacitinib over adalimumab and ustekinumab (RD = 0.46</w:t>
      </w:r>
      <w:r w:rsidR="00E63ECC">
        <w:t xml:space="preserve"> </w:t>
      </w:r>
      <w:r w:rsidRPr="00661707">
        <w:t xml:space="preserve">and 0.31, respectively); however, the comparison favoured infliximab over upadacitinib (RD = </w:t>
      </w:r>
      <w:r w:rsidR="00FC7500">
        <w:noBreakHyphen/>
      </w:r>
      <w:r w:rsidRPr="00661707">
        <w:t>0.06).</w:t>
      </w:r>
    </w:p>
    <w:p w14:paraId="3B7E3E70" w14:textId="32E191EB" w:rsidR="00620C4B" w:rsidRPr="00661707" w:rsidRDefault="00620C4B" w:rsidP="00620C4B">
      <w:pPr>
        <w:pStyle w:val="3-BodyText"/>
      </w:pPr>
      <w:bookmarkStart w:id="59" w:name="_Hlk216449836"/>
      <w:bookmarkEnd w:id="57"/>
      <w:r w:rsidRPr="00661707">
        <w:t>For the outcome of fistula remission</w:t>
      </w:r>
      <w:bookmarkStart w:id="60" w:name="_Hlk216712709"/>
      <w:r w:rsidRPr="00661707">
        <w:t xml:space="preserve"> (complete closure/absence of all draining fistulae) in the induction trials, the indirect comparison favoured upadacitinib over adalimumab and ustekinumab (RD = 0.44 and 0.24, respectively); however, the comparison</w:t>
      </w:r>
      <w:r w:rsidR="009A613E">
        <w:t xml:space="preserve"> </w:t>
      </w:r>
      <w:r w:rsidR="00D0248E">
        <w:t xml:space="preserve">numerically </w:t>
      </w:r>
      <w:r w:rsidRPr="00661707">
        <w:t xml:space="preserve">favoured infliximab over upadacitinib (RD = </w:t>
      </w:r>
      <w:r w:rsidR="00FC7500">
        <w:noBreakHyphen/>
      </w:r>
      <w:r w:rsidRPr="00661707">
        <w:t>0.03).</w:t>
      </w:r>
      <w:r w:rsidR="004376C4" w:rsidRPr="00661707">
        <w:t xml:space="preserve"> </w:t>
      </w:r>
      <w:bookmarkEnd w:id="60"/>
    </w:p>
    <w:bookmarkEnd w:id="58"/>
    <w:bookmarkEnd w:id="59"/>
    <w:p w14:paraId="752E3509" w14:textId="0CBF9DD5" w:rsidR="00620C4B" w:rsidRPr="00661707" w:rsidRDefault="00620C4B" w:rsidP="00620C4B">
      <w:pPr>
        <w:pStyle w:val="3-BodyText"/>
        <w:sectPr w:rsidR="00620C4B" w:rsidRPr="00661707" w:rsidSect="00620C4B">
          <w:pgSz w:w="11907" w:h="16840" w:code="9"/>
          <w:pgMar w:top="1440" w:right="1440" w:bottom="1440" w:left="1440" w:header="1440" w:footer="1440" w:gutter="0"/>
          <w:cols w:space="708"/>
          <w:docGrid w:linePitch="360"/>
        </w:sectPr>
      </w:pPr>
      <w:r w:rsidRPr="00661707">
        <w:fldChar w:fldCharType="begin"/>
      </w:r>
      <w:r w:rsidRPr="00661707">
        <w:instrText xml:space="preserve"> REF _Ref216540978 \h </w:instrText>
      </w:r>
      <w:r w:rsidR="00661707" w:rsidRPr="00661707">
        <w:instrText xml:space="preserve"> \* MERGEFORMAT </w:instrText>
      </w:r>
      <w:r w:rsidRPr="00661707">
        <w:fldChar w:fldCharType="separate"/>
      </w:r>
      <w:r w:rsidRPr="00661707">
        <w:t xml:space="preserve">Table </w:t>
      </w:r>
      <w:r w:rsidRPr="00661707">
        <w:rPr>
          <w:noProof/>
        </w:rPr>
        <w:t>5</w:t>
      </w:r>
      <w:r w:rsidRPr="00661707">
        <w:fldChar w:fldCharType="end"/>
      </w:r>
      <w:r w:rsidRPr="00661707">
        <w:t xml:space="preserve"> summarises fistula response and fistula remission outcomes for patients with fistulising CD enrolled in the maintenance trials.</w:t>
      </w:r>
    </w:p>
    <w:p w14:paraId="08B59F1F" w14:textId="1BDA0DDC" w:rsidR="00620C4B" w:rsidRDefault="00620C4B" w:rsidP="00620C4B">
      <w:pPr>
        <w:pStyle w:val="Caption"/>
        <w:rPr>
          <w:rStyle w:val="CommentReference"/>
          <w:b/>
          <w:szCs w:val="24"/>
        </w:rPr>
      </w:pPr>
      <w:bookmarkStart w:id="61" w:name="_Ref216540978"/>
      <w:r>
        <w:lastRenderedPageBreak/>
        <w:t xml:space="preserve">Table </w:t>
      </w:r>
      <w:fldSimple w:instr=" SEQ Table \* ARABIC ">
        <w:r w:rsidR="000C3F10">
          <w:rPr>
            <w:noProof/>
          </w:rPr>
          <w:t>5</w:t>
        </w:r>
      </w:fldSimple>
      <w:bookmarkEnd w:id="61"/>
      <w:r w:rsidRPr="0098262F">
        <w:t>:</w:t>
      </w:r>
      <w:r w:rsidRPr="0098262F">
        <w:rPr>
          <w:rStyle w:val="CommentReference"/>
          <w:b/>
          <w:szCs w:val="24"/>
        </w:rPr>
        <w:t xml:space="preserve"> </w:t>
      </w:r>
      <w:r>
        <w:rPr>
          <w:rStyle w:val="CommentReference"/>
          <w:b/>
          <w:szCs w:val="24"/>
        </w:rPr>
        <w:t>Maintenance r</w:t>
      </w:r>
      <w:r w:rsidRPr="0098262F">
        <w:rPr>
          <w:rStyle w:val="CommentReference"/>
          <w:b/>
          <w:szCs w:val="24"/>
        </w:rPr>
        <w:t>esults of</w:t>
      </w:r>
      <w:r>
        <w:rPr>
          <w:rStyle w:val="CommentReference"/>
          <w:b/>
          <w:szCs w:val="24"/>
        </w:rPr>
        <w:t xml:space="preserve"> FCD</w:t>
      </w:r>
      <w:r w:rsidRPr="0098262F">
        <w:rPr>
          <w:rStyle w:val="CommentReference"/>
          <w:b/>
          <w:szCs w:val="24"/>
        </w:rPr>
        <w:t xml:space="preserve"> across the trials: </w:t>
      </w:r>
      <w:r w:rsidRPr="006D595F">
        <w:rPr>
          <w:rStyle w:val="CommentReference"/>
          <w:b/>
          <w:szCs w:val="24"/>
        </w:rPr>
        <w:t>fistula response and fistula remission</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5: Maintenance results of FCD across the trials: fistula response and fistula remission"/>
      </w:tblPr>
      <w:tblGrid>
        <w:gridCol w:w="1130"/>
        <w:gridCol w:w="1133"/>
        <w:gridCol w:w="1138"/>
        <w:gridCol w:w="1701"/>
        <w:gridCol w:w="1702"/>
        <w:gridCol w:w="1279"/>
        <w:gridCol w:w="934"/>
      </w:tblGrid>
      <w:tr w:rsidR="00620C4B" w:rsidRPr="00207023" w14:paraId="25881C85" w14:textId="77777777">
        <w:trPr>
          <w:trHeight w:val="19"/>
          <w:tblHeader/>
          <w:jc w:val="center"/>
        </w:trPr>
        <w:tc>
          <w:tcPr>
            <w:tcW w:w="627" w:type="pct"/>
            <w:tcBorders>
              <w:bottom w:val="single" w:sz="4" w:space="0" w:color="auto"/>
            </w:tcBorders>
            <w:noWrap/>
            <w:vAlign w:val="center"/>
          </w:tcPr>
          <w:p w14:paraId="3AA61DB0" w14:textId="77777777" w:rsidR="00620C4B" w:rsidRPr="00207023" w:rsidRDefault="00620C4B">
            <w:pPr>
              <w:keepNext/>
              <w:jc w:val="center"/>
              <w:rPr>
                <w:rFonts w:ascii="Arial Narrow" w:eastAsia="Calibri" w:hAnsi="Arial Narrow" w:cs="Calibri"/>
                <w:b/>
                <w:sz w:val="20"/>
                <w:szCs w:val="20"/>
                <w:lang w:eastAsia="en-US"/>
              </w:rPr>
            </w:pPr>
            <w:bookmarkStart w:id="62" w:name="_Hlk216721289"/>
            <w:r w:rsidRPr="00207023">
              <w:rPr>
                <w:rFonts w:ascii="Arial Narrow" w:eastAsia="Calibri" w:hAnsi="Arial Narrow" w:cs="Calibri"/>
                <w:b/>
                <w:sz w:val="20"/>
                <w:szCs w:val="20"/>
                <w:lang w:eastAsia="en-US"/>
              </w:rPr>
              <w:t>Trial</w:t>
            </w:r>
          </w:p>
        </w:tc>
        <w:tc>
          <w:tcPr>
            <w:tcW w:w="628" w:type="pct"/>
            <w:tcBorders>
              <w:bottom w:val="single" w:sz="4" w:space="0" w:color="auto"/>
            </w:tcBorders>
            <w:vAlign w:val="center"/>
          </w:tcPr>
          <w:p w14:paraId="11CDAFF9" w14:textId="77777777" w:rsidR="00620C4B" w:rsidRPr="00207023" w:rsidRDefault="00620C4B">
            <w:pPr>
              <w:keepNext/>
              <w:jc w:val="center"/>
              <w:rPr>
                <w:rFonts w:ascii="Arial Narrow" w:eastAsia="Calibri" w:hAnsi="Arial Narrow" w:cs="Calibri"/>
                <w:b/>
                <w:sz w:val="20"/>
                <w:szCs w:val="20"/>
                <w:lang w:eastAsia="en-US"/>
              </w:rPr>
            </w:pPr>
            <w:r w:rsidRPr="00207023">
              <w:rPr>
                <w:rFonts w:ascii="Arial Narrow" w:eastAsia="Calibri" w:hAnsi="Arial Narrow" w:cs="Calibri"/>
                <w:b/>
                <w:sz w:val="20"/>
                <w:szCs w:val="20"/>
                <w:lang w:eastAsia="en-US"/>
              </w:rPr>
              <w:t>Active treatment</w:t>
            </w:r>
          </w:p>
          <w:p w14:paraId="1AE49E6E" w14:textId="77777777" w:rsidR="00620C4B" w:rsidRPr="00207023" w:rsidRDefault="00620C4B">
            <w:pPr>
              <w:keepNext/>
              <w:jc w:val="center"/>
              <w:rPr>
                <w:rFonts w:ascii="Arial Narrow" w:eastAsia="Calibri" w:hAnsi="Arial Narrow" w:cs="Calibri"/>
                <w:b/>
                <w:sz w:val="20"/>
                <w:szCs w:val="20"/>
                <w:lang w:eastAsia="en-US"/>
              </w:rPr>
            </w:pPr>
            <w:r w:rsidRPr="00207023">
              <w:rPr>
                <w:rFonts w:ascii="Arial Narrow" w:eastAsia="Calibri" w:hAnsi="Arial Narrow" w:cs="Calibri"/>
                <w:b/>
                <w:sz w:val="20"/>
                <w:szCs w:val="20"/>
                <w:lang w:eastAsia="en-US"/>
              </w:rPr>
              <w:t>n/N (%)</w:t>
            </w:r>
          </w:p>
        </w:tc>
        <w:tc>
          <w:tcPr>
            <w:tcW w:w="631" w:type="pct"/>
            <w:tcBorders>
              <w:bottom w:val="single" w:sz="4" w:space="0" w:color="auto"/>
            </w:tcBorders>
            <w:vAlign w:val="center"/>
          </w:tcPr>
          <w:p w14:paraId="4F9E9390" w14:textId="77777777" w:rsidR="00620C4B" w:rsidRPr="00207023" w:rsidRDefault="00620C4B">
            <w:pPr>
              <w:keepNext/>
              <w:jc w:val="center"/>
              <w:rPr>
                <w:rFonts w:ascii="Arial Narrow" w:eastAsia="Calibri" w:hAnsi="Arial Narrow" w:cs="Calibri"/>
                <w:b/>
                <w:sz w:val="20"/>
                <w:szCs w:val="20"/>
                <w:lang w:eastAsia="en-US"/>
              </w:rPr>
            </w:pPr>
            <w:r w:rsidRPr="00207023">
              <w:rPr>
                <w:rFonts w:ascii="Arial Narrow" w:eastAsia="Calibri" w:hAnsi="Arial Narrow" w:cs="Calibri"/>
                <w:b/>
                <w:sz w:val="20"/>
                <w:szCs w:val="20"/>
                <w:lang w:eastAsia="en-US"/>
              </w:rPr>
              <w:t>PBO</w:t>
            </w:r>
          </w:p>
          <w:p w14:paraId="118FDE98" w14:textId="77777777" w:rsidR="00620C4B" w:rsidRPr="00207023" w:rsidRDefault="00620C4B">
            <w:pPr>
              <w:keepNext/>
              <w:jc w:val="center"/>
              <w:rPr>
                <w:rFonts w:ascii="Arial Narrow" w:eastAsia="Calibri" w:hAnsi="Arial Narrow" w:cs="Calibri"/>
                <w:b/>
                <w:sz w:val="20"/>
                <w:szCs w:val="20"/>
                <w:lang w:eastAsia="en-US"/>
              </w:rPr>
            </w:pPr>
            <w:r w:rsidRPr="00207023">
              <w:rPr>
                <w:rFonts w:ascii="Arial Narrow" w:eastAsia="Calibri" w:hAnsi="Arial Narrow" w:cs="Calibri"/>
                <w:b/>
                <w:sz w:val="20"/>
                <w:szCs w:val="20"/>
                <w:lang w:eastAsia="en-US"/>
              </w:rPr>
              <w:t>n/N (%)</w:t>
            </w:r>
          </w:p>
        </w:tc>
        <w:tc>
          <w:tcPr>
            <w:tcW w:w="943" w:type="pct"/>
            <w:tcBorders>
              <w:bottom w:val="single" w:sz="4" w:space="0" w:color="auto"/>
            </w:tcBorders>
            <w:vAlign w:val="center"/>
          </w:tcPr>
          <w:p w14:paraId="575B3A8B" w14:textId="77777777" w:rsidR="00620C4B" w:rsidRPr="00207023" w:rsidRDefault="00620C4B">
            <w:pPr>
              <w:keepNext/>
              <w:jc w:val="center"/>
              <w:rPr>
                <w:rFonts w:ascii="Arial Narrow" w:eastAsia="Calibri" w:hAnsi="Arial Narrow" w:cs="Calibri"/>
                <w:b/>
                <w:sz w:val="20"/>
                <w:szCs w:val="20"/>
                <w:lang w:eastAsia="en-US"/>
              </w:rPr>
            </w:pPr>
            <w:r w:rsidRPr="00207023">
              <w:rPr>
                <w:rFonts w:ascii="Arial Narrow" w:eastAsia="Calibri" w:hAnsi="Arial Narrow" w:cs="Calibri"/>
                <w:b/>
                <w:sz w:val="20"/>
                <w:szCs w:val="20"/>
                <w:lang w:eastAsia="en-US"/>
              </w:rPr>
              <w:t>OR (95%CI)</w:t>
            </w:r>
          </w:p>
          <w:p w14:paraId="61E1D1B7" w14:textId="77777777" w:rsidR="00620C4B" w:rsidRPr="00207023" w:rsidRDefault="00620C4B">
            <w:pPr>
              <w:keepNext/>
              <w:jc w:val="center"/>
              <w:rPr>
                <w:rFonts w:ascii="Arial Narrow" w:eastAsia="Calibri" w:hAnsi="Arial Narrow" w:cs="Calibri"/>
                <w:b/>
                <w:sz w:val="20"/>
                <w:szCs w:val="20"/>
                <w:lang w:eastAsia="en-US"/>
              </w:rPr>
            </w:pPr>
            <w:r w:rsidRPr="00207023">
              <w:rPr>
                <w:rFonts w:ascii="Arial Narrow" w:eastAsia="Calibri" w:hAnsi="Arial Narrow" w:cs="Calibri"/>
                <w:b/>
                <w:sz w:val="20"/>
                <w:szCs w:val="20"/>
                <w:lang w:eastAsia="en-US"/>
              </w:rPr>
              <w:t>(result &gt;1 favours intervention)</w:t>
            </w:r>
          </w:p>
        </w:tc>
        <w:tc>
          <w:tcPr>
            <w:tcW w:w="1653" w:type="pct"/>
            <w:gridSpan w:val="2"/>
            <w:tcBorders>
              <w:bottom w:val="single" w:sz="4" w:space="0" w:color="auto"/>
              <w:right w:val="single" w:sz="4" w:space="0" w:color="auto"/>
            </w:tcBorders>
            <w:vAlign w:val="center"/>
          </w:tcPr>
          <w:p w14:paraId="2F3756E9" w14:textId="77777777" w:rsidR="00620C4B" w:rsidRPr="00207023" w:rsidRDefault="00620C4B">
            <w:pPr>
              <w:keepNext/>
              <w:jc w:val="center"/>
              <w:rPr>
                <w:rFonts w:ascii="Arial Narrow" w:eastAsia="Calibri" w:hAnsi="Arial Narrow" w:cs="Calibri"/>
                <w:b/>
                <w:sz w:val="20"/>
                <w:szCs w:val="20"/>
                <w:lang w:eastAsia="en-US"/>
              </w:rPr>
            </w:pPr>
            <w:r w:rsidRPr="00207023">
              <w:rPr>
                <w:rFonts w:ascii="Arial Narrow" w:eastAsia="Calibri" w:hAnsi="Arial Narrow" w:cs="Calibri"/>
                <w:b/>
                <w:sz w:val="20"/>
                <w:szCs w:val="20"/>
                <w:lang w:eastAsia="en-US"/>
              </w:rPr>
              <w:t>RD (95%CI)</w:t>
            </w:r>
            <w:r w:rsidRPr="00207023">
              <w:rPr>
                <w:rFonts w:ascii="Arial Narrow" w:eastAsia="Calibri" w:hAnsi="Arial Narrow" w:cs="Calibri"/>
                <w:b/>
                <w:sz w:val="20"/>
                <w:szCs w:val="20"/>
                <w:vertAlign w:val="superscript"/>
                <w:lang w:eastAsia="en-US"/>
              </w:rPr>
              <w:t>a</w:t>
            </w:r>
          </w:p>
        </w:tc>
        <w:tc>
          <w:tcPr>
            <w:tcW w:w="518" w:type="pct"/>
            <w:tcBorders>
              <w:left w:val="single" w:sz="4" w:space="0" w:color="auto"/>
            </w:tcBorders>
            <w:vAlign w:val="center"/>
          </w:tcPr>
          <w:p w14:paraId="790E0507" w14:textId="77777777" w:rsidR="00620C4B" w:rsidRPr="00207023" w:rsidRDefault="00620C4B">
            <w:pPr>
              <w:keepNext/>
              <w:jc w:val="center"/>
              <w:rPr>
                <w:rFonts w:ascii="Arial Narrow" w:eastAsia="Calibri" w:hAnsi="Arial Narrow" w:cs="Calibri"/>
                <w:b/>
                <w:sz w:val="20"/>
                <w:szCs w:val="20"/>
                <w:lang w:eastAsia="en-US"/>
              </w:rPr>
            </w:pPr>
            <w:r w:rsidRPr="00207023">
              <w:rPr>
                <w:rFonts w:ascii="Arial Narrow" w:eastAsia="Calibri" w:hAnsi="Arial Narrow" w:cs="Calibri"/>
                <w:b/>
                <w:sz w:val="20"/>
                <w:szCs w:val="20"/>
                <w:lang w:eastAsia="en-US"/>
              </w:rPr>
              <w:t>NNT</w:t>
            </w:r>
          </w:p>
          <w:p w14:paraId="29E3DC53" w14:textId="77777777" w:rsidR="00620C4B" w:rsidRPr="00207023" w:rsidRDefault="00620C4B">
            <w:pPr>
              <w:keepNext/>
              <w:jc w:val="center"/>
              <w:rPr>
                <w:rFonts w:ascii="Arial Narrow" w:eastAsia="Calibri" w:hAnsi="Arial Narrow" w:cs="Calibri"/>
                <w:b/>
                <w:sz w:val="20"/>
                <w:szCs w:val="20"/>
                <w:lang w:eastAsia="en-US"/>
              </w:rPr>
            </w:pPr>
            <w:r w:rsidRPr="00207023">
              <w:rPr>
                <w:rFonts w:ascii="Arial Narrow" w:eastAsia="Calibri" w:hAnsi="Arial Narrow" w:cs="Calibri"/>
                <w:b/>
                <w:sz w:val="20"/>
                <w:szCs w:val="20"/>
                <w:lang w:eastAsia="en-US"/>
              </w:rPr>
              <w:t>(95% CI)</w:t>
            </w:r>
          </w:p>
        </w:tc>
      </w:tr>
      <w:tr w:rsidR="00620C4B" w:rsidRPr="00207023" w14:paraId="26A0D47B" w14:textId="77777777">
        <w:trPr>
          <w:trHeight w:val="22"/>
          <w:jc w:val="center"/>
        </w:trPr>
        <w:tc>
          <w:tcPr>
            <w:tcW w:w="5000" w:type="pct"/>
            <w:gridSpan w:val="7"/>
            <w:tcBorders>
              <w:top w:val="single" w:sz="4" w:space="0" w:color="auto"/>
              <w:left w:val="single" w:sz="4" w:space="0" w:color="auto"/>
              <w:bottom w:val="single" w:sz="4" w:space="0" w:color="auto"/>
            </w:tcBorders>
            <w:noWrap/>
            <w:vAlign w:val="center"/>
          </w:tcPr>
          <w:p w14:paraId="71BACEEA" w14:textId="2859979A" w:rsidR="00620C4B" w:rsidRPr="00207023" w:rsidRDefault="00620C4B">
            <w:pPr>
              <w:keepNext/>
              <w:jc w:val="left"/>
              <w:rPr>
                <w:rFonts w:ascii="Arial Narrow" w:eastAsiaTheme="majorEastAsia" w:hAnsi="Arial Narrow" w:cstheme="minorHAnsi"/>
                <w:b/>
                <w:sz w:val="20"/>
                <w:szCs w:val="20"/>
              </w:rPr>
            </w:pPr>
            <w:r w:rsidRPr="00207023">
              <w:rPr>
                <w:rFonts w:ascii="Arial Narrow" w:eastAsiaTheme="majorEastAsia" w:hAnsi="Arial Narrow" w:cstheme="minorHAnsi"/>
                <w:b/>
                <w:sz w:val="20"/>
                <w:szCs w:val="20"/>
              </w:rPr>
              <w:t xml:space="preserve">Maintenance </w:t>
            </w:r>
            <w:r w:rsidR="00FC7500">
              <w:rPr>
                <w:rFonts w:ascii="Arial Narrow" w:eastAsiaTheme="majorEastAsia" w:hAnsi="Arial Narrow" w:cstheme="minorHAnsi"/>
                <w:b/>
                <w:sz w:val="20"/>
                <w:szCs w:val="20"/>
              </w:rPr>
              <w:noBreakHyphen/>
            </w:r>
            <w:r w:rsidRPr="00207023">
              <w:rPr>
                <w:rFonts w:ascii="Arial Narrow" w:eastAsiaTheme="majorEastAsia" w:hAnsi="Arial Narrow" w:cstheme="minorHAnsi"/>
                <w:b/>
                <w:sz w:val="20"/>
                <w:szCs w:val="20"/>
              </w:rPr>
              <w:t xml:space="preserve"> Fistula Response (≥50% reduction in number of draining fistula from baseline), n (%)</w:t>
            </w:r>
          </w:p>
        </w:tc>
      </w:tr>
      <w:tr w:rsidR="00620C4B" w:rsidRPr="00207023" w14:paraId="5EC3BF6E" w14:textId="77777777">
        <w:trPr>
          <w:trHeight w:val="22"/>
          <w:jc w:val="center"/>
        </w:trPr>
        <w:tc>
          <w:tcPr>
            <w:tcW w:w="627"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30434B3" w14:textId="432B12E3" w:rsidR="00620C4B" w:rsidRPr="00207023" w:rsidRDefault="00620C4B">
            <w:pPr>
              <w:keepNext/>
              <w:jc w:val="left"/>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bCs/>
                <w:sz w:val="20"/>
                <w:szCs w:val="20"/>
              </w:rPr>
              <w:t>U</w:t>
            </w:r>
            <w:r w:rsidR="00FC7500">
              <w:rPr>
                <w:rFonts w:ascii="Arial Narrow" w:eastAsiaTheme="majorEastAsia" w:hAnsi="Arial Narrow" w:cstheme="minorHAnsi"/>
                <w:bCs/>
                <w:sz w:val="20"/>
                <w:szCs w:val="20"/>
              </w:rPr>
              <w:noBreakHyphen/>
            </w:r>
            <w:r w:rsidRPr="00207023">
              <w:rPr>
                <w:rFonts w:ascii="Arial Narrow" w:eastAsiaTheme="majorEastAsia" w:hAnsi="Arial Narrow" w:cstheme="minorHAnsi"/>
                <w:bCs/>
                <w:sz w:val="20"/>
                <w:szCs w:val="20"/>
              </w:rPr>
              <w:t>ENDURE (15/30 mg)</w:t>
            </w:r>
          </w:p>
        </w:tc>
        <w:tc>
          <w:tcPr>
            <w:tcW w:w="6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66B7A"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bCs/>
                <w:sz w:val="20"/>
                <w:szCs w:val="20"/>
              </w:rPr>
              <w:t>4/28 (14.3)</w:t>
            </w:r>
          </w:p>
        </w:tc>
        <w:tc>
          <w:tcPr>
            <w:tcW w:w="6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606DC" w14:textId="33E2130D"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bCs/>
                <w:sz w:val="20"/>
                <w:szCs w:val="20"/>
              </w:rPr>
              <w:t>0</w:t>
            </w:r>
            <w:r w:rsidR="00AF57E5" w:rsidRPr="00207023">
              <w:rPr>
                <w:rFonts w:ascii="Arial Narrow" w:eastAsiaTheme="majorEastAsia" w:hAnsi="Arial Narrow" w:cstheme="minorHAnsi"/>
                <w:bCs/>
                <w:sz w:val="20"/>
                <w:szCs w:val="20"/>
              </w:rPr>
              <w:t>/</w:t>
            </w:r>
            <w:r w:rsidR="000A013B" w:rsidRPr="00207023">
              <w:rPr>
                <w:rFonts w:ascii="Arial Narrow" w:eastAsiaTheme="majorEastAsia" w:hAnsi="Arial Narrow" w:cstheme="minorHAnsi"/>
                <w:bCs/>
                <w:sz w:val="20"/>
                <w:szCs w:val="20"/>
              </w:rPr>
              <w:t>8 (0.0)</w:t>
            </w:r>
          </w:p>
        </w:tc>
        <w:tc>
          <w:tcPr>
            <w:tcW w:w="943" w:type="pct"/>
            <w:tcBorders>
              <w:top w:val="nil"/>
              <w:left w:val="single" w:sz="4" w:space="0" w:color="auto"/>
              <w:bottom w:val="nil"/>
              <w:right w:val="single" w:sz="4" w:space="0" w:color="auto"/>
            </w:tcBorders>
            <w:shd w:val="clear" w:color="auto" w:fill="FFFFFF" w:themeFill="background1"/>
            <w:vAlign w:val="center"/>
          </w:tcPr>
          <w:p w14:paraId="02B1E0BF"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bCs/>
                <w:sz w:val="20"/>
                <w:szCs w:val="20"/>
              </w:rPr>
              <w:t>3.12 (0.15, 64.25)</w:t>
            </w:r>
          </w:p>
        </w:tc>
        <w:tc>
          <w:tcPr>
            <w:tcW w:w="944" w:type="pct"/>
            <w:tcBorders>
              <w:top w:val="nil"/>
              <w:left w:val="single" w:sz="4" w:space="0" w:color="auto"/>
              <w:bottom w:val="nil"/>
              <w:right w:val="nil"/>
            </w:tcBorders>
            <w:shd w:val="clear" w:color="auto" w:fill="FFFFFF" w:themeFill="background1"/>
            <w:vAlign w:val="center"/>
          </w:tcPr>
          <w:p w14:paraId="7D07A30D" w14:textId="6911344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0.14 (</w:t>
            </w:r>
            <w:r w:rsidR="00FC7500">
              <w:rPr>
                <w:rFonts w:ascii="Arial Narrow" w:eastAsiaTheme="majorEastAsia" w:hAnsi="Arial Narrow" w:cstheme="minorHAnsi"/>
                <w:sz w:val="20"/>
                <w:szCs w:val="20"/>
                <w:lang w:eastAsia="en-US" w:bidi="en-US"/>
              </w:rPr>
              <w:noBreakHyphen/>
            </w:r>
            <w:r w:rsidRPr="00207023">
              <w:rPr>
                <w:rFonts w:ascii="Arial Narrow" w:eastAsiaTheme="majorEastAsia" w:hAnsi="Arial Narrow" w:cstheme="minorHAnsi"/>
                <w:sz w:val="20"/>
                <w:szCs w:val="20"/>
                <w:lang w:eastAsia="en-US" w:bidi="en-US"/>
              </w:rPr>
              <w:t>0.06, 0.34)</w:t>
            </w:r>
          </w:p>
        </w:tc>
        <w:tc>
          <w:tcPr>
            <w:tcW w:w="709" w:type="pct"/>
            <w:vMerge w:val="restart"/>
            <w:tcBorders>
              <w:left w:val="nil"/>
              <w:right w:val="single" w:sz="4" w:space="0" w:color="auto"/>
            </w:tcBorders>
          </w:tcPr>
          <w:p w14:paraId="29071540" w14:textId="2DB9C5AB" w:rsidR="00620C4B" w:rsidRPr="00207023" w:rsidRDefault="009C3F49">
            <w:pPr>
              <w:keepNext/>
              <w:jc w:val="center"/>
              <w:rPr>
                <w:rFonts w:ascii="Arial Narrow" w:eastAsiaTheme="majorEastAsia" w:hAnsi="Arial Narrow" w:cstheme="minorHAnsi"/>
                <w:bCs/>
                <w:sz w:val="20"/>
                <w:szCs w:val="20"/>
              </w:rPr>
            </w:pPr>
            <w:r w:rsidRPr="00207023">
              <w:rPr>
                <w:rFonts w:ascii="Arial Narrow" w:eastAsiaTheme="majorEastAsia" w:hAnsi="Arial Narrow" w:cstheme="minorHAnsi"/>
                <w:bCs/>
                <w:noProof/>
                <w:sz w:val="20"/>
                <w:szCs w:val="20"/>
              </w:rPr>
              <w:drawing>
                <wp:inline distT="0" distB="0" distL="0" distR="0" wp14:anchorId="4AE10F75" wp14:editId="0537C8C7">
                  <wp:extent cx="714375" cy="1990725"/>
                  <wp:effectExtent l="0" t="0" r="9525" b="9525"/>
                  <wp:docPr id="2050125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125838" name=""/>
                          <pic:cNvPicPr/>
                        </pic:nvPicPr>
                        <pic:blipFill>
                          <a:blip r:embed="rId19"/>
                          <a:stretch>
                            <a:fillRect/>
                          </a:stretch>
                        </pic:blipFill>
                        <pic:spPr>
                          <a:xfrm>
                            <a:off x="0" y="0"/>
                            <a:ext cx="714375" cy="1990725"/>
                          </a:xfrm>
                          <a:prstGeom prst="rect">
                            <a:avLst/>
                          </a:prstGeom>
                        </pic:spPr>
                      </pic:pic>
                    </a:graphicData>
                  </a:graphic>
                </wp:inline>
              </w:drawing>
            </w:r>
          </w:p>
        </w:tc>
        <w:tc>
          <w:tcPr>
            <w:tcW w:w="518" w:type="pct"/>
            <w:tcBorders>
              <w:top w:val="nil"/>
              <w:left w:val="single" w:sz="4" w:space="0" w:color="auto"/>
              <w:bottom w:val="nil"/>
              <w:right w:val="single" w:sz="4" w:space="0" w:color="auto"/>
            </w:tcBorders>
          </w:tcPr>
          <w:p w14:paraId="0FC6F578" w14:textId="77777777" w:rsidR="00620C4B" w:rsidRPr="00207023" w:rsidRDefault="00620C4B">
            <w:pPr>
              <w:keepNext/>
              <w:jc w:val="center"/>
              <w:rPr>
                <w:rFonts w:ascii="Arial Narrow" w:eastAsiaTheme="majorEastAsia" w:hAnsi="Arial Narrow" w:cstheme="minorHAnsi"/>
                <w:bCs/>
                <w:sz w:val="20"/>
                <w:szCs w:val="20"/>
              </w:rPr>
            </w:pPr>
            <w:r w:rsidRPr="00207023">
              <w:rPr>
                <w:rFonts w:ascii="Arial Narrow" w:eastAsiaTheme="majorEastAsia" w:hAnsi="Arial Narrow" w:cstheme="minorHAnsi"/>
                <w:bCs/>
                <w:sz w:val="20"/>
                <w:szCs w:val="20"/>
              </w:rPr>
              <w:t>NS</w:t>
            </w:r>
          </w:p>
        </w:tc>
      </w:tr>
      <w:tr w:rsidR="00620C4B" w:rsidRPr="00207023" w14:paraId="4CF5B9AB" w14:textId="77777777" w:rsidTr="00BB49C9">
        <w:trPr>
          <w:trHeight w:val="22"/>
          <w:jc w:val="center"/>
        </w:trPr>
        <w:tc>
          <w:tcPr>
            <w:tcW w:w="1886" w:type="pct"/>
            <w:gridSpan w:val="3"/>
            <w:tcBorders>
              <w:bottom w:val="single" w:sz="4" w:space="0" w:color="auto"/>
              <w:right w:val="single" w:sz="4" w:space="0" w:color="auto"/>
            </w:tcBorders>
            <w:shd w:val="clear" w:color="auto" w:fill="DBE5F1" w:themeFill="accent1" w:themeFillTint="33"/>
            <w:noWrap/>
            <w:vAlign w:val="center"/>
          </w:tcPr>
          <w:p w14:paraId="1693B9B4" w14:textId="77777777" w:rsidR="00620C4B" w:rsidRPr="00207023" w:rsidRDefault="00620C4B">
            <w:pPr>
              <w:keepNext/>
              <w:jc w:val="left"/>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 xml:space="preserve">IFX (5mg/kg Q8W) – Week 56 </w:t>
            </w:r>
          </w:p>
        </w:tc>
        <w:tc>
          <w:tcPr>
            <w:tcW w:w="943" w:type="pct"/>
            <w:tcBorders>
              <w:top w:val="nil"/>
              <w:left w:val="single" w:sz="4" w:space="0" w:color="auto"/>
              <w:bottom w:val="nil"/>
              <w:right w:val="single" w:sz="4" w:space="0" w:color="auto"/>
            </w:tcBorders>
            <w:shd w:val="clear" w:color="auto" w:fill="DBE5F1" w:themeFill="accent1" w:themeFillTint="33"/>
            <w:vAlign w:val="center"/>
          </w:tcPr>
          <w:p w14:paraId="3C47E098" w14:textId="77777777" w:rsidR="00620C4B" w:rsidRPr="00207023" w:rsidRDefault="00620C4B">
            <w:pPr>
              <w:keepNext/>
              <w:jc w:val="center"/>
              <w:rPr>
                <w:rFonts w:ascii="Arial Narrow" w:eastAsiaTheme="majorEastAsia" w:hAnsi="Arial Narrow" w:cstheme="minorHAnsi"/>
                <w:sz w:val="20"/>
                <w:szCs w:val="20"/>
                <w:lang w:eastAsia="en-US" w:bidi="en-US"/>
              </w:rPr>
            </w:pPr>
          </w:p>
        </w:tc>
        <w:tc>
          <w:tcPr>
            <w:tcW w:w="944" w:type="pct"/>
            <w:tcBorders>
              <w:top w:val="nil"/>
              <w:left w:val="single" w:sz="4" w:space="0" w:color="auto"/>
              <w:bottom w:val="nil"/>
              <w:right w:val="nil"/>
            </w:tcBorders>
            <w:shd w:val="clear" w:color="auto" w:fill="DBE5F1" w:themeFill="accent1" w:themeFillTint="33"/>
            <w:vAlign w:val="center"/>
          </w:tcPr>
          <w:p w14:paraId="2C7FF585" w14:textId="77777777" w:rsidR="00620C4B" w:rsidRPr="00207023" w:rsidRDefault="00620C4B">
            <w:pPr>
              <w:keepNext/>
              <w:jc w:val="center"/>
              <w:rPr>
                <w:rFonts w:ascii="Arial Narrow" w:eastAsiaTheme="majorEastAsia" w:hAnsi="Arial Narrow" w:cstheme="minorHAnsi"/>
                <w:sz w:val="20"/>
                <w:szCs w:val="20"/>
                <w:lang w:eastAsia="en-US" w:bidi="en-US"/>
              </w:rPr>
            </w:pPr>
          </w:p>
        </w:tc>
        <w:tc>
          <w:tcPr>
            <w:tcW w:w="709" w:type="pct"/>
            <w:vMerge/>
            <w:tcBorders>
              <w:left w:val="nil"/>
              <w:right w:val="single" w:sz="4" w:space="0" w:color="auto"/>
            </w:tcBorders>
            <w:vAlign w:val="center"/>
          </w:tcPr>
          <w:p w14:paraId="43FAC20A" w14:textId="77777777" w:rsidR="00620C4B" w:rsidRPr="00207023" w:rsidRDefault="00620C4B">
            <w:pPr>
              <w:keepNext/>
              <w:jc w:val="left"/>
              <w:rPr>
                <w:rFonts w:ascii="Arial Narrow" w:eastAsiaTheme="majorEastAsia" w:hAnsi="Arial Narrow" w:cstheme="minorHAnsi"/>
                <w:sz w:val="20"/>
                <w:szCs w:val="20"/>
                <w:lang w:eastAsia="en-US" w:bidi="en-US"/>
              </w:rPr>
            </w:pPr>
          </w:p>
        </w:tc>
        <w:tc>
          <w:tcPr>
            <w:tcW w:w="518" w:type="pct"/>
            <w:tcBorders>
              <w:top w:val="nil"/>
              <w:left w:val="single" w:sz="4" w:space="0" w:color="auto"/>
              <w:bottom w:val="nil"/>
              <w:right w:val="single" w:sz="4" w:space="0" w:color="auto"/>
            </w:tcBorders>
            <w:shd w:val="clear" w:color="auto" w:fill="FFFFFF" w:themeFill="background1"/>
            <w:vAlign w:val="center"/>
          </w:tcPr>
          <w:p w14:paraId="05F2C17E" w14:textId="77777777" w:rsidR="00620C4B" w:rsidRPr="00207023" w:rsidRDefault="00620C4B">
            <w:pPr>
              <w:keepNext/>
              <w:jc w:val="center"/>
              <w:rPr>
                <w:rFonts w:ascii="Arial Narrow" w:eastAsiaTheme="majorEastAsia" w:hAnsi="Arial Narrow" w:cstheme="minorHAnsi"/>
                <w:sz w:val="20"/>
                <w:szCs w:val="20"/>
                <w:lang w:eastAsia="en-US" w:bidi="en-US"/>
              </w:rPr>
            </w:pPr>
          </w:p>
        </w:tc>
      </w:tr>
      <w:tr w:rsidR="00620C4B" w:rsidRPr="00207023" w14:paraId="4DC11CCE" w14:textId="77777777" w:rsidTr="00BB49C9">
        <w:trPr>
          <w:trHeight w:val="22"/>
          <w:jc w:val="center"/>
        </w:trPr>
        <w:tc>
          <w:tcPr>
            <w:tcW w:w="627" w:type="pct"/>
            <w:tcBorders>
              <w:bottom w:val="single" w:sz="4" w:space="0" w:color="auto"/>
            </w:tcBorders>
            <w:shd w:val="clear" w:color="auto" w:fill="DBE5F1" w:themeFill="accent1" w:themeFillTint="33"/>
            <w:noWrap/>
            <w:vAlign w:val="center"/>
          </w:tcPr>
          <w:p w14:paraId="09E0A61F" w14:textId="77777777" w:rsidR="00620C4B" w:rsidRPr="00207023" w:rsidRDefault="00620C4B">
            <w:pPr>
              <w:keepNext/>
              <w:jc w:val="left"/>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ACCENT II</w:t>
            </w:r>
            <w:r w:rsidRPr="00207023">
              <w:rPr>
                <w:rFonts w:ascii="Arial Narrow" w:eastAsiaTheme="majorEastAsia" w:hAnsi="Arial Narrow" w:cstheme="minorHAnsi"/>
                <w:sz w:val="20"/>
                <w:szCs w:val="20"/>
                <w:vertAlign w:val="superscript"/>
                <w:lang w:eastAsia="en-US" w:bidi="en-US"/>
              </w:rPr>
              <w:t xml:space="preserve">b </w:t>
            </w:r>
          </w:p>
        </w:tc>
        <w:tc>
          <w:tcPr>
            <w:tcW w:w="628" w:type="pct"/>
            <w:tcBorders>
              <w:bottom w:val="single" w:sz="4" w:space="0" w:color="auto"/>
            </w:tcBorders>
            <w:shd w:val="clear" w:color="auto" w:fill="DBE5F1" w:themeFill="accent1" w:themeFillTint="33"/>
            <w:vAlign w:val="center"/>
          </w:tcPr>
          <w:p w14:paraId="0A51B44E"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51/134 (38.1)</w:t>
            </w:r>
          </w:p>
        </w:tc>
        <w:tc>
          <w:tcPr>
            <w:tcW w:w="631" w:type="pct"/>
            <w:tcBorders>
              <w:bottom w:val="single" w:sz="4" w:space="0" w:color="auto"/>
              <w:right w:val="single" w:sz="4" w:space="0" w:color="auto"/>
            </w:tcBorders>
            <w:shd w:val="clear" w:color="auto" w:fill="DBE5F1" w:themeFill="accent1" w:themeFillTint="33"/>
            <w:vAlign w:val="center"/>
          </w:tcPr>
          <w:p w14:paraId="7B7EBAEC"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30/142 (21.2)</w:t>
            </w:r>
          </w:p>
        </w:tc>
        <w:tc>
          <w:tcPr>
            <w:tcW w:w="943" w:type="pct"/>
            <w:tcBorders>
              <w:top w:val="nil"/>
              <w:left w:val="single" w:sz="4" w:space="0" w:color="auto"/>
              <w:bottom w:val="nil"/>
              <w:right w:val="single" w:sz="4" w:space="0" w:color="auto"/>
            </w:tcBorders>
            <w:shd w:val="clear" w:color="auto" w:fill="DBE5F1" w:themeFill="accent1" w:themeFillTint="33"/>
            <w:vAlign w:val="center"/>
          </w:tcPr>
          <w:p w14:paraId="47D5DE7A"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2.29 (1.35,3.91)</w:t>
            </w:r>
          </w:p>
        </w:tc>
        <w:tc>
          <w:tcPr>
            <w:tcW w:w="944" w:type="pct"/>
            <w:tcBorders>
              <w:top w:val="nil"/>
              <w:left w:val="single" w:sz="4" w:space="0" w:color="auto"/>
              <w:bottom w:val="nil"/>
              <w:right w:val="nil"/>
            </w:tcBorders>
            <w:shd w:val="clear" w:color="auto" w:fill="DBE5F1" w:themeFill="accent1" w:themeFillTint="33"/>
            <w:vAlign w:val="center"/>
          </w:tcPr>
          <w:p w14:paraId="72C4DA24"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0.17 (0.06, 0.28)</w:t>
            </w:r>
          </w:p>
        </w:tc>
        <w:tc>
          <w:tcPr>
            <w:tcW w:w="709" w:type="pct"/>
            <w:vMerge/>
            <w:tcBorders>
              <w:left w:val="nil"/>
              <w:right w:val="single" w:sz="4" w:space="0" w:color="auto"/>
            </w:tcBorders>
          </w:tcPr>
          <w:p w14:paraId="04F17F88" w14:textId="77777777" w:rsidR="00620C4B" w:rsidRPr="00207023" w:rsidRDefault="00620C4B">
            <w:pPr>
              <w:keepNext/>
              <w:jc w:val="center"/>
              <w:rPr>
                <w:rFonts w:ascii="Arial Narrow" w:eastAsiaTheme="majorEastAsia" w:hAnsi="Arial Narrow" w:cstheme="minorHAnsi"/>
                <w:sz w:val="20"/>
                <w:szCs w:val="20"/>
                <w:lang w:eastAsia="en-US" w:bidi="en-US"/>
              </w:rPr>
            </w:pPr>
          </w:p>
        </w:tc>
        <w:tc>
          <w:tcPr>
            <w:tcW w:w="518" w:type="pct"/>
            <w:tcBorders>
              <w:top w:val="nil"/>
              <w:left w:val="single" w:sz="4" w:space="0" w:color="auto"/>
              <w:bottom w:val="nil"/>
              <w:right w:val="single" w:sz="4" w:space="0" w:color="auto"/>
            </w:tcBorders>
            <w:shd w:val="clear" w:color="auto" w:fill="FFFFFF" w:themeFill="background1"/>
          </w:tcPr>
          <w:p w14:paraId="3FB63FF9"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6 (4, 16)</w:t>
            </w:r>
          </w:p>
        </w:tc>
      </w:tr>
      <w:tr w:rsidR="00620C4B" w:rsidRPr="00207023" w14:paraId="0B04DE89" w14:textId="77777777" w:rsidTr="00BB49C9">
        <w:trPr>
          <w:trHeight w:val="22"/>
          <w:jc w:val="center"/>
        </w:trPr>
        <w:tc>
          <w:tcPr>
            <w:tcW w:w="1886" w:type="pct"/>
            <w:gridSpan w:val="3"/>
            <w:tcBorders>
              <w:top w:val="single" w:sz="4" w:space="0" w:color="auto"/>
              <w:left w:val="single" w:sz="4" w:space="0" w:color="auto"/>
              <w:bottom w:val="nil"/>
              <w:right w:val="single" w:sz="4" w:space="0" w:color="auto"/>
            </w:tcBorders>
            <w:shd w:val="clear" w:color="auto" w:fill="DBE5F1" w:themeFill="accent1" w:themeFillTint="33"/>
            <w:noWrap/>
            <w:vAlign w:val="center"/>
          </w:tcPr>
          <w:p w14:paraId="047AF384" w14:textId="77777777" w:rsidR="00620C4B" w:rsidRPr="00207023" w:rsidRDefault="00620C4B">
            <w:pPr>
              <w:keepNext/>
              <w:jc w:val="left"/>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 xml:space="preserve">UST (90 mg Q8W) – Week 52 </w:t>
            </w:r>
          </w:p>
        </w:tc>
        <w:tc>
          <w:tcPr>
            <w:tcW w:w="943" w:type="pct"/>
            <w:tcBorders>
              <w:top w:val="nil"/>
              <w:left w:val="single" w:sz="4" w:space="0" w:color="auto"/>
              <w:bottom w:val="nil"/>
              <w:right w:val="single" w:sz="4" w:space="0" w:color="auto"/>
            </w:tcBorders>
            <w:shd w:val="clear" w:color="auto" w:fill="DBE5F1" w:themeFill="accent1" w:themeFillTint="33"/>
            <w:vAlign w:val="center"/>
          </w:tcPr>
          <w:p w14:paraId="7BDCB8E9" w14:textId="77777777" w:rsidR="00620C4B" w:rsidRPr="00207023" w:rsidRDefault="00620C4B">
            <w:pPr>
              <w:keepNext/>
              <w:jc w:val="center"/>
              <w:rPr>
                <w:rFonts w:ascii="Arial Narrow" w:eastAsiaTheme="majorEastAsia" w:hAnsi="Arial Narrow" w:cstheme="minorHAnsi"/>
                <w:sz w:val="20"/>
                <w:szCs w:val="20"/>
                <w:lang w:eastAsia="en-US" w:bidi="en-US"/>
              </w:rPr>
            </w:pPr>
          </w:p>
        </w:tc>
        <w:tc>
          <w:tcPr>
            <w:tcW w:w="944" w:type="pct"/>
            <w:tcBorders>
              <w:top w:val="nil"/>
              <w:left w:val="single" w:sz="4" w:space="0" w:color="auto"/>
              <w:bottom w:val="nil"/>
              <w:right w:val="nil"/>
            </w:tcBorders>
            <w:shd w:val="clear" w:color="auto" w:fill="DBE5F1" w:themeFill="accent1" w:themeFillTint="33"/>
            <w:vAlign w:val="center"/>
          </w:tcPr>
          <w:p w14:paraId="5DAEB80E" w14:textId="77777777" w:rsidR="00620C4B" w:rsidRPr="00207023" w:rsidRDefault="00620C4B">
            <w:pPr>
              <w:keepNext/>
              <w:jc w:val="center"/>
              <w:rPr>
                <w:rFonts w:ascii="Arial Narrow" w:eastAsiaTheme="majorEastAsia" w:hAnsi="Arial Narrow" w:cstheme="minorHAnsi"/>
                <w:sz w:val="20"/>
                <w:szCs w:val="20"/>
                <w:lang w:eastAsia="en-US" w:bidi="en-US"/>
              </w:rPr>
            </w:pPr>
          </w:p>
        </w:tc>
        <w:tc>
          <w:tcPr>
            <w:tcW w:w="709" w:type="pct"/>
            <w:vMerge/>
            <w:tcBorders>
              <w:left w:val="nil"/>
              <w:right w:val="single" w:sz="4" w:space="0" w:color="auto"/>
            </w:tcBorders>
            <w:vAlign w:val="center"/>
          </w:tcPr>
          <w:p w14:paraId="12D7E334" w14:textId="77777777" w:rsidR="00620C4B" w:rsidRPr="00207023" w:rsidRDefault="00620C4B">
            <w:pPr>
              <w:keepNext/>
              <w:jc w:val="left"/>
              <w:rPr>
                <w:rFonts w:ascii="Arial Narrow" w:eastAsiaTheme="majorEastAsia" w:hAnsi="Arial Narrow" w:cstheme="minorHAnsi"/>
                <w:sz w:val="20"/>
                <w:szCs w:val="20"/>
                <w:lang w:eastAsia="en-US" w:bidi="en-US"/>
              </w:rPr>
            </w:pPr>
          </w:p>
        </w:tc>
        <w:tc>
          <w:tcPr>
            <w:tcW w:w="518" w:type="pct"/>
            <w:tcBorders>
              <w:top w:val="nil"/>
              <w:left w:val="single" w:sz="4" w:space="0" w:color="auto"/>
              <w:bottom w:val="nil"/>
              <w:right w:val="single" w:sz="4" w:space="0" w:color="auto"/>
            </w:tcBorders>
            <w:shd w:val="clear" w:color="auto" w:fill="FFFFFF" w:themeFill="background1"/>
            <w:vAlign w:val="center"/>
          </w:tcPr>
          <w:p w14:paraId="7F340DDD" w14:textId="77777777" w:rsidR="00620C4B" w:rsidRPr="00207023" w:rsidRDefault="00620C4B">
            <w:pPr>
              <w:keepNext/>
              <w:jc w:val="center"/>
              <w:rPr>
                <w:rFonts w:ascii="Arial Narrow" w:eastAsiaTheme="majorEastAsia" w:hAnsi="Arial Narrow" w:cstheme="minorHAnsi"/>
                <w:sz w:val="20"/>
                <w:szCs w:val="20"/>
                <w:lang w:eastAsia="en-US" w:bidi="en-US"/>
              </w:rPr>
            </w:pPr>
          </w:p>
        </w:tc>
      </w:tr>
      <w:tr w:rsidR="00620C4B" w:rsidRPr="00207023" w14:paraId="4327301B" w14:textId="77777777" w:rsidTr="00BB49C9">
        <w:trPr>
          <w:trHeight w:val="22"/>
          <w:jc w:val="center"/>
        </w:trPr>
        <w:tc>
          <w:tcPr>
            <w:tcW w:w="627" w:type="pct"/>
            <w:tcBorders>
              <w:bottom w:val="single" w:sz="4" w:space="0" w:color="auto"/>
            </w:tcBorders>
            <w:shd w:val="clear" w:color="auto" w:fill="DBE5F1" w:themeFill="accent1" w:themeFillTint="33"/>
            <w:noWrap/>
            <w:vAlign w:val="center"/>
          </w:tcPr>
          <w:p w14:paraId="54D9DC00" w14:textId="44F5B593" w:rsidR="00620C4B" w:rsidRPr="00207023" w:rsidRDefault="00620C4B">
            <w:pPr>
              <w:keepNext/>
              <w:jc w:val="left"/>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IM</w:t>
            </w:r>
            <w:r w:rsidR="00FC7500">
              <w:rPr>
                <w:rFonts w:ascii="Arial Narrow" w:eastAsiaTheme="majorEastAsia" w:hAnsi="Arial Narrow" w:cstheme="minorHAnsi"/>
                <w:sz w:val="20"/>
                <w:szCs w:val="20"/>
                <w:lang w:eastAsia="en-US" w:bidi="en-US"/>
              </w:rPr>
              <w:noBreakHyphen/>
            </w:r>
            <w:r w:rsidRPr="00207023">
              <w:rPr>
                <w:rFonts w:ascii="Arial Narrow" w:eastAsiaTheme="majorEastAsia" w:hAnsi="Arial Narrow" w:cstheme="minorHAnsi"/>
                <w:sz w:val="20"/>
                <w:szCs w:val="20"/>
                <w:lang w:eastAsia="en-US" w:bidi="en-US"/>
              </w:rPr>
              <w:t>UNITI</w:t>
            </w:r>
            <w:r w:rsidRPr="00207023">
              <w:rPr>
                <w:rFonts w:ascii="Arial Narrow" w:eastAsiaTheme="majorEastAsia" w:hAnsi="Arial Narrow" w:cstheme="minorHAnsi"/>
                <w:sz w:val="20"/>
                <w:szCs w:val="20"/>
                <w:vertAlign w:val="superscript"/>
                <w:lang w:eastAsia="en-US" w:bidi="en-US"/>
              </w:rPr>
              <w:t>c</w:t>
            </w:r>
            <w:r w:rsidR="00FC7500">
              <w:rPr>
                <w:rFonts w:ascii="Arial Narrow" w:eastAsiaTheme="majorEastAsia" w:hAnsi="Arial Narrow" w:cstheme="minorHAnsi"/>
                <w:sz w:val="20"/>
                <w:szCs w:val="20"/>
                <w:vertAlign w:val="superscript"/>
                <w:lang w:eastAsia="en-US" w:bidi="en-US"/>
              </w:rPr>
              <w:noBreakHyphen/>
            </w:r>
            <w:r w:rsidRPr="00207023">
              <w:rPr>
                <w:rFonts w:ascii="Arial Narrow" w:eastAsiaTheme="majorEastAsia" w:hAnsi="Arial Narrow" w:cstheme="minorHAnsi"/>
                <w:sz w:val="20"/>
                <w:szCs w:val="20"/>
                <w:vertAlign w:val="superscript"/>
                <w:lang w:eastAsia="en-US" w:bidi="en-US"/>
              </w:rPr>
              <w:t>d</w:t>
            </w:r>
          </w:p>
        </w:tc>
        <w:tc>
          <w:tcPr>
            <w:tcW w:w="628" w:type="pct"/>
            <w:tcBorders>
              <w:bottom w:val="single" w:sz="4" w:space="0" w:color="auto"/>
            </w:tcBorders>
            <w:shd w:val="clear" w:color="auto" w:fill="DBE5F1" w:themeFill="accent1" w:themeFillTint="33"/>
            <w:vAlign w:val="center"/>
          </w:tcPr>
          <w:p w14:paraId="44D9C89D"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7/8 (87.5)</w:t>
            </w:r>
          </w:p>
        </w:tc>
        <w:tc>
          <w:tcPr>
            <w:tcW w:w="631" w:type="pct"/>
            <w:tcBorders>
              <w:bottom w:val="single" w:sz="4" w:space="0" w:color="auto"/>
              <w:right w:val="single" w:sz="4" w:space="0" w:color="auto"/>
            </w:tcBorders>
            <w:shd w:val="clear" w:color="auto" w:fill="DBE5F1" w:themeFill="accent1" w:themeFillTint="33"/>
            <w:vAlign w:val="center"/>
          </w:tcPr>
          <w:p w14:paraId="71F1F5FD"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5/11 (45.5)</w:t>
            </w:r>
          </w:p>
        </w:tc>
        <w:tc>
          <w:tcPr>
            <w:tcW w:w="943" w:type="pct"/>
            <w:tcBorders>
              <w:top w:val="nil"/>
              <w:left w:val="single" w:sz="4" w:space="0" w:color="auto"/>
              <w:bottom w:val="nil"/>
              <w:right w:val="single" w:sz="4" w:space="0" w:color="auto"/>
            </w:tcBorders>
            <w:vAlign w:val="center"/>
          </w:tcPr>
          <w:p w14:paraId="6A76EBA2"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8.40 (0.76,93.35)</w:t>
            </w:r>
          </w:p>
        </w:tc>
        <w:tc>
          <w:tcPr>
            <w:tcW w:w="944" w:type="pct"/>
            <w:tcBorders>
              <w:top w:val="nil"/>
              <w:left w:val="single" w:sz="4" w:space="0" w:color="auto"/>
              <w:bottom w:val="nil"/>
              <w:right w:val="nil"/>
            </w:tcBorders>
            <w:shd w:val="clear" w:color="auto" w:fill="DBE5F1" w:themeFill="accent1" w:themeFillTint="33"/>
            <w:vAlign w:val="center"/>
          </w:tcPr>
          <w:p w14:paraId="6F3AA873"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0.42 (0.05, 0.79)</w:t>
            </w:r>
          </w:p>
        </w:tc>
        <w:tc>
          <w:tcPr>
            <w:tcW w:w="709" w:type="pct"/>
            <w:vMerge/>
            <w:tcBorders>
              <w:left w:val="nil"/>
              <w:right w:val="single" w:sz="4" w:space="0" w:color="auto"/>
            </w:tcBorders>
          </w:tcPr>
          <w:p w14:paraId="385D349F" w14:textId="77777777" w:rsidR="00620C4B" w:rsidRPr="00207023" w:rsidRDefault="00620C4B">
            <w:pPr>
              <w:keepNext/>
              <w:jc w:val="center"/>
              <w:rPr>
                <w:rFonts w:ascii="Arial Narrow" w:eastAsiaTheme="majorEastAsia" w:hAnsi="Arial Narrow" w:cstheme="minorHAnsi"/>
                <w:sz w:val="20"/>
                <w:szCs w:val="20"/>
                <w:lang w:eastAsia="en-US" w:bidi="en-US"/>
              </w:rPr>
            </w:pPr>
          </w:p>
        </w:tc>
        <w:tc>
          <w:tcPr>
            <w:tcW w:w="518" w:type="pct"/>
            <w:tcBorders>
              <w:top w:val="nil"/>
              <w:left w:val="single" w:sz="4" w:space="0" w:color="auto"/>
              <w:bottom w:val="nil"/>
              <w:right w:val="single" w:sz="4" w:space="0" w:color="auto"/>
            </w:tcBorders>
            <w:shd w:val="clear" w:color="auto" w:fill="FFFFFF" w:themeFill="background1"/>
          </w:tcPr>
          <w:p w14:paraId="6AB88084"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2 (1, 21)</w:t>
            </w:r>
          </w:p>
        </w:tc>
      </w:tr>
      <w:tr w:rsidR="00620C4B" w:rsidRPr="00207023" w14:paraId="2D0CA293" w14:textId="77777777">
        <w:trPr>
          <w:trHeight w:val="22"/>
          <w:jc w:val="center"/>
        </w:trPr>
        <w:tc>
          <w:tcPr>
            <w:tcW w:w="1886" w:type="pct"/>
            <w:gridSpan w:val="3"/>
            <w:tcBorders>
              <w:right w:val="single" w:sz="4" w:space="0" w:color="auto"/>
            </w:tcBorders>
            <w:noWrap/>
            <w:vAlign w:val="center"/>
          </w:tcPr>
          <w:p w14:paraId="516D41B7" w14:textId="77777777" w:rsidR="00620C4B" w:rsidRPr="00207023" w:rsidRDefault="00620C4B">
            <w:pPr>
              <w:keepNext/>
              <w:jc w:val="right"/>
              <w:rPr>
                <w:rFonts w:ascii="Arial Narrow" w:eastAsiaTheme="majorEastAsia" w:hAnsi="Arial Narrow" w:cstheme="minorHAnsi"/>
                <w:sz w:val="20"/>
                <w:szCs w:val="20"/>
                <w:lang w:eastAsia="en-US" w:bidi="en-US"/>
              </w:rPr>
            </w:pPr>
            <w:r w:rsidRPr="00207023">
              <w:rPr>
                <w:rFonts w:ascii="Arial Narrow" w:eastAsia="Aptos" w:hAnsi="Arial Narrow" w:cs="Times New Roman"/>
                <w:kern w:val="2"/>
                <w:sz w:val="20"/>
                <w:szCs w:val="20"/>
                <w:lang w:eastAsia="en-US"/>
                <w14:ligatures w14:val="standardContextual"/>
              </w:rPr>
              <w:t xml:space="preserve">Meta analysis UPA vs PBO </w:t>
            </w:r>
          </w:p>
        </w:tc>
        <w:tc>
          <w:tcPr>
            <w:tcW w:w="943" w:type="pct"/>
            <w:tcBorders>
              <w:top w:val="nil"/>
              <w:left w:val="single" w:sz="4" w:space="0" w:color="auto"/>
              <w:bottom w:val="nil"/>
              <w:right w:val="single" w:sz="4" w:space="0" w:color="auto"/>
            </w:tcBorders>
            <w:shd w:val="clear" w:color="auto" w:fill="FFFFFF" w:themeFill="background1"/>
            <w:vAlign w:val="center"/>
          </w:tcPr>
          <w:p w14:paraId="677EF560"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bCs/>
                <w:sz w:val="20"/>
                <w:szCs w:val="20"/>
              </w:rPr>
              <w:t>3.12 (0.15, 64.25)</w:t>
            </w:r>
          </w:p>
        </w:tc>
        <w:tc>
          <w:tcPr>
            <w:tcW w:w="944" w:type="pct"/>
            <w:tcBorders>
              <w:top w:val="nil"/>
              <w:left w:val="single" w:sz="4" w:space="0" w:color="auto"/>
              <w:bottom w:val="nil"/>
              <w:right w:val="nil"/>
            </w:tcBorders>
            <w:shd w:val="clear" w:color="auto" w:fill="FFFFFF" w:themeFill="background1"/>
            <w:vAlign w:val="center"/>
          </w:tcPr>
          <w:p w14:paraId="0C98534C" w14:textId="3838B2C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0.14 (</w:t>
            </w:r>
            <w:r w:rsidR="00FC7500">
              <w:rPr>
                <w:rFonts w:ascii="Arial Narrow" w:eastAsiaTheme="majorEastAsia" w:hAnsi="Arial Narrow" w:cstheme="minorHAnsi"/>
                <w:sz w:val="20"/>
                <w:szCs w:val="20"/>
                <w:lang w:eastAsia="en-US" w:bidi="en-US"/>
              </w:rPr>
              <w:noBreakHyphen/>
            </w:r>
            <w:r w:rsidRPr="00207023">
              <w:rPr>
                <w:rFonts w:ascii="Arial Narrow" w:eastAsiaTheme="majorEastAsia" w:hAnsi="Arial Narrow" w:cstheme="minorHAnsi"/>
                <w:sz w:val="20"/>
                <w:szCs w:val="20"/>
                <w:lang w:eastAsia="en-US" w:bidi="en-US"/>
              </w:rPr>
              <w:t>0.06, 0.34)</w:t>
            </w:r>
          </w:p>
        </w:tc>
        <w:tc>
          <w:tcPr>
            <w:tcW w:w="709" w:type="pct"/>
            <w:vMerge/>
            <w:tcBorders>
              <w:left w:val="nil"/>
              <w:right w:val="single" w:sz="4" w:space="0" w:color="auto"/>
            </w:tcBorders>
          </w:tcPr>
          <w:p w14:paraId="4AC041E8" w14:textId="77777777" w:rsidR="00620C4B" w:rsidRPr="00207023" w:rsidRDefault="00620C4B">
            <w:pPr>
              <w:keepNext/>
              <w:jc w:val="center"/>
              <w:rPr>
                <w:rFonts w:ascii="Arial Narrow" w:eastAsiaTheme="majorEastAsia" w:hAnsi="Arial Narrow" w:cstheme="minorHAnsi"/>
                <w:sz w:val="20"/>
                <w:szCs w:val="20"/>
                <w:lang w:eastAsia="en-US" w:bidi="en-US"/>
              </w:rPr>
            </w:pPr>
          </w:p>
        </w:tc>
        <w:tc>
          <w:tcPr>
            <w:tcW w:w="518" w:type="pct"/>
            <w:tcBorders>
              <w:top w:val="nil"/>
              <w:left w:val="single" w:sz="4" w:space="0" w:color="auto"/>
              <w:bottom w:val="nil"/>
              <w:right w:val="single" w:sz="4" w:space="0" w:color="auto"/>
            </w:tcBorders>
            <w:shd w:val="clear" w:color="auto" w:fill="FFFFFF" w:themeFill="background1"/>
          </w:tcPr>
          <w:p w14:paraId="4CAD3D11"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NS</w:t>
            </w:r>
          </w:p>
        </w:tc>
      </w:tr>
      <w:tr w:rsidR="00620C4B" w:rsidRPr="00207023" w14:paraId="3F7C2806" w14:textId="77777777" w:rsidTr="00BB49C9">
        <w:trPr>
          <w:trHeight w:val="22"/>
          <w:jc w:val="center"/>
        </w:trPr>
        <w:tc>
          <w:tcPr>
            <w:tcW w:w="1886" w:type="pct"/>
            <w:gridSpan w:val="3"/>
            <w:tcBorders>
              <w:right w:val="single" w:sz="4" w:space="0" w:color="auto"/>
            </w:tcBorders>
            <w:shd w:val="clear" w:color="auto" w:fill="DBE5F1" w:themeFill="accent1" w:themeFillTint="33"/>
            <w:noWrap/>
            <w:vAlign w:val="center"/>
          </w:tcPr>
          <w:p w14:paraId="58C59C5F" w14:textId="77777777" w:rsidR="00620C4B" w:rsidRPr="00207023" w:rsidRDefault="00620C4B">
            <w:pPr>
              <w:keepNext/>
              <w:jc w:val="right"/>
              <w:rPr>
                <w:rFonts w:ascii="Arial Narrow" w:eastAsiaTheme="majorEastAsia" w:hAnsi="Arial Narrow" w:cstheme="minorHAnsi"/>
                <w:sz w:val="20"/>
                <w:szCs w:val="20"/>
                <w:lang w:eastAsia="en-US" w:bidi="en-US"/>
              </w:rPr>
            </w:pPr>
            <w:r w:rsidRPr="00207023">
              <w:rPr>
                <w:rFonts w:ascii="Arial Narrow" w:eastAsia="Aptos" w:hAnsi="Arial Narrow" w:cs="Times New Roman"/>
                <w:kern w:val="2"/>
                <w:sz w:val="20"/>
                <w:szCs w:val="20"/>
                <w:lang w:eastAsia="en-US"/>
                <w14:ligatures w14:val="standardContextual"/>
              </w:rPr>
              <w:t xml:space="preserve">Meta analysis IFX vs PBO </w:t>
            </w:r>
          </w:p>
        </w:tc>
        <w:tc>
          <w:tcPr>
            <w:tcW w:w="943" w:type="pct"/>
            <w:tcBorders>
              <w:top w:val="nil"/>
              <w:left w:val="single" w:sz="4" w:space="0" w:color="auto"/>
              <w:bottom w:val="nil"/>
              <w:right w:val="single" w:sz="4" w:space="0" w:color="auto"/>
            </w:tcBorders>
            <w:shd w:val="clear" w:color="auto" w:fill="DBE5F1" w:themeFill="accent1" w:themeFillTint="33"/>
            <w:vAlign w:val="center"/>
          </w:tcPr>
          <w:p w14:paraId="300CC07B"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2.29 (1.35,3.91)</w:t>
            </w:r>
          </w:p>
        </w:tc>
        <w:tc>
          <w:tcPr>
            <w:tcW w:w="944" w:type="pct"/>
            <w:tcBorders>
              <w:top w:val="nil"/>
              <w:left w:val="single" w:sz="4" w:space="0" w:color="auto"/>
              <w:bottom w:val="nil"/>
              <w:right w:val="nil"/>
            </w:tcBorders>
            <w:shd w:val="clear" w:color="auto" w:fill="DBE5F1" w:themeFill="accent1" w:themeFillTint="33"/>
            <w:vAlign w:val="center"/>
          </w:tcPr>
          <w:p w14:paraId="7440EB99"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0.17 (0.06, 0.28)</w:t>
            </w:r>
          </w:p>
        </w:tc>
        <w:tc>
          <w:tcPr>
            <w:tcW w:w="709" w:type="pct"/>
            <w:vMerge/>
            <w:tcBorders>
              <w:left w:val="nil"/>
              <w:right w:val="single" w:sz="4" w:space="0" w:color="auto"/>
            </w:tcBorders>
          </w:tcPr>
          <w:p w14:paraId="799B4045" w14:textId="77777777" w:rsidR="00620C4B" w:rsidRPr="00207023" w:rsidRDefault="00620C4B">
            <w:pPr>
              <w:keepNext/>
              <w:jc w:val="center"/>
              <w:rPr>
                <w:rFonts w:ascii="Arial Narrow" w:eastAsiaTheme="majorEastAsia" w:hAnsi="Arial Narrow" w:cstheme="minorHAnsi"/>
                <w:sz w:val="20"/>
                <w:szCs w:val="20"/>
                <w:lang w:eastAsia="en-US" w:bidi="en-US"/>
              </w:rPr>
            </w:pPr>
          </w:p>
        </w:tc>
        <w:tc>
          <w:tcPr>
            <w:tcW w:w="518" w:type="pct"/>
            <w:tcBorders>
              <w:top w:val="nil"/>
              <w:left w:val="single" w:sz="4" w:space="0" w:color="auto"/>
              <w:bottom w:val="nil"/>
              <w:right w:val="single" w:sz="4" w:space="0" w:color="auto"/>
            </w:tcBorders>
            <w:shd w:val="clear" w:color="auto" w:fill="FFFFFF" w:themeFill="background1"/>
          </w:tcPr>
          <w:p w14:paraId="53FD824A"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6 (4, 16)</w:t>
            </w:r>
          </w:p>
        </w:tc>
      </w:tr>
      <w:tr w:rsidR="00620C4B" w:rsidRPr="00207023" w14:paraId="10DB8A42" w14:textId="77777777" w:rsidTr="00BB49C9">
        <w:trPr>
          <w:trHeight w:val="22"/>
          <w:jc w:val="center"/>
        </w:trPr>
        <w:tc>
          <w:tcPr>
            <w:tcW w:w="1886" w:type="pct"/>
            <w:gridSpan w:val="3"/>
            <w:tcBorders>
              <w:right w:val="single" w:sz="4" w:space="0" w:color="auto"/>
            </w:tcBorders>
            <w:shd w:val="clear" w:color="auto" w:fill="DBE5F1" w:themeFill="accent1" w:themeFillTint="33"/>
            <w:noWrap/>
            <w:vAlign w:val="center"/>
          </w:tcPr>
          <w:p w14:paraId="1918518A" w14:textId="77777777" w:rsidR="00620C4B" w:rsidRPr="00207023" w:rsidRDefault="00620C4B">
            <w:pPr>
              <w:keepNext/>
              <w:jc w:val="right"/>
              <w:rPr>
                <w:rFonts w:ascii="Arial Narrow" w:eastAsiaTheme="majorEastAsia" w:hAnsi="Arial Narrow" w:cstheme="minorHAnsi"/>
                <w:sz w:val="20"/>
                <w:szCs w:val="20"/>
                <w:lang w:eastAsia="en-US" w:bidi="en-US"/>
              </w:rPr>
            </w:pPr>
            <w:r w:rsidRPr="00207023">
              <w:rPr>
                <w:rFonts w:ascii="Arial Narrow" w:eastAsia="Aptos" w:hAnsi="Arial Narrow" w:cs="Times New Roman"/>
                <w:kern w:val="2"/>
                <w:sz w:val="20"/>
                <w:szCs w:val="20"/>
                <w:shd w:val="clear" w:color="auto" w:fill="DBE5F1" w:themeFill="accent1" w:themeFillTint="33"/>
                <w:lang w:eastAsia="en-US"/>
                <w14:ligatures w14:val="standardContextual"/>
              </w:rPr>
              <w:t>Meta analysis</w:t>
            </w:r>
            <w:r w:rsidRPr="00207023">
              <w:rPr>
                <w:rFonts w:ascii="Arial Narrow" w:eastAsia="Aptos" w:hAnsi="Arial Narrow" w:cs="Times New Roman"/>
                <w:kern w:val="2"/>
                <w:sz w:val="20"/>
                <w:szCs w:val="20"/>
                <w:lang w:eastAsia="en-US"/>
                <w14:ligatures w14:val="standardContextual"/>
              </w:rPr>
              <w:t xml:space="preserve"> UST vs PBO </w:t>
            </w:r>
          </w:p>
        </w:tc>
        <w:tc>
          <w:tcPr>
            <w:tcW w:w="943" w:type="pct"/>
            <w:tcBorders>
              <w:top w:val="nil"/>
              <w:left w:val="single" w:sz="4" w:space="0" w:color="auto"/>
              <w:bottom w:val="nil"/>
              <w:right w:val="single" w:sz="4" w:space="0" w:color="auto"/>
            </w:tcBorders>
            <w:shd w:val="clear" w:color="auto" w:fill="FFFFFF" w:themeFill="background1"/>
            <w:vAlign w:val="center"/>
          </w:tcPr>
          <w:p w14:paraId="54FCC910"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8.40 (0.76,93.35)</w:t>
            </w:r>
          </w:p>
        </w:tc>
        <w:tc>
          <w:tcPr>
            <w:tcW w:w="944" w:type="pct"/>
            <w:tcBorders>
              <w:top w:val="nil"/>
              <w:left w:val="single" w:sz="4" w:space="0" w:color="auto"/>
              <w:bottom w:val="nil"/>
              <w:right w:val="nil"/>
            </w:tcBorders>
            <w:shd w:val="clear" w:color="auto" w:fill="DBE5F1" w:themeFill="accent1" w:themeFillTint="33"/>
            <w:vAlign w:val="center"/>
          </w:tcPr>
          <w:p w14:paraId="00BA51EB"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0.42 (0.05, 0.79)</w:t>
            </w:r>
          </w:p>
        </w:tc>
        <w:tc>
          <w:tcPr>
            <w:tcW w:w="709" w:type="pct"/>
            <w:vMerge/>
            <w:tcBorders>
              <w:left w:val="nil"/>
              <w:right w:val="single" w:sz="4" w:space="0" w:color="auto"/>
            </w:tcBorders>
          </w:tcPr>
          <w:p w14:paraId="06E55574" w14:textId="77777777" w:rsidR="00620C4B" w:rsidRPr="00207023" w:rsidRDefault="00620C4B">
            <w:pPr>
              <w:keepNext/>
              <w:jc w:val="center"/>
              <w:rPr>
                <w:rFonts w:ascii="Arial Narrow" w:eastAsiaTheme="majorEastAsia" w:hAnsi="Arial Narrow" w:cstheme="minorHAnsi"/>
                <w:sz w:val="20"/>
                <w:szCs w:val="20"/>
                <w:lang w:eastAsia="en-US" w:bidi="en-US"/>
              </w:rPr>
            </w:pPr>
          </w:p>
        </w:tc>
        <w:tc>
          <w:tcPr>
            <w:tcW w:w="518" w:type="pct"/>
            <w:tcBorders>
              <w:top w:val="nil"/>
              <w:left w:val="single" w:sz="4" w:space="0" w:color="auto"/>
              <w:bottom w:val="nil"/>
              <w:right w:val="single" w:sz="4" w:space="0" w:color="auto"/>
            </w:tcBorders>
            <w:shd w:val="clear" w:color="auto" w:fill="FFFFFF" w:themeFill="background1"/>
          </w:tcPr>
          <w:p w14:paraId="270BF5A5"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2 (1, 21)</w:t>
            </w:r>
          </w:p>
        </w:tc>
      </w:tr>
      <w:tr w:rsidR="00620C4B" w:rsidRPr="00207023" w14:paraId="1AD1C22E" w14:textId="77777777" w:rsidTr="001F646B">
        <w:trPr>
          <w:trHeight w:val="228"/>
          <w:jc w:val="center"/>
        </w:trPr>
        <w:tc>
          <w:tcPr>
            <w:tcW w:w="1886" w:type="pct"/>
            <w:gridSpan w:val="3"/>
            <w:tcBorders>
              <w:bottom w:val="single" w:sz="4" w:space="0" w:color="auto"/>
              <w:right w:val="single" w:sz="4" w:space="0" w:color="auto"/>
            </w:tcBorders>
            <w:noWrap/>
            <w:vAlign w:val="center"/>
          </w:tcPr>
          <w:p w14:paraId="5153B07F" w14:textId="77777777" w:rsidR="00620C4B" w:rsidRPr="00207023" w:rsidRDefault="00620C4B">
            <w:pPr>
              <w:keepNext/>
              <w:jc w:val="right"/>
              <w:rPr>
                <w:rFonts w:ascii="Arial Narrow" w:eastAsiaTheme="majorEastAsia" w:hAnsi="Arial Narrow" w:cstheme="minorHAnsi"/>
                <w:sz w:val="20"/>
                <w:szCs w:val="20"/>
                <w:lang w:eastAsia="en-US" w:bidi="en-US"/>
              </w:rPr>
            </w:pPr>
            <w:r w:rsidRPr="00207023">
              <w:rPr>
                <w:rFonts w:ascii="Arial Narrow" w:hAnsi="Arial Narrow" w:cstheme="minorHAnsi"/>
                <w:sz w:val="20"/>
                <w:szCs w:val="20"/>
              </w:rPr>
              <w:t xml:space="preserve">Indirect comparison: UPA vs IFX </w:t>
            </w:r>
          </w:p>
        </w:tc>
        <w:tc>
          <w:tcPr>
            <w:tcW w:w="943" w:type="pct"/>
            <w:tcBorders>
              <w:top w:val="nil"/>
              <w:left w:val="single" w:sz="4" w:space="0" w:color="auto"/>
              <w:bottom w:val="nil"/>
              <w:right w:val="single" w:sz="4" w:space="0" w:color="auto"/>
            </w:tcBorders>
            <w:vAlign w:val="center"/>
          </w:tcPr>
          <w:p w14:paraId="12A6E845" w14:textId="77777777" w:rsidR="00620C4B" w:rsidRPr="00207023" w:rsidRDefault="00620C4B">
            <w:pPr>
              <w:pStyle w:val="TableText0"/>
              <w:widowControl w:val="0"/>
              <w:jc w:val="center"/>
              <w:rPr>
                <w:rFonts w:cstheme="minorHAnsi"/>
                <w:szCs w:val="20"/>
              </w:rPr>
            </w:pPr>
            <w:r w:rsidRPr="00207023">
              <w:rPr>
                <w:rFonts w:cstheme="minorHAnsi"/>
                <w:szCs w:val="20"/>
              </w:rPr>
              <w:t>1.36 (0.06, 29.34)</w:t>
            </w:r>
          </w:p>
        </w:tc>
        <w:tc>
          <w:tcPr>
            <w:tcW w:w="944" w:type="pct"/>
            <w:tcBorders>
              <w:top w:val="nil"/>
              <w:left w:val="single" w:sz="4" w:space="0" w:color="auto"/>
              <w:bottom w:val="nil"/>
              <w:right w:val="nil"/>
            </w:tcBorders>
            <w:vAlign w:val="center"/>
          </w:tcPr>
          <w:p w14:paraId="28295F0F" w14:textId="57FDCDF3" w:rsidR="00620C4B" w:rsidRPr="00207023" w:rsidRDefault="00FC7500">
            <w:pPr>
              <w:jc w:val="center"/>
              <w:rPr>
                <w:rFonts w:ascii="Arial Narrow" w:hAnsi="Arial Narrow" w:cstheme="minorHAnsi"/>
                <w:sz w:val="20"/>
                <w:szCs w:val="20"/>
              </w:rPr>
            </w:pPr>
            <w:r>
              <w:rPr>
                <w:rFonts w:ascii="Arial Narrow" w:hAnsi="Arial Narrow" w:cstheme="minorHAnsi"/>
                <w:sz w:val="20"/>
                <w:szCs w:val="20"/>
              </w:rPr>
              <w:noBreakHyphen/>
            </w:r>
            <w:r w:rsidR="00620C4B" w:rsidRPr="00207023">
              <w:rPr>
                <w:rFonts w:ascii="Arial Narrow" w:hAnsi="Arial Narrow" w:cstheme="minorHAnsi"/>
                <w:sz w:val="20"/>
                <w:szCs w:val="20"/>
              </w:rPr>
              <w:t>0.03 (</w:t>
            </w:r>
            <w:r>
              <w:rPr>
                <w:rFonts w:ascii="Arial Narrow" w:hAnsi="Arial Narrow" w:cstheme="minorHAnsi"/>
                <w:sz w:val="20"/>
                <w:szCs w:val="20"/>
              </w:rPr>
              <w:noBreakHyphen/>
            </w:r>
            <w:r w:rsidR="00620C4B" w:rsidRPr="00207023">
              <w:rPr>
                <w:rFonts w:ascii="Arial Narrow" w:hAnsi="Arial Narrow" w:cstheme="minorHAnsi"/>
                <w:sz w:val="20"/>
                <w:szCs w:val="20"/>
              </w:rPr>
              <w:t>0.25, 0.20)</w:t>
            </w:r>
          </w:p>
        </w:tc>
        <w:tc>
          <w:tcPr>
            <w:tcW w:w="709" w:type="pct"/>
            <w:vMerge/>
            <w:tcBorders>
              <w:left w:val="nil"/>
              <w:right w:val="single" w:sz="4" w:space="0" w:color="auto"/>
            </w:tcBorders>
          </w:tcPr>
          <w:p w14:paraId="56307A92" w14:textId="77777777" w:rsidR="00620C4B" w:rsidRPr="00207023" w:rsidRDefault="00620C4B">
            <w:pPr>
              <w:keepNext/>
              <w:jc w:val="center"/>
              <w:rPr>
                <w:rFonts w:ascii="Arial Narrow" w:eastAsiaTheme="majorEastAsia" w:hAnsi="Arial Narrow" w:cstheme="minorHAnsi"/>
                <w:sz w:val="20"/>
                <w:szCs w:val="20"/>
                <w:lang w:eastAsia="en-US" w:bidi="en-US"/>
              </w:rPr>
            </w:pPr>
          </w:p>
        </w:tc>
        <w:tc>
          <w:tcPr>
            <w:tcW w:w="518" w:type="pct"/>
            <w:tcBorders>
              <w:top w:val="nil"/>
              <w:left w:val="single" w:sz="4" w:space="0" w:color="auto"/>
              <w:bottom w:val="nil"/>
              <w:right w:val="single" w:sz="4" w:space="0" w:color="auto"/>
            </w:tcBorders>
            <w:shd w:val="clear" w:color="auto" w:fill="FFFFFF" w:themeFill="background1"/>
            <w:vAlign w:val="bottom"/>
          </w:tcPr>
          <w:p w14:paraId="1CDB0EC1" w14:textId="77777777" w:rsidR="00620C4B" w:rsidRPr="00207023" w:rsidRDefault="00620C4B" w:rsidP="001F646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NS</w:t>
            </w:r>
          </w:p>
        </w:tc>
      </w:tr>
      <w:tr w:rsidR="00620C4B" w:rsidRPr="00207023" w14:paraId="0797FE3F" w14:textId="77777777" w:rsidTr="001F646B">
        <w:trPr>
          <w:trHeight w:val="544"/>
          <w:jc w:val="center"/>
        </w:trPr>
        <w:tc>
          <w:tcPr>
            <w:tcW w:w="1886" w:type="pct"/>
            <w:gridSpan w:val="3"/>
            <w:tcBorders>
              <w:bottom w:val="single" w:sz="4" w:space="0" w:color="auto"/>
              <w:right w:val="single" w:sz="4" w:space="0" w:color="auto"/>
            </w:tcBorders>
            <w:noWrap/>
          </w:tcPr>
          <w:p w14:paraId="7C131DCC" w14:textId="77777777" w:rsidR="00620C4B" w:rsidRPr="00207023" w:rsidRDefault="00620C4B" w:rsidP="00D473FC">
            <w:pPr>
              <w:keepNext/>
              <w:jc w:val="right"/>
              <w:rPr>
                <w:rFonts w:ascii="Arial Narrow" w:eastAsiaTheme="majorEastAsia" w:hAnsi="Arial Narrow" w:cstheme="minorHAnsi"/>
                <w:sz w:val="20"/>
                <w:szCs w:val="20"/>
                <w:lang w:eastAsia="en-US" w:bidi="en-US"/>
              </w:rPr>
            </w:pPr>
            <w:r w:rsidRPr="00207023">
              <w:rPr>
                <w:rFonts w:ascii="Arial Narrow" w:hAnsi="Arial Narrow" w:cstheme="minorHAnsi"/>
                <w:sz w:val="20"/>
                <w:szCs w:val="20"/>
              </w:rPr>
              <w:t>Indirect comparison: UPA vs UST</w:t>
            </w:r>
          </w:p>
        </w:tc>
        <w:tc>
          <w:tcPr>
            <w:tcW w:w="943" w:type="pct"/>
            <w:tcBorders>
              <w:top w:val="nil"/>
              <w:left w:val="single" w:sz="4" w:space="0" w:color="auto"/>
              <w:bottom w:val="nil"/>
              <w:right w:val="single" w:sz="4" w:space="0" w:color="auto"/>
            </w:tcBorders>
          </w:tcPr>
          <w:p w14:paraId="046B1911" w14:textId="77777777" w:rsidR="00620C4B" w:rsidRPr="00207023" w:rsidRDefault="00620C4B" w:rsidP="00D473FC">
            <w:pPr>
              <w:pStyle w:val="TableText0"/>
              <w:widowControl w:val="0"/>
              <w:jc w:val="center"/>
              <w:rPr>
                <w:rFonts w:cstheme="minorHAnsi"/>
                <w:szCs w:val="20"/>
              </w:rPr>
            </w:pPr>
            <w:r w:rsidRPr="00207023">
              <w:rPr>
                <w:rFonts w:cstheme="minorHAnsi"/>
                <w:szCs w:val="20"/>
              </w:rPr>
              <w:t>0.37 (0.01, 17.75)</w:t>
            </w:r>
          </w:p>
        </w:tc>
        <w:tc>
          <w:tcPr>
            <w:tcW w:w="944" w:type="pct"/>
            <w:tcBorders>
              <w:top w:val="nil"/>
              <w:left w:val="single" w:sz="4" w:space="0" w:color="auto"/>
              <w:bottom w:val="nil"/>
              <w:right w:val="nil"/>
            </w:tcBorders>
          </w:tcPr>
          <w:p w14:paraId="1BAD61B1" w14:textId="63E2BB32" w:rsidR="00620C4B" w:rsidRPr="00207023" w:rsidRDefault="00FC7500" w:rsidP="00D473FC">
            <w:pPr>
              <w:pStyle w:val="TableText0"/>
              <w:widowControl w:val="0"/>
              <w:jc w:val="center"/>
              <w:rPr>
                <w:rFonts w:cstheme="minorHAnsi"/>
                <w:szCs w:val="20"/>
              </w:rPr>
            </w:pPr>
            <w:r>
              <w:rPr>
                <w:rFonts w:cstheme="minorHAnsi"/>
                <w:szCs w:val="20"/>
              </w:rPr>
              <w:noBreakHyphen/>
            </w:r>
            <w:r w:rsidR="00620C4B" w:rsidRPr="00207023">
              <w:rPr>
                <w:rFonts w:cstheme="minorHAnsi"/>
                <w:szCs w:val="20"/>
              </w:rPr>
              <w:t>0.28 (</w:t>
            </w:r>
            <w:r>
              <w:rPr>
                <w:rFonts w:cstheme="minorHAnsi"/>
                <w:szCs w:val="20"/>
              </w:rPr>
              <w:noBreakHyphen/>
            </w:r>
            <w:r w:rsidR="00620C4B" w:rsidRPr="00207023">
              <w:rPr>
                <w:rFonts w:cstheme="minorHAnsi"/>
                <w:szCs w:val="20"/>
              </w:rPr>
              <w:t>0.70, 0.15)</w:t>
            </w:r>
          </w:p>
        </w:tc>
        <w:tc>
          <w:tcPr>
            <w:tcW w:w="709" w:type="pct"/>
            <w:vMerge/>
            <w:tcBorders>
              <w:left w:val="nil"/>
              <w:right w:val="single" w:sz="4" w:space="0" w:color="auto"/>
            </w:tcBorders>
          </w:tcPr>
          <w:p w14:paraId="658985D6" w14:textId="77777777" w:rsidR="00620C4B" w:rsidRPr="00207023" w:rsidRDefault="00620C4B">
            <w:pPr>
              <w:keepNext/>
              <w:jc w:val="center"/>
              <w:rPr>
                <w:rFonts w:ascii="Arial Narrow" w:eastAsiaTheme="majorEastAsia" w:hAnsi="Arial Narrow" w:cstheme="minorHAnsi"/>
                <w:noProof/>
                <w:sz w:val="20"/>
                <w:szCs w:val="20"/>
                <w:lang w:eastAsia="en-US" w:bidi="en-US"/>
              </w:rPr>
            </w:pPr>
          </w:p>
        </w:tc>
        <w:tc>
          <w:tcPr>
            <w:tcW w:w="518" w:type="pct"/>
            <w:tcBorders>
              <w:top w:val="nil"/>
              <w:left w:val="single" w:sz="4" w:space="0" w:color="auto"/>
              <w:bottom w:val="nil"/>
              <w:right w:val="single" w:sz="4" w:space="0" w:color="auto"/>
            </w:tcBorders>
            <w:shd w:val="clear" w:color="auto" w:fill="FFFFFF" w:themeFill="background1"/>
          </w:tcPr>
          <w:p w14:paraId="2235DE25" w14:textId="261B45D8" w:rsidR="00620C4B" w:rsidRPr="00207023" w:rsidRDefault="00914F46" w:rsidP="001F646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NS</w:t>
            </w:r>
          </w:p>
        </w:tc>
      </w:tr>
      <w:tr w:rsidR="00620C4B" w:rsidRPr="00207023" w14:paraId="6B65976D" w14:textId="77777777">
        <w:trPr>
          <w:trHeight w:val="22"/>
          <w:jc w:val="center"/>
        </w:trPr>
        <w:tc>
          <w:tcPr>
            <w:tcW w:w="5000" w:type="pct"/>
            <w:gridSpan w:val="7"/>
            <w:tcBorders>
              <w:top w:val="single" w:sz="4" w:space="0" w:color="auto"/>
              <w:left w:val="single" w:sz="4" w:space="0" w:color="auto"/>
              <w:bottom w:val="single" w:sz="4" w:space="0" w:color="auto"/>
            </w:tcBorders>
            <w:noWrap/>
            <w:vAlign w:val="center"/>
          </w:tcPr>
          <w:p w14:paraId="6D017154" w14:textId="77777777" w:rsidR="00620C4B" w:rsidRPr="00207023" w:rsidRDefault="00620C4B">
            <w:pPr>
              <w:keepNext/>
              <w:rPr>
                <w:rFonts w:ascii="Arial Narrow" w:eastAsiaTheme="majorEastAsia" w:hAnsi="Arial Narrow" w:cstheme="minorHAnsi"/>
                <w:b/>
                <w:sz w:val="20"/>
                <w:szCs w:val="20"/>
              </w:rPr>
            </w:pPr>
            <w:r w:rsidRPr="00207023">
              <w:rPr>
                <w:rFonts w:ascii="Arial Narrow" w:eastAsiaTheme="majorEastAsia" w:hAnsi="Arial Narrow" w:cstheme="minorHAnsi"/>
                <w:b/>
                <w:sz w:val="20"/>
                <w:szCs w:val="20"/>
              </w:rPr>
              <w:t xml:space="preserve">Maintenance – Fistula Remission </w:t>
            </w:r>
          </w:p>
        </w:tc>
      </w:tr>
      <w:tr w:rsidR="00620C4B" w:rsidRPr="00207023" w14:paraId="4BAFFA38" w14:textId="77777777">
        <w:trPr>
          <w:trHeight w:val="22"/>
          <w:jc w:val="center"/>
        </w:trPr>
        <w:tc>
          <w:tcPr>
            <w:tcW w:w="5000" w:type="pct"/>
            <w:gridSpan w:val="7"/>
            <w:tcBorders>
              <w:top w:val="single" w:sz="4" w:space="0" w:color="auto"/>
              <w:left w:val="single" w:sz="4" w:space="0" w:color="auto"/>
              <w:bottom w:val="single" w:sz="4" w:space="0" w:color="auto"/>
            </w:tcBorders>
            <w:noWrap/>
            <w:vAlign w:val="center"/>
          </w:tcPr>
          <w:p w14:paraId="336F30CD" w14:textId="77777777" w:rsidR="00620C4B" w:rsidRPr="00207023" w:rsidRDefault="00620C4B">
            <w:pPr>
              <w:keepNext/>
              <w:rPr>
                <w:rFonts w:ascii="Arial Narrow" w:eastAsiaTheme="majorEastAsia" w:hAnsi="Arial Narrow" w:cstheme="minorHAnsi"/>
                <w:bCs/>
                <w:sz w:val="20"/>
                <w:szCs w:val="20"/>
              </w:rPr>
            </w:pPr>
            <w:r w:rsidRPr="00207023">
              <w:rPr>
                <w:rFonts w:ascii="Arial Narrow" w:eastAsiaTheme="majorEastAsia" w:hAnsi="Arial Narrow" w:cstheme="minorHAnsi"/>
                <w:bCs/>
                <w:sz w:val="20"/>
                <w:szCs w:val="20"/>
              </w:rPr>
              <w:t>UPA (15/30 mg) – Week 52 results</w:t>
            </w:r>
          </w:p>
        </w:tc>
      </w:tr>
      <w:tr w:rsidR="00620C4B" w:rsidRPr="00207023" w14:paraId="2924B265" w14:textId="77777777">
        <w:trPr>
          <w:trHeight w:val="22"/>
          <w:jc w:val="center"/>
        </w:trPr>
        <w:tc>
          <w:tcPr>
            <w:tcW w:w="627" w:type="pct"/>
            <w:tcBorders>
              <w:top w:val="single" w:sz="4" w:space="0" w:color="auto"/>
              <w:left w:val="single" w:sz="4" w:space="0" w:color="auto"/>
              <w:bottom w:val="single" w:sz="4" w:space="0" w:color="auto"/>
              <w:right w:val="single" w:sz="4" w:space="0" w:color="auto"/>
            </w:tcBorders>
            <w:noWrap/>
          </w:tcPr>
          <w:p w14:paraId="391F16B4" w14:textId="4CD9BFEE" w:rsidR="00620C4B" w:rsidRPr="00207023" w:rsidRDefault="00620C4B">
            <w:pPr>
              <w:keepNext/>
              <w:jc w:val="left"/>
              <w:rPr>
                <w:rFonts w:ascii="Arial Narrow" w:eastAsiaTheme="majorEastAsia" w:hAnsi="Arial Narrow" w:cstheme="minorHAnsi"/>
                <w:sz w:val="20"/>
                <w:szCs w:val="20"/>
                <w:lang w:eastAsia="en-US" w:bidi="en-US"/>
              </w:rPr>
            </w:pPr>
            <w:r w:rsidRPr="00207023">
              <w:rPr>
                <w:rFonts w:ascii="Arial Narrow" w:eastAsia="Calibri" w:hAnsi="Arial Narrow" w:cs="Calibri"/>
                <w:bCs/>
                <w:sz w:val="20"/>
                <w:szCs w:val="20"/>
              </w:rPr>
              <w:t>U</w:t>
            </w:r>
            <w:r w:rsidR="00FC7500">
              <w:rPr>
                <w:rFonts w:ascii="Arial Narrow" w:eastAsia="Calibri" w:hAnsi="Arial Narrow" w:cs="Calibri"/>
                <w:bCs/>
                <w:sz w:val="20"/>
                <w:szCs w:val="20"/>
              </w:rPr>
              <w:noBreakHyphen/>
            </w:r>
            <w:r w:rsidRPr="00207023">
              <w:rPr>
                <w:rFonts w:ascii="Arial Narrow" w:eastAsia="Calibri" w:hAnsi="Arial Narrow" w:cs="Calibri"/>
                <w:bCs/>
                <w:sz w:val="20"/>
                <w:szCs w:val="20"/>
              </w:rPr>
              <w:t>ENDURE (15/30 mg)</w:t>
            </w:r>
          </w:p>
        </w:tc>
        <w:tc>
          <w:tcPr>
            <w:tcW w:w="628" w:type="pct"/>
            <w:tcBorders>
              <w:top w:val="single" w:sz="4" w:space="0" w:color="auto"/>
              <w:left w:val="single" w:sz="4" w:space="0" w:color="auto"/>
              <w:bottom w:val="single" w:sz="4" w:space="0" w:color="auto"/>
              <w:right w:val="single" w:sz="4" w:space="0" w:color="auto"/>
            </w:tcBorders>
            <w:vAlign w:val="center"/>
          </w:tcPr>
          <w:p w14:paraId="78B6C17E"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Calibri" w:hAnsi="Arial Narrow" w:cs="Calibri"/>
                <w:bCs/>
                <w:sz w:val="20"/>
                <w:szCs w:val="20"/>
              </w:rPr>
              <w:t>4/28 (14.3)</w:t>
            </w:r>
          </w:p>
        </w:tc>
        <w:tc>
          <w:tcPr>
            <w:tcW w:w="631" w:type="pct"/>
            <w:tcBorders>
              <w:top w:val="single" w:sz="4" w:space="0" w:color="auto"/>
              <w:left w:val="single" w:sz="4" w:space="0" w:color="auto"/>
              <w:bottom w:val="single" w:sz="4" w:space="0" w:color="auto"/>
              <w:right w:val="single" w:sz="4" w:space="0" w:color="auto"/>
            </w:tcBorders>
            <w:vAlign w:val="center"/>
          </w:tcPr>
          <w:p w14:paraId="1629F144" w14:textId="0301A82D"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Calibri" w:hAnsi="Arial Narrow" w:cs="Calibri"/>
                <w:bCs/>
                <w:sz w:val="20"/>
                <w:szCs w:val="20"/>
              </w:rPr>
              <w:t>0</w:t>
            </w:r>
            <w:r w:rsidR="00AF57E5" w:rsidRPr="00207023">
              <w:rPr>
                <w:rFonts w:ascii="Arial Narrow" w:eastAsia="Calibri" w:hAnsi="Arial Narrow" w:cs="Calibri"/>
                <w:bCs/>
                <w:sz w:val="20"/>
                <w:szCs w:val="20"/>
              </w:rPr>
              <w:t>/</w:t>
            </w:r>
            <w:r w:rsidR="000A013B" w:rsidRPr="00207023">
              <w:rPr>
                <w:rFonts w:ascii="Arial Narrow" w:eastAsia="Calibri" w:hAnsi="Arial Narrow" w:cs="Calibri"/>
                <w:bCs/>
                <w:sz w:val="20"/>
                <w:szCs w:val="20"/>
              </w:rPr>
              <w:t>8 (0.0)</w:t>
            </w:r>
          </w:p>
        </w:tc>
        <w:tc>
          <w:tcPr>
            <w:tcW w:w="943" w:type="pct"/>
            <w:tcBorders>
              <w:top w:val="nil"/>
              <w:left w:val="single" w:sz="4" w:space="0" w:color="auto"/>
              <w:bottom w:val="nil"/>
              <w:right w:val="single" w:sz="4" w:space="0" w:color="auto"/>
            </w:tcBorders>
            <w:vAlign w:val="center"/>
          </w:tcPr>
          <w:p w14:paraId="62198628"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Calibri" w:hAnsi="Arial Narrow" w:cs="Calibri"/>
                <w:bCs/>
                <w:sz w:val="20"/>
                <w:szCs w:val="20"/>
              </w:rPr>
              <w:t>3.12 (0.15, 64.25)</w:t>
            </w:r>
          </w:p>
        </w:tc>
        <w:tc>
          <w:tcPr>
            <w:tcW w:w="944" w:type="pct"/>
            <w:tcBorders>
              <w:top w:val="nil"/>
              <w:left w:val="single" w:sz="4" w:space="0" w:color="auto"/>
              <w:bottom w:val="nil"/>
              <w:right w:val="nil"/>
            </w:tcBorders>
            <w:vAlign w:val="center"/>
          </w:tcPr>
          <w:p w14:paraId="083C9F2D" w14:textId="4BA5EB7C"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0.14 (</w:t>
            </w:r>
            <w:r w:rsidR="00FC7500">
              <w:rPr>
                <w:rFonts w:ascii="Arial Narrow" w:eastAsiaTheme="majorEastAsia" w:hAnsi="Arial Narrow" w:cstheme="minorHAnsi"/>
                <w:sz w:val="20"/>
                <w:szCs w:val="20"/>
                <w:lang w:eastAsia="en-US" w:bidi="en-US"/>
              </w:rPr>
              <w:noBreakHyphen/>
            </w:r>
            <w:r w:rsidRPr="00207023">
              <w:rPr>
                <w:rFonts w:ascii="Arial Narrow" w:eastAsiaTheme="majorEastAsia" w:hAnsi="Arial Narrow" w:cstheme="minorHAnsi"/>
                <w:sz w:val="20"/>
                <w:szCs w:val="20"/>
                <w:lang w:eastAsia="en-US" w:bidi="en-US"/>
              </w:rPr>
              <w:t>0.06, 0.34)</w:t>
            </w:r>
          </w:p>
        </w:tc>
        <w:tc>
          <w:tcPr>
            <w:tcW w:w="709" w:type="pct"/>
            <w:vMerge w:val="restart"/>
            <w:tcBorders>
              <w:left w:val="nil"/>
              <w:right w:val="single" w:sz="4" w:space="0" w:color="auto"/>
            </w:tcBorders>
          </w:tcPr>
          <w:p w14:paraId="2D7A1A46" w14:textId="74E8C594" w:rsidR="000F0EAB" w:rsidRPr="00207023" w:rsidRDefault="0028218A">
            <w:pPr>
              <w:keepNext/>
              <w:jc w:val="center"/>
              <w:rPr>
                <w:rFonts w:ascii="Arial Narrow" w:eastAsia="Calibri" w:hAnsi="Arial Narrow" w:cs="Calibri"/>
                <w:bCs/>
                <w:sz w:val="20"/>
                <w:szCs w:val="20"/>
              </w:rPr>
            </w:pPr>
            <w:r w:rsidRPr="00207023">
              <w:rPr>
                <w:rFonts w:ascii="Arial Narrow" w:eastAsia="Calibri" w:hAnsi="Arial Narrow" w:cs="Calibri"/>
                <w:bCs/>
                <w:noProof/>
                <w:sz w:val="20"/>
                <w:szCs w:val="20"/>
              </w:rPr>
              <w:drawing>
                <wp:inline distT="0" distB="0" distL="0" distR="0" wp14:anchorId="20F0C69D" wp14:editId="2646B321">
                  <wp:extent cx="779780" cy="2447925"/>
                  <wp:effectExtent l="0" t="0" r="1270" b="9525"/>
                  <wp:docPr id="397348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48113" name=""/>
                          <pic:cNvPicPr/>
                        </pic:nvPicPr>
                        <pic:blipFill>
                          <a:blip r:embed="rId20"/>
                          <a:stretch>
                            <a:fillRect/>
                          </a:stretch>
                        </pic:blipFill>
                        <pic:spPr>
                          <a:xfrm>
                            <a:off x="0" y="0"/>
                            <a:ext cx="779780" cy="2447925"/>
                          </a:xfrm>
                          <a:prstGeom prst="rect">
                            <a:avLst/>
                          </a:prstGeom>
                        </pic:spPr>
                      </pic:pic>
                    </a:graphicData>
                  </a:graphic>
                </wp:inline>
              </w:drawing>
            </w:r>
          </w:p>
        </w:tc>
        <w:tc>
          <w:tcPr>
            <w:tcW w:w="518" w:type="pct"/>
            <w:tcBorders>
              <w:top w:val="single" w:sz="4" w:space="0" w:color="auto"/>
              <w:left w:val="single" w:sz="4" w:space="0" w:color="auto"/>
              <w:bottom w:val="nil"/>
              <w:right w:val="single" w:sz="4" w:space="0" w:color="auto"/>
            </w:tcBorders>
            <w:shd w:val="clear" w:color="auto" w:fill="FFFFFF" w:themeFill="background1"/>
          </w:tcPr>
          <w:p w14:paraId="404EC692" w14:textId="77777777" w:rsidR="00620C4B" w:rsidRPr="00207023" w:rsidRDefault="00620C4B">
            <w:pPr>
              <w:keepNext/>
              <w:jc w:val="center"/>
              <w:rPr>
                <w:rFonts w:ascii="Arial Narrow" w:eastAsia="Calibri" w:hAnsi="Arial Narrow" w:cs="Calibri"/>
                <w:bCs/>
                <w:sz w:val="20"/>
                <w:szCs w:val="20"/>
              </w:rPr>
            </w:pPr>
            <w:r w:rsidRPr="00207023">
              <w:rPr>
                <w:rFonts w:ascii="Arial Narrow" w:eastAsia="Calibri" w:hAnsi="Arial Narrow" w:cs="Calibri"/>
                <w:bCs/>
                <w:sz w:val="20"/>
                <w:szCs w:val="20"/>
              </w:rPr>
              <w:t>NS</w:t>
            </w:r>
          </w:p>
        </w:tc>
      </w:tr>
      <w:tr w:rsidR="00620C4B" w:rsidRPr="00207023" w14:paraId="11CEA9D6" w14:textId="77777777">
        <w:trPr>
          <w:trHeight w:val="22"/>
          <w:jc w:val="center"/>
        </w:trPr>
        <w:tc>
          <w:tcPr>
            <w:tcW w:w="1886" w:type="pct"/>
            <w:gridSpan w:val="3"/>
            <w:tcBorders>
              <w:top w:val="single" w:sz="4" w:space="0" w:color="auto"/>
              <w:left w:val="single" w:sz="4" w:space="0" w:color="auto"/>
              <w:bottom w:val="nil"/>
              <w:right w:val="single" w:sz="4" w:space="0" w:color="auto"/>
            </w:tcBorders>
            <w:shd w:val="clear" w:color="auto" w:fill="FFFFFF" w:themeFill="background1"/>
            <w:noWrap/>
          </w:tcPr>
          <w:p w14:paraId="7FDCA0FB" w14:textId="77777777" w:rsidR="00620C4B" w:rsidRPr="00207023" w:rsidRDefault="00620C4B">
            <w:pPr>
              <w:keepNext/>
              <w:rPr>
                <w:rFonts w:ascii="Arial Narrow" w:eastAsia="Calibri" w:hAnsi="Arial Narrow" w:cs="Calibri"/>
                <w:sz w:val="20"/>
                <w:szCs w:val="20"/>
                <w:lang w:eastAsia="en-US"/>
              </w:rPr>
            </w:pPr>
            <w:r w:rsidRPr="00207023">
              <w:rPr>
                <w:rFonts w:ascii="Arial Narrow" w:eastAsia="Calibri" w:hAnsi="Arial Narrow" w:cs="Calibri"/>
                <w:sz w:val="20"/>
                <w:szCs w:val="20"/>
                <w:lang w:eastAsia="en-US"/>
              </w:rPr>
              <w:t>IFX (5mg/kg Q8W) – Week 56</w:t>
            </w:r>
          </w:p>
        </w:tc>
        <w:tc>
          <w:tcPr>
            <w:tcW w:w="943" w:type="pct"/>
            <w:tcBorders>
              <w:top w:val="nil"/>
              <w:left w:val="single" w:sz="4" w:space="0" w:color="auto"/>
              <w:bottom w:val="nil"/>
              <w:right w:val="single" w:sz="4" w:space="0" w:color="auto"/>
            </w:tcBorders>
            <w:shd w:val="clear" w:color="auto" w:fill="FFFFFF" w:themeFill="background1"/>
            <w:vAlign w:val="center"/>
          </w:tcPr>
          <w:p w14:paraId="4E18CAA6" w14:textId="77777777" w:rsidR="00620C4B" w:rsidRPr="00207023" w:rsidRDefault="00620C4B">
            <w:pPr>
              <w:keepNext/>
              <w:jc w:val="center"/>
              <w:rPr>
                <w:rFonts w:ascii="Arial Narrow" w:eastAsia="Calibri" w:hAnsi="Arial Narrow" w:cs="Calibri"/>
                <w:sz w:val="20"/>
                <w:szCs w:val="20"/>
                <w:lang w:eastAsia="en-US"/>
              </w:rPr>
            </w:pPr>
          </w:p>
        </w:tc>
        <w:tc>
          <w:tcPr>
            <w:tcW w:w="944" w:type="pct"/>
            <w:tcBorders>
              <w:top w:val="nil"/>
              <w:left w:val="single" w:sz="4" w:space="0" w:color="auto"/>
              <w:bottom w:val="nil"/>
              <w:right w:val="nil"/>
            </w:tcBorders>
            <w:shd w:val="clear" w:color="auto" w:fill="FFFFFF" w:themeFill="background1"/>
            <w:vAlign w:val="center"/>
          </w:tcPr>
          <w:p w14:paraId="282319BF" w14:textId="77777777" w:rsidR="00620C4B" w:rsidRPr="00207023" w:rsidRDefault="00620C4B">
            <w:pPr>
              <w:keepNext/>
              <w:jc w:val="center"/>
              <w:rPr>
                <w:rFonts w:ascii="Arial Narrow" w:eastAsia="Calibri" w:hAnsi="Arial Narrow" w:cs="Calibri"/>
                <w:sz w:val="20"/>
                <w:szCs w:val="20"/>
                <w:lang w:eastAsia="en-US"/>
              </w:rPr>
            </w:pPr>
          </w:p>
        </w:tc>
        <w:tc>
          <w:tcPr>
            <w:tcW w:w="709" w:type="pct"/>
            <w:vMerge/>
            <w:tcBorders>
              <w:left w:val="nil"/>
              <w:right w:val="single" w:sz="4" w:space="0" w:color="auto"/>
            </w:tcBorders>
            <w:shd w:val="clear" w:color="auto" w:fill="FFFFFF" w:themeFill="background1"/>
            <w:vAlign w:val="center"/>
          </w:tcPr>
          <w:p w14:paraId="659F8D40" w14:textId="77777777" w:rsidR="00620C4B" w:rsidRPr="00207023" w:rsidRDefault="00620C4B">
            <w:pPr>
              <w:keepNext/>
              <w:rPr>
                <w:rFonts w:ascii="Arial Narrow" w:eastAsia="Calibri" w:hAnsi="Arial Narrow" w:cs="Calibri"/>
                <w:sz w:val="20"/>
                <w:szCs w:val="20"/>
                <w:lang w:eastAsia="en-US"/>
              </w:rPr>
            </w:pPr>
          </w:p>
        </w:tc>
        <w:tc>
          <w:tcPr>
            <w:tcW w:w="518" w:type="pct"/>
            <w:tcBorders>
              <w:top w:val="nil"/>
              <w:left w:val="single" w:sz="4" w:space="0" w:color="auto"/>
              <w:bottom w:val="nil"/>
              <w:right w:val="single" w:sz="4" w:space="0" w:color="auto"/>
            </w:tcBorders>
            <w:shd w:val="clear" w:color="auto" w:fill="FFFFFF" w:themeFill="background1"/>
            <w:vAlign w:val="center"/>
          </w:tcPr>
          <w:p w14:paraId="34FABA6D" w14:textId="77777777" w:rsidR="00620C4B" w:rsidRPr="00207023" w:rsidRDefault="00620C4B">
            <w:pPr>
              <w:keepNext/>
              <w:rPr>
                <w:rFonts w:ascii="Arial Narrow" w:eastAsia="Calibri" w:hAnsi="Arial Narrow" w:cs="Calibri"/>
                <w:sz w:val="20"/>
                <w:szCs w:val="20"/>
                <w:lang w:eastAsia="en-US"/>
              </w:rPr>
            </w:pPr>
          </w:p>
        </w:tc>
      </w:tr>
      <w:tr w:rsidR="00620C4B" w:rsidRPr="00207023" w14:paraId="69EA298B" w14:textId="77777777" w:rsidTr="00BB49C9">
        <w:trPr>
          <w:trHeight w:val="22"/>
          <w:jc w:val="center"/>
        </w:trPr>
        <w:tc>
          <w:tcPr>
            <w:tcW w:w="627" w:type="pct"/>
            <w:tcBorders>
              <w:bottom w:val="single" w:sz="4" w:space="0" w:color="auto"/>
            </w:tcBorders>
            <w:shd w:val="clear" w:color="auto" w:fill="DBE5F1" w:themeFill="accent1" w:themeFillTint="33"/>
            <w:noWrap/>
            <w:vAlign w:val="center"/>
          </w:tcPr>
          <w:p w14:paraId="40564019" w14:textId="77777777" w:rsidR="00620C4B" w:rsidRPr="00207023" w:rsidRDefault="00620C4B">
            <w:pPr>
              <w:keepNext/>
              <w:jc w:val="left"/>
              <w:rPr>
                <w:rFonts w:ascii="Arial Narrow" w:eastAsiaTheme="majorEastAsia" w:hAnsi="Arial Narrow" w:cstheme="minorHAnsi"/>
                <w:sz w:val="20"/>
                <w:szCs w:val="20"/>
                <w:lang w:eastAsia="en-US" w:bidi="en-US"/>
              </w:rPr>
            </w:pPr>
            <w:r w:rsidRPr="00207023">
              <w:rPr>
                <w:rFonts w:ascii="Arial Narrow" w:eastAsia="Calibri" w:hAnsi="Arial Narrow" w:cs="Calibri"/>
                <w:sz w:val="20"/>
                <w:szCs w:val="20"/>
                <w:lang w:eastAsia="en-US"/>
              </w:rPr>
              <w:t>ACCENT II</w:t>
            </w:r>
          </w:p>
        </w:tc>
        <w:tc>
          <w:tcPr>
            <w:tcW w:w="628" w:type="pct"/>
            <w:tcBorders>
              <w:bottom w:val="single" w:sz="4" w:space="0" w:color="auto"/>
            </w:tcBorders>
            <w:shd w:val="clear" w:color="auto" w:fill="DBE5F1" w:themeFill="accent1" w:themeFillTint="33"/>
            <w:vAlign w:val="center"/>
          </w:tcPr>
          <w:p w14:paraId="47E5D241"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Calibri" w:hAnsi="Arial Narrow" w:cs="Calibri"/>
                <w:sz w:val="20"/>
                <w:szCs w:val="20"/>
                <w:lang w:eastAsia="en-US"/>
              </w:rPr>
              <w:t>33/91 (36.3)</w:t>
            </w:r>
          </w:p>
        </w:tc>
        <w:tc>
          <w:tcPr>
            <w:tcW w:w="631" w:type="pct"/>
            <w:tcBorders>
              <w:bottom w:val="single" w:sz="4" w:space="0" w:color="auto"/>
              <w:right w:val="single" w:sz="4" w:space="0" w:color="auto"/>
            </w:tcBorders>
            <w:shd w:val="clear" w:color="auto" w:fill="DBE5F1" w:themeFill="accent1" w:themeFillTint="33"/>
            <w:vAlign w:val="center"/>
          </w:tcPr>
          <w:p w14:paraId="56BFD2EA"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Calibri" w:hAnsi="Arial Narrow" w:cs="Calibri"/>
                <w:sz w:val="20"/>
                <w:szCs w:val="20"/>
                <w:lang w:eastAsia="en-US"/>
              </w:rPr>
              <w:t>19/98 (19.4)</w:t>
            </w:r>
          </w:p>
        </w:tc>
        <w:tc>
          <w:tcPr>
            <w:tcW w:w="943" w:type="pct"/>
            <w:tcBorders>
              <w:top w:val="nil"/>
              <w:left w:val="single" w:sz="4" w:space="0" w:color="auto"/>
              <w:bottom w:val="nil"/>
              <w:right w:val="single" w:sz="4" w:space="0" w:color="auto"/>
            </w:tcBorders>
            <w:shd w:val="clear" w:color="auto" w:fill="DBE5F1" w:themeFill="accent1" w:themeFillTint="33"/>
            <w:vAlign w:val="center"/>
          </w:tcPr>
          <w:p w14:paraId="180B49E8"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Calibri" w:hAnsi="Arial Narrow" w:cs="Calibri"/>
                <w:sz w:val="20"/>
                <w:szCs w:val="20"/>
                <w:lang w:eastAsia="en-US"/>
              </w:rPr>
              <w:t>2.37 (1.22, 4.57)</w:t>
            </w:r>
          </w:p>
        </w:tc>
        <w:tc>
          <w:tcPr>
            <w:tcW w:w="944" w:type="pct"/>
            <w:tcBorders>
              <w:top w:val="nil"/>
              <w:left w:val="single" w:sz="4" w:space="0" w:color="auto"/>
              <w:bottom w:val="nil"/>
              <w:right w:val="nil"/>
            </w:tcBorders>
            <w:shd w:val="clear" w:color="auto" w:fill="DBE5F1" w:themeFill="accent1" w:themeFillTint="33"/>
            <w:vAlign w:val="center"/>
          </w:tcPr>
          <w:p w14:paraId="041EF62B"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0.17 (0.04, 0.29)</w:t>
            </w:r>
          </w:p>
        </w:tc>
        <w:tc>
          <w:tcPr>
            <w:tcW w:w="709" w:type="pct"/>
            <w:vMerge/>
            <w:tcBorders>
              <w:left w:val="nil"/>
              <w:right w:val="single" w:sz="4" w:space="0" w:color="auto"/>
            </w:tcBorders>
            <w:shd w:val="clear" w:color="auto" w:fill="B8CCE4" w:themeFill="accent1" w:themeFillTint="66"/>
          </w:tcPr>
          <w:p w14:paraId="32D67B88" w14:textId="77777777" w:rsidR="00620C4B" w:rsidRPr="00207023" w:rsidRDefault="00620C4B">
            <w:pPr>
              <w:keepNext/>
              <w:jc w:val="center"/>
              <w:rPr>
                <w:rFonts w:ascii="Arial Narrow" w:eastAsia="Calibri" w:hAnsi="Arial Narrow" w:cs="Calibri"/>
                <w:sz w:val="20"/>
                <w:szCs w:val="20"/>
                <w:lang w:eastAsia="en-US"/>
              </w:rPr>
            </w:pPr>
          </w:p>
        </w:tc>
        <w:tc>
          <w:tcPr>
            <w:tcW w:w="518" w:type="pct"/>
            <w:tcBorders>
              <w:top w:val="nil"/>
              <w:left w:val="single" w:sz="4" w:space="0" w:color="auto"/>
              <w:bottom w:val="nil"/>
              <w:right w:val="single" w:sz="4" w:space="0" w:color="auto"/>
            </w:tcBorders>
            <w:shd w:val="clear" w:color="auto" w:fill="FFFFFF" w:themeFill="background1"/>
          </w:tcPr>
          <w:p w14:paraId="694DD4D0" w14:textId="77777777" w:rsidR="00620C4B" w:rsidRPr="00207023" w:rsidRDefault="00620C4B">
            <w:pPr>
              <w:keepNext/>
              <w:jc w:val="center"/>
              <w:rPr>
                <w:rFonts w:ascii="Arial Narrow" w:eastAsia="Calibri" w:hAnsi="Arial Narrow" w:cs="Calibri"/>
                <w:sz w:val="20"/>
                <w:szCs w:val="20"/>
                <w:lang w:eastAsia="en-US"/>
              </w:rPr>
            </w:pPr>
            <w:r w:rsidRPr="00207023">
              <w:rPr>
                <w:rFonts w:ascii="Arial Narrow" w:eastAsia="Calibri" w:hAnsi="Arial Narrow" w:cs="Calibri"/>
                <w:sz w:val="20"/>
                <w:szCs w:val="20"/>
                <w:lang w:eastAsia="en-US"/>
              </w:rPr>
              <w:t>6 (3, 23)</w:t>
            </w:r>
          </w:p>
        </w:tc>
      </w:tr>
      <w:tr w:rsidR="00620C4B" w:rsidRPr="00207023" w14:paraId="639AA590" w14:textId="77777777" w:rsidTr="00BB49C9">
        <w:trPr>
          <w:trHeight w:val="22"/>
          <w:jc w:val="center"/>
        </w:trPr>
        <w:tc>
          <w:tcPr>
            <w:tcW w:w="1886" w:type="pct"/>
            <w:gridSpan w:val="3"/>
            <w:tcBorders>
              <w:top w:val="single" w:sz="4" w:space="0" w:color="auto"/>
              <w:left w:val="single" w:sz="4" w:space="0" w:color="auto"/>
              <w:bottom w:val="nil"/>
              <w:right w:val="single" w:sz="4" w:space="0" w:color="auto"/>
            </w:tcBorders>
            <w:shd w:val="clear" w:color="auto" w:fill="DBE5F1" w:themeFill="accent1" w:themeFillTint="33"/>
            <w:noWrap/>
          </w:tcPr>
          <w:p w14:paraId="5748AE9C" w14:textId="315F855E" w:rsidR="00620C4B" w:rsidRPr="00207023" w:rsidRDefault="00620C4B">
            <w:pPr>
              <w:keepNext/>
              <w:rPr>
                <w:rFonts w:ascii="Arial Narrow" w:eastAsia="Calibri" w:hAnsi="Arial Narrow" w:cs="Calibri"/>
                <w:sz w:val="20"/>
                <w:szCs w:val="20"/>
                <w:lang w:eastAsia="en-US"/>
              </w:rPr>
            </w:pPr>
            <w:r w:rsidRPr="00207023">
              <w:rPr>
                <w:rFonts w:ascii="Arial Narrow" w:eastAsia="Calibri" w:hAnsi="Arial Narrow" w:cs="Calibri"/>
                <w:sz w:val="20"/>
                <w:szCs w:val="20"/>
                <w:lang w:eastAsia="en-US"/>
              </w:rPr>
              <w:t>ADA (40 mg Q2W) Week 52</w:t>
            </w:r>
          </w:p>
        </w:tc>
        <w:tc>
          <w:tcPr>
            <w:tcW w:w="943" w:type="pct"/>
            <w:tcBorders>
              <w:top w:val="nil"/>
              <w:left w:val="single" w:sz="4" w:space="0" w:color="auto"/>
              <w:bottom w:val="nil"/>
              <w:right w:val="single" w:sz="4" w:space="0" w:color="auto"/>
            </w:tcBorders>
            <w:shd w:val="clear" w:color="auto" w:fill="DBE5F1" w:themeFill="accent1" w:themeFillTint="33"/>
            <w:vAlign w:val="center"/>
          </w:tcPr>
          <w:p w14:paraId="1A5F6CD8" w14:textId="77777777" w:rsidR="00620C4B" w:rsidRPr="00207023" w:rsidRDefault="00620C4B">
            <w:pPr>
              <w:keepNext/>
              <w:jc w:val="center"/>
              <w:rPr>
                <w:rFonts w:ascii="Arial Narrow" w:eastAsia="Calibri" w:hAnsi="Arial Narrow" w:cs="Calibri"/>
                <w:sz w:val="20"/>
                <w:szCs w:val="20"/>
                <w:lang w:eastAsia="en-US"/>
              </w:rPr>
            </w:pPr>
          </w:p>
        </w:tc>
        <w:tc>
          <w:tcPr>
            <w:tcW w:w="944" w:type="pct"/>
            <w:tcBorders>
              <w:top w:val="nil"/>
              <w:left w:val="single" w:sz="4" w:space="0" w:color="auto"/>
              <w:bottom w:val="nil"/>
              <w:right w:val="nil"/>
            </w:tcBorders>
            <w:shd w:val="clear" w:color="auto" w:fill="DBE5F1" w:themeFill="accent1" w:themeFillTint="33"/>
            <w:vAlign w:val="center"/>
          </w:tcPr>
          <w:p w14:paraId="59DF4999" w14:textId="77777777" w:rsidR="00620C4B" w:rsidRPr="00207023" w:rsidRDefault="00620C4B">
            <w:pPr>
              <w:keepNext/>
              <w:jc w:val="center"/>
              <w:rPr>
                <w:rFonts w:ascii="Arial Narrow" w:eastAsia="Calibri" w:hAnsi="Arial Narrow" w:cs="Calibri"/>
                <w:sz w:val="20"/>
                <w:szCs w:val="20"/>
                <w:lang w:eastAsia="en-US"/>
              </w:rPr>
            </w:pPr>
          </w:p>
        </w:tc>
        <w:tc>
          <w:tcPr>
            <w:tcW w:w="709" w:type="pct"/>
            <w:vMerge/>
            <w:tcBorders>
              <w:left w:val="nil"/>
              <w:right w:val="single" w:sz="4" w:space="0" w:color="auto"/>
            </w:tcBorders>
            <w:shd w:val="clear" w:color="auto" w:fill="B8CCE4" w:themeFill="accent1" w:themeFillTint="66"/>
          </w:tcPr>
          <w:p w14:paraId="66175616" w14:textId="77777777" w:rsidR="00620C4B" w:rsidRPr="00207023" w:rsidRDefault="00620C4B">
            <w:pPr>
              <w:keepNext/>
              <w:rPr>
                <w:rFonts w:ascii="Arial Narrow" w:eastAsia="Calibri" w:hAnsi="Arial Narrow" w:cs="Calibri"/>
                <w:sz w:val="20"/>
                <w:szCs w:val="20"/>
                <w:lang w:eastAsia="en-US"/>
              </w:rPr>
            </w:pPr>
          </w:p>
        </w:tc>
        <w:tc>
          <w:tcPr>
            <w:tcW w:w="518" w:type="pct"/>
            <w:tcBorders>
              <w:top w:val="nil"/>
              <w:left w:val="single" w:sz="4" w:space="0" w:color="auto"/>
              <w:bottom w:val="nil"/>
              <w:right w:val="single" w:sz="4" w:space="0" w:color="auto"/>
            </w:tcBorders>
            <w:shd w:val="clear" w:color="auto" w:fill="FFFFFF" w:themeFill="background1"/>
          </w:tcPr>
          <w:p w14:paraId="284E6C3A" w14:textId="77777777" w:rsidR="00620C4B" w:rsidRPr="00207023" w:rsidRDefault="00620C4B">
            <w:pPr>
              <w:keepNext/>
              <w:rPr>
                <w:rFonts w:ascii="Arial Narrow" w:eastAsia="Calibri" w:hAnsi="Arial Narrow" w:cs="Calibri"/>
                <w:sz w:val="20"/>
                <w:szCs w:val="20"/>
                <w:lang w:eastAsia="en-US"/>
              </w:rPr>
            </w:pPr>
          </w:p>
        </w:tc>
      </w:tr>
      <w:tr w:rsidR="00620C4B" w:rsidRPr="00207023" w14:paraId="2EBC00ED" w14:textId="77777777" w:rsidTr="00BB49C9">
        <w:trPr>
          <w:trHeight w:val="22"/>
          <w:jc w:val="center"/>
        </w:trPr>
        <w:tc>
          <w:tcPr>
            <w:tcW w:w="627" w:type="pct"/>
            <w:tcBorders>
              <w:bottom w:val="single" w:sz="4" w:space="0" w:color="auto"/>
            </w:tcBorders>
            <w:shd w:val="clear" w:color="auto" w:fill="DBE5F1" w:themeFill="accent1" w:themeFillTint="33"/>
            <w:noWrap/>
            <w:vAlign w:val="center"/>
          </w:tcPr>
          <w:p w14:paraId="3ECE83DE" w14:textId="77777777" w:rsidR="00620C4B" w:rsidRPr="00207023" w:rsidRDefault="00620C4B">
            <w:pPr>
              <w:keepNext/>
              <w:jc w:val="left"/>
              <w:rPr>
                <w:rFonts w:ascii="Arial Narrow" w:eastAsiaTheme="majorEastAsia" w:hAnsi="Arial Narrow" w:cstheme="minorHAnsi"/>
                <w:sz w:val="20"/>
                <w:szCs w:val="20"/>
                <w:lang w:eastAsia="en-US" w:bidi="en-US"/>
              </w:rPr>
            </w:pPr>
            <w:r w:rsidRPr="00207023">
              <w:rPr>
                <w:rFonts w:ascii="Arial Narrow" w:eastAsia="Calibri" w:hAnsi="Arial Narrow" w:cs="Calibri"/>
                <w:sz w:val="20"/>
                <w:szCs w:val="20"/>
                <w:lang w:eastAsia="en-US"/>
              </w:rPr>
              <w:t>CHARM</w:t>
            </w:r>
          </w:p>
        </w:tc>
        <w:tc>
          <w:tcPr>
            <w:tcW w:w="628" w:type="pct"/>
            <w:tcBorders>
              <w:bottom w:val="single" w:sz="4" w:space="0" w:color="auto"/>
            </w:tcBorders>
            <w:shd w:val="clear" w:color="auto" w:fill="DBE5F1" w:themeFill="accent1" w:themeFillTint="33"/>
            <w:vAlign w:val="center"/>
          </w:tcPr>
          <w:p w14:paraId="13A5AD79"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Calibri" w:hAnsi="Arial Narrow" w:cs="Calibri"/>
                <w:sz w:val="20"/>
                <w:szCs w:val="20"/>
                <w:lang w:eastAsia="en-US"/>
              </w:rPr>
              <w:t>11/30 (36.7)</w:t>
            </w:r>
          </w:p>
        </w:tc>
        <w:tc>
          <w:tcPr>
            <w:tcW w:w="631" w:type="pct"/>
            <w:tcBorders>
              <w:bottom w:val="single" w:sz="4" w:space="0" w:color="auto"/>
              <w:right w:val="single" w:sz="4" w:space="0" w:color="auto"/>
            </w:tcBorders>
            <w:shd w:val="clear" w:color="auto" w:fill="DBE5F1" w:themeFill="accent1" w:themeFillTint="33"/>
            <w:vAlign w:val="center"/>
          </w:tcPr>
          <w:p w14:paraId="55FCBBEB"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Calibri" w:hAnsi="Arial Narrow" w:cs="Calibri"/>
                <w:sz w:val="20"/>
                <w:szCs w:val="20"/>
                <w:lang w:eastAsia="en-US"/>
              </w:rPr>
              <w:t>6/47 (12.8)</w:t>
            </w:r>
          </w:p>
        </w:tc>
        <w:tc>
          <w:tcPr>
            <w:tcW w:w="943" w:type="pct"/>
            <w:tcBorders>
              <w:top w:val="nil"/>
              <w:left w:val="single" w:sz="4" w:space="0" w:color="auto"/>
              <w:bottom w:val="nil"/>
              <w:right w:val="single" w:sz="4" w:space="0" w:color="auto"/>
            </w:tcBorders>
            <w:shd w:val="clear" w:color="auto" w:fill="DBE5F1" w:themeFill="accent1" w:themeFillTint="33"/>
            <w:vAlign w:val="center"/>
          </w:tcPr>
          <w:p w14:paraId="5BC212B7"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Calibri" w:hAnsi="Arial Narrow" w:cs="Calibri"/>
                <w:sz w:val="20"/>
                <w:szCs w:val="20"/>
                <w:lang w:eastAsia="en-US"/>
              </w:rPr>
              <w:t>3.96 (1.27, 12.29)</w:t>
            </w:r>
          </w:p>
        </w:tc>
        <w:tc>
          <w:tcPr>
            <w:tcW w:w="944" w:type="pct"/>
            <w:tcBorders>
              <w:top w:val="nil"/>
              <w:left w:val="single" w:sz="4" w:space="0" w:color="auto"/>
              <w:bottom w:val="nil"/>
              <w:right w:val="nil"/>
            </w:tcBorders>
            <w:shd w:val="clear" w:color="auto" w:fill="DBE5F1" w:themeFill="accent1" w:themeFillTint="33"/>
            <w:vAlign w:val="center"/>
          </w:tcPr>
          <w:p w14:paraId="3F54E959"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0.24 (0.04, 0.44)</w:t>
            </w:r>
          </w:p>
        </w:tc>
        <w:tc>
          <w:tcPr>
            <w:tcW w:w="709" w:type="pct"/>
            <w:vMerge/>
            <w:tcBorders>
              <w:left w:val="nil"/>
              <w:right w:val="single" w:sz="4" w:space="0" w:color="auto"/>
            </w:tcBorders>
            <w:shd w:val="clear" w:color="auto" w:fill="B8CCE4" w:themeFill="accent1" w:themeFillTint="66"/>
          </w:tcPr>
          <w:p w14:paraId="3788C044" w14:textId="77777777" w:rsidR="00620C4B" w:rsidRPr="00207023" w:rsidRDefault="00620C4B">
            <w:pPr>
              <w:keepNext/>
              <w:jc w:val="center"/>
              <w:rPr>
                <w:rFonts w:ascii="Arial Narrow" w:eastAsia="Calibri" w:hAnsi="Arial Narrow" w:cs="Calibri"/>
                <w:sz w:val="20"/>
                <w:szCs w:val="20"/>
                <w:lang w:eastAsia="en-US"/>
              </w:rPr>
            </w:pPr>
          </w:p>
        </w:tc>
        <w:tc>
          <w:tcPr>
            <w:tcW w:w="518" w:type="pct"/>
            <w:tcBorders>
              <w:top w:val="nil"/>
              <w:left w:val="single" w:sz="4" w:space="0" w:color="auto"/>
              <w:bottom w:val="nil"/>
              <w:right w:val="single" w:sz="4" w:space="0" w:color="auto"/>
            </w:tcBorders>
            <w:shd w:val="clear" w:color="auto" w:fill="FFFFFF" w:themeFill="background1"/>
          </w:tcPr>
          <w:p w14:paraId="1444CEBE" w14:textId="77777777" w:rsidR="00620C4B" w:rsidRPr="00207023" w:rsidRDefault="00620C4B">
            <w:pPr>
              <w:keepNext/>
              <w:jc w:val="center"/>
              <w:rPr>
                <w:rFonts w:ascii="Arial Narrow" w:eastAsia="Calibri" w:hAnsi="Arial Narrow" w:cs="Calibri"/>
                <w:sz w:val="20"/>
                <w:szCs w:val="20"/>
                <w:lang w:eastAsia="en-US"/>
              </w:rPr>
            </w:pPr>
            <w:r w:rsidRPr="00207023">
              <w:rPr>
                <w:rFonts w:ascii="Arial Narrow" w:eastAsia="Calibri" w:hAnsi="Arial Narrow" w:cs="Calibri"/>
                <w:sz w:val="20"/>
                <w:szCs w:val="20"/>
                <w:lang w:eastAsia="en-US"/>
              </w:rPr>
              <w:t>4 (2, 24)</w:t>
            </w:r>
          </w:p>
        </w:tc>
      </w:tr>
      <w:tr w:rsidR="00620C4B" w:rsidRPr="00207023" w14:paraId="32094352" w14:textId="77777777" w:rsidTr="00BB49C9">
        <w:trPr>
          <w:trHeight w:val="22"/>
          <w:jc w:val="center"/>
        </w:trPr>
        <w:tc>
          <w:tcPr>
            <w:tcW w:w="1886" w:type="pct"/>
            <w:gridSpan w:val="3"/>
            <w:tcBorders>
              <w:top w:val="single" w:sz="4" w:space="0" w:color="auto"/>
              <w:left w:val="single" w:sz="4" w:space="0" w:color="auto"/>
              <w:bottom w:val="nil"/>
              <w:right w:val="single" w:sz="4" w:space="0" w:color="auto"/>
            </w:tcBorders>
            <w:shd w:val="clear" w:color="auto" w:fill="DBE5F1" w:themeFill="accent1" w:themeFillTint="33"/>
            <w:noWrap/>
            <w:vAlign w:val="center"/>
          </w:tcPr>
          <w:p w14:paraId="7D7C5CE2" w14:textId="77777777" w:rsidR="00620C4B" w:rsidRPr="00207023" w:rsidRDefault="00620C4B">
            <w:pPr>
              <w:keepNext/>
              <w:rPr>
                <w:rFonts w:ascii="Arial Narrow" w:eastAsia="Calibri" w:hAnsi="Arial Narrow" w:cs="Calibri"/>
                <w:sz w:val="20"/>
                <w:szCs w:val="20"/>
                <w:lang w:eastAsia="en-US"/>
              </w:rPr>
            </w:pPr>
            <w:r w:rsidRPr="00207023">
              <w:rPr>
                <w:rFonts w:ascii="Arial Narrow" w:eastAsia="Calibri" w:hAnsi="Arial Narrow" w:cs="Calibri"/>
                <w:sz w:val="20"/>
                <w:szCs w:val="20"/>
                <w:lang w:eastAsia="en-US"/>
              </w:rPr>
              <w:t xml:space="preserve">UST (90 mg Q8W) – Week 52 </w:t>
            </w:r>
          </w:p>
        </w:tc>
        <w:tc>
          <w:tcPr>
            <w:tcW w:w="943" w:type="pct"/>
            <w:tcBorders>
              <w:top w:val="nil"/>
              <w:left w:val="single" w:sz="4" w:space="0" w:color="auto"/>
              <w:bottom w:val="nil"/>
              <w:right w:val="single" w:sz="4" w:space="0" w:color="auto"/>
            </w:tcBorders>
            <w:shd w:val="clear" w:color="auto" w:fill="DBE5F1" w:themeFill="accent1" w:themeFillTint="33"/>
            <w:vAlign w:val="center"/>
          </w:tcPr>
          <w:p w14:paraId="270453AC" w14:textId="77777777" w:rsidR="00620C4B" w:rsidRPr="00207023" w:rsidRDefault="00620C4B">
            <w:pPr>
              <w:keepNext/>
              <w:jc w:val="center"/>
              <w:rPr>
                <w:rFonts w:ascii="Arial Narrow" w:eastAsia="Calibri" w:hAnsi="Arial Narrow" w:cs="Calibri"/>
                <w:sz w:val="20"/>
                <w:szCs w:val="20"/>
                <w:lang w:eastAsia="en-US"/>
              </w:rPr>
            </w:pPr>
          </w:p>
        </w:tc>
        <w:tc>
          <w:tcPr>
            <w:tcW w:w="944" w:type="pct"/>
            <w:tcBorders>
              <w:top w:val="nil"/>
              <w:left w:val="single" w:sz="4" w:space="0" w:color="auto"/>
              <w:bottom w:val="nil"/>
              <w:right w:val="nil"/>
            </w:tcBorders>
            <w:shd w:val="clear" w:color="auto" w:fill="DBE5F1" w:themeFill="accent1" w:themeFillTint="33"/>
            <w:vAlign w:val="center"/>
          </w:tcPr>
          <w:p w14:paraId="6C0AB3D7" w14:textId="77777777" w:rsidR="00620C4B" w:rsidRPr="00207023" w:rsidRDefault="00620C4B">
            <w:pPr>
              <w:keepNext/>
              <w:jc w:val="center"/>
              <w:rPr>
                <w:rFonts w:ascii="Arial Narrow" w:eastAsia="Calibri" w:hAnsi="Arial Narrow" w:cs="Calibri"/>
                <w:sz w:val="20"/>
                <w:szCs w:val="20"/>
                <w:lang w:eastAsia="en-US"/>
              </w:rPr>
            </w:pPr>
          </w:p>
        </w:tc>
        <w:tc>
          <w:tcPr>
            <w:tcW w:w="709" w:type="pct"/>
            <w:vMerge/>
            <w:tcBorders>
              <w:left w:val="nil"/>
              <w:right w:val="single" w:sz="4" w:space="0" w:color="auto"/>
            </w:tcBorders>
            <w:shd w:val="clear" w:color="auto" w:fill="B8CCE4" w:themeFill="accent1" w:themeFillTint="66"/>
            <w:vAlign w:val="center"/>
          </w:tcPr>
          <w:p w14:paraId="71A22E72" w14:textId="77777777" w:rsidR="00620C4B" w:rsidRPr="00207023" w:rsidRDefault="00620C4B">
            <w:pPr>
              <w:keepNext/>
              <w:rPr>
                <w:rFonts w:ascii="Arial Narrow" w:eastAsia="Calibri" w:hAnsi="Arial Narrow" w:cs="Calibri"/>
                <w:sz w:val="20"/>
                <w:szCs w:val="20"/>
                <w:lang w:eastAsia="en-US"/>
              </w:rPr>
            </w:pPr>
          </w:p>
        </w:tc>
        <w:tc>
          <w:tcPr>
            <w:tcW w:w="518" w:type="pct"/>
            <w:tcBorders>
              <w:top w:val="nil"/>
              <w:left w:val="single" w:sz="4" w:space="0" w:color="auto"/>
              <w:bottom w:val="nil"/>
              <w:right w:val="single" w:sz="4" w:space="0" w:color="auto"/>
            </w:tcBorders>
            <w:shd w:val="clear" w:color="auto" w:fill="FFFFFF" w:themeFill="background1"/>
            <w:vAlign w:val="center"/>
          </w:tcPr>
          <w:p w14:paraId="75DCC89E" w14:textId="77777777" w:rsidR="00620C4B" w:rsidRPr="00207023" w:rsidRDefault="00620C4B">
            <w:pPr>
              <w:keepNext/>
              <w:rPr>
                <w:rFonts w:ascii="Arial Narrow" w:eastAsia="Calibri" w:hAnsi="Arial Narrow" w:cs="Calibri"/>
                <w:sz w:val="20"/>
                <w:szCs w:val="20"/>
                <w:lang w:eastAsia="en-US"/>
              </w:rPr>
            </w:pPr>
          </w:p>
        </w:tc>
      </w:tr>
      <w:tr w:rsidR="00620C4B" w:rsidRPr="00207023" w14:paraId="41323087" w14:textId="77777777" w:rsidTr="00BB49C9">
        <w:trPr>
          <w:trHeight w:val="22"/>
          <w:jc w:val="center"/>
        </w:trPr>
        <w:tc>
          <w:tcPr>
            <w:tcW w:w="627" w:type="pct"/>
            <w:tcBorders>
              <w:bottom w:val="single" w:sz="4" w:space="0" w:color="auto"/>
            </w:tcBorders>
            <w:shd w:val="clear" w:color="auto" w:fill="DBE5F1" w:themeFill="accent1" w:themeFillTint="33"/>
            <w:noWrap/>
            <w:vAlign w:val="center"/>
          </w:tcPr>
          <w:p w14:paraId="28686640" w14:textId="5B2AB2AF" w:rsidR="00620C4B" w:rsidRPr="00207023" w:rsidRDefault="00620C4B">
            <w:pPr>
              <w:keepNext/>
              <w:jc w:val="left"/>
              <w:rPr>
                <w:rFonts w:ascii="Arial Narrow" w:eastAsiaTheme="majorEastAsia" w:hAnsi="Arial Narrow" w:cstheme="minorHAnsi"/>
                <w:sz w:val="20"/>
                <w:szCs w:val="20"/>
                <w:lang w:eastAsia="en-US" w:bidi="en-US"/>
              </w:rPr>
            </w:pPr>
            <w:r w:rsidRPr="00207023">
              <w:rPr>
                <w:rFonts w:ascii="Arial Narrow" w:eastAsia="Calibri" w:hAnsi="Arial Narrow" w:cs="Calibri"/>
                <w:sz w:val="20"/>
                <w:szCs w:val="20"/>
                <w:lang w:eastAsia="en-US"/>
              </w:rPr>
              <w:t>IM</w:t>
            </w:r>
            <w:r w:rsidR="00FC7500">
              <w:rPr>
                <w:rFonts w:ascii="Arial Narrow" w:eastAsia="Calibri" w:hAnsi="Arial Narrow" w:cs="Calibri"/>
                <w:sz w:val="20"/>
                <w:szCs w:val="20"/>
                <w:lang w:eastAsia="en-US"/>
              </w:rPr>
              <w:noBreakHyphen/>
            </w:r>
            <w:r w:rsidRPr="00207023">
              <w:rPr>
                <w:rFonts w:ascii="Arial Narrow" w:eastAsia="Calibri" w:hAnsi="Arial Narrow" w:cs="Calibri"/>
                <w:sz w:val="20"/>
                <w:szCs w:val="20"/>
                <w:lang w:eastAsia="en-US"/>
              </w:rPr>
              <w:t>UNITI</w:t>
            </w:r>
          </w:p>
        </w:tc>
        <w:tc>
          <w:tcPr>
            <w:tcW w:w="628" w:type="pct"/>
            <w:tcBorders>
              <w:bottom w:val="single" w:sz="4" w:space="0" w:color="auto"/>
            </w:tcBorders>
            <w:shd w:val="clear" w:color="auto" w:fill="DBE5F1" w:themeFill="accent1" w:themeFillTint="33"/>
            <w:vAlign w:val="center"/>
          </w:tcPr>
          <w:p w14:paraId="48276756"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Calibri" w:hAnsi="Arial Narrow" w:cs="Calibri"/>
                <w:sz w:val="20"/>
                <w:szCs w:val="20"/>
                <w:lang w:eastAsia="en-US"/>
              </w:rPr>
              <w:t>11/14 (78.6)</w:t>
            </w:r>
          </w:p>
        </w:tc>
        <w:tc>
          <w:tcPr>
            <w:tcW w:w="631" w:type="pct"/>
            <w:tcBorders>
              <w:bottom w:val="single" w:sz="4" w:space="0" w:color="auto"/>
              <w:right w:val="single" w:sz="4" w:space="0" w:color="auto"/>
            </w:tcBorders>
            <w:shd w:val="clear" w:color="auto" w:fill="DBE5F1" w:themeFill="accent1" w:themeFillTint="33"/>
            <w:vAlign w:val="center"/>
          </w:tcPr>
          <w:p w14:paraId="2AB43006"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Calibri" w:hAnsi="Arial Narrow" w:cs="Calibri"/>
                <w:sz w:val="20"/>
                <w:szCs w:val="20"/>
                <w:lang w:eastAsia="en-US"/>
              </w:rPr>
              <w:t>4/9 (44.4)</w:t>
            </w:r>
          </w:p>
        </w:tc>
        <w:tc>
          <w:tcPr>
            <w:tcW w:w="943" w:type="pct"/>
            <w:tcBorders>
              <w:top w:val="nil"/>
              <w:left w:val="single" w:sz="4" w:space="0" w:color="auto"/>
              <w:bottom w:val="nil"/>
              <w:right w:val="single" w:sz="4" w:space="0" w:color="auto"/>
            </w:tcBorders>
            <w:vAlign w:val="center"/>
          </w:tcPr>
          <w:p w14:paraId="5DA33197" w14:textId="77777777"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Calibri" w:hAnsi="Arial Narrow" w:cs="Calibri"/>
                <w:sz w:val="20"/>
                <w:szCs w:val="20"/>
                <w:lang w:eastAsia="en-US"/>
              </w:rPr>
              <w:t>4.58 (0.72, 28.65)</w:t>
            </w:r>
          </w:p>
        </w:tc>
        <w:tc>
          <w:tcPr>
            <w:tcW w:w="944" w:type="pct"/>
            <w:tcBorders>
              <w:top w:val="nil"/>
              <w:left w:val="single" w:sz="4" w:space="0" w:color="auto"/>
              <w:bottom w:val="nil"/>
              <w:right w:val="nil"/>
            </w:tcBorders>
            <w:shd w:val="clear" w:color="auto" w:fill="DBE5F1" w:themeFill="accent1" w:themeFillTint="33"/>
            <w:vAlign w:val="center"/>
          </w:tcPr>
          <w:p w14:paraId="58B25EC5" w14:textId="2F1B85A5" w:rsidR="00620C4B" w:rsidRPr="00207023" w:rsidRDefault="00620C4B">
            <w:pPr>
              <w:keepNext/>
              <w:jc w:val="center"/>
              <w:rPr>
                <w:rFonts w:ascii="Arial Narrow" w:eastAsiaTheme="majorEastAsia" w:hAnsi="Arial Narrow" w:cstheme="minorHAnsi"/>
                <w:sz w:val="20"/>
                <w:szCs w:val="20"/>
                <w:lang w:eastAsia="en-US" w:bidi="en-US"/>
              </w:rPr>
            </w:pPr>
            <w:r w:rsidRPr="00207023">
              <w:rPr>
                <w:rFonts w:ascii="Arial Narrow" w:eastAsiaTheme="majorEastAsia" w:hAnsi="Arial Narrow" w:cstheme="minorHAnsi"/>
                <w:sz w:val="20"/>
                <w:szCs w:val="20"/>
                <w:lang w:eastAsia="en-US" w:bidi="en-US"/>
              </w:rPr>
              <w:t>0.34 (</w:t>
            </w:r>
            <w:r w:rsidR="00FC7500">
              <w:rPr>
                <w:rFonts w:ascii="Arial Narrow" w:eastAsiaTheme="majorEastAsia" w:hAnsi="Arial Narrow" w:cstheme="minorHAnsi"/>
                <w:sz w:val="20"/>
                <w:szCs w:val="20"/>
                <w:lang w:eastAsia="en-US" w:bidi="en-US"/>
              </w:rPr>
              <w:noBreakHyphen/>
            </w:r>
            <w:r w:rsidRPr="00207023">
              <w:rPr>
                <w:rFonts w:ascii="Arial Narrow" w:eastAsiaTheme="majorEastAsia" w:hAnsi="Arial Narrow" w:cstheme="minorHAnsi"/>
                <w:sz w:val="20"/>
                <w:szCs w:val="20"/>
                <w:lang w:eastAsia="en-US" w:bidi="en-US"/>
              </w:rPr>
              <w:t>0.05, 0.73)</w:t>
            </w:r>
          </w:p>
        </w:tc>
        <w:tc>
          <w:tcPr>
            <w:tcW w:w="709" w:type="pct"/>
            <w:vMerge/>
            <w:tcBorders>
              <w:left w:val="nil"/>
              <w:bottom w:val="single" w:sz="4" w:space="0" w:color="auto"/>
              <w:right w:val="single" w:sz="4" w:space="0" w:color="auto"/>
            </w:tcBorders>
            <w:shd w:val="clear" w:color="auto" w:fill="B8CCE4" w:themeFill="accent1" w:themeFillTint="66"/>
          </w:tcPr>
          <w:p w14:paraId="4DEAA181" w14:textId="77777777" w:rsidR="00620C4B" w:rsidRPr="00207023" w:rsidRDefault="00620C4B">
            <w:pPr>
              <w:keepNext/>
              <w:jc w:val="center"/>
              <w:rPr>
                <w:rFonts w:ascii="Arial Narrow" w:eastAsia="Calibri" w:hAnsi="Arial Narrow" w:cs="Calibri"/>
                <w:sz w:val="20"/>
                <w:szCs w:val="20"/>
                <w:lang w:eastAsia="en-US"/>
              </w:rPr>
            </w:pPr>
          </w:p>
        </w:tc>
        <w:tc>
          <w:tcPr>
            <w:tcW w:w="518" w:type="pct"/>
            <w:tcBorders>
              <w:top w:val="nil"/>
              <w:left w:val="single" w:sz="4" w:space="0" w:color="auto"/>
              <w:bottom w:val="nil"/>
              <w:right w:val="single" w:sz="4" w:space="0" w:color="auto"/>
            </w:tcBorders>
            <w:shd w:val="clear" w:color="auto" w:fill="FFFFFF" w:themeFill="background1"/>
          </w:tcPr>
          <w:p w14:paraId="3D42A7F5" w14:textId="77777777" w:rsidR="00620C4B" w:rsidRPr="00207023" w:rsidRDefault="00620C4B">
            <w:pPr>
              <w:keepNext/>
              <w:jc w:val="center"/>
              <w:rPr>
                <w:rFonts w:ascii="Arial Narrow" w:eastAsia="Calibri" w:hAnsi="Arial Narrow" w:cs="Calibri"/>
                <w:sz w:val="20"/>
                <w:szCs w:val="20"/>
                <w:lang w:eastAsia="en-US"/>
              </w:rPr>
            </w:pPr>
            <w:r w:rsidRPr="00207023">
              <w:rPr>
                <w:rFonts w:ascii="Arial Narrow" w:eastAsia="Calibri" w:hAnsi="Arial Narrow" w:cs="Calibri"/>
                <w:sz w:val="20"/>
                <w:szCs w:val="20"/>
                <w:lang w:eastAsia="en-US"/>
              </w:rPr>
              <w:t>NS</w:t>
            </w:r>
          </w:p>
        </w:tc>
      </w:tr>
      <w:tr w:rsidR="00620C4B" w:rsidRPr="00207023" w14:paraId="669B72E8" w14:textId="77777777">
        <w:trPr>
          <w:trHeight w:val="22"/>
          <w:jc w:val="center"/>
        </w:trPr>
        <w:tc>
          <w:tcPr>
            <w:tcW w:w="1886" w:type="pct"/>
            <w:gridSpan w:val="3"/>
            <w:tcBorders>
              <w:top w:val="single" w:sz="4" w:space="0" w:color="auto"/>
              <w:left w:val="single" w:sz="4" w:space="0" w:color="auto"/>
              <w:bottom w:val="single" w:sz="4" w:space="0" w:color="auto"/>
              <w:right w:val="single" w:sz="4" w:space="0" w:color="auto"/>
            </w:tcBorders>
            <w:noWrap/>
            <w:vAlign w:val="center"/>
          </w:tcPr>
          <w:p w14:paraId="3D7C92AB" w14:textId="77777777" w:rsidR="00620C4B" w:rsidRPr="00207023" w:rsidRDefault="00620C4B">
            <w:pPr>
              <w:keepNext/>
              <w:jc w:val="right"/>
              <w:rPr>
                <w:rFonts w:ascii="Arial Narrow" w:eastAsia="Calibri" w:hAnsi="Arial Narrow" w:cs="Calibri"/>
                <w:sz w:val="20"/>
                <w:szCs w:val="20"/>
                <w:lang w:eastAsia="en-US"/>
              </w:rPr>
            </w:pPr>
            <w:r w:rsidRPr="00207023">
              <w:rPr>
                <w:rFonts w:ascii="Arial Narrow" w:hAnsi="Arial Narrow"/>
                <w:color w:val="000000"/>
                <w:sz w:val="20"/>
                <w:szCs w:val="20"/>
              </w:rPr>
              <w:t xml:space="preserve">Meta analysis UPA vs PBO </w:t>
            </w:r>
          </w:p>
        </w:tc>
        <w:tc>
          <w:tcPr>
            <w:tcW w:w="943" w:type="pct"/>
            <w:tcBorders>
              <w:top w:val="nil"/>
              <w:left w:val="single" w:sz="4" w:space="0" w:color="auto"/>
              <w:bottom w:val="nil"/>
              <w:right w:val="single" w:sz="4" w:space="0" w:color="auto"/>
            </w:tcBorders>
            <w:vAlign w:val="center"/>
          </w:tcPr>
          <w:p w14:paraId="6F138BFA" w14:textId="77777777" w:rsidR="00620C4B" w:rsidRPr="00207023" w:rsidRDefault="00620C4B">
            <w:pPr>
              <w:keepNext/>
              <w:jc w:val="center"/>
              <w:rPr>
                <w:rFonts w:ascii="Arial Narrow" w:eastAsia="Calibri" w:hAnsi="Arial Narrow" w:cs="Calibri"/>
                <w:sz w:val="20"/>
                <w:szCs w:val="20"/>
                <w:lang w:eastAsia="en-US"/>
              </w:rPr>
            </w:pPr>
            <w:r w:rsidRPr="00207023">
              <w:rPr>
                <w:rFonts w:ascii="Arial Narrow" w:eastAsia="Calibri" w:hAnsi="Arial Narrow" w:cs="Calibri"/>
                <w:bCs/>
                <w:sz w:val="20"/>
                <w:szCs w:val="20"/>
              </w:rPr>
              <w:t>3.12 (0.15, 64.25)</w:t>
            </w:r>
          </w:p>
        </w:tc>
        <w:tc>
          <w:tcPr>
            <w:tcW w:w="944" w:type="pct"/>
            <w:tcBorders>
              <w:top w:val="nil"/>
              <w:left w:val="single" w:sz="4" w:space="0" w:color="auto"/>
              <w:bottom w:val="nil"/>
              <w:right w:val="nil"/>
            </w:tcBorders>
            <w:vAlign w:val="center"/>
          </w:tcPr>
          <w:p w14:paraId="5BEDD833" w14:textId="1133C394" w:rsidR="00620C4B" w:rsidRPr="00207023" w:rsidRDefault="00620C4B">
            <w:pPr>
              <w:keepNext/>
              <w:jc w:val="center"/>
              <w:rPr>
                <w:rFonts w:ascii="Arial Narrow" w:eastAsia="Calibri" w:hAnsi="Arial Narrow" w:cs="Calibri"/>
                <w:sz w:val="20"/>
                <w:szCs w:val="20"/>
                <w:lang w:eastAsia="en-US"/>
              </w:rPr>
            </w:pPr>
            <w:r w:rsidRPr="00207023">
              <w:rPr>
                <w:rFonts w:ascii="Arial Narrow" w:eastAsia="Calibri" w:hAnsi="Arial Narrow" w:cs="Calibri"/>
                <w:sz w:val="20"/>
                <w:szCs w:val="20"/>
                <w:lang w:eastAsia="en-US"/>
              </w:rPr>
              <w:t>0.14 (</w:t>
            </w:r>
            <w:r w:rsidR="00FC7500">
              <w:rPr>
                <w:rFonts w:ascii="Arial Narrow" w:eastAsia="Calibri" w:hAnsi="Arial Narrow" w:cs="Calibri"/>
                <w:sz w:val="20"/>
                <w:szCs w:val="20"/>
                <w:lang w:eastAsia="en-US"/>
              </w:rPr>
              <w:noBreakHyphen/>
            </w:r>
            <w:r w:rsidRPr="00207023">
              <w:rPr>
                <w:rFonts w:ascii="Arial Narrow" w:eastAsia="Calibri" w:hAnsi="Arial Narrow" w:cs="Calibri"/>
                <w:sz w:val="20"/>
                <w:szCs w:val="20"/>
                <w:lang w:eastAsia="en-US"/>
              </w:rPr>
              <w:t>0.06, 0.34)</w:t>
            </w:r>
          </w:p>
        </w:tc>
        <w:tc>
          <w:tcPr>
            <w:tcW w:w="709" w:type="pct"/>
            <w:vMerge/>
            <w:tcBorders>
              <w:top w:val="single" w:sz="4" w:space="0" w:color="auto"/>
              <w:left w:val="nil"/>
              <w:bottom w:val="single" w:sz="4" w:space="0" w:color="auto"/>
              <w:right w:val="single" w:sz="4" w:space="0" w:color="auto"/>
            </w:tcBorders>
            <w:shd w:val="clear" w:color="auto" w:fill="FFFFFF" w:themeFill="background1"/>
          </w:tcPr>
          <w:p w14:paraId="4E8C0966" w14:textId="77777777" w:rsidR="00620C4B" w:rsidRPr="00207023" w:rsidRDefault="00620C4B">
            <w:pPr>
              <w:keepNext/>
              <w:jc w:val="center"/>
              <w:rPr>
                <w:rFonts w:ascii="Arial Narrow" w:eastAsia="Calibri" w:hAnsi="Arial Narrow" w:cs="Calibri"/>
                <w:sz w:val="20"/>
                <w:szCs w:val="20"/>
                <w:lang w:eastAsia="en-US"/>
              </w:rPr>
            </w:pPr>
          </w:p>
        </w:tc>
        <w:tc>
          <w:tcPr>
            <w:tcW w:w="518" w:type="pct"/>
            <w:tcBorders>
              <w:top w:val="nil"/>
              <w:left w:val="single" w:sz="4" w:space="0" w:color="auto"/>
              <w:bottom w:val="nil"/>
              <w:right w:val="single" w:sz="4" w:space="0" w:color="auto"/>
            </w:tcBorders>
            <w:shd w:val="clear" w:color="auto" w:fill="FFFFFF" w:themeFill="background1"/>
          </w:tcPr>
          <w:p w14:paraId="6D5164F8" w14:textId="77777777" w:rsidR="00620C4B" w:rsidRPr="00207023" w:rsidRDefault="00620C4B">
            <w:pPr>
              <w:keepNext/>
              <w:jc w:val="center"/>
              <w:rPr>
                <w:rFonts w:ascii="Arial Narrow" w:eastAsia="Calibri" w:hAnsi="Arial Narrow" w:cs="Calibri"/>
                <w:sz w:val="20"/>
                <w:szCs w:val="20"/>
                <w:lang w:eastAsia="en-US"/>
              </w:rPr>
            </w:pPr>
            <w:r w:rsidRPr="00207023">
              <w:rPr>
                <w:rFonts w:ascii="Arial Narrow" w:eastAsia="Calibri" w:hAnsi="Arial Narrow" w:cs="Calibri"/>
                <w:sz w:val="20"/>
                <w:szCs w:val="20"/>
                <w:lang w:eastAsia="en-US"/>
              </w:rPr>
              <w:t>NS</w:t>
            </w:r>
          </w:p>
        </w:tc>
      </w:tr>
      <w:tr w:rsidR="00620C4B" w:rsidRPr="00207023" w14:paraId="5E123343" w14:textId="77777777" w:rsidTr="00BB49C9">
        <w:trPr>
          <w:trHeight w:val="22"/>
          <w:jc w:val="center"/>
        </w:trPr>
        <w:tc>
          <w:tcPr>
            <w:tcW w:w="1886"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4940F03" w14:textId="77777777" w:rsidR="00620C4B" w:rsidRPr="00207023" w:rsidRDefault="00620C4B">
            <w:pPr>
              <w:keepNext/>
              <w:jc w:val="right"/>
              <w:rPr>
                <w:rFonts w:ascii="Arial Narrow" w:eastAsia="Aptos" w:hAnsi="Arial Narrow" w:cs="Times New Roman"/>
                <w:kern w:val="2"/>
                <w:sz w:val="20"/>
                <w:szCs w:val="20"/>
                <w:lang w:eastAsia="en-US"/>
                <w14:ligatures w14:val="standardContextual"/>
              </w:rPr>
            </w:pPr>
            <w:r w:rsidRPr="00207023">
              <w:rPr>
                <w:rFonts w:ascii="Arial Narrow" w:hAnsi="Arial Narrow"/>
                <w:color w:val="000000"/>
                <w:sz w:val="20"/>
                <w:szCs w:val="20"/>
              </w:rPr>
              <w:t xml:space="preserve">Meta analysis IFX vs PBO </w:t>
            </w:r>
          </w:p>
        </w:tc>
        <w:tc>
          <w:tcPr>
            <w:tcW w:w="943" w:type="pct"/>
            <w:tcBorders>
              <w:top w:val="nil"/>
              <w:left w:val="single" w:sz="4" w:space="0" w:color="auto"/>
              <w:bottom w:val="nil"/>
              <w:right w:val="single" w:sz="4" w:space="0" w:color="auto"/>
            </w:tcBorders>
            <w:shd w:val="clear" w:color="auto" w:fill="DBE5F1" w:themeFill="accent1" w:themeFillTint="33"/>
            <w:vAlign w:val="center"/>
          </w:tcPr>
          <w:p w14:paraId="6F10D308" w14:textId="77777777" w:rsidR="00620C4B" w:rsidRPr="00207023" w:rsidRDefault="00620C4B">
            <w:pPr>
              <w:keepNext/>
              <w:jc w:val="center"/>
              <w:rPr>
                <w:rFonts w:ascii="Arial Narrow" w:eastAsia="Calibri" w:hAnsi="Arial Narrow" w:cs="Calibri"/>
                <w:sz w:val="20"/>
                <w:szCs w:val="20"/>
                <w:lang w:eastAsia="en-US"/>
              </w:rPr>
            </w:pPr>
            <w:r w:rsidRPr="00207023">
              <w:rPr>
                <w:rFonts w:ascii="Arial Narrow" w:eastAsia="Calibri" w:hAnsi="Arial Narrow" w:cs="Calibri"/>
                <w:sz w:val="20"/>
                <w:szCs w:val="20"/>
                <w:lang w:eastAsia="en-US"/>
              </w:rPr>
              <w:t>2.37 (1.22, 4.57)</w:t>
            </w:r>
          </w:p>
        </w:tc>
        <w:tc>
          <w:tcPr>
            <w:tcW w:w="944" w:type="pct"/>
            <w:tcBorders>
              <w:top w:val="nil"/>
              <w:left w:val="single" w:sz="4" w:space="0" w:color="auto"/>
              <w:bottom w:val="nil"/>
              <w:right w:val="nil"/>
            </w:tcBorders>
            <w:shd w:val="clear" w:color="auto" w:fill="DBE5F1" w:themeFill="accent1" w:themeFillTint="33"/>
            <w:vAlign w:val="center"/>
          </w:tcPr>
          <w:p w14:paraId="737CDE4D" w14:textId="77777777" w:rsidR="00620C4B" w:rsidRPr="00207023" w:rsidRDefault="00620C4B">
            <w:pPr>
              <w:keepNext/>
              <w:jc w:val="center"/>
              <w:rPr>
                <w:rFonts w:ascii="Arial Narrow" w:eastAsia="Calibri" w:hAnsi="Arial Narrow" w:cs="Calibri"/>
                <w:sz w:val="20"/>
                <w:szCs w:val="20"/>
                <w:lang w:eastAsia="en-US"/>
              </w:rPr>
            </w:pPr>
            <w:r w:rsidRPr="00207023">
              <w:rPr>
                <w:rFonts w:ascii="Arial Narrow" w:eastAsia="Calibri" w:hAnsi="Arial Narrow" w:cs="Calibri"/>
                <w:sz w:val="20"/>
                <w:szCs w:val="20"/>
                <w:lang w:eastAsia="en-US"/>
              </w:rPr>
              <w:t>0.17 (0.04, 0.29)</w:t>
            </w:r>
          </w:p>
        </w:tc>
        <w:tc>
          <w:tcPr>
            <w:tcW w:w="709" w:type="pct"/>
            <w:vMerge/>
            <w:tcBorders>
              <w:top w:val="single" w:sz="4" w:space="0" w:color="auto"/>
              <w:left w:val="nil"/>
              <w:bottom w:val="single" w:sz="4" w:space="0" w:color="auto"/>
              <w:right w:val="single" w:sz="4" w:space="0" w:color="auto"/>
            </w:tcBorders>
            <w:shd w:val="clear" w:color="auto" w:fill="FFFFFF" w:themeFill="background1"/>
          </w:tcPr>
          <w:p w14:paraId="18692EAE" w14:textId="77777777" w:rsidR="00620C4B" w:rsidRPr="00207023" w:rsidRDefault="00620C4B">
            <w:pPr>
              <w:keepNext/>
              <w:jc w:val="center"/>
              <w:rPr>
                <w:rFonts w:ascii="Arial Narrow" w:eastAsia="Calibri" w:hAnsi="Arial Narrow" w:cs="Calibri"/>
                <w:sz w:val="20"/>
                <w:szCs w:val="20"/>
                <w:lang w:eastAsia="en-US"/>
              </w:rPr>
            </w:pPr>
          </w:p>
        </w:tc>
        <w:tc>
          <w:tcPr>
            <w:tcW w:w="518" w:type="pct"/>
            <w:tcBorders>
              <w:top w:val="nil"/>
              <w:left w:val="single" w:sz="4" w:space="0" w:color="auto"/>
              <w:bottom w:val="nil"/>
              <w:right w:val="single" w:sz="4" w:space="0" w:color="auto"/>
            </w:tcBorders>
            <w:shd w:val="clear" w:color="auto" w:fill="FFFFFF" w:themeFill="background1"/>
          </w:tcPr>
          <w:p w14:paraId="163082AF" w14:textId="77777777" w:rsidR="00620C4B" w:rsidRPr="00207023" w:rsidRDefault="00620C4B">
            <w:pPr>
              <w:keepNext/>
              <w:jc w:val="center"/>
              <w:rPr>
                <w:rFonts w:ascii="Arial Narrow" w:eastAsia="Calibri" w:hAnsi="Arial Narrow" w:cs="Calibri"/>
                <w:sz w:val="20"/>
                <w:szCs w:val="20"/>
                <w:lang w:eastAsia="en-US"/>
              </w:rPr>
            </w:pPr>
            <w:r w:rsidRPr="00207023">
              <w:rPr>
                <w:rFonts w:ascii="Arial Narrow" w:eastAsia="Calibri" w:hAnsi="Arial Narrow" w:cs="Calibri"/>
                <w:sz w:val="20"/>
                <w:szCs w:val="20"/>
                <w:lang w:eastAsia="en-US"/>
              </w:rPr>
              <w:t>6 (3, 23)</w:t>
            </w:r>
          </w:p>
        </w:tc>
      </w:tr>
      <w:tr w:rsidR="00620C4B" w:rsidRPr="00207023" w14:paraId="1F4AC1B2" w14:textId="77777777" w:rsidTr="00BB49C9">
        <w:trPr>
          <w:trHeight w:val="22"/>
          <w:jc w:val="center"/>
        </w:trPr>
        <w:tc>
          <w:tcPr>
            <w:tcW w:w="1886"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457A50" w14:textId="77777777" w:rsidR="00620C4B" w:rsidRPr="00207023" w:rsidRDefault="00620C4B">
            <w:pPr>
              <w:keepNext/>
              <w:jc w:val="right"/>
              <w:rPr>
                <w:rFonts w:ascii="Arial Narrow" w:eastAsia="Aptos" w:hAnsi="Arial Narrow" w:cs="Times New Roman"/>
                <w:kern w:val="2"/>
                <w:sz w:val="20"/>
                <w:szCs w:val="20"/>
                <w:lang w:val="pt-BR" w:eastAsia="en-US"/>
                <w14:ligatures w14:val="standardContextual"/>
              </w:rPr>
            </w:pPr>
            <w:r w:rsidRPr="00207023">
              <w:rPr>
                <w:rFonts w:ascii="Arial Narrow" w:hAnsi="Arial Narrow"/>
                <w:color w:val="000000"/>
                <w:sz w:val="20"/>
                <w:szCs w:val="20"/>
                <w:lang w:val="pt-BR"/>
              </w:rPr>
              <w:t xml:space="preserve">Meta analysis ADA vs PBO </w:t>
            </w:r>
          </w:p>
        </w:tc>
        <w:tc>
          <w:tcPr>
            <w:tcW w:w="943" w:type="pct"/>
            <w:tcBorders>
              <w:top w:val="nil"/>
              <w:left w:val="single" w:sz="4" w:space="0" w:color="auto"/>
              <w:bottom w:val="nil"/>
              <w:right w:val="single" w:sz="4" w:space="0" w:color="auto"/>
            </w:tcBorders>
            <w:shd w:val="clear" w:color="auto" w:fill="DBE5F1" w:themeFill="accent1" w:themeFillTint="33"/>
            <w:vAlign w:val="center"/>
          </w:tcPr>
          <w:p w14:paraId="33723B43" w14:textId="77777777" w:rsidR="00620C4B" w:rsidRPr="00207023" w:rsidRDefault="00620C4B">
            <w:pPr>
              <w:keepNext/>
              <w:jc w:val="center"/>
              <w:rPr>
                <w:rFonts w:ascii="Arial Narrow" w:eastAsia="Calibri" w:hAnsi="Arial Narrow" w:cs="Calibri"/>
                <w:sz w:val="20"/>
                <w:szCs w:val="20"/>
                <w:lang w:eastAsia="en-US"/>
              </w:rPr>
            </w:pPr>
            <w:r w:rsidRPr="00207023">
              <w:rPr>
                <w:rFonts w:ascii="Arial Narrow" w:eastAsia="Calibri" w:hAnsi="Arial Narrow" w:cs="Calibri"/>
                <w:sz w:val="20"/>
                <w:szCs w:val="20"/>
                <w:lang w:eastAsia="en-US"/>
              </w:rPr>
              <w:t>3.96 (1.27, 12.29)</w:t>
            </w:r>
          </w:p>
        </w:tc>
        <w:tc>
          <w:tcPr>
            <w:tcW w:w="944" w:type="pct"/>
            <w:tcBorders>
              <w:top w:val="nil"/>
              <w:left w:val="single" w:sz="4" w:space="0" w:color="auto"/>
              <w:bottom w:val="nil"/>
              <w:right w:val="nil"/>
            </w:tcBorders>
            <w:shd w:val="clear" w:color="auto" w:fill="DBE5F1" w:themeFill="accent1" w:themeFillTint="33"/>
            <w:vAlign w:val="center"/>
          </w:tcPr>
          <w:p w14:paraId="405837E8" w14:textId="77777777" w:rsidR="00620C4B" w:rsidRPr="00207023" w:rsidRDefault="00620C4B">
            <w:pPr>
              <w:keepNext/>
              <w:jc w:val="center"/>
              <w:rPr>
                <w:rFonts w:ascii="Arial Narrow" w:eastAsia="Calibri" w:hAnsi="Arial Narrow" w:cs="Calibri"/>
                <w:sz w:val="20"/>
                <w:szCs w:val="20"/>
                <w:lang w:eastAsia="en-US"/>
              </w:rPr>
            </w:pPr>
            <w:r w:rsidRPr="00207023">
              <w:rPr>
                <w:rFonts w:ascii="Arial Narrow" w:eastAsia="Calibri" w:hAnsi="Arial Narrow" w:cs="Calibri"/>
                <w:sz w:val="20"/>
                <w:szCs w:val="20"/>
                <w:lang w:eastAsia="en-US"/>
              </w:rPr>
              <w:t>0.24 (0.04, 0.44)</w:t>
            </w:r>
          </w:p>
        </w:tc>
        <w:tc>
          <w:tcPr>
            <w:tcW w:w="709" w:type="pct"/>
            <w:vMerge/>
            <w:tcBorders>
              <w:top w:val="single" w:sz="4" w:space="0" w:color="auto"/>
              <w:left w:val="nil"/>
              <w:bottom w:val="single" w:sz="4" w:space="0" w:color="auto"/>
              <w:right w:val="single" w:sz="4" w:space="0" w:color="auto"/>
            </w:tcBorders>
            <w:shd w:val="clear" w:color="auto" w:fill="FFFFFF" w:themeFill="background1"/>
          </w:tcPr>
          <w:p w14:paraId="13658C76" w14:textId="77777777" w:rsidR="00620C4B" w:rsidRPr="00207023" w:rsidRDefault="00620C4B">
            <w:pPr>
              <w:keepNext/>
              <w:jc w:val="center"/>
              <w:rPr>
                <w:rFonts w:ascii="Arial Narrow" w:eastAsia="Calibri" w:hAnsi="Arial Narrow" w:cs="Calibri"/>
                <w:sz w:val="20"/>
                <w:szCs w:val="20"/>
                <w:lang w:eastAsia="en-US"/>
              </w:rPr>
            </w:pPr>
          </w:p>
        </w:tc>
        <w:tc>
          <w:tcPr>
            <w:tcW w:w="518" w:type="pct"/>
            <w:tcBorders>
              <w:top w:val="nil"/>
              <w:left w:val="single" w:sz="4" w:space="0" w:color="auto"/>
              <w:bottom w:val="nil"/>
              <w:right w:val="single" w:sz="4" w:space="0" w:color="auto"/>
            </w:tcBorders>
            <w:shd w:val="clear" w:color="auto" w:fill="FFFFFF" w:themeFill="background1"/>
          </w:tcPr>
          <w:p w14:paraId="39CA41CA" w14:textId="77777777" w:rsidR="00620C4B" w:rsidRPr="00207023" w:rsidRDefault="00620C4B">
            <w:pPr>
              <w:keepNext/>
              <w:jc w:val="center"/>
              <w:rPr>
                <w:rFonts w:ascii="Arial Narrow" w:eastAsia="Calibri" w:hAnsi="Arial Narrow" w:cs="Calibri"/>
                <w:sz w:val="20"/>
                <w:szCs w:val="20"/>
                <w:lang w:eastAsia="en-US"/>
              </w:rPr>
            </w:pPr>
            <w:r w:rsidRPr="00207023">
              <w:rPr>
                <w:rFonts w:ascii="Arial Narrow" w:eastAsia="Calibri" w:hAnsi="Arial Narrow" w:cs="Calibri"/>
                <w:sz w:val="20"/>
                <w:szCs w:val="20"/>
                <w:lang w:eastAsia="en-US"/>
              </w:rPr>
              <w:t xml:space="preserve">4 (2, 24) </w:t>
            </w:r>
          </w:p>
        </w:tc>
      </w:tr>
      <w:tr w:rsidR="00620C4B" w:rsidRPr="00207023" w14:paraId="41958516" w14:textId="77777777" w:rsidTr="00BB49C9">
        <w:trPr>
          <w:trHeight w:val="22"/>
          <w:jc w:val="center"/>
        </w:trPr>
        <w:tc>
          <w:tcPr>
            <w:tcW w:w="1886" w:type="pct"/>
            <w:gridSpan w:val="3"/>
            <w:tcBorders>
              <w:top w:val="single" w:sz="4" w:space="0" w:color="auto"/>
              <w:left w:val="single" w:sz="4" w:space="0" w:color="auto"/>
              <w:bottom w:val="single" w:sz="4" w:space="0" w:color="auto"/>
              <w:right w:val="single" w:sz="4" w:space="0" w:color="auto"/>
            </w:tcBorders>
            <w:noWrap/>
            <w:vAlign w:val="center"/>
          </w:tcPr>
          <w:p w14:paraId="11F57EF1" w14:textId="77777777" w:rsidR="00620C4B" w:rsidRPr="00207023" w:rsidRDefault="00620C4B">
            <w:pPr>
              <w:keepNext/>
              <w:jc w:val="right"/>
              <w:rPr>
                <w:rFonts w:ascii="Arial Narrow" w:eastAsia="Calibri" w:hAnsi="Arial Narrow" w:cs="Calibri"/>
                <w:sz w:val="20"/>
                <w:szCs w:val="20"/>
                <w:lang w:eastAsia="en-US"/>
              </w:rPr>
            </w:pPr>
            <w:r w:rsidRPr="00207023">
              <w:rPr>
                <w:rFonts w:ascii="Arial Narrow" w:hAnsi="Arial Narrow"/>
                <w:color w:val="000000"/>
                <w:sz w:val="20"/>
                <w:szCs w:val="20"/>
              </w:rPr>
              <w:t>Meta analysis UST vs PBO</w:t>
            </w:r>
          </w:p>
        </w:tc>
        <w:tc>
          <w:tcPr>
            <w:tcW w:w="943" w:type="pct"/>
            <w:tcBorders>
              <w:top w:val="nil"/>
              <w:left w:val="single" w:sz="4" w:space="0" w:color="auto"/>
              <w:bottom w:val="nil"/>
              <w:right w:val="single" w:sz="4" w:space="0" w:color="auto"/>
            </w:tcBorders>
            <w:vAlign w:val="center"/>
          </w:tcPr>
          <w:p w14:paraId="12139CA6" w14:textId="77777777" w:rsidR="00620C4B" w:rsidRPr="00207023" w:rsidRDefault="00620C4B">
            <w:pPr>
              <w:keepNext/>
              <w:jc w:val="center"/>
              <w:rPr>
                <w:rFonts w:ascii="Arial Narrow" w:eastAsia="Calibri" w:hAnsi="Arial Narrow" w:cs="Calibri"/>
                <w:sz w:val="20"/>
                <w:szCs w:val="20"/>
                <w:lang w:eastAsia="en-US"/>
              </w:rPr>
            </w:pPr>
            <w:r w:rsidRPr="00207023">
              <w:rPr>
                <w:rFonts w:ascii="Arial Narrow" w:eastAsia="Calibri" w:hAnsi="Arial Narrow" w:cs="Calibri"/>
                <w:sz w:val="20"/>
                <w:szCs w:val="20"/>
                <w:lang w:eastAsia="en-US"/>
              </w:rPr>
              <w:t>4.58 (0.72, 28.65)</w:t>
            </w:r>
          </w:p>
        </w:tc>
        <w:tc>
          <w:tcPr>
            <w:tcW w:w="944" w:type="pct"/>
            <w:tcBorders>
              <w:top w:val="nil"/>
              <w:left w:val="single" w:sz="4" w:space="0" w:color="auto"/>
              <w:bottom w:val="nil"/>
              <w:right w:val="nil"/>
            </w:tcBorders>
            <w:shd w:val="clear" w:color="auto" w:fill="DBE5F1" w:themeFill="accent1" w:themeFillTint="33"/>
            <w:vAlign w:val="center"/>
          </w:tcPr>
          <w:p w14:paraId="156D4F85" w14:textId="5955B91C" w:rsidR="00620C4B" w:rsidRPr="00207023" w:rsidRDefault="00620C4B">
            <w:pPr>
              <w:keepNext/>
              <w:jc w:val="center"/>
              <w:rPr>
                <w:rFonts w:ascii="Arial Narrow" w:eastAsia="Calibri" w:hAnsi="Arial Narrow" w:cs="Calibri"/>
                <w:sz w:val="20"/>
                <w:szCs w:val="20"/>
                <w:lang w:eastAsia="en-US"/>
              </w:rPr>
            </w:pPr>
            <w:r w:rsidRPr="00207023">
              <w:rPr>
                <w:rFonts w:ascii="Arial Narrow" w:eastAsia="Calibri" w:hAnsi="Arial Narrow" w:cs="Calibri"/>
                <w:sz w:val="20"/>
                <w:szCs w:val="20"/>
                <w:lang w:eastAsia="en-US"/>
              </w:rPr>
              <w:t>0.34 (</w:t>
            </w:r>
            <w:r w:rsidR="00FC7500">
              <w:rPr>
                <w:rFonts w:ascii="Arial Narrow" w:eastAsia="Calibri" w:hAnsi="Arial Narrow" w:cs="Calibri"/>
                <w:sz w:val="20"/>
                <w:szCs w:val="20"/>
                <w:lang w:eastAsia="en-US"/>
              </w:rPr>
              <w:noBreakHyphen/>
            </w:r>
            <w:r w:rsidRPr="00207023">
              <w:rPr>
                <w:rFonts w:ascii="Arial Narrow" w:eastAsia="Calibri" w:hAnsi="Arial Narrow" w:cs="Calibri"/>
                <w:sz w:val="20"/>
                <w:szCs w:val="20"/>
                <w:lang w:eastAsia="en-US"/>
              </w:rPr>
              <w:t>0.05, 0.73)</w:t>
            </w:r>
          </w:p>
        </w:tc>
        <w:tc>
          <w:tcPr>
            <w:tcW w:w="709" w:type="pct"/>
            <w:vMerge/>
            <w:tcBorders>
              <w:top w:val="single" w:sz="4" w:space="0" w:color="auto"/>
              <w:left w:val="nil"/>
              <w:bottom w:val="single" w:sz="4" w:space="0" w:color="auto"/>
              <w:right w:val="single" w:sz="4" w:space="0" w:color="auto"/>
            </w:tcBorders>
            <w:shd w:val="clear" w:color="auto" w:fill="FFFFFF" w:themeFill="background1"/>
          </w:tcPr>
          <w:p w14:paraId="1D90522C" w14:textId="77777777" w:rsidR="00620C4B" w:rsidRPr="00207023" w:rsidRDefault="00620C4B">
            <w:pPr>
              <w:keepNext/>
              <w:jc w:val="center"/>
              <w:rPr>
                <w:rFonts w:ascii="Arial Narrow" w:eastAsia="Calibri" w:hAnsi="Arial Narrow" w:cs="Calibri"/>
                <w:sz w:val="20"/>
                <w:szCs w:val="20"/>
                <w:lang w:eastAsia="en-US"/>
              </w:rPr>
            </w:pPr>
          </w:p>
        </w:tc>
        <w:tc>
          <w:tcPr>
            <w:tcW w:w="518" w:type="pct"/>
            <w:tcBorders>
              <w:top w:val="nil"/>
              <w:left w:val="single" w:sz="4" w:space="0" w:color="auto"/>
              <w:bottom w:val="nil"/>
              <w:right w:val="single" w:sz="4" w:space="0" w:color="auto"/>
            </w:tcBorders>
            <w:shd w:val="clear" w:color="auto" w:fill="FFFFFF" w:themeFill="background1"/>
          </w:tcPr>
          <w:p w14:paraId="44AD25F2" w14:textId="77777777" w:rsidR="00620C4B" w:rsidRPr="00207023" w:rsidRDefault="00620C4B">
            <w:pPr>
              <w:keepNext/>
              <w:jc w:val="center"/>
              <w:rPr>
                <w:rFonts w:ascii="Arial Narrow" w:eastAsia="Calibri" w:hAnsi="Arial Narrow" w:cs="Calibri"/>
                <w:sz w:val="20"/>
                <w:szCs w:val="20"/>
                <w:lang w:eastAsia="en-US"/>
              </w:rPr>
            </w:pPr>
            <w:r w:rsidRPr="00207023">
              <w:rPr>
                <w:rFonts w:ascii="Arial Narrow" w:eastAsia="Calibri" w:hAnsi="Arial Narrow" w:cs="Calibri"/>
                <w:sz w:val="20"/>
                <w:szCs w:val="20"/>
                <w:lang w:eastAsia="en-US"/>
              </w:rPr>
              <w:t>NS</w:t>
            </w:r>
          </w:p>
        </w:tc>
      </w:tr>
      <w:tr w:rsidR="00620C4B" w:rsidRPr="00207023" w14:paraId="76816A85" w14:textId="77777777">
        <w:trPr>
          <w:trHeight w:val="22"/>
          <w:jc w:val="center"/>
        </w:trPr>
        <w:tc>
          <w:tcPr>
            <w:tcW w:w="1886" w:type="pct"/>
            <w:gridSpan w:val="3"/>
            <w:tcBorders>
              <w:top w:val="single" w:sz="4" w:space="0" w:color="auto"/>
              <w:left w:val="single" w:sz="4" w:space="0" w:color="auto"/>
              <w:bottom w:val="single" w:sz="4" w:space="0" w:color="auto"/>
              <w:right w:val="single" w:sz="4" w:space="0" w:color="auto"/>
            </w:tcBorders>
            <w:noWrap/>
            <w:vAlign w:val="center"/>
          </w:tcPr>
          <w:p w14:paraId="201F8478" w14:textId="77777777" w:rsidR="00620C4B" w:rsidRPr="00207023" w:rsidRDefault="00620C4B">
            <w:pPr>
              <w:keepNext/>
              <w:jc w:val="right"/>
              <w:rPr>
                <w:rFonts w:ascii="Arial Narrow" w:eastAsia="Calibri" w:hAnsi="Arial Narrow" w:cs="Calibri"/>
                <w:sz w:val="20"/>
                <w:szCs w:val="20"/>
                <w:lang w:eastAsia="en-US"/>
              </w:rPr>
            </w:pPr>
            <w:r w:rsidRPr="00207023">
              <w:rPr>
                <w:rFonts w:ascii="Arial Narrow" w:hAnsi="Arial Narrow"/>
                <w:color w:val="000000"/>
                <w:sz w:val="20"/>
                <w:szCs w:val="20"/>
              </w:rPr>
              <w:t xml:space="preserve">Indirect UPA (45 mg) vs IFX </w:t>
            </w:r>
          </w:p>
        </w:tc>
        <w:tc>
          <w:tcPr>
            <w:tcW w:w="943" w:type="pct"/>
            <w:tcBorders>
              <w:top w:val="nil"/>
              <w:left w:val="single" w:sz="4" w:space="0" w:color="auto"/>
              <w:bottom w:val="nil"/>
              <w:right w:val="single" w:sz="4" w:space="0" w:color="auto"/>
            </w:tcBorders>
            <w:vAlign w:val="center"/>
          </w:tcPr>
          <w:p w14:paraId="7429C383" w14:textId="77777777" w:rsidR="00620C4B" w:rsidRPr="00207023" w:rsidRDefault="00620C4B">
            <w:pPr>
              <w:keepNext/>
              <w:jc w:val="center"/>
              <w:rPr>
                <w:rFonts w:ascii="Arial Narrow" w:eastAsia="Calibri" w:hAnsi="Arial Narrow" w:cs="Calibri"/>
                <w:sz w:val="20"/>
                <w:szCs w:val="20"/>
                <w:lang w:eastAsia="en-US"/>
              </w:rPr>
            </w:pPr>
            <w:r w:rsidRPr="00207023">
              <w:rPr>
                <w:rFonts w:ascii="Arial Narrow" w:eastAsia="Calibri" w:hAnsi="Arial Narrow" w:cs="Calibri"/>
                <w:sz w:val="20"/>
                <w:szCs w:val="20"/>
                <w:lang w:eastAsia="en-US"/>
              </w:rPr>
              <w:t>1.32 (0.06,29.15)</w:t>
            </w:r>
          </w:p>
        </w:tc>
        <w:tc>
          <w:tcPr>
            <w:tcW w:w="944" w:type="pct"/>
            <w:tcBorders>
              <w:top w:val="nil"/>
              <w:left w:val="single" w:sz="4" w:space="0" w:color="auto"/>
              <w:bottom w:val="nil"/>
              <w:right w:val="nil"/>
            </w:tcBorders>
            <w:vAlign w:val="center"/>
          </w:tcPr>
          <w:p w14:paraId="013E6338" w14:textId="3C842009" w:rsidR="00620C4B" w:rsidRPr="00207023" w:rsidRDefault="00FC7500">
            <w:pPr>
              <w:keepNext/>
              <w:jc w:val="center"/>
              <w:rPr>
                <w:rFonts w:ascii="Arial Narrow" w:eastAsia="Calibri" w:hAnsi="Arial Narrow" w:cs="Calibri"/>
                <w:sz w:val="20"/>
                <w:szCs w:val="20"/>
                <w:lang w:eastAsia="en-US"/>
              </w:rPr>
            </w:pPr>
            <w:r>
              <w:rPr>
                <w:rFonts w:ascii="Arial Narrow" w:eastAsia="Calibri" w:hAnsi="Arial Narrow" w:cs="Calibri"/>
                <w:sz w:val="20"/>
                <w:szCs w:val="20"/>
                <w:lang w:eastAsia="en-US"/>
              </w:rPr>
              <w:noBreakHyphen/>
            </w:r>
            <w:r w:rsidR="00620C4B" w:rsidRPr="00207023">
              <w:rPr>
                <w:rFonts w:ascii="Arial Narrow" w:eastAsia="Calibri" w:hAnsi="Arial Narrow" w:cs="Calibri"/>
                <w:sz w:val="20"/>
                <w:szCs w:val="20"/>
                <w:lang w:eastAsia="en-US"/>
              </w:rPr>
              <w:t>0.03 (</w:t>
            </w:r>
            <w:r>
              <w:rPr>
                <w:rFonts w:ascii="Arial Narrow" w:eastAsia="Calibri" w:hAnsi="Arial Narrow" w:cs="Calibri"/>
                <w:sz w:val="20"/>
                <w:szCs w:val="20"/>
                <w:lang w:eastAsia="en-US"/>
              </w:rPr>
              <w:noBreakHyphen/>
            </w:r>
            <w:r w:rsidR="00620C4B" w:rsidRPr="00207023">
              <w:rPr>
                <w:rFonts w:ascii="Arial Narrow" w:eastAsia="Calibri" w:hAnsi="Arial Narrow" w:cs="Calibri"/>
                <w:sz w:val="20"/>
                <w:szCs w:val="20"/>
                <w:lang w:eastAsia="en-US"/>
              </w:rPr>
              <w:t>0.26, 0.21)</w:t>
            </w:r>
          </w:p>
        </w:tc>
        <w:tc>
          <w:tcPr>
            <w:tcW w:w="709" w:type="pct"/>
            <w:vMerge/>
            <w:tcBorders>
              <w:top w:val="single" w:sz="4" w:space="0" w:color="auto"/>
              <w:left w:val="nil"/>
              <w:bottom w:val="single" w:sz="4" w:space="0" w:color="auto"/>
              <w:right w:val="single" w:sz="4" w:space="0" w:color="auto"/>
            </w:tcBorders>
            <w:shd w:val="clear" w:color="auto" w:fill="FFFFFF" w:themeFill="background1"/>
          </w:tcPr>
          <w:p w14:paraId="5170FABD" w14:textId="77777777" w:rsidR="00620C4B" w:rsidRPr="00207023" w:rsidRDefault="00620C4B">
            <w:pPr>
              <w:keepNext/>
              <w:jc w:val="center"/>
              <w:rPr>
                <w:rFonts w:ascii="Arial Narrow" w:eastAsia="Calibri" w:hAnsi="Arial Narrow" w:cs="Calibri"/>
                <w:sz w:val="20"/>
                <w:szCs w:val="20"/>
                <w:lang w:eastAsia="en-US"/>
              </w:rPr>
            </w:pPr>
          </w:p>
        </w:tc>
        <w:tc>
          <w:tcPr>
            <w:tcW w:w="518" w:type="pct"/>
            <w:tcBorders>
              <w:top w:val="nil"/>
              <w:left w:val="single" w:sz="4" w:space="0" w:color="auto"/>
              <w:bottom w:val="nil"/>
              <w:right w:val="single" w:sz="4" w:space="0" w:color="auto"/>
            </w:tcBorders>
            <w:shd w:val="clear" w:color="auto" w:fill="FFFFFF" w:themeFill="background1"/>
          </w:tcPr>
          <w:p w14:paraId="7650029E" w14:textId="77777777" w:rsidR="00620C4B" w:rsidRPr="00207023" w:rsidRDefault="00620C4B">
            <w:pPr>
              <w:keepNext/>
              <w:jc w:val="center"/>
              <w:rPr>
                <w:rFonts w:ascii="Arial Narrow" w:eastAsia="Calibri" w:hAnsi="Arial Narrow" w:cs="Calibri"/>
                <w:sz w:val="20"/>
                <w:szCs w:val="20"/>
                <w:lang w:eastAsia="en-US"/>
              </w:rPr>
            </w:pPr>
            <w:r w:rsidRPr="00207023">
              <w:rPr>
                <w:rFonts w:ascii="Arial Narrow" w:eastAsia="Calibri" w:hAnsi="Arial Narrow" w:cs="Calibri"/>
                <w:sz w:val="20"/>
                <w:szCs w:val="20"/>
                <w:lang w:eastAsia="en-US"/>
              </w:rPr>
              <w:t>NS</w:t>
            </w:r>
          </w:p>
        </w:tc>
      </w:tr>
      <w:tr w:rsidR="00620C4B" w:rsidRPr="00207023" w14:paraId="453BE97E" w14:textId="77777777">
        <w:trPr>
          <w:trHeight w:val="22"/>
          <w:jc w:val="center"/>
        </w:trPr>
        <w:tc>
          <w:tcPr>
            <w:tcW w:w="1886" w:type="pct"/>
            <w:gridSpan w:val="3"/>
            <w:tcBorders>
              <w:top w:val="single" w:sz="4" w:space="0" w:color="auto"/>
              <w:left w:val="single" w:sz="4" w:space="0" w:color="auto"/>
              <w:bottom w:val="single" w:sz="4" w:space="0" w:color="auto"/>
              <w:right w:val="single" w:sz="4" w:space="0" w:color="auto"/>
            </w:tcBorders>
            <w:noWrap/>
            <w:vAlign w:val="center"/>
          </w:tcPr>
          <w:p w14:paraId="5DE06BB9" w14:textId="77777777" w:rsidR="00620C4B" w:rsidRPr="00207023" w:rsidRDefault="00620C4B">
            <w:pPr>
              <w:keepNext/>
              <w:jc w:val="right"/>
              <w:rPr>
                <w:rFonts w:ascii="Arial Narrow" w:eastAsia="Calibri" w:hAnsi="Arial Narrow" w:cs="Calibri"/>
                <w:sz w:val="20"/>
                <w:szCs w:val="20"/>
                <w:lang w:val="pt-BR" w:eastAsia="en-US"/>
              </w:rPr>
            </w:pPr>
            <w:r w:rsidRPr="00207023">
              <w:rPr>
                <w:rFonts w:ascii="Arial Narrow" w:hAnsi="Arial Narrow"/>
                <w:color w:val="000000"/>
                <w:sz w:val="20"/>
                <w:szCs w:val="20"/>
                <w:lang w:val="pt-BR"/>
              </w:rPr>
              <w:t xml:space="preserve">Indirect UPA (45 mg) vs ADA </w:t>
            </w:r>
          </w:p>
        </w:tc>
        <w:tc>
          <w:tcPr>
            <w:tcW w:w="943" w:type="pct"/>
            <w:tcBorders>
              <w:top w:val="nil"/>
              <w:left w:val="single" w:sz="4" w:space="0" w:color="auto"/>
              <w:bottom w:val="nil"/>
              <w:right w:val="single" w:sz="4" w:space="0" w:color="auto"/>
            </w:tcBorders>
            <w:vAlign w:val="center"/>
          </w:tcPr>
          <w:p w14:paraId="05917858" w14:textId="77777777" w:rsidR="00620C4B" w:rsidRPr="00207023" w:rsidRDefault="00620C4B">
            <w:pPr>
              <w:keepNext/>
              <w:jc w:val="center"/>
              <w:rPr>
                <w:rFonts w:ascii="Arial Narrow" w:eastAsia="Calibri" w:hAnsi="Arial Narrow" w:cs="Calibri"/>
                <w:sz w:val="20"/>
                <w:szCs w:val="20"/>
                <w:lang w:eastAsia="en-US"/>
              </w:rPr>
            </w:pPr>
            <w:r w:rsidRPr="00207023">
              <w:rPr>
                <w:rFonts w:ascii="Arial Narrow" w:eastAsia="Calibri" w:hAnsi="Arial Narrow" w:cs="Calibri"/>
                <w:sz w:val="20"/>
                <w:szCs w:val="20"/>
                <w:lang w:eastAsia="en-US"/>
              </w:rPr>
              <w:t>0.79 (0.03,19.95)</w:t>
            </w:r>
          </w:p>
        </w:tc>
        <w:tc>
          <w:tcPr>
            <w:tcW w:w="944" w:type="pct"/>
            <w:tcBorders>
              <w:top w:val="nil"/>
              <w:left w:val="single" w:sz="4" w:space="0" w:color="auto"/>
              <w:bottom w:val="nil"/>
              <w:right w:val="nil"/>
            </w:tcBorders>
            <w:vAlign w:val="center"/>
          </w:tcPr>
          <w:p w14:paraId="38C27D2B" w14:textId="3A619867" w:rsidR="00620C4B" w:rsidRPr="00207023" w:rsidRDefault="00FC7500">
            <w:pPr>
              <w:keepNext/>
              <w:jc w:val="center"/>
              <w:rPr>
                <w:rFonts w:ascii="Arial Narrow" w:eastAsia="Calibri" w:hAnsi="Arial Narrow" w:cs="Calibri"/>
                <w:sz w:val="20"/>
                <w:szCs w:val="20"/>
                <w:lang w:eastAsia="en-US"/>
              </w:rPr>
            </w:pPr>
            <w:r>
              <w:rPr>
                <w:rFonts w:ascii="Arial Narrow" w:eastAsia="Calibri" w:hAnsi="Arial Narrow" w:cs="Calibri"/>
                <w:sz w:val="20"/>
                <w:szCs w:val="20"/>
                <w:lang w:eastAsia="en-US"/>
              </w:rPr>
              <w:noBreakHyphen/>
            </w:r>
            <w:r w:rsidR="00620C4B" w:rsidRPr="00207023">
              <w:rPr>
                <w:rFonts w:ascii="Arial Narrow" w:eastAsia="Calibri" w:hAnsi="Arial Narrow" w:cs="Calibri"/>
                <w:sz w:val="20"/>
                <w:szCs w:val="20"/>
                <w:lang w:eastAsia="en-US"/>
              </w:rPr>
              <w:t>0.10 (</w:t>
            </w:r>
            <w:r>
              <w:rPr>
                <w:rFonts w:ascii="Arial Narrow" w:eastAsia="Calibri" w:hAnsi="Arial Narrow" w:cs="Calibri"/>
                <w:sz w:val="20"/>
                <w:szCs w:val="20"/>
                <w:lang w:eastAsia="en-US"/>
              </w:rPr>
              <w:noBreakHyphen/>
            </w:r>
            <w:r w:rsidR="00620C4B" w:rsidRPr="00207023">
              <w:rPr>
                <w:rFonts w:ascii="Arial Narrow" w:eastAsia="Calibri" w:hAnsi="Arial Narrow" w:cs="Calibri"/>
                <w:sz w:val="20"/>
                <w:szCs w:val="20"/>
                <w:lang w:eastAsia="en-US"/>
              </w:rPr>
              <w:t>0.38, 0.18)</w:t>
            </w:r>
          </w:p>
        </w:tc>
        <w:tc>
          <w:tcPr>
            <w:tcW w:w="709" w:type="pct"/>
            <w:vMerge/>
            <w:tcBorders>
              <w:top w:val="single" w:sz="4" w:space="0" w:color="auto"/>
              <w:left w:val="nil"/>
              <w:bottom w:val="single" w:sz="4" w:space="0" w:color="auto"/>
              <w:right w:val="single" w:sz="4" w:space="0" w:color="auto"/>
            </w:tcBorders>
            <w:shd w:val="clear" w:color="auto" w:fill="FFFFFF" w:themeFill="background1"/>
          </w:tcPr>
          <w:p w14:paraId="1848B31D" w14:textId="77777777" w:rsidR="00620C4B" w:rsidRPr="00207023" w:rsidRDefault="00620C4B">
            <w:pPr>
              <w:keepNext/>
              <w:jc w:val="center"/>
              <w:rPr>
                <w:rFonts w:ascii="Arial Narrow" w:eastAsia="Calibri" w:hAnsi="Arial Narrow" w:cs="Calibri"/>
                <w:sz w:val="20"/>
                <w:szCs w:val="20"/>
                <w:lang w:eastAsia="en-US"/>
              </w:rPr>
            </w:pPr>
          </w:p>
        </w:tc>
        <w:tc>
          <w:tcPr>
            <w:tcW w:w="518" w:type="pct"/>
            <w:tcBorders>
              <w:top w:val="nil"/>
              <w:left w:val="single" w:sz="4" w:space="0" w:color="auto"/>
              <w:bottom w:val="nil"/>
              <w:right w:val="single" w:sz="4" w:space="0" w:color="auto"/>
            </w:tcBorders>
            <w:shd w:val="clear" w:color="auto" w:fill="FFFFFF" w:themeFill="background1"/>
          </w:tcPr>
          <w:p w14:paraId="380C26DE" w14:textId="77777777" w:rsidR="00620C4B" w:rsidRPr="00207023" w:rsidRDefault="00620C4B">
            <w:pPr>
              <w:keepNext/>
              <w:jc w:val="center"/>
              <w:rPr>
                <w:rFonts w:ascii="Arial Narrow" w:eastAsia="Calibri" w:hAnsi="Arial Narrow" w:cs="Calibri"/>
                <w:sz w:val="20"/>
                <w:szCs w:val="20"/>
                <w:lang w:eastAsia="en-US"/>
              </w:rPr>
            </w:pPr>
            <w:r w:rsidRPr="00207023">
              <w:rPr>
                <w:rFonts w:ascii="Arial Narrow" w:eastAsia="Calibri" w:hAnsi="Arial Narrow" w:cs="Calibri"/>
                <w:sz w:val="20"/>
                <w:szCs w:val="20"/>
                <w:lang w:eastAsia="en-US"/>
              </w:rPr>
              <w:t>NS</w:t>
            </w:r>
          </w:p>
        </w:tc>
      </w:tr>
      <w:tr w:rsidR="00620C4B" w:rsidRPr="00207023" w14:paraId="5C85AA46" w14:textId="77777777" w:rsidTr="000F0EAB">
        <w:trPr>
          <w:trHeight w:val="423"/>
          <w:jc w:val="center"/>
        </w:trPr>
        <w:tc>
          <w:tcPr>
            <w:tcW w:w="1886" w:type="pct"/>
            <w:gridSpan w:val="3"/>
            <w:tcBorders>
              <w:top w:val="single" w:sz="4" w:space="0" w:color="auto"/>
              <w:left w:val="single" w:sz="4" w:space="0" w:color="auto"/>
              <w:bottom w:val="single" w:sz="4" w:space="0" w:color="auto"/>
              <w:right w:val="single" w:sz="4" w:space="0" w:color="auto"/>
            </w:tcBorders>
            <w:noWrap/>
          </w:tcPr>
          <w:p w14:paraId="26794E42" w14:textId="6B344BE9" w:rsidR="00620C4B" w:rsidRPr="00207023" w:rsidRDefault="00620C4B" w:rsidP="00D473FC">
            <w:pPr>
              <w:keepNext/>
              <w:jc w:val="right"/>
              <w:rPr>
                <w:rFonts w:ascii="Arial Narrow" w:eastAsia="Calibri" w:hAnsi="Arial Narrow" w:cs="Calibri"/>
                <w:color w:val="EE0000"/>
                <w:sz w:val="20"/>
                <w:szCs w:val="20"/>
                <w:lang w:eastAsia="en-US"/>
              </w:rPr>
            </w:pPr>
            <w:r w:rsidRPr="00207023">
              <w:rPr>
                <w:rFonts w:ascii="Arial Narrow" w:hAnsi="Arial Narrow"/>
                <w:color w:val="000000"/>
                <w:sz w:val="20"/>
                <w:szCs w:val="20"/>
              </w:rPr>
              <w:t>Indirect UPA (45 mg) vs UST</w:t>
            </w:r>
          </w:p>
        </w:tc>
        <w:tc>
          <w:tcPr>
            <w:tcW w:w="943" w:type="pct"/>
            <w:tcBorders>
              <w:top w:val="nil"/>
              <w:left w:val="single" w:sz="4" w:space="0" w:color="auto"/>
              <w:bottom w:val="single" w:sz="4" w:space="0" w:color="auto"/>
              <w:right w:val="single" w:sz="4" w:space="0" w:color="auto"/>
            </w:tcBorders>
          </w:tcPr>
          <w:p w14:paraId="16BBF865" w14:textId="77777777" w:rsidR="00620C4B" w:rsidRPr="00207023" w:rsidRDefault="00620C4B" w:rsidP="00D473FC">
            <w:pPr>
              <w:keepNext/>
              <w:jc w:val="center"/>
              <w:rPr>
                <w:rFonts w:ascii="Arial Narrow" w:eastAsia="Calibri" w:hAnsi="Arial Narrow" w:cs="Calibri"/>
                <w:sz w:val="20"/>
                <w:szCs w:val="20"/>
                <w:lang w:eastAsia="en-US"/>
              </w:rPr>
            </w:pPr>
            <w:r w:rsidRPr="00207023">
              <w:rPr>
                <w:rFonts w:ascii="Arial Narrow" w:eastAsia="Calibri" w:hAnsi="Arial Narrow" w:cs="Calibri"/>
                <w:sz w:val="20"/>
                <w:szCs w:val="20"/>
                <w:lang w:eastAsia="en-US"/>
              </w:rPr>
              <w:t>0.68 (0.02,23.39)</w:t>
            </w:r>
          </w:p>
        </w:tc>
        <w:tc>
          <w:tcPr>
            <w:tcW w:w="944" w:type="pct"/>
            <w:tcBorders>
              <w:top w:val="nil"/>
              <w:left w:val="single" w:sz="4" w:space="0" w:color="auto"/>
              <w:bottom w:val="single" w:sz="4" w:space="0" w:color="auto"/>
              <w:right w:val="nil"/>
            </w:tcBorders>
          </w:tcPr>
          <w:p w14:paraId="4434F9EE" w14:textId="1CDB45BF" w:rsidR="00620C4B" w:rsidRPr="00207023" w:rsidRDefault="00FC7500" w:rsidP="00D473FC">
            <w:pPr>
              <w:keepNext/>
              <w:jc w:val="center"/>
              <w:rPr>
                <w:rFonts w:ascii="Arial Narrow" w:eastAsia="Calibri" w:hAnsi="Arial Narrow"/>
                <w:color w:val="EE0000"/>
                <w:sz w:val="20"/>
                <w:szCs w:val="20"/>
                <w:lang w:eastAsia="en-US"/>
              </w:rPr>
            </w:pPr>
            <w:r>
              <w:rPr>
                <w:rFonts w:ascii="Arial Narrow" w:eastAsia="Calibri" w:hAnsi="Arial Narrow"/>
                <w:sz w:val="20"/>
                <w:szCs w:val="20"/>
                <w:lang w:eastAsia="en-US"/>
              </w:rPr>
              <w:noBreakHyphen/>
            </w:r>
            <w:r w:rsidR="00620C4B" w:rsidRPr="00207023">
              <w:rPr>
                <w:rFonts w:ascii="Arial Narrow" w:eastAsia="Calibri" w:hAnsi="Arial Narrow"/>
                <w:sz w:val="20"/>
                <w:szCs w:val="20"/>
                <w:lang w:eastAsia="en-US"/>
              </w:rPr>
              <w:t>0.20 (</w:t>
            </w:r>
            <w:r>
              <w:rPr>
                <w:rFonts w:ascii="Arial Narrow" w:eastAsia="Calibri" w:hAnsi="Arial Narrow"/>
                <w:sz w:val="20"/>
                <w:szCs w:val="20"/>
                <w:lang w:eastAsia="en-US"/>
              </w:rPr>
              <w:noBreakHyphen/>
            </w:r>
            <w:r w:rsidR="00620C4B" w:rsidRPr="00207023">
              <w:rPr>
                <w:rFonts w:ascii="Arial Narrow" w:eastAsia="Calibri" w:hAnsi="Arial Narrow"/>
                <w:sz w:val="20"/>
                <w:szCs w:val="20"/>
                <w:lang w:eastAsia="en-US"/>
              </w:rPr>
              <w:t>0.64, 0.24)</w:t>
            </w:r>
          </w:p>
        </w:tc>
        <w:tc>
          <w:tcPr>
            <w:tcW w:w="709" w:type="pct"/>
            <w:vMerge/>
            <w:tcBorders>
              <w:top w:val="single" w:sz="4" w:space="0" w:color="auto"/>
              <w:left w:val="nil"/>
              <w:bottom w:val="single" w:sz="4" w:space="0" w:color="auto"/>
              <w:right w:val="single" w:sz="4" w:space="0" w:color="auto"/>
            </w:tcBorders>
            <w:noWrap/>
            <w:vAlign w:val="center"/>
          </w:tcPr>
          <w:p w14:paraId="3F6504FD" w14:textId="77777777" w:rsidR="00620C4B" w:rsidRPr="00207023" w:rsidRDefault="00620C4B">
            <w:pPr>
              <w:keepNext/>
              <w:jc w:val="center"/>
              <w:rPr>
                <w:rFonts w:ascii="Arial Narrow" w:eastAsia="Calibri" w:hAnsi="Arial Narrow" w:cs="Calibri"/>
                <w:sz w:val="20"/>
                <w:szCs w:val="20"/>
                <w:lang w:eastAsia="en-US"/>
              </w:rPr>
            </w:pPr>
          </w:p>
        </w:tc>
        <w:tc>
          <w:tcPr>
            <w:tcW w:w="518" w:type="pct"/>
            <w:tcBorders>
              <w:top w:val="nil"/>
              <w:left w:val="single" w:sz="4" w:space="0" w:color="auto"/>
              <w:bottom w:val="single" w:sz="4" w:space="0" w:color="auto"/>
              <w:right w:val="single" w:sz="4" w:space="0" w:color="auto"/>
            </w:tcBorders>
          </w:tcPr>
          <w:p w14:paraId="217D3C79" w14:textId="77777777" w:rsidR="00620C4B" w:rsidRPr="00207023" w:rsidRDefault="00620C4B">
            <w:pPr>
              <w:keepNext/>
              <w:jc w:val="center"/>
              <w:rPr>
                <w:rFonts w:ascii="Arial Narrow" w:eastAsia="Calibri" w:hAnsi="Arial Narrow" w:cs="Calibri"/>
                <w:sz w:val="20"/>
                <w:szCs w:val="20"/>
                <w:lang w:eastAsia="en-US"/>
              </w:rPr>
            </w:pPr>
            <w:r w:rsidRPr="00207023">
              <w:rPr>
                <w:rFonts w:ascii="Arial Narrow" w:eastAsia="Calibri" w:hAnsi="Arial Narrow" w:cs="Calibri"/>
                <w:sz w:val="20"/>
                <w:szCs w:val="20"/>
                <w:lang w:eastAsia="en-US"/>
              </w:rPr>
              <w:t>NS</w:t>
            </w:r>
          </w:p>
        </w:tc>
      </w:tr>
    </w:tbl>
    <w:p w14:paraId="0EE221BD" w14:textId="2588C825" w:rsidR="00620C4B" w:rsidRPr="00431E67" w:rsidRDefault="00620C4B" w:rsidP="00620C4B">
      <w:pPr>
        <w:pStyle w:val="TableFigureFooter"/>
      </w:pPr>
      <w:bookmarkStart w:id="63" w:name="_Hlk214496723"/>
      <w:bookmarkEnd w:id="62"/>
      <w:r w:rsidRPr="00BB49C9">
        <w:rPr>
          <w:shd w:val="clear" w:color="auto" w:fill="DBE5F1" w:themeFill="accent1" w:themeFillTint="33"/>
        </w:rPr>
        <w:t xml:space="preserve">Blue </w:t>
      </w:r>
      <w:r w:rsidRPr="00431E67">
        <w:t xml:space="preserve">shading indicates data previously seen by the PBAC. </w:t>
      </w:r>
    </w:p>
    <w:p w14:paraId="14350F21" w14:textId="629A9A06" w:rsidR="00620C4B" w:rsidRPr="00431E67" w:rsidRDefault="00620C4B" w:rsidP="00620C4B">
      <w:pPr>
        <w:pStyle w:val="TableFigureFooter"/>
        <w:rPr>
          <w:lang w:eastAsia="en-US"/>
        </w:rPr>
      </w:pPr>
      <w:r w:rsidRPr="00431E67">
        <w:rPr>
          <w:lang w:eastAsia="en-US"/>
        </w:rPr>
        <w:t>Source:</w:t>
      </w:r>
      <w:r>
        <w:rPr>
          <w:lang w:eastAsia="en-US"/>
        </w:rPr>
        <w:t xml:space="preserve"> Table 2</w:t>
      </w:r>
      <w:r w:rsidR="00FC7500">
        <w:rPr>
          <w:lang w:eastAsia="en-US"/>
        </w:rPr>
        <w:noBreakHyphen/>
      </w:r>
      <w:r>
        <w:rPr>
          <w:lang w:eastAsia="en-US"/>
        </w:rPr>
        <w:t>21, pp81</w:t>
      </w:r>
      <w:r w:rsidR="00FC7500">
        <w:rPr>
          <w:lang w:eastAsia="en-US"/>
        </w:rPr>
        <w:noBreakHyphen/>
      </w:r>
      <w:r>
        <w:rPr>
          <w:lang w:eastAsia="en-US"/>
        </w:rPr>
        <w:t>82;</w:t>
      </w:r>
      <w:r w:rsidRPr="00431E67">
        <w:rPr>
          <w:lang w:eastAsia="en-US"/>
        </w:rPr>
        <w:t xml:space="preserve"> Table 2</w:t>
      </w:r>
      <w:r w:rsidR="00FC7500">
        <w:rPr>
          <w:lang w:eastAsia="en-US"/>
        </w:rPr>
        <w:noBreakHyphen/>
      </w:r>
      <w:r w:rsidRPr="00431E67">
        <w:rPr>
          <w:lang w:eastAsia="en-US"/>
        </w:rPr>
        <w:t>40, pp102</w:t>
      </w:r>
      <w:r w:rsidR="00FC7500">
        <w:rPr>
          <w:lang w:eastAsia="en-US"/>
        </w:rPr>
        <w:noBreakHyphen/>
      </w:r>
      <w:r w:rsidRPr="00431E67">
        <w:rPr>
          <w:lang w:eastAsia="en-US"/>
        </w:rPr>
        <w:t>103 &amp; Table 2</w:t>
      </w:r>
      <w:r w:rsidR="00FC7500">
        <w:rPr>
          <w:lang w:eastAsia="en-US"/>
        </w:rPr>
        <w:noBreakHyphen/>
      </w:r>
      <w:r w:rsidRPr="00431E67">
        <w:rPr>
          <w:lang w:eastAsia="en-US"/>
        </w:rPr>
        <w:t>41, p103 of the submission</w:t>
      </w:r>
      <w:r>
        <w:rPr>
          <w:lang w:eastAsia="en-US"/>
        </w:rPr>
        <w:t>; Table 3.3, p23 and 3.5, pp24</w:t>
      </w:r>
      <w:r w:rsidR="00FC7500">
        <w:rPr>
          <w:lang w:eastAsia="en-US"/>
        </w:rPr>
        <w:noBreakHyphen/>
      </w:r>
      <w:r>
        <w:rPr>
          <w:lang w:eastAsia="en-US"/>
        </w:rPr>
        <w:t>27, Attachment 2.9 of the submission; Table 5, ustekinumab, PSD, July 2023 PBA Meeting</w:t>
      </w:r>
      <w:r w:rsidRPr="00431E67">
        <w:rPr>
          <w:lang w:eastAsia="en-US"/>
        </w:rPr>
        <w:t>.</w:t>
      </w:r>
    </w:p>
    <w:p w14:paraId="529212B2" w14:textId="7E21B0E2" w:rsidR="00620C4B" w:rsidRPr="00431E67" w:rsidRDefault="00620C4B" w:rsidP="00620C4B">
      <w:pPr>
        <w:pStyle w:val="TableFigureFooter"/>
        <w:rPr>
          <w:lang w:eastAsia="en-US"/>
        </w:rPr>
      </w:pPr>
      <w:r w:rsidRPr="00431E67">
        <w:rPr>
          <w:lang w:eastAsia="en-US"/>
        </w:rPr>
        <w:t xml:space="preserve">ADA = adalimumab; CI = confidence interval; IFX = infliximab; </w:t>
      </w:r>
      <w:r>
        <w:rPr>
          <w:lang w:eastAsia="en-US"/>
        </w:rPr>
        <w:t xml:space="preserve">NNT = Number needed to treat; </w:t>
      </w:r>
      <w:r w:rsidR="001D6AA4" w:rsidRPr="001D6AA4">
        <w:rPr>
          <w:lang w:eastAsia="en-US"/>
        </w:rPr>
        <w:t xml:space="preserve">NS = not significant; </w:t>
      </w:r>
      <w:r w:rsidRPr="00431E67">
        <w:rPr>
          <w:lang w:eastAsia="en-US"/>
        </w:rPr>
        <w:t>OR = odds ratio; PBO = placebo; RD = risk difference; UPA = upadacitinib; UST = ustekinumab.</w:t>
      </w:r>
    </w:p>
    <w:p w14:paraId="48E408DC" w14:textId="6E7BDD2B" w:rsidR="00620C4B" w:rsidRPr="00F5408F" w:rsidRDefault="00620C4B" w:rsidP="00620C4B">
      <w:pPr>
        <w:pStyle w:val="TableFigureFooter"/>
        <w:rPr>
          <w:lang w:eastAsia="en-US"/>
        </w:rPr>
      </w:pPr>
      <w:r w:rsidRPr="00F5408F">
        <w:rPr>
          <w:lang w:eastAsia="en-US"/>
        </w:rPr>
        <w:t>Note: Significance was not bolded due to post</w:t>
      </w:r>
      <w:r w:rsidR="00FC7500">
        <w:rPr>
          <w:lang w:eastAsia="en-US"/>
        </w:rPr>
        <w:noBreakHyphen/>
      </w:r>
      <w:r w:rsidRPr="00F5408F">
        <w:rPr>
          <w:lang w:eastAsia="en-US"/>
        </w:rPr>
        <w:t>hoc subgroup analysis</w:t>
      </w:r>
    </w:p>
    <w:p w14:paraId="6F34C3B9" w14:textId="77777777" w:rsidR="00620C4B" w:rsidRPr="00F5408F" w:rsidRDefault="00620C4B" w:rsidP="00620C4B">
      <w:pPr>
        <w:pStyle w:val="TableFigureFooter"/>
        <w:rPr>
          <w:lang w:eastAsia="en-US"/>
        </w:rPr>
      </w:pPr>
      <w:r w:rsidRPr="00F5408F">
        <w:rPr>
          <w:vertAlign w:val="superscript"/>
          <w:lang w:eastAsia="en-US"/>
        </w:rPr>
        <w:t>a</w:t>
      </w:r>
      <w:r w:rsidRPr="00F5408F">
        <w:rPr>
          <w:lang w:eastAsia="en-US"/>
        </w:rPr>
        <w:t xml:space="preserve"> RD results were presented as a percentage in the submission and Attachment 2.9 and not as a proportion therefore they differed from the ustekinumab submission considered at the July 2023 PBAC. Results were converted to proportions during the evaluation to match the ustekinumab PSD, July 2023 PBAC Meeting for comparison.</w:t>
      </w:r>
    </w:p>
    <w:p w14:paraId="56458E4F" w14:textId="77777777" w:rsidR="00620C4B" w:rsidRPr="00F5408F" w:rsidRDefault="00620C4B" w:rsidP="00620C4B">
      <w:pPr>
        <w:pStyle w:val="TableFigureFooter"/>
        <w:rPr>
          <w:lang w:eastAsia="en-US"/>
        </w:rPr>
      </w:pPr>
      <w:r w:rsidRPr="00F5408F">
        <w:rPr>
          <w:vertAlign w:val="superscript"/>
          <w:lang w:eastAsia="en-US"/>
        </w:rPr>
        <w:t>b</w:t>
      </w:r>
      <w:r w:rsidRPr="00F5408F">
        <w:rPr>
          <w:lang w:eastAsia="en-US"/>
        </w:rPr>
        <w:t xml:space="preserve"> The submission presented results for patients at week 54 who had a fistula response at week 10/14 (n=189). The July 2023 ustekinumab submission also included results for patients at week 54 who had no fistula response at week 10/14 (n=87) and all analysed patients at week 54 (n=276) (Table 5, ustekinumab, PSD, July 2023 PBAC Meeting).</w:t>
      </w:r>
    </w:p>
    <w:p w14:paraId="45716183" w14:textId="77777777" w:rsidR="00620C4B" w:rsidRPr="00F5408F" w:rsidRDefault="00620C4B" w:rsidP="00620C4B">
      <w:pPr>
        <w:pStyle w:val="TableFigureFooter"/>
        <w:rPr>
          <w:lang w:eastAsia="en-US"/>
        </w:rPr>
      </w:pPr>
      <w:r w:rsidRPr="00F5408F">
        <w:rPr>
          <w:vertAlign w:val="superscript"/>
          <w:lang w:eastAsia="en-US"/>
        </w:rPr>
        <w:t>c</w:t>
      </w:r>
      <w:r w:rsidRPr="00F5408F">
        <w:rPr>
          <w:lang w:eastAsia="en-US"/>
        </w:rPr>
        <w:t xml:space="preserve"> The submission presented results for patients receiving ustekinumab Q8W (n=19). The July 2023 ustekinumab submission also presented results for patients receiving ustekinumab Q8/12W (n=26) (Table 5, Ustekinumab PSD, July 2023 PBAC Meeting). </w:t>
      </w:r>
    </w:p>
    <w:p w14:paraId="29B6BF40" w14:textId="77777777" w:rsidR="00620C4B" w:rsidRPr="00F5408F" w:rsidRDefault="00620C4B" w:rsidP="00620C4B">
      <w:pPr>
        <w:pStyle w:val="TableFigureFooter"/>
        <w:rPr>
          <w:lang w:eastAsia="en-US"/>
        </w:rPr>
      </w:pPr>
      <w:r w:rsidRPr="00F5408F">
        <w:rPr>
          <w:vertAlign w:val="superscript"/>
          <w:lang w:eastAsia="en-US"/>
        </w:rPr>
        <w:t>d</w:t>
      </w:r>
      <w:r w:rsidRPr="00F5408F">
        <w:rPr>
          <w:lang w:eastAsia="en-US"/>
        </w:rPr>
        <w:t xml:space="preserve"> OR for this comparison in the ustekinumab PSD was 8.40 (0.75, 93.34) with the difference likely due to rounding.</w:t>
      </w:r>
    </w:p>
    <w:p w14:paraId="62D3B9DD" w14:textId="64E28B0F" w:rsidR="00620C4B" w:rsidRPr="00F5408F" w:rsidRDefault="00620C4B" w:rsidP="00620C4B">
      <w:pPr>
        <w:pStyle w:val="TableFigureFooter"/>
        <w:rPr>
          <w:vertAlign w:val="superscript"/>
          <w:lang w:eastAsia="en-US"/>
        </w:rPr>
      </w:pPr>
      <w:r w:rsidRPr="00F5408F">
        <w:rPr>
          <w:vertAlign w:val="superscript"/>
          <w:lang w:eastAsia="en-US"/>
        </w:rPr>
        <w:t xml:space="preserve">e </w:t>
      </w:r>
      <w:r w:rsidRPr="00F5408F">
        <w:rPr>
          <w:lang w:eastAsia="en-US"/>
        </w:rPr>
        <w:t>Table 2</w:t>
      </w:r>
      <w:r w:rsidR="00FC7500">
        <w:rPr>
          <w:lang w:eastAsia="en-US"/>
        </w:rPr>
        <w:noBreakHyphen/>
      </w:r>
      <w:r w:rsidRPr="00F5408F">
        <w:rPr>
          <w:lang w:eastAsia="en-US"/>
        </w:rPr>
        <w:t>40 of the submission reported this as the results of UST Q8W; however, they are consistent with the results presented for UST Q8/12W in Table 5, ustekinumab, PSD, July 203 PBAC Meeting.</w:t>
      </w:r>
    </w:p>
    <w:p w14:paraId="6F8E354A" w14:textId="77777777" w:rsidR="00620C4B" w:rsidRPr="00431E67" w:rsidRDefault="00620C4B" w:rsidP="00620C4B">
      <w:pPr>
        <w:pStyle w:val="TableFigureFooter"/>
        <w:rPr>
          <w:i/>
          <w:iCs/>
          <w:lang w:eastAsia="en-US"/>
        </w:rPr>
      </w:pPr>
      <w:r w:rsidRPr="00252000">
        <w:rPr>
          <w:i/>
          <w:iCs/>
          <w:vertAlign w:val="superscript"/>
          <w:lang w:eastAsia="en-US"/>
        </w:rPr>
        <w:t>f</w:t>
      </w:r>
      <w:r w:rsidRPr="00431E67">
        <w:rPr>
          <w:i/>
          <w:iCs/>
          <w:lang w:eastAsia="en-US"/>
        </w:rPr>
        <w:t xml:space="preserve"> </w:t>
      </w:r>
      <w:r>
        <w:rPr>
          <w:i/>
          <w:iCs/>
          <w:lang w:eastAsia="en-US"/>
        </w:rPr>
        <w:t>Results differed slightly from Table 5, ustekinumab, PSD, July 2023 PBAC meeting ([UST PSD results were: OR 4.58 (0.73, 28.65)). This difference is likely due to rounding.</w:t>
      </w:r>
    </w:p>
    <w:bookmarkEnd w:id="63"/>
    <w:p w14:paraId="3D9F4833" w14:textId="63B1CD0E" w:rsidR="00620C4B" w:rsidRPr="00661707" w:rsidRDefault="00620C4B" w:rsidP="00620C4B">
      <w:pPr>
        <w:pStyle w:val="3-BodyText"/>
        <w:rPr>
          <w:rFonts w:eastAsia="Calibri"/>
        </w:rPr>
      </w:pPr>
      <w:r w:rsidRPr="00661707">
        <w:rPr>
          <w:rFonts w:eastAsia="Calibri"/>
        </w:rPr>
        <w:lastRenderedPageBreak/>
        <w:t>The submission claimed the indirect comparison results for maintenance demonstrated that upadacitinib showed similar efficacy compared to infliximab, adalimumab and ustekinumab, with odds ratio</w:t>
      </w:r>
      <w:r w:rsidR="005041F7">
        <w:rPr>
          <w:rFonts w:eastAsia="Calibri"/>
        </w:rPr>
        <w:t>s</w:t>
      </w:r>
      <w:r w:rsidRPr="00661707">
        <w:rPr>
          <w:rFonts w:eastAsia="Calibri"/>
        </w:rPr>
        <w:t xml:space="preserve"> crossing unity, indicating no statistically significant differences.</w:t>
      </w:r>
    </w:p>
    <w:p w14:paraId="22A1B128" w14:textId="76626271" w:rsidR="00620C4B" w:rsidRPr="00661707" w:rsidRDefault="00620C4B" w:rsidP="00620C4B">
      <w:pPr>
        <w:pStyle w:val="3-BodyText"/>
      </w:pPr>
      <w:bookmarkStart w:id="64" w:name="_Hlk216718687"/>
      <w:r w:rsidRPr="00661707">
        <w:t>For the outcome of fistula response (≥50% reduction in number of draining fistulae from baseline) in the maintenance trials, the indirect comparison</w:t>
      </w:r>
      <w:r w:rsidR="00DE223F">
        <w:t xml:space="preserve"> </w:t>
      </w:r>
      <w:r w:rsidR="00DE223F">
        <w:rPr>
          <w:i/>
          <w:iCs/>
        </w:rPr>
        <w:t>numerically</w:t>
      </w:r>
      <w:r w:rsidRPr="00661707">
        <w:t xml:space="preserve"> favoured infliximab and ustekinumab over upadacitinib (RD </w:t>
      </w:r>
      <w:r w:rsidR="00FC7500">
        <w:noBreakHyphen/>
      </w:r>
      <w:r w:rsidRPr="00661707">
        <w:t xml:space="preserve">0.03 and </w:t>
      </w:r>
      <w:r w:rsidR="00FC7500">
        <w:noBreakHyphen/>
      </w:r>
      <w:r w:rsidRPr="00661707">
        <w:t>0.28, respectively); however, the comparison between upadacitinib and adalimumab was not estimable because fistula response rates were not presented in the adalimumab CHARM trial.</w:t>
      </w:r>
    </w:p>
    <w:p w14:paraId="307F35C4" w14:textId="2158D65A" w:rsidR="00620C4B" w:rsidRPr="00661707" w:rsidRDefault="00620C4B" w:rsidP="00620C4B">
      <w:pPr>
        <w:pStyle w:val="3-BodyText"/>
      </w:pPr>
      <w:bookmarkStart w:id="65" w:name="_Hlk216450958"/>
      <w:r w:rsidRPr="00661707">
        <w:t xml:space="preserve">For the outcome of fistula remission (complete closure/absence of all draining fistulae) in the maintenance trials, the indirect comparison </w:t>
      </w:r>
      <w:r w:rsidR="003B702F" w:rsidRPr="00661707">
        <w:t xml:space="preserve">numerically </w:t>
      </w:r>
      <w:r w:rsidRPr="00661707">
        <w:t xml:space="preserve">favoured infliximab, adalimumab and ustekinumab over upadacitinib (RD = </w:t>
      </w:r>
      <w:r w:rsidR="00FC7500">
        <w:noBreakHyphen/>
      </w:r>
      <w:r w:rsidRPr="00661707">
        <w:t xml:space="preserve">0.03, </w:t>
      </w:r>
      <w:r w:rsidR="00FC7500">
        <w:noBreakHyphen/>
      </w:r>
      <w:r w:rsidRPr="00661707">
        <w:t xml:space="preserve">0.10 and </w:t>
      </w:r>
      <w:r w:rsidR="00FC7500">
        <w:noBreakHyphen/>
      </w:r>
      <w:r w:rsidRPr="00661707">
        <w:t>0.20, respectively).</w:t>
      </w:r>
    </w:p>
    <w:p w14:paraId="638FCC5C" w14:textId="77777777" w:rsidR="00620C4B" w:rsidRPr="00723E4A" w:rsidRDefault="00620C4B" w:rsidP="00620C4B">
      <w:pPr>
        <w:pStyle w:val="4-SubsectionHeading"/>
      </w:pPr>
      <w:bookmarkStart w:id="66" w:name="_Toc22897642"/>
      <w:bookmarkStart w:id="67" w:name="_Toc216541084"/>
      <w:bookmarkStart w:id="68" w:name="_Toc219709220"/>
      <w:bookmarkEnd w:id="64"/>
      <w:bookmarkEnd w:id="65"/>
      <w:r w:rsidRPr="0098262F">
        <w:t>Comparative harms</w:t>
      </w:r>
      <w:bookmarkEnd w:id="66"/>
      <w:bookmarkEnd w:id="67"/>
      <w:bookmarkEnd w:id="68"/>
    </w:p>
    <w:p w14:paraId="1E9FC52F" w14:textId="77777777" w:rsidR="00620C4B" w:rsidRPr="00661707" w:rsidRDefault="00620C4B" w:rsidP="00620C4B">
      <w:pPr>
        <w:pStyle w:val="3-BodyText"/>
        <w:rPr>
          <w:rStyle w:val="CommentReference"/>
          <w:rFonts w:asciiTheme="minorHAnsi" w:hAnsiTheme="minorHAnsi" w:cstheme="minorHAnsi"/>
          <w:b w:val="0"/>
          <w:sz w:val="24"/>
          <w:szCs w:val="24"/>
        </w:rPr>
      </w:pPr>
      <w:r w:rsidRPr="00661707">
        <w:rPr>
          <w:rStyle w:val="CommentReference"/>
          <w:rFonts w:asciiTheme="minorHAnsi" w:hAnsiTheme="minorHAnsi" w:cstheme="minorHAnsi"/>
          <w:b w:val="0"/>
          <w:sz w:val="24"/>
          <w:szCs w:val="24"/>
        </w:rPr>
        <w:t>The submission argued that a FCD specific safety analysis was uninformative due to the small sample size. In its consideration of ustekinumab as treatment for FCD, the PBAC previously considered that there was no reason to expect a difference in safety between severe CD and fistulising CD (paragraph 7.10, ustekinumab, PSD, July 2023 PBAC Meeting).</w:t>
      </w:r>
    </w:p>
    <w:p w14:paraId="725C54CB" w14:textId="3FB06CA3" w:rsidR="00620C4B" w:rsidRPr="00661707" w:rsidRDefault="00620C4B" w:rsidP="00620C4B">
      <w:pPr>
        <w:pStyle w:val="3-BodyText"/>
      </w:pPr>
      <w:r w:rsidRPr="00661707">
        <w:fldChar w:fldCharType="begin"/>
      </w:r>
      <w:r w:rsidRPr="00661707">
        <w:instrText xml:space="preserve"> REF _Ref216541015 \h </w:instrText>
      </w:r>
      <w:r w:rsidR="00661707" w:rsidRPr="00661707">
        <w:instrText xml:space="preserve"> \* MERGEFORMAT </w:instrText>
      </w:r>
      <w:r w:rsidRPr="00661707">
        <w:fldChar w:fldCharType="separate"/>
      </w:r>
      <w:r w:rsidRPr="00661707">
        <w:t xml:space="preserve">Table </w:t>
      </w:r>
      <w:r w:rsidRPr="00661707">
        <w:rPr>
          <w:noProof/>
        </w:rPr>
        <w:t>6</w:t>
      </w:r>
      <w:r w:rsidRPr="00661707">
        <w:fldChar w:fldCharType="end"/>
      </w:r>
      <w:r w:rsidRPr="00661707">
        <w:t xml:space="preserve"> presents a summary of key adverse events in the trials, based on the whole trial analysis. The submission stated that safety outcomes by dosage arm were not reported in the infliximab induction trial (T20). Results for the safety of infliximab induction were not included in this submission. </w:t>
      </w:r>
    </w:p>
    <w:p w14:paraId="5B2DDCD7" w14:textId="151BD0C1" w:rsidR="00620C4B" w:rsidRDefault="00620C4B" w:rsidP="00620C4B">
      <w:pPr>
        <w:pStyle w:val="Caption"/>
      </w:pPr>
      <w:bookmarkStart w:id="69" w:name="_Ref216541015"/>
      <w:r>
        <w:lastRenderedPageBreak/>
        <w:t xml:space="preserve">Table </w:t>
      </w:r>
      <w:fldSimple w:instr=" SEQ Table \* ARABIC ">
        <w:r w:rsidR="000C3F10">
          <w:rPr>
            <w:noProof/>
          </w:rPr>
          <w:t>6</w:t>
        </w:r>
      </w:fldSimple>
      <w:bookmarkEnd w:id="69"/>
      <w:r>
        <w:t xml:space="preserve">: </w:t>
      </w:r>
      <w:r w:rsidRPr="00723E4A">
        <w:t>Summary of key adverse events in the</w:t>
      </w:r>
      <w:r w:rsidR="002B544F">
        <w:t xml:space="preserve"> </w:t>
      </w:r>
      <w:r w:rsidR="00582FF0">
        <w:t>whole</w:t>
      </w:r>
      <w:r w:rsidRPr="00723E4A">
        <w:t xml:space="preserve"> trial</w:t>
      </w:r>
      <w:r w:rsidR="00582FF0">
        <w:t xml:space="preserve"> population</w:t>
      </w:r>
      <w:r w:rsidRPr="00723E4A">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Summary of key adverse events in the whole trial populations"/>
      </w:tblPr>
      <w:tblGrid>
        <w:gridCol w:w="1981"/>
        <w:gridCol w:w="1758"/>
        <w:gridCol w:w="1758"/>
        <w:gridCol w:w="1758"/>
        <w:gridCol w:w="1762"/>
      </w:tblGrid>
      <w:tr w:rsidR="002E16A1" w:rsidRPr="001843CB" w14:paraId="19D87F98" w14:textId="77777777">
        <w:trPr>
          <w:trHeight w:val="227"/>
          <w:tblHeader/>
        </w:trPr>
        <w:tc>
          <w:tcPr>
            <w:tcW w:w="1098" w:type="pct"/>
            <w:shd w:val="clear" w:color="auto" w:fill="FFFFFF" w:themeFill="background1"/>
            <w:vAlign w:val="center"/>
          </w:tcPr>
          <w:p w14:paraId="097E0FEE" w14:textId="77777777" w:rsidR="00620C4B" w:rsidRPr="001843CB" w:rsidRDefault="00620C4B">
            <w:pPr>
              <w:keepNext/>
              <w:jc w:val="center"/>
              <w:rPr>
                <w:rFonts w:ascii="Arial Narrow" w:eastAsia="Calibri" w:hAnsi="Arial Narrow" w:cs="Calibri"/>
                <w:b/>
                <w:bCs/>
                <w:sz w:val="20"/>
                <w:szCs w:val="20"/>
                <w:lang w:eastAsia="en-US"/>
              </w:rPr>
            </w:pPr>
            <w:r w:rsidRPr="001843CB">
              <w:rPr>
                <w:rFonts w:ascii="Arial Narrow" w:eastAsia="Calibri" w:hAnsi="Arial Narrow" w:cs="Calibri"/>
                <w:b/>
                <w:bCs/>
                <w:sz w:val="20"/>
                <w:szCs w:val="20"/>
                <w:lang w:eastAsia="en-US"/>
              </w:rPr>
              <w:t>Trial type or estimate</w:t>
            </w:r>
          </w:p>
        </w:tc>
        <w:tc>
          <w:tcPr>
            <w:tcW w:w="975" w:type="pct"/>
            <w:shd w:val="clear" w:color="auto" w:fill="FFFFFF" w:themeFill="background1"/>
            <w:vAlign w:val="center"/>
          </w:tcPr>
          <w:p w14:paraId="4435DF8C" w14:textId="77777777" w:rsidR="00620C4B" w:rsidRPr="001843CB" w:rsidRDefault="00620C4B">
            <w:pPr>
              <w:keepNext/>
              <w:jc w:val="center"/>
              <w:rPr>
                <w:rFonts w:ascii="Arial Narrow" w:eastAsia="Calibri" w:hAnsi="Arial Narrow" w:cs="Calibri"/>
                <w:b/>
                <w:bCs/>
                <w:sz w:val="20"/>
                <w:szCs w:val="20"/>
                <w:lang w:eastAsia="en-US"/>
              </w:rPr>
            </w:pPr>
            <w:r w:rsidRPr="001843CB">
              <w:rPr>
                <w:rFonts w:ascii="Arial Narrow" w:eastAsia="Calibri" w:hAnsi="Arial Narrow" w:cs="Calibri"/>
                <w:b/>
                <w:bCs/>
                <w:sz w:val="20"/>
                <w:szCs w:val="20"/>
                <w:lang w:eastAsia="en-US"/>
              </w:rPr>
              <w:t>Trial ID</w:t>
            </w:r>
          </w:p>
        </w:tc>
        <w:tc>
          <w:tcPr>
            <w:tcW w:w="975" w:type="pct"/>
            <w:shd w:val="clear" w:color="auto" w:fill="FFFFFF" w:themeFill="background1"/>
            <w:vAlign w:val="center"/>
          </w:tcPr>
          <w:p w14:paraId="61CDDFA4" w14:textId="77777777" w:rsidR="00620C4B" w:rsidRPr="001843CB" w:rsidRDefault="00620C4B">
            <w:pPr>
              <w:keepNext/>
              <w:jc w:val="center"/>
              <w:rPr>
                <w:rFonts w:ascii="Arial Narrow" w:eastAsia="Calibri" w:hAnsi="Arial Narrow" w:cs="Calibri"/>
                <w:b/>
                <w:bCs/>
                <w:sz w:val="20"/>
                <w:szCs w:val="20"/>
                <w:lang w:eastAsia="en-US"/>
              </w:rPr>
            </w:pPr>
            <w:r w:rsidRPr="001843CB">
              <w:rPr>
                <w:rFonts w:ascii="Arial Narrow" w:eastAsia="Calibri" w:hAnsi="Arial Narrow" w:cs="Calibri"/>
                <w:b/>
                <w:bCs/>
                <w:sz w:val="20"/>
                <w:szCs w:val="20"/>
                <w:lang w:eastAsia="en-US"/>
              </w:rPr>
              <w:t xml:space="preserve">RR </w:t>
            </w:r>
            <w:r>
              <w:rPr>
                <w:rFonts w:ascii="Arial Narrow" w:eastAsia="Calibri" w:hAnsi="Arial Narrow" w:cs="Calibri"/>
                <w:b/>
                <w:bCs/>
                <w:sz w:val="20"/>
                <w:szCs w:val="20"/>
                <w:lang w:eastAsia="en-US"/>
              </w:rPr>
              <w:t>(</w:t>
            </w:r>
            <w:r w:rsidRPr="001843CB">
              <w:rPr>
                <w:rFonts w:ascii="Arial Narrow" w:eastAsia="Calibri" w:hAnsi="Arial Narrow" w:cs="Calibri"/>
                <w:b/>
                <w:bCs/>
                <w:sz w:val="20"/>
                <w:szCs w:val="20"/>
                <w:lang w:eastAsia="en-US"/>
              </w:rPr>
              <w:t>95% CI</w:t>
            </w:r>
            <w:r>
              <w:rPr>
                <w:rFonts w:ascii="Arial Narrow" w:eastAsia="Calibri" w:hAnsi="Arial Narrow" w:cs="Calibri"/>
                <w:b/>
                <w:bCs/>
                <w:sz w:val="20"/>
                <w:szCs w:val="20"/>
                <w:lang w:eastAsia="en-US"/>
              </w:rPr>
              <w:t>)</w:t>
            </w:r>
          </w:p>
        </w:tc>
        <w:tc>
          <w:tcPr>
            <w:tcW w:w="975" w:type="pct"/>
            <w:shd w:val="clear" w:color="auto" w:fill="FFFFFF" w:themeFill="background1"/>
            <w:vAlign w:val="center"/>
          </w:tcPr>
          <w:p w14:paraId="320971FE" w14:textId="77777777" w:rsidR="00620C4B" w:rsidRPr="001843CB" w:rsidRDefault="00620C4B">
            <w:pPr>
              <w:keepNext/>
              <w:jc w:val="center"/>
              <w:rPr>
                <w:rFonts w:ascii="Arial Narrow" w:eastAsia="Calibri" w:hAnsi="Arial Narrow" w:cs="Calibri"/>
                <w:b/>
                <w:bCs/>
                <w:sz w:val="20"/>
                <w:szCs w:val="20"/>
                <w:lang w:eastAsia="en-US"/>
              </w:rPr>
            </w:pPr>
            <w:r w:rsidRPr="001843CB">
              <w:rPr>
                <w:rFonts w:ascii="Arial Narrow" w:eastAsia="Calibri" w:hAnsi="Arial Narrow" w:cs="Calibri"/>
                <w:b/>
                <w:bCs/>
                <w:sz w:val="20"/>
                <w:szCs w:val="20"/>
                <w:lang w:eastAsia="en-US"/>
              </w:rPr>
              <w:t xml:space="preserve">OR </w:t>
            </w:r>
            <w:r>
              <w:rPr>
                <w:rFonts w:ascii="Arial Narrow" w:eastAsia="Calibri" w:hAnsi="Arial Narrow" w:cs="Calibri"/>
                <w:b/>
                <w:bCs/>
                <w:sz w:val="20"/>
                <w:szCs w:val="20"/>
                <w:lang w:eastAsia="en-US"/>
              </w:rPr>
              <w:t>(</w:t>
            </w:r>
            <w:r w:rsidRPr="001843CB">
              <w:rPr>
                <w:rFonts w:ascii="Arial Narrow" w:eastAsia="Calibri" w:hAnsi="Arial Narrow" w:cs="Calibri"/>
                <w:b/>
                <w:bCs/>
                <w:sz w:val="20"/>
                <w:szCs w:val="20"/>
                <w:lang w:eastAsia="en-US"/>
              </w:rPr>
              <w:t>95% C</w:t>
            </w:r>
            <w:r>
              <w:rPr>
                <w:rFonts w:ascii="Arial Narrow" w:eastAsia="Calibri" w:hAnsi="Arial Narrow" w:cs="Calibri"/>
                <w:b/>
                <w:bCs/>
                <w:sz w:val="20"/>
                <w:szCs w:val="20"/>
                <w:lang w:eastAsia="en-US"/>
              </w:rPr>
              <w:t>I)</w:t>
            </w:r>
          </w:p>
        </w:tc>
        <w:tc>
          <w:tcPr>
            <w:tcW w:w="976" w:type="pct"/>
            <w:shd w:val="clear" w:color="auto" w:fill="FFFFFF" w:themeFill="background1"/>
            <w:vAlign w:val="center"/>
          </w:tcPr>
          <w:p w14:paraId="2F66E7D4" w14:textId="77777777" w:rsidR="00620C4B" w:rsidRPr="001843CB" w:rsidRDefault="00620C4B">
            <w:pPr>
              <w:keepNext/>
              <w:jc w:val="center"/>
              <w:rPr>
                <w:rFonts w:ascii="Arial Narrow" w:eastAsia="Calibri" w:hAnsi="Arial Narrow" w:cs="Calibri"/>
                <w:b/>
                <w:bCs/>
                <w:sz w:val="20"/>
                <w:szCs w:val="20"/>
                <w:lang w:eastAsia="en-US"/>
              </w:rPr>
            </w:pPr>
            <w:r>
              <w:rPr>
                <w:rFonts w:ascii="Arial Narrow" w:eastAsia="Calibri" w:hAnsi="Arial Narrow" w:cs="Calibri"/>
                <w:b/>
                <w:bCs/>
                <w:sz w:val="20"/>
                <w:szCs w:val="20"/>
                <w:lang w:eastAsia="en-US"/>
              </w:rPr>
              <w:t>R</w:t>
            </w:r>
            <w:r w:rsidRPr="001843CB">
              <w:rPr>
                <w:rFonts w:ascii="Arial Narrow" w:eastAsia="Calibri" w:hAnsi="Arial Narrow" w:cs="Calibri"/>
                <w:b/>
                <w:bCs/>
                <w:sz w:val="20"/>
                <w:szCs w:val="20"/>
                <w:lang w:eastAsia="en-US"/>
              </w:rPr>
              <w:t xml:space="preserve">D </w:t>
            </w:r>
            <w:r>
              <w:rPr>
                <w:rFonts w:ascii="Arial Narrow" w:eastAsia="Calibri" w:hAnsi="Arial Narrow" w:cs="Calibri"/>
                <w:b/>
                <w:bCs/>
                <w:sz w:val="20"/>
                <w:szCs w:val="20"/>
                <w:lang w:eastAsia="en-US"/>
              </w:rPr>
              <w:t>(</w:t>
            </w:r>
            <w:r w:rsidRPr="001843CB">
              <w:rPr>
                <w:rFonts w:ascii="Arial Narrow" w:eastAsia="Calibri" w:hAnsi="Arial Narrow" w:cs="Calibri"/>
                <w:b/>
                <w:bCs/>
                <w:sz w:val="20"/>
                <w:szCs w:val="20"/>
                <w:lang w:eastAsia="en-US"/>
              </w:rPr>
              <w:t>95% CI</w:t>
            </w:r>
            <w:r>
              <w:rPr>
                <w:rFonts w:ascii="Arial Narrow" w:eastAsia="Calibri" w:hAnsi="Arial Narrow" w:cs="Calibri"/>
                <w:b/>
                <w:bCs/>
                <w:sz w:val="20"/>
                <w:szCs w:val="20"/>
                <w:lang w:eastAsia="en-US"/>
              </w:rPr>
              <w:t>)</w:t>
            </w:r>
          </w:p>
        </w:tc>
      </w:tr>
      <w:tr w:rsidR="00620C4B" w:rsidRPr="001843CB" w14:paraId="1C55CDCE" w14:textId="77777777">
        <w:trPr>
          <w:trHeight w:val="222"/>
        </w:trPr>
        <w:tc>
          <w:tcPr>
            <w:tcW w:w="5000" w:type="pct"/>
            <w:gridSpan w:val="5"/>
            <w:shd w:val="clear" w:color="auto" w:fill="FFFFFF" w:themeFill="background1"/>
          </w:tcPr>
          <w:p w14:paraId="21A399F3" w14:textId="77777777" w:rsidR="00620C4B" w:rsidRPr="001843CB" w:rsidRDefault="00620C4B">
            <w:pPr>
              <w:keepNext/>
              <w:rPr>
                <w:rFonts w:ascii="Arial Narrow" w:eastAsia="Calibri" w:hAnsi="Arial Narrow" w:cs="Calibri"/>
                <w:b/>
                <w:bCs/>
                <w:sz w:val="20"/>
                <w:szCs w:val="20"/>
                <w:lang w:eastAsia="en-US"/>
              </w:rPr>
            </w:pPr>
            <w:r>
              <w:rPr>
                <w:rFonts w:ascii="Arial Narrow" w:eastAsia="Calibri" w:hAnsi="Arial Narrow" w:cs="Calibri"/>
                <w:b/>
                <w:bCs/>
                <w:sz w:val="20"/>
                <w:szCs w:val="20"/>
                <w:lang w:eastAsia="en-US"/>
              </w:rPr>
              <w:t>Induction</w:t>
            </w:r>
          </w:p>
        </w:tc>
      </w:tr>
      <w:tr w:rsidR="00620C4B" w:rsidRPr="001843CB" w14:paraId="7E60B5EF" w14:textId="77777777">
        <w:trPr>
          <w:trHeight w:val="222"/>
        </w:trPr>
        <w:tc>
          <w:tcPr>
            <w:tcW w:w="5000" w:type="pct"/>
            <w:gridSpan w:val="5"/>
            <w:shd w:val="clear" w:color="auto" w:fill="FFFFFF" w:themeFill="background1"/>
          </w:tcPr>
          <w:p w14:paraId="22C5191A" w14:textId="77777777" w:rsidR="00620C4B" w:rsidRPr="001843CB" w:rsidRDefault="00620C4B">
            <w:pPr>
              <w:keepNext/>
              <w:rPr>
                <w:rFonts w:ascii="Arial Narrow" w:eastAsia="Calibri" w:hAnsi="Arial Narrow" w:cs="Calibri"/>
                <w:b/>
                <w:bCs/>
                <w:sz w:val="20"/>
                <w:szCs w:val="20"/>
                <w:lang w:eastAsia="en-US"/>
              </w:rPr>
            </w:pPr>
            <w:r w:rsidRPr="001843CB">
              <w:rPr>
                <w:rFonts w:ascii="Arial Narrow" w:eastAsia="Calibri" w:hAnsi="Arial Narrow" w:cs="Calibri"/>
                <w:b/>
                <w:bCs/>
                <w:sz w:val="20"/>
                <w:szCs w:val="20"/>
                <w:lang w:eastAsia="en-US"/>
              </w:rPr>
              <w:t>Any AE</w:t>
            </w:r>
          </w:p>
        </w:tc>
      </w:tr>
      <w:tr w:rsidR="002E16A1" w:rsidRPr="001843CB" w14:paraId="747CEC2F" w14:textId="77777777">
        <w:trPr>
          <w:trHeight w:val="233"/>
        </w:trPr>
        <w:tc>
          <w:tcPr>
            <w:tcW w:w="1098" w:type="pct"/>
            <w:vMerge w:val="restart"/>
            <w:shd w:val="clear" w:color="auto" w:fill="FFFFFF" w:themeFill="background1"/>
          </w:tcPr>
          <w:p w14:paraId="5F309A91" w14:textId="77777777" w:rsidR="00620C4B" w:rsidRPr="001843CB" w:rsidRDefault="00620C4B">
            <w:pPr>
              <w:keepNext/>
              <w:jc w:val="left"/>
              <w:rPr>
                <w:rFonts w:ascii="Arial Narrow" w:eastAsia="Calibri" w:hAnsi="Arial Narrow" w:cs="Calibri"/>
                <w:sz w:val="20"/>
                <w:szCs w:val="20"/>
                <w:lang w:eastAsia="en-US"/>
              </w:rPr>
            </w:pPr>
            <w:r w:rsidRPr="001843CB">
              <w:rPr>
                <w:rFonts w:ascii="Arial Narrow" w:eastAsia="Calibri" w:hAnsi="Arial Narrow" w:cs="Calibri"/>
                <w:sz w:val="20"/>
                <w:szCs w:val="20"/>
                <w:lang w:eastAsia="en-US"/>
              </w:rPr>
              <w:t>ITC result</w:t>
            </w:r>
          </w:p>
        </w:tc>
        <w:tc>
          <w:tcPr>
            <w:tcW w:w="975" w:type="pct"/>
            <w:shd w:val="clear" w:color="auto" w:fill="FFFFFF" w:themeFill="background1"/>
            <w:vAlign w:val="center"/>
          </w:tcPr>
          <w:p w14:paraId="66A6998B" w14:textId="77777777" w:rsidR="00620C4B" w:rsidRPr="001843CB" w:rsidRDefault="00620C4B">
            <w:pPr>
              <w:keepNext/>
              <w:jc w:val="left"/>
              <w:rPr>
                <w:rFonts w:ascii="Arial Narrow" w:eastAsia="Calibri" w:hAnsi="Arial Narrow" w:cs="Calibri"/>
                <w:sz w:val="20"/>
                <w:szCs w:val="20"/>
                <w:lang w:eastAsia="en-US"/>
              </w:rPr>
            </w:pPr>
            <w:r w:rsidRPr="001843CB">
              <w:rPr>
                <w:rFonts w:ascii="Arial Narrow" w:eastAsia="Calibri" w:hAnsi="Arial Narrow" w:cs="Calibri"/>
                <w:sz w:val="20"/>
                <w:szCs w:val="20"/>
                <w:lang w:eastAsia="en-US"/>
              </w:rPr>
              <w:t>UPA v ADA</w:t>
            </w:r>
          </w:p>
        </w:tc>
        <w:tc>
          <w:tcPr>
            <w:tcW w:w="975" w:type="pct"/>
            <w:shd w:val="clear" w:color="auto" w:fill="FFFFFF" w:themeFill="background1"/>
            <w:vAlign w:val="center"/>
          </w:tcPr>
          <w:p w14:paraId="205D66C7" w14:textId="77777777" w:rsidR="00620C4B" w:rsidRPr="00257F07" w:rsidRDefault="00620C4B">
            <w:pPr>
              <w:keepNext/>
              <w:jc w:val="center"/>
              <w:rPr>
                <w:rFonts w:ascii="Arial Narrow" w:eastAsia="Calibri" w:hAnsi="Arial Narrow" w:cs="Calibri"/>
                <w:color w:val="000000"/>
                <w:sz w:val="20"/>
                <w:szCs w:val="20"/>
                <w:lang w:eastAsia="en-US"/>
              </w:rPr>
            </w:pPr>
            <w:r w:rsidRPr="00257F07">
              <w:rPr>
                <w:rFonts w:ascii="Arial Narrow" w:eastAsia="Calibri" w:hAnsi="Arial Narrow" w:cs="Calibri"/>
                <w:color w:val="000000"/>
                <w:sz w:val="20"/>
                <w:szCs w:val="20"/>
                <w:lang w:eastAsia="en-US"/>
              </w:rPr>
              <w:t>1.22 (1.05, 1.42)</w:t>
            </w:r>
          </w:p>
        </w:tc>
        <w:tc>
          <w:tcPr>
            <w:tcW w:w="975" w:type="pct"/>
            <w:shd w:val="clear" w:color="auto" w:fill="FFFFFF" w:themeFill="background1"/>
            <w:vAlign w:val="center"/>
          </w:tcPr>
          <w:p w14:paraId="3A3CAEBE" w14:textId="77777777" w:rsidR="00620C4B" w:rsidRPr="00257F07" w:rsidRDefault="00620C4B">
            <w:pPr>
              <w:keepNext/>
              <w:jc w:val="center"/>
              <w:rPr>
                <w:rFonts w:ascii="Arial Narrow" w:eastAsia="Calibri" w:hAnsi="Arial Narrow" w:cs="Calibri"/>
                <w:sz w:val="20"/>
                <w:szCs w:val="20"/>
                <w:lang w:eastAsia="en-US"/>
              </w:rPr>
            </w:pPr>
            <w:r w:rsidRPr="00257F07">
              <w:rPr>
                <w:rFonts w:ascii="Arial Narrow" w:eastAsia="Calibri" w:hAnsi="Arial Narrow" w:cs="Calibri"/>
                <w:color w:val="000000"/>
                <w:sz w:val="20"/>
                <w:szCs w:val="20"/>
                <w:lang w:eastAsia="en-US"/>
              </w:rPr>
              <w:t>1.81 (1.15, 2.85)</w:t>
            </w:r>
          </w:p>
        </w:tc>
        <w:tc>
          <w:tcPr>
            <w:tcW w:w="976" w:type="pct"/>
            <w:shd w:val="clear" w:color="auto" w:fill="FFFFFF" w:themeFill="background1"/>
            <w:vAlign w:val="center"/>
          </w:tcPr>
          <w:p w14:paraId="45088FAE" w14:textId="77777777" w:rsidR="00620C4B" w:rsidRPr="00257F07" w:rsidRDefault="00620C4B">
            <w:pPr>
              <w:keepNext/>
              <w:jc w:val="center"/>
              <w:rPr>
                <w:rFonts w:ascii="Arial Narrow" w:eastAsia="Calibri" w:hAnsi="Arial Narrow" w:cs="Calibri"/>
                <w:sz w:val="20"/>
                <w:szCs w:val="20"/>
                <w:lang w:eastAsia="en-US"/>
              </w:rPr>
            </w:pPr>
            <w:r w:rsidRPr="00257F07">
              <w:rPr>
                <w:rFonts w:ascii="Arial Narrow" w:eastAsia="Calibri" w:hAnsi="Arial Narrow" w:cs="Calibri"/>
                <w:color w:val="000000"/>
                <w:sz w:val="20"/>
                <w:szCs w:val="20"/>
                <w:lang w:eastAsia="en-US"/>
              </w:rPr>
              <w:t>0.13 (0.03, 0.23)</w:t>
            </w:r>
          </w:p>
        </w:tc>
      </w:tr>
      <w:tr w:rsidR="002E16A1" w:rsidRPr="001843CB" w14:paraId="2B3E62BE" w14:textId="77777777">
        <w:trPr>
          <w:trHeight w:val="142"/>
        </w:trPr>
        <w:tc>
          <w:tcPr>
            <w:tcW w:w="1098" w:type="pct"/>
            <w:vMerge/>
            <w:shd w:val="clear" w:color="auto" w:fill="FFFFFF" w:themeFill="background1"/>
          </w:tcPr>
          <w:p w14:paraId="777DCF71" w14:textId="77777777" w:rsidR="00620C4B" w:rsidRPr="001843CB" w:rsidRDefault="00620C4B">
            <w:pPr>
              <w:keepNext/>
              <w:jc w:val="left"/>
              <w:rPr>
                <w:rFonts w:ascii="Arial Narrow" w:eastAsia="Calibri" w:hAnsi="Arial Narrow" w:cs="Calibri"/>
                <w:sz w:val="20"/>
                <w:szCs w:val="20"/>
                <w:lang w:eastAsia="en-US"/>
              </w:rPr>
            </w:pPr>
          </w:p>
        </w:tc>
        <w:tc>
          <w:tcPr>
            <w:tcW w:w="975" w:type="pct"/>
            <w:shd w:val="clear" w:color="auto" w:fill="FFFFFF" w:themeFill="background1"/>
            <w:vAlign w:val="center"/>
          </w:tcPr>
          <w:p w14:paraId="308C125F" w14:textId="77777777" w:rsidR="00620C4B" w:rsidRPr="001843CB" w:rsidRDefault="00620C4B">
            <w:pPr>
              <w:keepNext/>
              <w:jc w:val="left"/>
              <w:rPr>
                <w:rFonts w:ascii="Arial Narrow" w:eastAsia="Calibri" w:hAnsi="Arial Narrow" w:cs="Calibri"/>
                <w:sz w:val="20"/>
                <w:szCs w:val="20"/>
                <w:lang w:eastAsia="en-US"/>
              </w:rPr>
            </w:pPr>
            <w:r w:rsidRPr="001843CB">
              <w:rPr>
                <w:rFonts w:ascii="Arial Narrow" w:eastAsia="Calibri" w:hAnsi="Arial Narrow" w:cs="Calibri"/>
                <w:sz w:val="20"/>
                <w:szCs w:val="20"/>
                <w:lang w:eastAsia="en-US"/>
              </w:rPr>
              <w:t>UPA v UST</w:t>
            </w:r>
          </w:p>
        </w:tc>
        <w:tc>
          <w:tcPr>
            <w:tcW w:w="975" w:type="pct"/>
            <w:shd w:val="clear" w:color="auto" w:fill="FFFFFF" w:themeFill="background1"/>
            <w:vAlign w:val="center"/>
          </w:tcPr>
          <w:p w14:paraId="08A984C8" w14:textId="77777777" w:rsidR="00620C4B" w:rsidRPr="001843CB" w:rsidRDefault="00620C4B">
            <w:pPr>
              <w:keepNext/>
              <w:jc w:val="center"/>
              <w:rPr>
                <w:rFonts w:ascii="Arial Narrow" w:eastAsia="Calibri" w:hAnsi="Arial Narrow" w:cs="Calibri"/>
                <w:color w:val="000000"/>
                <w:sz w:val="20"/>
                <w:szCs w:val="20"/>
                <w:lang w:eastAsia="en-US"/>
              </w:rPr>
            </w:pPr>
            <w:r w:rsidRPr="001843CB">
              <w:rPr>
                <w:rFonts w:ascii="Arial Narrow" w:eastAsia="Calibri" w:hAnsi="Arial Narrow" w:cs="Calibri"/>
                <w:color w:val="000000"/>
                <w:sz w:val="20"/>
                <w:szCs w:val="20"/>
                <w:lang w:eastAsia="en-US"/>
              </w:rPr>
              <w:t>1.03 (0.90, 1.18)</w:t>
            </w:r>
          </w:p>
        </w:tc>
        <w:tc>
          <w:tcPr>
            <w:tcW w:w="975" w:type="pct"/>
            <w:shd w:val="clear" w:color="auto" w:fill="FFFFFF" w:themeFill="background1"/>
            <w:vAlign w:val="center"/>
          </w:tcPr>
          <w:p w14:paraId="6A579DF5" w14:textId="77777777" w:rsidR="00620C4B" w:rsidRPr="001843CB" w:rsidRDefault="00620C4B">
            <w:pPr>
              <w:keepNext/>
              <w:jc w:val="center"/>
              <w:rPr>
                <w:rFonts w:ascii="Arial Narrow" w:eastAsia="Calibri" w:hAnsi="Arial Narrow" w:cs="Calibri"/>
                <w:sz w:val="20"/>
                <w:szCs w:val="20"/>
                <w:lang w:eastAsia="en-US"/>
              </w:rPr>
            </w:pPr>
            <w:r w:rsidRPr="001843CB">
              <w:rPr>
                <w:rFonts w:ascii="Arial Narrow" w:eastAsia="Calibri" w:hAnsi="Arial Narrow" w:cs="Calibri"/>
                <w:color w:val="000000"/>
                <w:sz w:val="20"/>
                <w:szCs w:val="20"/>
                <w:lang w:eastAsia="en-US"/>
              </w:rPr>
              <w:t>1.10 (0.76, 1.61)</w:t>
            </w:r>
          </w:p>
        </w:tc>
        <w:tc>
          <w:tcPr>
            <w:tcW w:w="976" w:type="pct"/>
            <w:shd w:val="clear" w:color="auto" w:fill="FFFFFF" w:themeFill="background1"/>
            <w:vAlign w:val="center"/>
          </w:tcPr>
          <w:p w14:paraId="3E53ADC6" w14:textId="31E3B67A" w:rsidR="00620C4B" w:rsidRPr="001843CB" w:rsidRDefault="00620C4B">
            <w:pPr>
              <w:keepNext/>
              <w:jc w:val="center"/>
              <w:rPr>
                <w:rFonts w:ascii="Arial Narrow" w:eastAsia="Calibri" w:hAnsi="Arial Narrow" w:cs="Calibri"/>
                <w:sz w:val="20"/>
                <w:szCs w:val="20"/>
                <w:lang w:eastAsia="en-US"/>
              </w:rPr>
            </w:pPr>
            <w:r w:rsidRPr="001843CB">
              <w:rPr>
                <w:rFonts w:ascii="Arial Narrow" w:eastAsia="Calibri" w:hAnsi="Arial Narrow" w:cs="Calibri"/>
                <w:color w:val="000000"/>
                <w:sz w:val="20"/>
                <w:szCs w:val="20"/>
                <w:lang w:eastAsia="en-US"/>
              </w:rPr>
              <w:t>0.02 (</w:t>
            </w:r>
            <w:r w:rsidR="00FC7500">
              <w:rPr>
                <w:rFonts w:ascii="Arial Narrow" w:eastAsia="Calibri" w:hAnsi="Arial Narrow" w:cs="Calibri"/>
                <w:color w:val="000000"/>
                <w:sz w:val="20"/>
                <w:szCs w:val="20"/>
                <w:lang w:eastAsia="en-US"/>
              </w:rPr>
              <w:noBreakHyphen/>
            </w:r>
            <w:r w:rsidRPr="001843CB">
              <w:rPr>
                <w:rFonts w:ascii="Arial Narrow" w:eastAsia="Calibri" w:hAnsi="Arial Narrow" w:cs="Calibri"/>
                <w:color w:val="000000"/>
                <w:sz w:val="20"/>
                <w:szCs w:val="20"/>
                <w:lang w:eastAsia="en-US"/>
              </w:rPr>
              <w:t>0.07, 0.11)</w:t>
            </w:r>
          </w:p>
        </w:tc>
      </w:tr>
      <w:tr w:rsidR="00620C4B" w:rsidRPr="001843CB" w14:paraId="385352C1" w14:textId="77777777">
        <w:trPr>
          <w:trHeight w:val="222"/>
        </w:trPr>
        <w:tc>
          <w:tcPr>
            <w:tcW w:w="5000" w:type="pct"/>
            <w:gridSpan w:val="5"/>
            <w:shd w:val="clear" w:color="auto" w:fill="FFFFFF" w:themeFill="background1"/>
            <w:vAlign w:val="center"/>
          </w:tcPr>
          <w:p w14:paraId="135ED663" w14:textId="77777777" w:rsidR="00620C4B" w:rsidRPr="001843CB" w:rsidRDefault="00620C4B">
            <w:pPr>
              <w:keepNext/>
              <w:rPr>
                <w:rFonts w:ascii="Arial Narrow" w:eastAsia="Calibri" w:hAnsi="Arial Narrow" w:cs="Calibri"/>
                <w:sz w:val="20"/>
                <w:szCs w:val="20"/>
                <w:lang w:eastAsia="en-US"/>
              </w:rPr>
            </w:pPr>
            <w:r w:rsidRPr="001843CB">
              <w:rPr>
                <w:rFonts w:ascii="Arial Narrow" w:eastAsia="Calibri" w:hAnsi="Arial Narrow" w:cs="Calibri"/>
                <w:b/>
                <w:bCs/>
                <w:sz w:val="20"/>
                <w:szCs w:val="20"/>
                <w:lang w:eastAsia="en-US"/>
              </w:rPr>
              <w:t>Serious AEs</w:t>
            </w:r>
          </w:p>
        </w:tc>
      </w:tr>
      <w:tr w:rsidR="002E16A1" w:rsidRPr="001843CB" w14:paraId="18F3299B" w14:textId="77777777">
        <w:trPr>
          <w:trHeight w:val="229"/>
        </w:trPr>
        <w:tc>
          <w:tcPr>
            <w:tcW w:w="1098" w:type="pct"/>
            <w:vMerge w:val="restart"/>
            <w:shd w:val="clear" w:color="auto" w:fill="FFFFFF" w:themeFill="background1"/>
          </w:tcPr>
          <w:p w14:paraId="6F9A9831" w14:textId="77777777" w:rsidR="00620C4B" w:rsidRPr="001843CB" w:rsidRDefault="00620C4B">
            <w:pPr>
              <w:keepNext/>
              <w:jc w:val="left"/>
              <w:rPr>
                <w:rFonts w:ascii="Arial Narrow" w:eastAsia="Calibri" w:hAnsi="Arial Narrow" w:cs="Calibri"/>
                <w:sz w:val="20"/>
                <w:szCs w:val="20"/>
                <w:lang w:eastAsia="en-US"/>
              </w:rPr>
            </w:pPr>
            <w:r w:rsidRPr="001843CB">
              <w:rPr>
                <w:rFonts w:ascii="Arial Narrow" w:eastAsia="Calibri" w:hAnsi="Arial Narrow" w:cs="Calibri"/>
                <w:sz w:val="20"/>
                <w:szCs w:val="20"/>
                <w:lang w:eastAsia="en-US"/>
              </w:rPr>
              <w:t>ITC result</w:t>
            </w:r>
          </w:p>
        </w:tc>
        <w:tc>
          <w:tcPr>
            <w:tcW w:w="975" w:type="pct"/>
            <w:shd w:val="clear" w:color="auto" w:fill="FFFFFF" w:themeFill="background1"/>
            <w:vAlign w:val="center"/>
          </w:tcPr>
          <w:p w14:paraId="18CD8717" w14:textId="77777777" w:rsidR="00620C4B" w:rsidRPr="001843CB" w:rsidRDefault="00620C4B">
            <w:pPr>
              <w:keepNext/>
              <w:jc w:val="left"/>
              <w:rPr>
                <w:rFonts w:ascii="Arial Narrow" w:eastAsia="Calibri" w:hAnsi="Arial Narrow" w:cs="Calibri"/>
                <w:sz w:val="20"/>
                <w:szCs w:val="20"/>
                <w:lang w:eastAsia="en-US"/>
              </w:rPr>
            </w:pPr>
            <w:r w:rsidRPr="001843CB">
              <w:rPr>
                <w:rFonts w:ascii="Arial Narrow" w:eastAsia="Calibri" w:hAnsi="Arial Narrow" w:cs="Calibri"/>
                <w:sz w:val="20"/>
                <w:szCs w:val="20"/>
                <w:lang w:eastAsia="en-US"/>
              </w:rPr>
              <w:t>UPA v ADA</w:t>
            </w:r>
          </w:p>
        </w:tc>
        <w:tc>
          <w:tcPr>
            <w:tcW w:w="975" w:type="pct"/>
            <w:shd w:val="clear" w:color="auto" w:fill="FFFFFF" w:themeFill="background1"/>
            <w:vAlign w:val="center"/>
          </w:tcPr>
          <w:p w14:paraId="1FC4376D" w14:textId="77777777" w:rsidR="00620C4B" w:rsidRPr="001843CB" w:rsidRDefault="00620C4B">
            <w:pPr>
              <w:keepNext/>
              <w:jc w:val="center"/>
              <w:rPr>
                <w:rFonts w:ascii="Arial Narrow" w:eastAsia="Calibri" w:hAnsi="Arial Narrow" w:cs="Calibri"/>
                <w:sz w:val="20"/>
                <w:szCs w:val="20"/>
                <w:lang w:eastAsia="en-US"/>
              </w:rPr>
            </w:pPr>
            <w:r w:rsidRPr="001843CB">
              <w:rPr>
                <w:rFonts w:ascii="Arial Narrow" w:eastAsia="Calibri" w:hAnsi="Arial Narrow"/>
                <w:sz w:val="20"/>
                <w:szCs w:val="20"/>
                <w:lang w:eastAsia="en-US"/>
              </w:rPr>
              <w:t>2.18 (0.76, 6.24)</w:t>
            </w:r>
          </w:p>
        </w:tc>
        <w:tc>
          <w:tcPr>
            <w:tcW w:w="975" w:type="pct"/>
            <w:shd w:val="clear" w:color="auto" w:fill="FFFFFF" w:themeFill="background1"/>
            <w:vAlign w:val="center"/>
          </w:tcPr>
          <w:p w14:paraId="458F21AC" w14:textId="77777777" w:rsidR="00620C4B" w:rsidRPr="001843CB" w:rsidRDefault="00620C4B">
            <w:pPr>
              <w:keepNext/>
              <w:jc w:val="center"/>
              <w:rPr>
                <w:rFonts w:ascii="Arial Narrow" w:eastAsia="Calibri" w:hAnsi="Arial Narrow" w:cs="Calibri"/>
                <w:sz w:val="20"/>
                <w:szCs w:val="20"/>
                <w:lang w:eastAsia="en-US"/>
              </w:rPr>
            </w:pPr>
            <w:r w:rsidRPr="001843CB">
              <w:rPr>
                <w:rFonts w:ascii="Arial Narrow" w:eastAsia="Calibri" w:hAnsi="Arial Narrow"/>
                <w:sz w:val="20"/>
                <w:szCs w:val="20"/>
                <w:lang w:eastAsia="en-US"/>
              </w:rPr>
              <w:t>2.23 (0.75, 6.66)</w:t>
            </w:r>
          </w:p>
        </w:tc>
        <w:tc>
          <w:tcPr>
            <w:tcW w:w="976" w:type="pct"/>
            <w:shd w:val="clear" w:color="auto" w:fill="FFFFFF" w:themeFill="background1"/>
            <w:vAlign w:val="center"/>
          </w:tcPr>
          <w:p w14:paraId="1F0B8B7E" w14:textId="2505641F" w:rsidR="00620C4B" w:rsidRPr="001843CB" w:rsidRDefault="00620C4B">
            <w:pPr>
              <w:keepNext/>
              <w:jc w:val="center"/>
              <w:rPr>
                <w:rFonts w:ascii="Arial Narrow" w:eastAsia="Calibri" w:hAnsi="Arial Narrow" w:cs="Calibri"/>
                <w:sz w:val="20"/>
                <w:szCs w:val="20"/>
                <w:lang w:eastAsia="en-US"/>
              </w:rPr>
            </w:pPr>
            <w:r w:rsidRPr="001843CB">
              <w:rPr>
                <w:rFonts w:ascii="Arial Narrow" w:eastAsia="Calibri" w:hAnsi="Arial Narrow"/>
                <w:sz w:val="20"/>
                <w:szCs w:val="20"/>
                <w:lang w:eastAsia="en-US"/>
              </w:rPr>
              <w:t>0.03 (</w:t>
            </w:r>
            <w:r w:rsidR="00FC7500">
              <w:rPr>
                <w:rFonts w:ascii="Arial Narrow" w:eastAsia="Calibri" w:hAnsi="Arial Narrow"/>
                <w:sz w:val="20"/>
                <w:szCs w:val="20"/>
                <w:lang w:eastAsia="en-US"/>
              </w:rPr>
              <w:noBreakHyphen/>
            </w:r>
            <w:r w:rsidRPr="001843CB">
              <w:rPr>
                <w:rFonts w:ascii="Arial Narrow" w:eastAsia="Calibri" w:hAnsi="Arial Narrow"/>
                <w:sz w:val="20"/>
                <w:szCs w:val="20"/>
                <w:lang w:eastAsia="en-US"/>
              </w:rPr>
              <w:t>0.02, 0.08)</w:t>
            </w:r>
          </w:p>
        </w:tc>
      </w:tr>
      <w:tr w:rsidR="002E16A1" w:rsidRPr="001843CB" w14:paraId="2AD066D0" w14:textId="77777777">
        <w:trPr>
          <w:trHeight w:val="142"/>
        </w:trPr>
        <w:tc>
          <w:tcPr>
            <w:tcW w:w="1098" w:type="pct"/>
            <w:vMerge/>
            <w:shd w:val="clear" w:color="auto" w:fill="FFFFFF" w:themeFill="background1"/>
          </w:tcPr>
          <w:p w14:paraId="438FE810" w14:textId="77777777" w:rsidR="00620C4B" w:rsidRPr="001843CB" w:rsidRDefault="00620C4B">
            <w:pPr>
              <w:keepNext/>
              <w:jc w:val="left"/>
              <w:rPr>
                <w:rFonts w:ascii="Arial Narrow" w:eastAsia="Calibri" w:hAnsi="Arial Narrow" w:cs="Calibri"/>
                <w:sz w:val="20"/>
                <w:szCs w:val="20"/>
                <w:lang w:eastAsia="en-US"/>
              </w:rPr>
            </w:pPr>
          </w:p>
        </w:tc>
        <w:tc>
          <w:tcPr>
            <w:tcW w:w="975" w:type="pct"/>
            <w:shd w:val="clear" w:color="auto" w:fill="FFFFFF" w:themeFill="background1"/>
            <w:vAlign w:val="center"/>
          </w:tcPr>
          <w:p w14:paraId="02C695F8" w14:textId="77777777" w:rsidR="00620C4B" w:rsidRPr="001843CB" w:rsidRDefault="00620C4B">
            <w:pPr>
              <w:keepNext/>
              <w:jc w:val="left"/>
              <w:rPr>
                <w:rFonts w:ascii="Arial Narrow" w:eastAsia="Calibri" w:hAnsi="Arial Narrow" w:cs="Calibri"/>
                <w:sz w:val="20"/>
                <w:szCs w:val="20"/>
                <w:lang w:eastAsia="en-US"/>
              </w:rPr>
            </w:pPr>
            <w:r w:rsidRPr="001843CB">
              <w:rPr>
                <w:rFonts w:ascii="Arial Narrow" w:eastAsia="Calibri" w:hAnsi="Arial Narrow" w:cs="Calibri"/>
                <w:sz w:val="20"/>
                <w:szCs w:val="20"/>
                <w:lang w:eastAsia="en-US"/>
              </w:rPr>
              <w:t>UPA v UST</w:t>
            </w:r>
          </w:p>
        </w:tc>
        <w:tc>
          <w:tcPr>
            <w:tcW w:w="975" w:type="pct"/>
            <w:shd w:val="clear" w:color="auto" w:fill="FFFFFF" w:themeFill="background1"/>
            <w:vAlign w:val="center"/>
          </w:tcPr>
          <w:p w14:paraId="1773EAA4" w14:textId="77777777" w:rsidR="00620C4B" w:rsidRPr="001843CB" w:rsidRDefault="00620C4B">
            <w:pPr>
              <w:keepNext/>
              <w:jc w:val="center"/>
              <w:rPr>
                <w:rFonts w:ascii="Arial Narrow" w:eastAsia="Calibri" w:hAnsi="Arial Narrow" w:cs="Calibri"/>
                <w:sz w:val="20"/>
                <w:szCs w:val="20"/>
                <w:lang w:eastAsia="en-US"/>
              </w:rPr>
            </w:pPr>
            <w:r w:rsidRPr="001843CB">
              <w:rPr>
                <w:rFonts w:ascii="Arial Narrow" w:eastAsia="Calibri" w:hAnsi="Arial Narrow" w:cs="Calibri"/>
                <w:color w:val="000000"/>
                <w:sz w:val="20"/>
                <w:szCs w:val="20"/>
                <w:lang w:eastAsia="en-US"/>
              </w:rPr>
              <w:t>1.09 (0.55, 2.17)</w:t>
            </w:r>
          </w:p>
        </w:tc>
        <w:tc>
          <w:tcPr>
            <w:tcW w:w="975" w:type="pct"/>
            <w:shd w:val="clear" w:color="auto" w:fill="FFFFFF" w:themeFill="background1"/>
            <w:vAlign w:val="center"/>
          </w:tcPr>
          <w:p w14:paraId="54FD5B1D" w14:textId="77777777" w:rsidR="00620C4B" w:rsidRPr="001843CB" w:rsidRDefault="00620C4B">
            <w:pPr>
              <w:keepNext/>
              <w:jc w:val="center"/>
              <w:rPr>
                <w:rFonts w:ascii="Arial Narrow" w:eastAsia="Calibri" w:hAnsi="Arial Narrow" w:cs="Calibri"/>
                <w:sz w:val="20"/>
                <w:szCs w:val="20"/>
                <w:lang w:eastAsia="en-US"/>
              </w:rPr>
            </w:pPr>
            <w:r w:rsidRPr="001843CB">
              <w:rPr>
                <w:rFonts w:ascii="Arial Narrow" w:eastAsia="Calibri" w:hAnsi="Arial Narrow" w:cs="Calibri"/>
                <w:color w:val="000000"/>
                <w:sz w:val="20"/>
                <w:szCs w:val="20"/>
                <w:lang w:eastAsia="en-US"/>
              </w:rPr>
              <w:t>1.10 (0.53, 2.30)</w:t>
            </w:r>
          </w:p>
        </w:tc>
        <w:tc>
          <w:tcPr>
            <w:tcW w:w="976" w:type="pct"/>
            <w:shd w:val="clear" w:color="auto" w:fill="FFFFFF" w:themeFill="background1"/>
            <w:vAlign w:val="center"/>
          </w:tcPr>
          <w:p w14:paraId="169D4799" w14:textId="48F74EE8" w:rsidR="00620C4B" w:rsidRPr="001843CB" w:rsidRDefault="00FC7500">
            <w:pPr>
              <w:keepNext/>
              <w:jc w:val="center"/>
              <w:rPr>
                <w:rFonts w:ascii="Arial Narrow" w:eastAsia="Calibri" w:hAnsi="Arial Narrow" w:cs="Calibri"/>
                <w:sz w:val="20"/>
                <w:szCs w:val="20"/>
                <w:lang w:eastAsia="en-US"/>
              </w:rPr>
            </w:pPr>
            <w:r>
              <w:rPr>
                <w:rFonts w:ascii="Arial Narrow" w:eastAsia="Calibri" w:hAnsi="Arial Narrow" w:cs="Calibri"/>
                <w:color w:val="000000"/>
                <w:sz w:val="20"/>
                <w:szCs w:val="20"/>
                <w:lang w:eastAsia="en-US"/>
              </w:rPr>
              <w:noBreakHyphen/>
            </w:r>
            <w:r w:rsidR="00620C4B" w:rsidRPr="001843CB">
              <w:rPr>
                <w:rFonts w:ascii="Arial Narrow" w:eastAsia="Calibri" w:hAnsi="Arial Narrow" w:cs="Calibri"/>
                <w:color w:val="000000"/>
                <w:sz w:val="20"/>
                <w:szCs w:val="20"/>
                <w:lang w:eastAsia="en-US"/>
              </w:rPr>
              <w:t>0.03 (</w:t>
            </w:r>
            <w:r>
              <w:rPr>
                <w:rFonts w:ascii="Arial Narrow" w:eastAsia="Calibri" w:hAnsi="Arial Narrow" w:cs="Calibri"/>
                <w:color w:val="000000"/>
                <w:sz w:val="20"/>
                <w:szCs w:val="20"/>
                <w:lang w:eastAsia="en-US"/>
              </w:rPr>
              <w:noBreakHyphen/>
            </w:r>
            <w:r w:rsidR="00620C4B" w:rsidRPr="001843CB">
              <w:rPr>
                <w:rFonts w:ascii="Arial Narrow" w:eastAsia="Calibri" w:hAnsi="Arial Narrow" w:cs="Calibri"/>
                <w:color w:val="000000"/>
                <w:sz w:val="20"/>
                <w:szCs w:val="20"/>
                <w:lang w:eastAsia="en-US"/>
              </w:rPr>
              <w:t>0.09, 0.03)</w:t>
            </w:r>
          </w:p>
        </w:tc>
      </w:tr>
      <w:tr w:rsidR="00620C4B" w:rsidRPr="001843CB" w14:paraId="1630834F" w14:textId="77777777">
        <w:trPr>
          <w:trHeight w:val="222"/>
        </w:trPr>
        <w:tc>
          <w:tcPr>
            <w:tcW w:w="5000" w:type="pct"/>
            <w:gridSpan w:val="5"/>
            <w:shd w:val="clear" w:color="auto" w:fill="FFFFFF" w:themeFill="background1"/>
            <w:vAlign w:val="center"/>
          </w:tcPr>
          <w:p w14:paraId="1805162D" w14:textId="77777777" w:rsidR="00620C4B" w:rsidRPr="001843CB" w:rsidRDefault="00620C4B">
            <w:pPr>
              <w:keepNext/>
              <w:rPr>
                <w:rFonts w:ascii="Arial Narrow" w:eastAsia="Calibri" w:hAnsi="Arial Narrow" w:cs="Calibri"/>
                <w:sz w:val="20"/>
                <w:szCs w:val="20"/>
                <w:lang w:eastAsia="en-US"/>
              </w:rPr>
            </w:pPr>
            <w:r w:rsidRPr="001843CB">
              <w:rPr>
                <w:rFonts w:ascii="Arial Narrow" w:eastAsia="Calibri" w:hAnsi="Arial Narrow" w:cs="Calibri"/>
                <w:b/>
                <w:bCs/>
                <w:sz w:val="20"/>
                <w:szCs w:val="20"/>
                <w:lang w:eastAsia="en-US"/>
              </w:rPr>
              <w:t>Serious infections</w:t>
            </w:r>
          </w:p>
        </w:tc>
      </w:tr>
      <w:tr w:rsidR="002E16A1" w:rsidRPr="001843CB" w14:paraId="6F1B8C02" w14:textId="77777777">
        <w:trPr>
          <w:trHeight w:val="201"/>
        </w:trPr>
        <w:tc>
          <w:tcPr>
            <w:tcW w:w="1098" w:type="pct"/>
            <w:vMerge w:val="restart"/>
            <w:shd w:val="clear" w:color="auto" w:fill="FFFFFF" w:themeFill="background1"/>
          </w:tcPr>
          <w:p w14:paraId="5E2A21B3" w14:textId="77777777" w:rsidR="00620C4B" w:rsidRPr="001843CB" w:rsidRDefault="00620C4B">
            <w:pPr>
              <w:keepNext/>
              <w:jc w:val="left"/>
              <w:rPr>
                <w:rFonts w:ascii="Arial Narrow" w:eastAsia="Calibri" w:hAnsi="Arial Narrow" w:cs="Calibri"/>
                <w:sz w:val="20"/>
                <w:szCs w:val="20"/>
                <w:lang w:eastAsia="en-US"/>
              </w:rPr>
            </w:pPr>
            <w:r w:rsidRPr="001843CB">
              <w:rPr>
                <w:rFonts w:ascii="Arial Narrow" w:eastAsia="Calibri" w:hAnsi="Arial Narrow" w:cs="Calibri"/>
                <w:sz w:val="20"/>
                <w:szCs w:val="20"/>
                <w:lang w:eastAsia="en-US"/>
              </w:rPr>
              <w:t>ITC result</w:t>
            </w:r>
          </w:p>
        </w:tc>
        <w:tc>
          <w:tcPr>
            <w:tcW w:w="975" w:type="pct"/>
            <w:shd w:val="clear" w:color="auto" w:fill="FFFFFF" w:themeFill="background1"/>
            <w:vAlign w:val="center"/>
          </w:tcPr>
          <w:p w14:paraId="115BAC1E" w14:textId="77777777" w:rsidR="00620C4B" w:rsidRPr="001843CB" w:rsidRDefault="00620C4B">
            <w:pPr>
              <w:keepNext/>
              <w:jc w:val="left"/>
              <w:rPr>
                <w:rFonts w:ascii="Arial Narrow" w:eastAsia="Calibri" w:hAnsi="Arial Narrow" w:cs="Calibri"/>
                <w:sz w:val="20"/>
                <w:szCs w:val="20"/>
                <w:lang w:eastAsia="en-US"/>
              </w:rPr>
            </w:pPr>
            <w:r w:rsidRPr="001843CB">
              <w:rPr>
                <w:rFonts w:ascii="Arial Narrow" w:eastAsia="Calibri" w:hAnsi="Arial Narrow" w:cs="Calibri"/>
                <w:sz w:val="20"/>
                <w:szCs w:val="20"/>
                <w:lang w:eastAsia="en-US"/>
              </w:rPr>
              <w:t>UPA v ADA</w:t>
            </w:r>
          </w:p>
        </w:tc>
        <w:tc>
          <w:tcPr>
            <w:tcW w:w="975" w:type="pct"/>
            <w:shd w:val="clear" w:color="auto" w:fill="FFFFFF" w:themeFill="background1"/>
            <w:vAlign w:val="center"/>
          </w:tcPr>
          <w:p w14:paraId="04E6B772" w14:textId="77777777" w:rsidR="00620C4B" w:rsidRPr="001843CB" w:rsidRDefault="00620C4B">
            <w:pPr>
              <w:keepNext/>
              <w:jc w:val="center"/>
              <w:rPr>
                <w:rFonts w:ascii="Arial Narrow" w:eastAsia="Calibri" w:hAnsi="Arial Narrow" w:cs="Calibri"/>
                <w:sz w:val="20"/>
                <w:szCs w:val="20"/>
                <w:lang w:eastAsia="en-US"/>
              </w:rPr>
            </w:pPr>
            <w:r w:rsidRPr="001843CB">
              <w:rPr>
                <w:rFonts w:ascii="Arial Narrow" w:eastAsia="Calibri" w:hAnsi="Arial Narrow" w:cs="Calibri"/>
                <w:color w:val="000000"/>
                <w:sz w:val="20"/>
                <w:szCs w:val="20"/>
                <w:lang w:eastAsia="en-US"/>
              </w:rPr>
              <w:t>1.84 (0.32, 10.48)</w:t>
            </w:r>
          </w:p>
        </w:tc>
        <w:tc>
          <w:tcPr>
            <w:tcW w:w="975" w:type="pct"/>
            <w:shd w:val="clear" w:color="auto" w:fill="FFFFFF" w:themeFill="background1"/>
            <w:vAlign w:val="center"/>
          </w:tcPr>
          <w:p w14:paraId="22183AE7" w14:textId="77777777" w:rsidR="00620C4B" w:rsidRPr="001843CB" w:rsidRDefault="00620C4B">
            <w:pPr>
              <w:keepNext/>
              <w:jc w:val="center"/>
              <w:rPr>
                <w:rFonts w:ascii="Arial Narrow" w:eastAsia="Calibri" w:hAnsi="Arial Narrow" w:cs="Calibri"/>
                <w:sz w:val="20"/>
                <w:szCs w:val="20"/>
                <w:lang w:eastAsia="en-US"/>
              </w:rPr>
            </w:pPr>
            <w:r w:rsidRPr="001843CB">
              <w:rPr>
                <w:rFonts w:ascii="Arial Narrow" w:eastAsia="Calibri" w:hAnsi="Arial Narrow" w:cs="Calibri"/>
                <w:color w:val="000000"/>
                <w:sz w:val="20"/>
                <w:szCs w:val="20"/>
                <w:lang w:eastAsia="en-US"/>
              </w:rPr>
              <w:t>1.88 (0.33, 10.88)</w:t>
            </w:r>
          </w:p>
        </w:tc>
        <w:tc>
          <w:tcPr>
            <w:tcW w:w="976" w:type="pct"/>
            <w:shd w:val="clear" w:color="auto" w:fill="FFFFFF" w:themeFill="background1"/>
            <w:vAlign w:val="center"/>
          </w:tcPr>
          <w:p w14:paraId="16986306" w14:textId="1B2A16BE" w:rsidR="00620C4B" w:rsidRPr="001843CB" w:rsidRDefault="00620C4B">
            <w:pPr>
              <w:keepNext/>
              <w:jc w:val="center"/>
              <w:rPr>
                <w:rFonts w:ascii="Arial Narrow" w:eastAsia="Calibri" w:hAnsi="Arial Narrow" w:cs="Calibri"/>
                <w:sz w:val="20"/>
                <w:szCs w:val="20"/>
                <w:lang w:eastAsia="en-US"/>
              </w:rPr>
            </w:pPr>
            <w:r w:rsidRPr="001843CB">
              <w:rPr>
                <w:rFonts w:ascii="Arial Narrow" w:eastAsia="Calibri" w:hAnsi="Arial Narrow" w:cs="Calibri"/>
                <w:color w:val="000000"/>
                <w:sz w:val="20"/>
                <w:szCs w:val="20"/>
                <w:lang w:eastAsia="en-US"/>
              </w:rPr>
              <w:t>0.01 (</w:t>
            </w:r>
            <w:r w:rsidR="00FC7500">
              <w:rPr>
                <w:rFonts w:ascii="Arial Narrow" w:eastAsia="Calibri" w:hAnsi="Arial Narrow" w:cs="Calibri"/>
                <w:color w:val="000000"/>
                <w:sz w:val="20"/>
                <w:szCs w:val="20"/>
                <w:lang w:eastAsia="en-US"/>
              </w:rPr>
              <w:noBreakHyphen/>
            </w:r>
            <w:r w:rsidRPr="001843CB">
              <w:rPr>
                <w:rFonts w:ascii="Arial Narrow" w:eastAsia="Calibri" w:hAnsi="Arial Narrow" w:cs="Calibri"/>
                <w:color w:val="000000"/>
                <w:sz w:val="20"/>
                <w:szCs w:val="20"/>
                <w:lang w:eastAsia="en-US"/>
              </w:rPr>
              <w:t>0.02, 0.04)</w:t>
            </w:r>
          </w:p>
        </w:tc>
      </w:tr>
      <w:tr w:rsidR="002E16A1" w:rsidRPr="001843CB" w14:paraId="7FDAF301" w14:textId="77777777">
        <w:trPr>
          <w:trHeight w:val="142"/>
        </w:trPr>
        <w:tc>
          <w:tcPr>
            <w:tcW w:w="1098" w:type="pct"/>
            <w:vMerge/>
            <w:shd w:val="clear" w:color="auto" w:fill="FFFFFF" w:themeFill="background1"/>
          </w:tcPr>
          <w:p w14:paraId="0ED716BA" w14:textId="77777777" w:rsidR="00620C4B" w:rsidRPr="001843CB" w:rsidRDefault="00620C4B">
            <w:pPr>
              <w:keepNext/>
              <w:jc w:val="left"/>
              <w:rPr>
                <w:rFonts w:ascii="Arial Narrow" w:eastAsia="Calibri" w:hAnsi="Arial Narrow" w:cs="Calibri"/>
                <w:sz w:val="20"/>
                <w:szCs w:val="20"/>
                <w:lang w:eastAsia="en-US"/>
              </w:rPr>
            </w:pPr>
          </w:p>
        </w:tc>
        <w:tc>
          <w:tcPr>
            <w:tcW w:w="975" w:type="pct"/>
            <w:shd w:val="clear" w:color="auto" w:fill="FFFFFF" w:themeFill="background1"/>
            <w:vAlign w:val="center"/>
          </w:tcPr>
          <w:p w14:paraId="6C8F838E" w14:textId="77777777" w:rsidR="00620C4B" w:rsidRPr="001843CB" w:rsidRDefault="00620C4B">
            <w:pPr>
              <w:keepNext/>
              <w:jc w:val="left"/>
              <w:rPr>
                <w:rFonts w:ascii="Arial Narrow" w:eastAsia="Calibri" w:hAnsi="Arial Narrow" w:cs="Calibri"/>
                <w:sz w:val="20"/>
                <w:szCs w:val="20"/>
                <w:lang w:eastAsia="en-US"/>
              </w:rPr>
            </w:pPr>
            <w:r w:rsidRPr="001843CB">
              <w:rPr>
                <w:rFonts w:ascii="Arial Narrow" w:eastAsia="Calibri" w:hAnsi="Arial Narrow" w:cs="Calibri"/>
                <w:sz w:val="20"/>
                <w:szCs w:val="20"/>
                <w:lang w:eastAsia="en-US"/>
              </w:rPr>
              <w:t>UPA v UST</w:t>
            </w:r>
          </w:p>
        </w:tc>
        <w:tc>
          <w:tcPr>
            <w:tcW w:w="975" w:type="pct"/>
            <w:shd w:val="clear" w:color="auto" w:fill="FFFFFF" w:themeFill="background1"/>
            <w:vAlign w:val="center"/>
          </w:tcPr>
          <w:p w14:paraId="58B6E24F" w14:textId="77777777" w:rsidR="00620C4B" w:rsidRPr="001843CB" w:rsidRDefault="00620C4B">
            <w:pPr>
              <w:keepNext/>
              <w:jc w:val="center"/>
              <w:rPr>
                <w:rFonts w:ascii="Arial Narrow" w:eastAsia="Calibri" w:hAnsi="Arial Narrow" w:cs="Calibri"/>
                <w:sz w:val="20"/>
                <w:szCs w:val="20"/>
                <w:lang w:eastAsia="en-US"/>
              </w:rPr>
            </w:pPr>
            <w:r w:rsidRPr="001843CB">
              <w:rPr>
                <w:rFonts w:ascii="Arial Narrow" w:eastAsia="Calibri" w:hAnsi="Arial Narrow" w:cs="Calibri"/>
                <w:color w:val="000000"/>
                <w:sz w:val="20"/>
                <w:szCs w:val="20"/>
                <w:lang w:eastAsia="en-US"/>
              </w:rPr>
              <w:t>0.85 (0.20, 3.53)</w:t>
            </w:r>
          </w:p>
        </w:tc>
        <w:tc>
          <w:tcPr>
            <w:tcW w:w="975" w:type="pct"/>
            <w:shd w:val="clear" w:color="auto" w:fill="FFFFFF" w:themeFill="background1"/>
            <w:vAlign w:val="center"/>
          </w:tcPr>
          <w:p w14:paraId="7B14D71F" w14:textId="77777777" w:rsidR="00620C4B" w:rsidRPr="001843CB" w:rsidRDefault="00620C4B">
            <w:pPr>
              <w:keepNext/>
              <w:jc w:val="center"/>
              <w:rPr>
                <w:rFonts w:ascii="Arial Narrow" w:eastAsia="Calibri" w:hAnsi="Arial Narrow" w:cs="Calibri"/>
                <w:sz w:val="20"/>
                <w:szCs w:val="20"/>
                <w:lang w:eastAsia="en-US"/>
              </w:rPr>
            </w:pPr>
            <w:r w:rsidRPr="001843CB">
              <w:rPr>
                <w:rFonts w:ascii="Arial Narrow" w:eastAsia="Calibri" w:hAnsi="Arial Narrow" w:cs="Calibri"/>
                <w:color w:val="000000"/>
                <w:sz w:val="20"/>
                <w:szCs w:val="20"/>
                <w:lang w:eastAsia="en-US"/>
              </w:rPr>
              <w:t>1.03 (0.13, 8.44)</w:t>
            </w:r>
          </w:p>
        </w:tc>
        <w:tc>
          <w:tcPr>
            <w:tcW w:w="976" w:type="pct"/>
            <w:shd w:val="clear" w:color="auto" w:fill="FFFFFF" w:themeFill="background1"/>
            <w:vAlign w:val="center"/>
          </w:tcPr>
          <w:p w14:paraId="698DCC13" w14:textId="6661DC9C" w:rsidR="00620C4B" w:rsidRPr="001843CB" w:rsidRDefault="00620C4B">
            <w:pPr>
              <w:keepNext/>
              <w:jc w:val="center"/>
              <w:rPr>
                <w:rFonts w:ascii="Arial Narrow" w:eastAsia="Calibri" w:hAnsi="Arial Narrow" w:cs="Calibri"/>
                <w:sz w:val="20"/>
                <w:szCs w:val="20"/>
                <w:lang w:eastAsia="en-US"/>
              </w:rPr>
            </w:pPr>
            <w:r w:rsidRPr="001843CB">
              <w:rPr>
                <w:rFonts w:ascii="Arial Narrow" w:eastAsia="Calibri" w:hAnsi="Arial Narrow" w:cs="Calibri"/>
                <w:color w:val="000000"/>
                <w:sz w:val="20"/>
                <w:szCs w:val="20"/>
                <w:lang w:eastAsia="en-US"/>
              </w:rPr>
              <w:t>0.00 (</w:t>
            </w:r>
            <w:r w:rsidR="00FC7500">
              <w:rPr>
                <w:rFonts w:ascii="Arial Narrow" w:eastAsia="Calibri" w:hAnsi="Arial Narrow" w:cs="Calibri"/>
                <w:color w:val="000000"/>
                <w:sz w:val="20"/>
                <w:szCs w:val="20"/>
                <w:lang w:eastAsia="en-US"/>
              </w:rPr>
              <w:noBreakHyphen/>
            </w:r>
            <w:r w:rsidRPr="001843CB">
              <w:rPr>
                <w:rFonts w:ascii="Arial Narrow" w:eastAsia="Calibri" w:hAnsi="Arial Narrow" w:cs="Calibri"/>
                <w:color w:val="000000"/>
                <w:sz w:val="20"/>
                <w:szCs w:val="20"/>
                <w:lang w:eastAsia="en-US"/>
              </w:rPr>
              <w:t>0.03, 0.03)</w:t>
            </w:r>
          </w:p>
        </w:tc>
      </w:tr>
      <w:tr w:rsidR="00620C4B" w:rsidRPr="001843CB" w14:paraId="36255949" w14:textId="77777777">
        <w:trPr>
          <w:trHeight w:val="142"/>
        </w:trPr>
        <w:tc>
          <w:tcPr>
            <w:tcW w:w="5000" w:type="pct"/>
            <w:gridSpan w:val="5"/>
            <w:shd w:val="clear" w:color="auto" w:fill="FFFFFF" w:themeFill="background1"/>
          </w:tcPr>
          <w:p w14:paraId="0DA9621B" w14:textId="77777777" w:rsidR="00620C4B" w:rsidRPr="001843CB" w:rsidRDefault="00620C4B">
            <w:pPr>
              <w:keepNext/>
              <w:rPr>
                <w:rFonts w:ascii="Arial Narrow" w:eastAsia="Calibri" w:hAnsi="Arial Narrow" w:cs="Calibri"/>
                <w:b/>
                <w:bCs/>
                <w:color w:val="000000"/>
                <w:sz w:val="20"/>
                <w:szCs w:val="20"/>
                <w:lang w:eastAsia="en-US"/>
              </w:rPr>
            </w:pPr>
            <w:r w:rsidRPr="001843CB">
              <w:rPr>
                <w:rFonts w:ascii="Arial Narrow" w:eastAsia="Calibri" w:hAnsi="Arial Narrow" w:cs="Calibri"/>
                <w:b/>
                <w:bCs/>
                <w:color w:val="000000"/>
                <w:sz w:val="20"/>
                <w:szCs w:val="20"/>
                <w:lang w:eastAsia="en-US"/>
              </w:rPr>
              <w:t>AEs leading to discontinuations</w:t>
            </w:r>
          </w:p>
        </w:tc>
      </w:tr>
      <w:tr w:rsidR="002E16A1" w:rsidRPr="001843CB" w14:paraId="5CF11060" w14:textId="77777777">
        <w:trPr>
          <w:trHeight w:val="213"/>
        </w:trPr>
        <w:tc>
          <w:tcPr>
            <w:tcW w:w="1098" w:type="pct"/>
            <w:vMerge w:val="restart"/>
            <w:shd w:val="clear" w:color="auto" w:fill="FFFFFF" w:themeFill="background1"/>
          </w:tcPr>
          <w:p w14:paraId="51DF1731" w14:textId="77777777" w:rsidR="00620C4B" w:rsidRPr="001843CB" w:rsidRDefault="00620C4B">
            <w:pPr>
              <w:keepNext/>
              <w:jc w:val="left"/>
              <w:rPr>
                <w:rFonts w:ascii="Arial Narrow" w:eastAsia="Calibri" w:hAnsi="Arial Narrow" w:cs="Calibri"/>
                <w:sz w:val="20"/>
                <w:szCs w:val="20"/>
                <w:lang w:eastAsia="en-US"/>
              </w:rPr>
            </w:pPr>
            <w:r w:rsidRPr="001843CB">
              <w:rPr>
                <w:rFonts w:ascii="Arial Narrow" w:eastAsia="Calibri" w:hAnsi="Arial Narrow" w:cs="Calibri"/>
                <w:sz w:val="20"/>
                <w:szCs w:val="20"/>
                <w:lang w:eastAsia="en-US"/>
              </w:rPr>
              <w:t>ITC result</w:t>
            </w:r>
          </w:p>
        </w:tc>
        <w:tc>
          <w:tcPr>
            <w:tcW w:w="9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98C30" w14:textId="77777777" w:rsidR="00620C4B" w:rsidRPr="001843CB" w:rsidRDefault="00620C4B">
            <w:pPr>
              <w:keepNext/>
              <w:jc w:val="left"/>
              <w:rPr>
                <w:rFonts w:ascii="Arial Narrow" w:eastAsia="Calibri" w:hAnsi="Arial Narrow" w:cs="Calibri"/>
                <w:sz w:val="20"/>
                <w:szCs w:val="20"/>
                <w:lang w:eastAsia="en-US"/>
              </w:rPr>
            </w:pPr>
            <w:r w:rsidRPr="001843CB">
              <w:rPr>
                <w:rFonts w:ascii="Arial Narrow" w:eastAsia="Calibri" w:hAnsi="Arial Narrow" w:cs="Calibri"/>
                <w:sz w:val="20"/>
                <w:szCs w:val="20"/>
                <w:lang w:eastAsia="en-US"/>
              </w:rPr>
              <w:t>UPA v ADA</w:t>
            </w:r>
          </w:p>
        </w:tc>
        <w:tc>
          <w:tcPr>
            <w:tcW w:w="9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40207" w14:textId="77777777" w:rsidR="00620C4B" w:rsidRPr="001843CB" w:rsidRDefault="00620C4B">
            <w:pPr>
              <w:keepNext/>
              <w:jc w:val="center"/>
              <w:rPr>
                <w:rFonts w:ascii="Arial Narrow" w:eastAsia="Calibri" w:hAnsi="Arial Narrow" w:cs="Calibri"/>
                <w:sz w:val="20"/>
                <w:szCs w:val="20"/>
                <w:lang w:eastAsia="en-US"/>
              </w:rPr>
            </w:pPr>
            <w:r w:rsidRPr="001843CB">
              <w:rPr>
                <w:rFonts w:ascii="Arial Narrow" w:eastAsia="Calibri" w:hAnsi="Arial Narrow" w:cs="Calibri"/>
                <w:color w:val="000000"/>
                <w:sz w:val="20"/>
                <w:szCs w:val="20"/>
                <w:lang w:eastAsia="en-US"/>
              </w:rPr>
              <w:t>2.27 (0.56, 9.26)</w:t>
            </w:r>
          </w:p>
        </w:tc>
        <w:tc>
          <w:tcPr>
            <w:tcW w:w="9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E924D" w14:textId="77777777" w:rsidR="00620C4B" w:rsidRPr="001843CB" w:rsidRDefault="00620C4B">
            <w:pPr>
              <w:keepNext/>
              <w:jc w:val="center"/>
              <w:rPr>
                <w:rFonts w:ascii="Arial Narrow" w:eastAsia="Calibri" w:hAnsi="Arial Narrow" w:cs="Calibri"/>
                <w:sz w:val="20"/>
                <w:szCs w:val="20"/>
                <w:lang w:eastAsia="en-US"/>
              </w:rPr>
            </w:pPr>
            <w:r w:rsidRPr="001843CB">
              <w:rPr>
                <w:rFonts w:ascii="Arial Narrow" w:eastAsia="Calibri" w:hAnsi="Arial Narrow" w:cs="Calibri"/>
                <w:color w:val="000000"/>
                <w:sz w:val="20"/>
                <w:szCs w:val="20"/>
                <w:lang w:eastAsia="en-US"/>
              </w:rPr>
              <w:t>2.33 (0.56, 9.60)</w:t>
            </w:r>
          </w:p>
        </w:tc>
        <w:tc>
          <w:tcPr>
            <w:tcW w:w="9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F3997" w14:textId="204688D2" w:rsidR="00620C4B" w:rsidRPr="001843CB" w:rsidRDefault="00620C4B">
            <w:pPr>
              <w:keepNext/>
              <w:jc w:val="center"/>
              <w:rPr>
                <w:rFonts w:ascii="Arial Narrow" w:eastAsia="Calibri" w:hAnsi="Arial Narrow" w:cs="Calibri"/>
                <w:sz w:val="20"/>
                <w:szCs w:val="20"/>
                <w:lang w:eastAsia="en-US"/>
              </w:rPr>
            </w:pPr>
            <w:r w:rsidRPr="001843CB">
              <w:rPr>
                <w:rFonts w:ascii="Arial Narrow" w:eastAsia="Calibri" w:hAnsi="Arial Narrow" w:cs="Calibri"/>
                <w:color w:val="000000"/>
                <w:sz w:val="20"/>
                <w:szCs w:val="20"/>
                <w:lang w:eastAsia="en-US"/>
              </w:rPr>
              <w:t>0.02 (</w:t>
            </w:r>
            <w:r w:rsidR="00FC7500">
              <w:rPr>
                <w:rFonts w:ascii="Arial Narrow" w:eastAsia="Calibri" w:hAnsi="Arial Narrow" w:cs="Calibri"/>
                <w:color w:val="000000"/>
                <w:sz w:val="20"/>
                <w:szCs w:val="20"/>
                <w:lang w:eastAsia="en-US"/>
              </w:rPr>
              <w:noBreakHyphen/>
            </w:r>
            <w:r w:rsidRPr="001843CB">
              <w:rPr>
                <w:rFonts w:ascii="Arial Narrow" w:eastAsia="Calibri" w:hAnsi="Arial Narrow" w:cs="Calibri"/>
                <w:color w:val="000000"/>
                <w:sz w:val="20"/>
                <w:szCs w:val="20"/>
                <w:lang w:eastAsia="en-US"/>
              </w:rPr>
              <w:t>0.02, 0.06)</w:t>
            </w:r>
          </w:p>
        </w:tc>
      </w:tr>
      <w:tr w:rsidR="002E16A1" w:rsidRPr="001843CB" w14:paraId="43BA4285" w14:textId="77777777">
        <w:trPr>
          <w:trHeight w:val="142"/>
        </w:trPr>
        <w:tc>
          <w:tcPr>
            <w:tcW w:w="1098" w:type="pct"/>
            <w:vMerge/>
            <w:shd w:val="clear" w:color="auto" w:fill="FFFFFF" w:themeFill="background1"/>
          </w:tcPr>
          <w:p w14:paraId="270E12E6" w14:textId="77777777" w:rsidR="00620C4B" w:rsidRPr="001843CB" w:rsidRDefault="00620C4B">
            <w:pPr>
              <w:keepNext/>
              <w:jc w:val="left"/>
              <w:rPr>
                <w:rFonts w:ascii="Arial Narrow" w:eastAsia="Calibri" w:hAnsi="Arial Narrow" w:cs="Calibri"/>
                <w:sz w:val="20"/>
                <w:szCs w:val="20"/>
                <w:lang w:eastAsia="en-US"/>
              </w:rPr>
            </w:pPr>
          </w:p>
        </w:tc>
        <w:tc>
          <w:tcPr>
            <w:tcW w:w="9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7BF72" w14:textId="77777777" w:rsidR="00620C4B" w:rsidRPr="001843CB" w:rsidRDefault="00620C4B">
            <w:pPr>
              <w:keepNext/>
              <w:jc w:val="left"/>
              <w:rPr>
                <w:rFonts w:ascii="Arial Narrow" w:eastAsia="Calibri" w:hAnsi="Arial Narrow" w:cs="Calibri"/>
                <w:sz w:val="20"/>
                <w:szCs w:val="20"/>
                <w:lang w:eastAsia="en-US"/>
              </w:rPr>
            </w:pPr>
            <w:r w:rsidRPr="001843CB">
              <w:rPr>
                <w:rFonts w:ascii="Arial Narrow" w:eastAsia="Calibri" w:hAnsi="Arial Narrow" w:cs="Calibri"/>
                <w:sz w:val="20"/>
                <w:szCs w:val="20"/>
                <w:lang w:eastAsia="en-US"/>
              </w:rPr>
              <w:t>UPA v UST</w:t>
            </w:r>
          </w:p>
        </w:tc>
        <w:tc>
          <w:tcPr>
            <w:tcW w:w="9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85399" w14:textId="77777777" w:rsidR="00620C4B" w:rsidRPr="001843CB" w:rsidRDefault="00620C4B">
            <w:pPr>
              <w:keepNext/>
              <w:jc w:val="center"/>
              <w:rPr>
                <w:rFonts w:ascii="Arial Narrow" w:eastAsia="Calibri" w:hAnsi="Arial Narrow" w:cs="Calibri"/>
                <w:sz w:val="20"/>
                <w:szCs w:val="20"/>
                <w:lang w:eastAsia="en-US"/>
              </w:rPr>
            </w:pPr>
            <w:r w:rsidRPr="001843CB">
              <w:rPr>
                <w:rFonts w:ascii="Arial Narrow" w:eastAsia="Calibri" w:hAnsi="Arial Narrow" w:cs="Calibri"/>
                <w:sz w:val="20"/>
                <w:szCs w:val="20"/>
                <w:lang w:eastAsia="en-US"/>
              </w:rPr>
              <w:t>NA</w:t>
            </w:r>
          </w:p>
        </w:tc>
        <w:tc>
          <w:tcPr>
            <w:tcW w:w="9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C16F5" w14:textId="77777777" w:rsidR="00620C4B" w:rsidRPr="001843CB" w:rsidRDefault="00620C4B">
            <w:pPr>
              <w:keepNext/>
              <w:jc w:val="center"/>
              <w:rPr>
                <w:rFonts w:ascii="Arial Narrow" w:eastAsia="Calibri" w:hAnsi="Arial Narrow" w:cs="Calibri"/>
                <w:sz w:val="20"/>
                <w:szCs w:val="20"/>
                <w:lang w:eastAsia="en-US"/>
              </w:rPr>
            </w:pPr>
            <w:r w:rsidRPr="001843CB">
              <w:rPr>
                <w:rFonts w:ascii="Arial Narrow" w:eastAsia="Calibri" w:hAnsi="Arial Narrow" w:cs="Calibri"/>
                <w:sz w:val="20"/>
                <w:szCs w:val="20"/>
                <w:lang w:eastAsia="en-US"/>
              </w:rPr>
              <w:t>NA</w:t>
            </w:r>
          </w:p>
        </w:tc>
        <w:tc>
          <w:tcPr>
            <w:tcW w:w="9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990F1" w14:textId="77777777" w:rsidR="00620C4B" w:rsidRPr="001843CB" w:rsidRDefault="00620C4B">
            <w:pPr>
              <w:keepNext/>
              <w:jc w:val="center"/>
              <w:rPr>
                <w:rFonts w:ascii="Arial Narrow" w:eastAsia="Calibri" w:hAnsi="Arial Narrow" w:cs="Calibri"/>
                <w:sz w:val="20"/>
                <w:szCs w:val="20"/>
                <w:lang w:eastAsia="en-US"/>
              </w:rPr>
            </w:pPr>
            <w:r w:rsidRPr="001843CB">
              <w:rPr>
                <w:rFonts w:ascii="Arial Narrow" w:eastAsia="Calibri" w:hAnsi="Arial Narrow" w:cs="Calibri"/>
                <w:sz w:val="20"/>
                <w:szCs w:val="20"/>
                <w:lang w:eastAsia="en-US"/>
              </w:rPr>
              <w:t>NA</w:t>
            </w:r>
          </w:p>
        </w:tc>
      </w:tr>
      <w:tr w:rsidR="00620C4B" w:rsidRPr="001843CB" w14:paraId="41868B7F" w14:textId="77777777">
        <w:trPr>
          <w:trHeight w:val="142"/>
        </w:trPr>
        <w:tc>
          <w:tcPr>
            <w:tcW w:w="5000" w:type="pct"/>
            <w:gridSpan w:val="5"/>
            <w:tcBorders>
              <w:right w:val="single" w:sz="4" w:space="0" w:color="auto"/>
            </w:tcBorders>
            <w:shd w:val="clear" w:color="auto" w:fill="FFFFFF" w:themeFill="background1"/>
          </w:tcPr>
          <w:p w14:paraId="5B96C168" w14:textId="77777777" w:rsidR="00620C4B" w:rsidRPr="00723E4A" w:rsidRDefault="00620C4B">
            <w:pPr>
              <w:keepNext/>
              <w:rPr>
                <w:rFonts w:ascii="Arial Narrow" w:eastAsia="Calibri" w:hAnsi="Arial Narrow" w:cs="Calibri"/>
                <w:b/>
                <w:bCs/>
                <w:sz w:val="20"/>
                <w:szCs w:val="20"/>
                <w:lang w:eastAsia="en-US"/>
              </w:rPr>
            </w:pPr>
            <w:r>
              <w:rPr>
                <w:rFonts w:ascii="Arial Narrow" w:eastAsia="Calibri" w:hAnsi="Arial Narrow" w:cs="Calibri"/>
                <w:b/>
                <w:bCs/>
                <w:sz w:val="20"/>
                <w:szCs w:val="20"/>
                <w:lang w:eastAsia="en-US"/>
              </w:rPr>
              <w:t>Maintenance</w:t>
            </w:r>
          </w:p>
        </w:tc>
      </w:tr>
      <w:tr w:rsidR="00620C4B" w:rsidRPr="000D59A7" w14:paraId="2DCB245B" w14:textId="77777777">
        <w:tc>
          <w:tcPr>
            <w:tcW w:w="5000" w:type="pct"/>
            <w:gridSpan w:val="5"/>
          </w:tcPr>
          <w:p w14:paraId="61A2635F" w14:textId="77777777" w:rsidR="00620C4B" w:rsidRPr="00AD5DAB" w:rsidRDefault="00620C4B">
            <w:pPr>
              <w:pStyle w:val="Tabletext"/>
              <w:keepNext/>
              <w:rPr>
                <w:rFonts w:eastAsia="Calibri"/>
                <w:b/>
                <w:bCs/>
                <w:lang w:eastAsia="en-US"/>
              </w:rPr>
            </w:pPr>
            <w:r w:rsidRPr="00AD5DAB">
              <w:rPr>
                <w:rFonts w:eastAsia="Calibri"/>
                <w:b/>
                <w:bCs/>
                <w:lang w:eastAsia="en-US"/>
              </w:rPr>
              <w:t>UPA 30/15</w:t>
            </w:r>
          </w:p>
        </w:tc>
      </w:tr>
      <w:tr w:rsidR="00620C4B" w:rsidRPr="000D59A7" w14:paraId="29B476F9" w14:textId="77777777">
        <w:tc>
          <w:tcPr>
            <w:tcW w:w="5000" w:type="pct"/>
            <w:gridSpan w:val="5"/>
          </w:tcPr>
          <w:p w14:paraId="653E7FAA" w14:textId="77777777" w:rsidR="00620C4B" w:rsidRPr="00AD5DAB" w:rsidRDefault="00620C4B">
            <w:pPr>
              <w:pStyle w:val="Tabletext"/>
              <w:keepNext/>
              <w:rPr>
                <w:rFonts w:eastAsia="Calibri"/>
                <w:b/>
                <w:bCs/>
                <w:lang w:eastAsia="en-US"/>
              </w:rPr>
            </w:pPr>
            <w:r w:rsidRPr="00AD5DAB">
              <w:rPr>
                <w:rFonts w:eastAsia="Calibri"/>
                <w:b/>
                <w:bCs/>
                <w:lang w:eastAsia="en-US"/>
              </w:rPr>
              <w:t>Any AE</w:t>
            </w:r>
          </w:p>
        </w:tc>
      </w:tr>
      <w:tr w:rsidR="00732B27" w:rsidRPr="000D59A7" w14:paraId="3DFA17DA" w14:textId="77777777">
        <w:tc>
          <w:tcPr>
            <w:tcW w:w="1098" w:type="pct"/>
            <w:vMerge w:val="restart"/>
            <w:tcBorders>
              <w:top w:val="single" w:sz="4" w:space="0" w:color="auto"/>
              <w:left w:val="single" w:sz="4" w:space="0" w:color="auto"/>
              <w:right w:val="single" w:sz="4" w:space="0" w:color="auto"/>
            </w:tcBorders>
          </w:tcPr>
          <w:p w14:paraId="0B44FC9C" w14:textId="77777777" w:rsidR="00620C4B" w:rsidRPr="000D59A7" w:rsidRDefault="00620C4B">
            <w:pPr>
              <w:pStyle w:val="Tabletext"/>
              <w:keepNext/>
              <w:rPr>
                <w:rFonts w:eastAsia="Calibri"/>
                <w:lang w:eastAsia="en-US"/>
              </w:rPr>
            </w:pPr>
            <w:r w:rsidRPr="000D59A7">
              <w:rPr>
                <w:rFonts w:eastAsia="Calibri"/>
                <w:lang w:eastAsia="en-US"/>
              </w:rPr>
              <w:t>ITC result</w:t>
            </w:r>
          </w:p>
        </w:tc>
        <w:tc>
          <w:tcPr>
            <w:tcW w:w="975" w:type="pct"/>
            <w:tcBorders>
              <w:top w:val="single" w:sz="4" w:space="0" w:color="auto"/>
              <w:left w:val="single" w:sz="4" w:space="0" w:color="auto"/>
              <w:bottom w:val="single" w:sz="4" w:space="0" w:color="auto"/>
              <w:right w:val="single" w:sz="4" w:space="0" w:color="auto"/>
            </w:tcBorders>
          </w:tcPr>
          <w:p w14:paraId="709BB174" w14:textId="77777777" w:rsidR="00620C4B" w:rsidRPr="000D59A7" w:rsidRDefault="00620C4B">
            <w:pPr>
              <w:pStyle w:val="Tabletext"/>
              <w:keepNext/>
              <w:rPr>
                <w:rFonts w:eastAsia="Calibri"/>
                <w:lang w:eastAsia="en-US"/>
              </w:rPr>
            </w:pPr>
            <w:r w:rsidRPr="000D59A7">
              <w:rPr>
                <w:rFonts w:eastAsia="Calibri"/>
                <w:lang w:eastAsia="en-US"/>
              </w:rPr>
              <w:t>UPA v ADA</w:t>
            </w:r>
          </w:p>
        </w:tc>
        <w:tc>
          <w:tcPr>
            <w:tcW w:w="975" w:type="pct"/>
            <w:tcBorders>
              <w:top w:val="single" w:sz="4" w:space="0" w:color="auto"/>
              <w:left w:val="single" w:sz="4" w:space="0" w:color="auto"/>
              <w:bottom w:val="single" w:sz="4" w:space="0" w:color="auto"/>
              <w:right w:val="single" w:sz="4" w:space="0" w:color="auto"/>
            </w:tcBorders>
            <w:vAlign w:val="center"/>
          </w:tcPr>
          <w:p w14:paraId="1FF3A59B" w14:textId="77777777" w:rsidR="00620C4B" w:rsidRPr="000D59A7" w:rsidRDefault="00620C4B">
            <w:pPr>
              <w:pStyle w:val="Tabletext"/>
              <w:keepNext/>
              <w:jc w:val="center"/>
              <w:rPr>
                <w:rFonts w:eastAsia="Calibri"/>
                <w:lang w:eastAsia="en-US"/>
              </w:rPr>
            </w:pPr>
            <w:r w:rsidRPr="000D59A7">
              <w:rPr>
                <w:rFonts w:eastAsia="Calibri"/>
                <w:lang w:eastAsia="en-US"/>
              </w:rPr>
              <w:t>0.98 (0.88, 1.10)</w:t>
            </w:r>
          </w:p>
        </w:tc>
        <w:tc>
          <w:tcPr>
            <w:tcW w:w="975" w:type="pct"/>
            <w:tcBorders>
              <w:top w:val="single" w:sz="4" w:space="0" w:color="auto"/>
              <w:left w:val="single" w:sz="4" w:space="0" w:color="auto"/>
              <w:bottom w:val="single" w:sz="4" w:space="0" w:color="auto"/>
              <w:right w:val="single" w:sz="4" w:space="0" w:color="auto"/>
            </w:tcBorders>
            <w:vAlign w:val="center"/>
          </w:tcPr>
          <w:p w14:paraId="6124E587" w14:textId="77777777" w:rsidR="00620C4B" w:rsidRPr="000D59A7" w:rsidRDefault="00620C4B">
            <w:pPr>
              <w:pStyle w:val="Tabletext"/>
              <w:keepNext/>
              <w:jc w:val="center"/>
              <w:rPr>
                <w:rFonts w:eastAsia="Calibri"/>
                <w:lang w:eastAsia="en-US"/>
              </w:rPr>
            </w:pPr>
            <w:r w:rsidRPr="000D59A7">
              <w:rPr>
                <w:rFonts w:eastAsia="Calibri"/>
                <w:lang w:eastAsia="en-US"/>
              </w:rPr>
              <w:t>0.85 (0.47, 1.54)</w:t>
            </w:r>
          </w:p>
        </w:tc>
        <w:tc>
          <w:tcPr>
            <w:tcW w:w="976" w:type="pct"/>
            <w:tcBorders>
              <w:top w:val="single" w:sz="4" w:space="0" w:color="auto"/>
              <w:left w:val="single" w:sz="4" w:space="0" w:color="auto"/>
              <w:bottom w:val="single" w:sz="4" w:space="0" w:color="auto"/>
              <w:right w:val="single" w:sz="4" w:space="0" w:color="auto"/>
            </w:tcBorders>
            <w:vAlign w:val="center"/>
          </w:tcPr>
          <w:p w14:paraId="5F864B0D" w14:textId="62B63599" w:rsidR="00620C4B" w:rsidRPr="000D59A7" w:rsidRDefault="00FC7500">
            <w:pPr>
              <w:pStyle w:val="Tabletext"/>
              <w:keepNext/>
              <w:jc w:val="center"/>
              <w:rPr>
                <w:rFonts w:eastAsia="Calibri"/>
                <w:lang w:eastAsia="en-US"/>
              </w:rPr>
            </w:pPr>
            <w:r>
              <w:rPr>
                <w:rFonts w:eastAsia="Calibri"/>
                <w:lang w:eastAsia="en-US"/>
              </w:rPr>
              <w:noBreakHyphen/>
            </w:r>
            <w:r w:rsidR="00620C4B" w:rsidRPr="000D59A7">
              <w:rPr>
                <w:rFonts w:eastAsia="Calibri"/>
                <w:lang w:eastAsia="en-US"/>
              </w:rPr>
              <w:t>0.02 (</w:t>
            </w:r>
            <w:r>
              <w:rPr>
                <w:rFonts w:eastAsia="Calibri"/>
                <w:lang w:eastAsia="en-US"/>
              </w:rPr>
              <w:noBreakHyphen/>
            </w:r>
            <w:r w:rsidR="00620C4B" w:rsidRPr="000D59A7">
              <w:rPr>
                <w:rFonts w:eastAsia="Calibri"/>
                <w:lang w:eastAsia="en-US"/>
              </w:rPr>
              <w:t>0.11, 0.06)</w:t>
            </w:r>
          </w:p>
        </w:tc>
      </w:tr>
      <w:tr w:rsidR="00732B27" w:rsidRPr="000D59A7" w14:paraId="7DBE42A3" w14:textId="77777777">
        <w:tc>
          <w:tcPr>
            <w:tcW w:w="1098" w:type="pct"/>
            <w:vMerge/>
            <w:tcBorders>
              <w:left w:val="single" w:sz="4" w:space="0" w:color="auto"/>
              <w:right w:val="single" w:sz="4" w:space="0" w:color="auto"/>
            </w:tcBorders>
          </w:tcPr>
          <w:p w14:paraId="3E71CFC6" w14:textId="77777777" w:rsidR="00620C4B" w:rsidRPr="000D59A7" w:rsidRDefault="00620C4B">
            <w:pPr>
              <w:pStyle w:val="Tabletext"/>
              <w:keepNext/>
              <w:rPr>
                <w:rFonts w:eastAsia="Calibri"/>
                <w:lang w:eastAsia="en-US"/>
              </w:rPr>
            </w:pPr>
          </w:p>
        </w:tc>
        <w:tc>
          <w:tcPr>
            <w:tcW w:w="975" w:type="pct"/>
            <w:tcBorders>
              <w:top w:val="single" w:sz="4" w:space="0" w:color="auto"/>
              <w:left w:val="single" w:sz="4" w:space="0" w:color="auto"/>
              <w:bottom w:val="single" w:sz="4" w:space="0" w:color="auto"/>
              <w:right w:val="single" w:sz="4" w:space="0" w:color="auto"/>
            </w:tcBorders>
          </w:tcPr>
          <w:p w14:paraId="2F3CC702" w14:textId="77777777" w:rsidR="00620C4B" w:rsidRPr="000D59A7" w:rsidRDefault="00620C4B">
            <w:pPr>
              <w:pStyle w:val="Tabletext"/>
              <w:keepNext/>
              <w:rPr>
                <w:rFonts w:eastAsia="Calibri"/>
                <w:lang w:eastAsia="en-US"/>
              </w:rPr>
            </w:pPr>
            <w:r w:rsidRPr="000D59A7">
              <w:rPr>
                <w:rFonts w:eastAsia="Calibri"/>
                <w:lang w:eastAsia="en-US"/>
              </w:rPr>
              <w:t>UPA v IFX</w:t>
            </w:r>
          </w:p>
        </w:tc>
        <w:tc>
          <w:tcPr>
            <w:tcW w:w="975" w:type="pct"/>
            <w:tcBorders>
              <w:top w:val="single" w:sz="4" w:space="0" w:color="auto"/>
              <w:left w:val="single" w:sz="4" w:space="0" w:color="auto"/>
              <w:bottom w:val="single" w:sz="4" w:space="0" w:color="auto"/>
              <w:right w:val="single" w:sz="4" w:space="0" w:color="auto"/>
            </w:tcBorders>
            <w:vAlign w:val="center"/>
          </w:tcPr>
          <w:p w14:paraId="49AB56AB" w14:textId="77777777" w:rsidR="00620C4B" w:rsidRPr="000D59A7" w:rsidRDefault="00620C4B">
            <w:pPr>
              <w:pStyle w:val="Tabletext"/>
              <w:keepNext/>
              <w:jc w:val="center"/>
              <w:rPr>
                <w:rFonts w:eastAsia="Calibri"/>
                <w:lang w:eastAsia="en-US"/>
              </w:rPr>
            </w:pPr>
            <w:r w:rsidRPr="000D59A7">
              <w:rPr>
                <w:rFonts w:eastAsia="Calibri"/>
                <w:lang w:eastAsia="en-US"/>
              </w:rPr>
              <w:t>NA</w:t>
            </w:r>
          </w:p>
        </w:tc>
        <w:tc>
          <w:tcPr>
            <w:tcW w:w="975" w:type="pct"/>
            <w:tcBorders>
              <w:top w:val="single" w:sz="4" w:space="0" w:color="auto"/>
              <w:left w:val="single" w:sz="4" w:space="0" w:color="auto"/>
              <w:bottom w:val="single" w:sz="4" w:space="0" w:color="auto"/>
              <w:right w:val="single" w:sz="4" w:space="0" w:color="auto"/>
            </w:tcBorders>
            <w:vAlign w:val="center"/>
          </w:tcPr>
          <w:p w14:paraId="4D28A7C6" w14:textId="77777777" w:rsidR="00620C4B" w:rsidRPr="000D59A7" w:rsidRDefault="00620C4B">
            <w:pPr>
              <w:pStyle w:val="Tabletext"/>
              <w:keepNext/>
              <w:jc w:val="center"/>
              <w:rPr>
                <w:rFonts w:eastAsia="Calibri"/>
                <w:lang w:eastAsia="en-US"/>
              </w:rPr>
            </w:pPr>
            <w:r w:rsidRPr="000D59A7">
              <w:rPr>
                <w:rFonts w:eastAsia="Calibri"/>
                <w:lang w:eastAsia="en-US"/>
              </w:rPr>
              <w:t>NA</w:t>
            </w:r>
          </w:p>
        </w:tc>
        <w:tc>
          <w:tcPr>
            <w:tcW w:w="976" w:type="pct"/>
            <w:tcBorders>
              <w:top w:val="single" w:sz="4" w:space="0" w:color="auto"/>
              <w:left w:val="single" w:sz="4" w:space="0" w:color="auto"/>
              <w:bottom w:val="single" w:sz="4" w:space="0" w:color="auto"/>
              <w:right w:val="single" w:sz="4" w:space="0" w:color="auto"/>
            </w:tcBorders>
            <w:vAlign w:val="center"/>
          </w:tcPr>
          <w:p w14:paraId="2BB945FA" w14:textId="77777777" w:rsidR="00620C4B" w:rsidRPr="000D59A7" w:rsidRDefault="00620C4B">
            <w:pPr>
              <w:pStyle w:val="Tabletext"/>
              <w:keepNext/>
              <w:jc w:val="center"/>
              <w:rPr>
                <w:rFonts w:eastAsia="Calibri"/>
                <w:lang w:eastAsia="en-US"/>
              </w:rPr>
            </w:pPr>
            <w:r w:rsidRPr="000D59A7">
              <w:rPr>
                <w:rFonts w:eastAsia="Calibri"/>
                <w:lang w:eastAsia="en-US"/>
              </w:rPr>
              <w:t>NA</w:t>
            </w:r>
          </w:p>
        </w:tc>
      </w:tr>
      <w:tr w:rsidR="00732B27" w:rsidRPr="000D59A7" w14:paraId="5C8EF596" w14:textId="77777777">
        <w:tc>
          <w:tcPr>
            <w:tcW w:w="1098" w:type="pct"/>
            <w:vMerge/>
            <w:tcBorders>
              <w:left w:val="single" w:sz="4" w:space="0" w:color="auto"/>
              <w:bottom w:val="single" w:sz="4" w:space="0" w:color="auto"/>
              <w:right w:val="single" w:sz="4" w:space="0" w:color="auto"/>
            </w:tcBorders>
          </w:tcPr>
          <w:p w14:paraId="070F579C" w14:textId="77777777" w:rsidR="00620C4B" w:rsidRPr="000D59A7" w:rsidRDefault="00620C4B">
            <w:pPr>
              <w:pStyle w:val="Tabletext"/>
              <w:keepNext/>
              <w:rPr>
                <w:rFonts w:eastAsia="Calibri"/>
                <w:lang w:eastAsia="en-US"/>
              </w:rPr>
            </w:pPr>
          </w:p>
        </w:tc>
        <w:tc>
          <w:tcPr>
            <w:tcW w:w="975" w:type="pct"/>
            <w:tcBorders>
              <w:top w:val="single" w:sz="4" w:space="0" w:color="auto"/>
              <w:left w:val="single" w:sz="4" w:space="0" w:color="auto"/>
              <w:bottom w:val="single" w:sz="4" w:space="0" w:color="auto"/>
              <w:right w:val="single" w:sz="4" w:space="0" w:color="auto"/>
            </w:tcBorders>
          </w:tcPr>
          <w:p w14:paraId="72A0C0D4" w14:textId="77777777" w:rsidR="00620C4B" w:rsidRPr="000D59A7" w:rsidRDefault="00620C4B">
            <w:pPr>
              <w:pStyle w:val="Tabletext"/>
              <w:keepNext/>
              <w:rPr>
                <w:rFonts w:eastAsia="Calibri"/>
                <w:lang w:eastAsia="en-US"/>
              </w:rPr>
            </w:pPr>
            <w:r w:rsidRPr="000D59A7">
              <w:rPr>
                <w:rFonts w:eastAsia="Calibri"/>
                <w:lang w:eastAsia="en-US"/>
              </w:rPr>
              <w:t>UPA v UST</w:t>
            </w:r>
          </w:p>
        </w:tc>
        <w:tc>
          <w:tcPr>
            <w:tcW w:w="975" w:type="pct"/>
            <w:tcBorders>
              <w:top w:val="single" w:sz="4" w:space="0" w:color="auto"/>
              <w:left w:val="single" w:sz="4" w:space="0" w:color="auto"/>
              <w:bottom w:val="single" w:sz="4" w:space="0" w:color="auto"/>
              <w:right w:val="single" w:sz="4" w:space="0" w:color="auto"/>
            </w:tcBorders>
            <w:vAlign w:val="center"/>
          </w:tcPr>
          <w:p w14:paraId="1C1277F5" w14:textId="77777777" w:rsidR="00620C4B" w:rsidRPr="000D59A7" w:rsidRDefault="00620C4B">
            <w:pPr>
              <w:pStyle w:val="Tabletext"/>
              <w:keepNext/>
              <w:jc w:val="center"/>
              <w:rPr>
                <w:rFonts w:eastAsia="Calibri"/>
                <w:lang w:eastAsia="en-US"/>
              </w:rPr>
            </w:pPr>
            <w:r w:rsidRPr="000D59A7">
              <w:rPr>
                <w:rFonts w:eastAsia="Calibri"/>
                <w:lang w:eastAsia="en-US"/>
              </w:rPr>
              <w:t>1.02 (0.89, 1.18)</w:t>
            </w:r>
          </w:p>
        </w:tc>
        <w:tc>
          <w:tcPr>
            <w:tcW w:w="975" w:type="pct"/>
            <w:tcBorders>
              <w:top w:val="single" w:sz="4" w:space="0" w:color="auto"/>
              <w:left w:val="single" w:sz="4" w:space="0" w:color="auto"/>
              <w:bottom w:val="single" w:sz="4" w:space="0" w:color="auto"/>
              <w:right w:val="single" w:sz="4" w:space="0" w:color="auto"/>
            </w:tcBorders>
            <w:vAlign w:val="center"/>
          </w:tcPr>
          <w:p w14:paraId="0B90BE0F" w14:textId="77777777" w:rsidR="00620C4B" w:rsidRPr="000D59A7" w:rsidRDefault="00620C4B">
            <w:pPr>
              <w:pStyle w:val="Tabletext"/>
              <w:keepNext/>
              <w:jc w:val="center"/>
              <w:rPr>
                <w:rFonts w:eastAsia="Calibri"/>
                <w:lang w:eastAsia="en-US"/>
              </w:rPr>
            </w:pPr>
            <w:r w:rsidRPr="000D59A7">
              <w:rPr>
                <w:rFonts w:eastAsia="Calibri"/>
                <w:lang w:eastAsia="en-US"/>
              </w:rPr>
              <w:t>1.13 (0.54, 2.37)</w:t>
            </w:r>
          </w:p>
        </w:tc>
        <w:tc>
          <w:tcPr>
            <w:tcW w:w="976" w:type="pct"/>
            <w:tcBorders>
              <w:top w:val="single" w:sz="4" w:space="0" w:color="auto"/>
              <w:left w:val="single" w:sz="4" w:space="0" w:color="auto"/>
              <w:bottom w:val="single" w:sz="4" w:space="0" w:color="auto"/>
              <w:right w:val="single" w:sz="4" w:space="0" w:color="auto"/>
            </w:tcBorders>
            <w:vAlign w:val="center"/>
          </w:tcPr>
          <w:p w14:paraId="4AD806F0" w14:textId="5A356D9E" w:rsidR="00620C4B" w:rsidRPr="000D59A7" w:rsidRDefault="00620C4B">
            <w:pPr>
              <w:pStyle w:val="Tabletext"/>
              <w:keepNext/>
              <w:jc w:val="center"/>
              <w:rPr>
                <w:rFonts w:eastAsia="Calibri"/>
                <w:lang w:eastAsia="en-US"/>
              </w:rPr>
            </w:pPr>
            <w:r w:rsidRPr="000D59A7">
              <w:rPr>
                <w:rFonts w:eastAsia="Calibri"/>
                <w:lang w:eastAsia="en-US"/>
              </w:rPr>
              <w:t>0.02 (</w:t>
            </w:r>
            <w:r w:rsidR="00FC7500">
              <w:rPr>
                <w:rFonts w:eastAsia="Calibri"/>
                <w:lang w:eastAsia="en-US"/>
              </w:rPr>
              <w:noBreakHyphen/>
            </w:r>
            <w:r w:rsidRPr="000D59A7">
              <w:rPr>
                <w:rFonts w:eastAsia="Calibri"/>
                <w:lang w:eastAsia="en-US"/>
              </w:rPr>
              <w:t>0.10, 0.13)</w:t>
            </w:r>
          </w:p>
        </w:tc>
      </w:tr>
      <w:tr w:rsidR="00620C4B" w:rsidRPr="000D59A7" w14:paraId="36F3D626" w14:textId="77777777">
        <w:tc>
          <w:tcPr>
            <w:tcW w:w="5000" w:type="pct"/>
            <w:gridSpan w:val="5"/>
          </w:tcPr>
          <w:p w14:paraId="73705182" w14:textId="77777777" w:rsidR="00620C4B" w:rsidRPr="000D59A7" w:rsidRDefault="00620C4B">
            <w:pPr>
              <w:pStyle w:val="Tabletext"/>
              <w:keepNext/>
              <w:rPr>
                <w:rFonts w:eastAsia="Calibri"/>
                <w:lang w:eastAsia="en-US"/>
              </w:rPr>
            </w:pPr>
            <w:r w:rsidRPr="00AD5DAB">
              <w:rPr>
                <w:rFonts w:eastAsia="Calibri"/>
                <w:b/>
                <w:bCs/>
                <w:lang w:eastAsia="en-US"/>
              </w:rPr>
              <w:t>SAE</w:t>
            </w:r>
          </w:p>
        </w:tc>
      </w:tr>
      <w:tr w:rsidR="00732B27" w:rsidRPr="000D59A7" w14:paraId="1BB89060" w14:textId="77777777">
        <w:tc>
          <w:tcPr>
            <w:tcW w:w="1098" w:type="pct"/>
            <w:vMerge w:val="restart"/>
            <w:tcBorders>
              <w:top w:val="single" w:sz="4" w:space="0" w:color="auto"/>
              <w:left w:val="single" w:sz="4" w:space="0" w:color="auto"/>
              <w:right w:val="single" w:sz="4" w:space="0" w:color="auto"/>
            </w:tcBorders>
          </w:tcPr>
          <w:p w14:paraId="436B3543" w14:textId="77777777" w:rsidR="00620C4B" w:rsidRPr="000D59A7" w:rsidRDefault="00620C4B">
            <w:pPr>
              <w:pStyle w:val="Tabletext"/>
              <w:keepNext/>
              <w:rPr>
                <w:rFonts w:eastAsia="Calibri"/>
                <w:lang w:eastAsia="en-US"/>
              </w:rPr>
            </w:pPr>
            <w:r w:rsidRPr="000D59A7">
              <w:rPr>
                <w:rFonts w:eastAsia="Calibri"/>
                <w:lang w:eastAsia="en-US"/>
              </w:rPr>
              <w:t>ITC result</w:t>
            </w:r>
          </w:p>
        </w:tc>
        <w:tc>
          <w:tcPr>
            <w:tcW w:w="975" w:type="pct"/>
            <w:tcBorders>
              <w:top w:val="single" w:sz="4" w:space="0" w:color="auto"/>
              <w:left w:val="single" w:sz="4" w:space="0" w:color="auto"/>
              <w:bottom w:val="single" w:sz="4" w:space="0" w:color="auto"/>
              <w:right w:val="single" w:sz="4" w:space="0" w:color="auto"/>
            </w:tcBorders>
          </w:tcPr>
          <w:p w14:paraId="02E733CB" w14:textId="77777777" w:rsidR="00620C4B" w:rsidRPr="000D59A7" w:rsidRDefault="00620C4B">
            <w:pPr>
              <w:pStyle w:val="Tabletext"/>
              <w:keepNext/>
              <w:rPr>
                <w:rFonts w:eastAsia="Calibri"/>
                <w:lang w:eastAsia="en-US"/>
              </w:rPr>
            </w:pPr>
            <w:r w:rsidRPr="000D59A7">
              <w:rPr>
                <w:rFonts w:eastAsia="Calibri"/>
                <w:lang w:eastAsia="en-US"/>
              </w:rPr>
              <w:t>UPA v ADA</w:t>
            </w:r>
          </w:p>
        </w:tc>
        <w:tc>
          <w:tcPr>
            <w:tcW w:w="975" w:type="pct"/>
            <w:tcBorders>
              <w:top w:val="single" w:sz="4" w:space="0" w:color="auto"/>
              <w:left w:val="single" w:sz="4" w:space="0" w:color="auto"/>
              <w:bottom w:val="single" w:sz="4" w:space="0" w:color="auto"/>
              <w:right w:val="single" w:sz="4" w:space="0" w:color="auto"/>
            </w:tcBorders>
            <w:vAlign w:val="center"/>
          </w:tcPr>
          <w:p w14:paraId="7ABAAE29" w14:textId="77777777" w:rsidR="00620C4B" w:rsidRPr="000D59A7" w:rsidRDefault="00620C4B">
            <w:pPr>
              <w:pStyle w:val="Tabletext"/>
              <w:keepNext/>
              <w:jc w:val="center"/>
              <w:rPr>
                <w:rFonts w:eastAsia="Calibri"/>
                <w:lang w:eastAsia="en-US"/>
              </w:rPr>
            </w:pPr>
            <w:r w:rsidRPr="000D59A7">
              <w:rPr>
                <w:rFonts w:eastAsia="Calibri"/>
                <w:lang w:eastAsia="en-US"/>
              </w:rPr>
              <w:t>1.43 (0.77, 2.63)</w:t>
            </w:r>
          </w:p>
        </w:tc>
        <w:tc>
          <w:tcPr>
            <w:tcW w:w="975" w:type="pct"/>
            <w:tcBorders>
              <w:top w:val="single" w:sz="4" w:space="0" w:color="auto"/>
              <w:left w:val="single" w:sz="4" w:space="0" w:color="auto"/>
              <w:bottom w:val="single" w:sz="4" w:space="0" w:color="auto"/>
              <w:right w:val="single" w:sz="4" w:space="0" w:color="auto"/>
            </w:tcBorders>
            <w:vAlign w:val="center"/>
          </w:tcPr>
          <w:p w14:paraId="66B85CAC" w14:textId="77777777" w:rsidR="00620C4B" w:rsidRPr="000D59A7" w:rsidRDefault="00620C4B">
            <w:pPr>
              <w:pStyle w:val="Tabletext"/>
              <w:keepNext/>
              <w:jc w:val="center"/>
              <w:rPr>
                <w:rFonts w:eastAsia="Calibri"/>
                <w:lang w:eastAsia="en-US"/>
              </w:rPr>
            </w:pPr>
            <w:r w:rsidRPr="000D59A7">
              <w:rPr>
                <w:rFonts w:eastAsia="Calibri"/>
                <w:lang w:eastAsia="en-US"/>
              </w:rPr>
              <w:t>1.49 (0.75, 2.97)</w:t>
            </w:r>
          </w:p>
        </w:tc>
        <w:tc>
          <w:tcPr>
            <w:tcW w:w="976" w:type="pct"/>
            <w:tcBorders>
              <w:top w:val="single" w:sz="4" w:space="0" w:color="auto"/>
              <w:left w:val="single" w:sz="4" w:space="0" w:color="auto"/>
              <w:bottom w:val="single" w:sz="4" w:space="0" w:color="auto"/>
              <w:right w:val="single" w:sz="4" w:space="0" w:color="auto"/>
            </w:tcBorders>
            <w:vAlign w:val="center"/>
          </w:tcPr>
          <w:p w14:paraId="49C8141E" w14:textId="7DAAF77E" w:rsidR="00620C4B" w:rsidRPr="000D59A7" w:rsidRDefault="00620C4B">
            <w:pPr>
              <w:pStyle w:val="Tabletext"/>
              <w:keepNext/>
              <w:jc w:val="center"/>
              <w:rPr>
                <w:rFonts w:eastAsia="Calibri"/>
                <w:lang w:eastAsia="en-US"/>
              </w:rPr>
            </w:pPr>
            <w:r w:rsidRPr="000D59A7">
              <w:rPr>
                <w:rFonts w:eastAsia="Calibri"/>
                <w:lang w:eastAsia="en-US"/>
              </w:rPr>
              <w:t>0.04 (</w:t>
            </w:r>
            <w:r w:rsidR="00FC7500">
              <w:rPr>
                <w:rFonts w:eastAsia="Calibri"/>
                <w:lang w:eastAsia="en-US"/>
              </w:rPr>
              <w:noBreakHyphen/>
            </w:r>
            <w:r w:rsidRPr="000D59A7">
              <w:rPr>
                <w:rFonts w:eastAsia="Calibri"/>
                <w:lang w:eastAsia="en-US"/>
              </w:rPr>
              <w:t>0.03, 0.12)</w:t>
            </w:r>
          </w:p>
        </w:tc>
      </w:tr>
      <w:tr w:rsidR="00732B27" w:rsidRPr="000D59A7" w14:paraId="044B7743" w14:textId="77777777">
        <w:tc>
          <w:tcPr>
            <w:tcW w:w="1098" w:type="pct"/>
            <w:vMerge/>
            <w:tcBorders>
              <w:left w:val="single" w:sz="4" w:space="0" w:color="auto"/>
              <w:right w:val="single" w:sz="4" w:space="0" w:color="auto"/>
            </w:tcBorders>
          </w:tcPr>
          <w:p w14:paraId="128785AD" w14:textId="77777777" w:rsidR="00620C4B" w:rsidRPr="000D59A7" w:rsidRDefault="00620C4B">
            <w:pPr>
              <w:pStyle w:val="Tabletext"/>
              <w:keepNext/>
              <w:rPr>
                <w:rFonts w:eastAsia="Calibri"/>
                <w:lang w:eastAsia="en-US"/>
              </w:rPr>
            </w:pPr>
          </w:p>
        </w:tc>
        <w:tc>
          <w:tcPr>
            <w:tcW w:w="975" w:type="pct"/>
            <w:tcBorders>
              <w:top w:val="single" w:sz="4" w:space="0" w:color="auto"/>
              <w:left w:val="single" w:sz="4" w:space="0" w:color="auto"/>
              <w:bottom w:val="single" w:sz="4" w:space="0" w:color="auto"/>
              <w:right w:val="single" w:sz="4" w:space="0" w:color="auto"/>
            </w:tcBorders>
          </w:tcPr>
          <w:p w14:paraId="741FE64E" w14:textId="7F532F74" w:rsidR="00620C4B" w:rsidRPr="000D59A7" w:rsidRDefault="00620C4B">
            <w:pPr>
              <w:pStyle w:val="Tabletext"/>
              <w:keepNext/>
              <w:rPr>
                <w:rFonts w:eastAsia="Calibri"/>
                <w:lang w:eastAsia="en-US"/>
              </w:rPr>
            </w:pPr>
            <w:r w:rsidRPr="000D59A7">
              <w:rPr>
                <w:rFonts w:eastAsia="Calibri"/>
                <w:lang w:eastAsia="en-US"/>
              </w:rPr>
              <w:t xml:space="preserve">UPA v </w:t>
            </w:r>
            <w:r w:rsidR="0084496B">
              <w:rPr>
                <w:rFonts w:eastAsia="Calibri"/>
                <w:lang w:eastAsia="en-US"/>
              </w:rPr>
              <w:t>IFX</w:t>
            </w:r>
          </w:p>
        </w:tc>
        <w:tc>
          <w:tcPr>
            <w:tcW w:w="975" w:type="pct"/>
            <w:tcBorders>
              <w:top w:val="single" w:sz="4" w:space="0" w:color="auto"/>
              <w:left w:val="single" w:sz="4" w:space="0" w:color="auto"/>
              <w:bottom w:val="single" w:sz="4" w:space="0" w:color="auto"/>
              <w:right w:val="single" w:sz="4" w:space="0" w:color="auto"/>
            </w:tcBorders>
            <w:vAlign w:val="center"/>
          </w:tcPr>
          <w:p w14:paraId="06D341D7" w14:textId="77777777" w:rsidR="00620C4B" w:rsidRPr="000D59A7" w:rsidRDefault="00620C4B">
            <w:pPr>
              <w:pStyle w:val="Tabletext"/>
              <w:keepNext/>
              <w:jc w:val="center"/>
              <w:rPr>
                <w:rFonts w:eastAsia="Calibri"/>
                <w:lang w:eastAsia="en-US"/>
              </w:rPr>
            </w:pPr>
            <w:r w:rsidRPr="000D59A7">
              <w:rPr>
                <w:rFonts w:eastAsia="Calibri"/>
                <w:lang w:eastAsia="en-US"/>
              </w:rPr>
              <w:t>0.85 (0.43, 1.71)</w:t>
            </w:r>
          </w:p>
        </w:tc>
        <w:tc>
          <w:tcPr>
            <w:tcW w:w="975" w:type="pct"/>
            <w:tcBorders>
              <w:top w:val="single" w:sz="4" w:space="0" w:color="auto"/>
              <w:left w:val="single" w:sz="4" w:space="0" w:color="auto"/>
              <w:bottom w:val="single" w:sz="4" w:space="0" w:color="auto"/>
              <w:right w:val="single" w:sz="4" w:space="0" w:color="auto"/>
            </w:tcBorders>
            <w:vAlign w:val="center"/>
          </w:tcPr>
          <w:p w14:paraId="71918030" w14:textId="77777777" w:rsidR="00620C4B" w:rsidRPr="000D59A7" w:rsidRDefault="00620C4B">
            <w:pPr>
              <w:pStyle w:val="Tabletext"/>
              <w:keepNext/>
              <w:jc w:val="center"/>
              <w:rPr>
                <w:rFonts w:eastAsia="Calibri"/>
                <w:lang w:eastAsia="en-US"/>
              </w:rPr>
            </w:pPr>
            <w:r w:rsidRPr="000D59A7">
              <w:rPr>
                <w:rFonts w:eastAsia="Calibri"/>
                <w:lang w:eastAsia="en-US"/>
              </w:rPr>
              <w:t>0.83 (0.38, 1.84)</w:t>
            </w:r>
          </w:p>
        </w:tc>
        <w:tc>
          <w:tcPr>
            <w:tcW w:w="976" w:type="pct"/>
            <w:tcBorders>
              <w:top w:val="single" w:sz="4" w:space="0" w:color="auto"/>
              <w:left w:val="single" w:sz="4" w:space="0" w:color="auto"/>
              <w:bottom w:val="single" w:sz="4" w:space="0" w:color="auto"/>
              <w:right w:val="single" w:sz="4" w:space="0" w:color="auto"/>
            </w:tcBorders>
            <w:vAlign w:val="center"/>
          </w:tcPr>
          <w:p w14:paraId="75EF9C48" w14:textId="1DCD6937" w:rsidR="00620C4B" w:rsidRPr="000D59A7" w:rsidRDefault="00FC7500">
            <w:pPr>
              <w:pStyle w:val="Tabletext"/>
              <w:keepNext/>
              <w:jc w:val="center"/>
              <w:rPr>
                <w:rFonts w:eastAsia="Calibri"/>
                <w:lang w:eastAsia="en-US"/>
              </w:rPr>
            </w:pPr>
            <w:r>
              <w:rPr>
                <w:rFonts w:eastAsia="Calibri"/>
                <w:lang w:eastAsia="en-US"/>
              </w:rPr>
              <w:noBreakHyphen/>
            </w:r>
            <w:r w:rsidR="00620C4B" w:rsidRPr="000D59A7">
              <w:rPr>
                <w:rFonts w:eastAsia="Calibri"/>
                <w:lang w:eastAsia="en-US"/>
              </w:rPr>
              <w:t>0.02 (</w:t>
            </w:r>
            <w:r>
              <w:rPr>
                <w:rFonts w:eastAsia="Calibri"/>
                <w:lang w:eastAsia="en-US"/>
              </w:rPr>
              <w:noBreakHyphen/>
            </w:r>
            <w:r w:rsidR="00620C4B" w:rsidRPr="000D59A7">
              <w:rPr>
                <w:rFonts w:eastAsia="Calibri"/>
                <w:lang w:eastAsia="en-US"/>
              </w:rPr>
              <w:t>0.11, 0.07)</w:t>
            </w:r>
          </w:p>
        </w:tc>
      </w:tr>
      <w:tr w:rsidR="00732B27" w:rsidRPr="000D59A7" w14:paraId="42879C11" w14:textId="77777777">
        <w:tc>
          <w:tcPr>
            <w:tcW w:w="1098" w:type="pct"/>
            <w:vMerge/>
            <w:tcBorders>
              <w:left w:val="single" w:sz="4" w:space="0" w:color="auto"/>
              <w:bottom w:val="single" w:sz="4" w:space="0" w:color="auto"/>
              <w:right w:val="single" w:sz="4" w:space="0" w:color="auto"/>
            </w:tcBorders>
          </w:tcPr>
          <w:p w14:paraId="5E2AF79D" w14:textId="77777777" w:rsidR="00620C4B" w:rsidRPr="000D59A7" w:rsidRDefault="00620C4B">
            <w:pPr>
              <w:pStyle w:val="Tabletext"/>
              <w:keepNext/>
              <w:rPr>
                <w:rFonts w:eastAsia="Calibri"/>
                <w:lang w:eastAsia="en-US"/>
              </w:rPr>
            </w:pPr>
          </w:p>
        </w:tc>
        <w:tc>
          <w:tcPr>
            <w:tcW w:w="975" w:type="pct"/>
            <w:tcBorders>
              <w:top w:val="single" w:sz="4" w:space="0" w:color="auto"/>
              <w:left w:val="single" w:sz="4" w:space="0" w:color="auto"/>
              <w:bottom w:val="single" w:sz="4" w:space="0" w:color="auto"/>
              <w:right w:val="single" w:sz="4" w:space="0" w:color="auto"/>
            </w:tcBorders>
          </w:tcPr>
          <w:p w14:paraId="316A3DAB" w14:textId="77777777" w:rsidR="00620C4B" w:rsidRPr="000D59A7" w:rsidRDefault="00620C4B">
            <w:pPr>
              <w:pStyle w:val="Tabletext"/>
              <w:keepNext/>
              <w:rPr>
                <w:rFonts w:eastAsia="Calibri"/>
                <w:lang w:eastAsia="en-US"/>
              </w:rPr>
            </w:pPr>
            <w:r w:rsidRPr="000D59A7">
              <w:rPr>
                <w:rFonts w:eastAsia="Calibri"/>
                <w:lang w:eastAsia="en-US"/>
              </w:rPr>
              <w:t>UPA v UST</w:t>
            </w:r>
          </w:p>
        </w:tc>
        <w:tc>
          <w:tcPr>
            <w:tcW w:w="975" w:type="pct"/>
            <w:tcBorders>
              <w:top w:val="single" w:sz="4" w:space="0" w:color="auto"/>
              <w:left w:val="single" w:sz="4" w:space="0" w:color="auto"/>
              <w:bottom w:val="single" w:sz="4" w:space="0" w:color="auto"/>
              <w:right w:val="single" w:sz="4" w:space="0" w:color="auto"/>
            </w:tcBorders>
            <w:vAlign w:val="center"/>
          </w:tcPr>
          <w:p w14:paraId="53CC97B8" w14:textId="77777777" w:rsidR="00620C4B" w:rsidRPr="000D59A7" w:rsidRDefault="00620C4B">
            <w:pPr>
              <w:pStyle w:val="Tabletext"/>
              <w:keepNext/>
              <w:jc w:val="center"/>
              <w:rPr>
                <w:rFonts w:eastAsia="Calibri"/>
                <w:lang w:eastAsia="en-US"/>
              </w:rPr>
            </w:pPr>
            <w:r w:rsidRPr="000D59A7">
              <w:rPr>
                <w:rFonts w:eastAsia="Calibri"/>
                <w:lang w:eastAsia="en-US"/>
              </w:rPr>
              <w:t>1.21 (0.56, 2.64)</w:t>
            </w:r>
          </w:p>
        </w:tc>
        <w:tc>
          <w:tcPr>
            <w:tcW w:w="975" w:type="pct"/>
            <w:tcBorders>
              <w:top w:val="single" w:sz="4" w:space="0" w:color="auto"/>
              <w:left w:val="single" w:sz="4" w:space="0" w:color="auto"/>
              <w:bottom w:val="single" w:sz="4" w:space="0" w:color="auto"/>
              <w:right w:val="single" w:sz="4" w:space="0" w:color="auto"/>
            </w:tcBorders>
            <w:vAlign w:val="center"/>
          </w:tcPr>
          <w:p w14:paraId="6AE55C70" w14:textId="77777777" w:rsidR="00620C4B" w:rsidRPr="000D59A7" w:rsidRDefault="00620C4B">
            <w:pPr>
              <w:pStyle w:val="Tabletext"/>
              <w:keepNext/>
              <w:jc w:val="center"/>
              <w:rPr>
                <w:rFonts w:eastAsia="Calibri"/>
                <w:lang w:eastAsia="en-US"/>
              </w:rPr>
            </w:pPr>
            <w:r w:rsidRPr="000D59A7">
              <w:rPr>
                <w:rFonts w:eastAsia="Calibri"/>
                <w:lang w:eastAsia="en-US"/>
              </w:rPr>
              <w:t>1.24 (0.51, 3.02)</w:t>
            </w:r>
          </w:p>
        </w:tc>
        <w:tc>
          <w:tcPr>
            <w:tcW w:w="976" w:type="pct"/>
            <w:tcBorders>
              <w:top w:val="single" w:sz="4" w:space="0" w:color="auto"/>
              <w:left w:val="single" w:sz="4" w:space="0" w:color="auto"/>
              <w:bottom w:val="single" w:sz="4" w:space="0" w:color="auto"/>
              <w:right w:val="single" w:sz="4" w:space="0" w:color="auto"/>
            </w:tcBorders>
            <w:vAlign w:val="center"/>
          </w:tcPr>
          <w:p w14:paraId="7C18126B" w14:textId="735A6082" w:rsidR="00620C4B" w:rsidRPr="000D59A7" w:rsidRDefault="00620C4B">
            <w:pPr>
              <w:pStyle w:val="Tabletext"/>
              <w:keepNext/>
              <w:jc w:val="center"/>
              <w:rPr>
                <w:rFonts w:eastAsia="Calibri"/>
                <w:lang w:eastAsia="en-US"/>
              </w:rPr>
            </w:pPr>
            <w:r w:rsidRPr="000D59A7">
              <w:rPr>
                <w:rFonts w:eastAsia="Calibri"/>
                <w:lang w:eastAsia="en-US"/>
              </w:rPr>
              <w:t>0.02 (</w:t>
            </w:r>
            <w:r w:rsidR="00FC7500">
              <w:rPr>
                <w:rFonts w:eastAsia="Calibri"/>
                <w:lang w:eastAsia="en-US"/>
              </w:rPr>
              <w:noBreakHyphen/>
            </w:r>
            <w:r w:rsidRPr="000D59A7">
              <w:rPr>
                <w:rFonts w:eastAsia="Calibri"/>
                <w:lang w:eastAsia="en-US"/>
              </w:rPr>
              <w:t>0.07, 0.12)</w:t>
            </w:r>
          </w:p>
        </w:tc>
      </w:tr>
      <w:tr w:rsidR="00620C4B" w:rsidRPr="000D59A7" w14:paraId="750D908A" w14:textId="77777777">
        <w:tc>
          <w:tcPr>
            <w:tcW w:w="5000" w:type="pct"/>
            <w:gridSpan w:val="5"/>
          </w:tcPr>
          <w:p w14:paraId="677B0221" w14:textId="77777777" w:rsidR="00620C4B" w:rsidRPr="00AD5DAB" w:rsidRDefault="00620C4B">
            <w:pPr>
              <w:pStyle w:val="Tabletext"/>
              <w:keepNext/>
              <w:rPr>
                <w:rFonts w:eastAsia="Calibri"/>
                <w:b/>
                <w:bCs/>
                <w:lang w:eastAsia="en-US"/>
              </w:rPr>
            </w:pPr>
            <w:r w:rsidRPr="00AD5DAB">
              <w:rPr>
                <w:rFonts w:eastAsia="Calibri"/>
                <w:b/>
                <w:bCs/>
                <w:lang w:eastAsia="en-US"/>
              </w:rPr>
              <w:t>Serious infection</w:t>
            </w:r>
          </w:p>
        </w:tc>
      </w:tr>
      <w:tr w:rsidR="00732B27" w:rsidRPr="000D59A7" w14:paraId="553D8767" w14:textId="77777777">
        <w:tc>
          <w:tcPr>
            <w:tcW w:w="1098" w:type="pct"/>
            <w:vMerge w:val="restart"/>
            <w:tcBorders>
              <w:top w:val="single" w:sz="4" w:space="0" w:color="auto"/>
              <w:left w:val="single" w:sz="4" w:space="0" w:color="auto"/>
              <w:right w:val="single" w:sz="4" w:space="0" w:color="auto"/>
            </w:tcBorders>
          </w:tcPr>
          <w:p w14:paraId="246EF532" w14:textId="77777777" w:rsidR="00620C4B" w:rsidRPr="000D59A7" w:rsidRDefault="00620C4B">
            <w:pPr>
              <w:pStyle w:val="Tabletext"/>
              <w:keepNext/>
              <w:rPr>
                <w:rFonts w:eastAsia="Calibri"/>
                <w:lang w:eastAsia="en-US"/>
              </w:rPr>
            </w:pPr>
            <w:r w:rsidRPr="000D59A7">
              <w:rPr>
                <w:rFonts w:eastAsia="Calibri"/>
                <w:lang w:eastAsia="en-US"/>
              </w:rPr>
              <w:t>ITC result</w:t>
            </w:r>
          </w:p>
        </w:tc>
        <w:tc>
          <w:tcPr>
            <w:tcW w:w="975" w:type="pct"/>
            <w:tcBorders>
              <w:top w:val="single" w:sz="4" w:space="0" w:color="auto"/>
              <w:left w:val="single" w:sz="4" w:space="0" w:color="auto"/>
              <w:bottom w:val="single" w:sz="4" w:space="0" w:color="auto"/>
              <w:right w:val="single" w:sz="4" w:space="0" w:color="auto"/>
            </w:tcBorders>
          </w:tcPr>
          <w:p w14:paraId="4FC14AC4" w14:textId="77777777" w:rsidR="00620C4B" w:rsidRPr="000D59A7" w:rsidRDefault="00620C4B">
            <w:pPr>
              <w:pStyle w:val="Tabletext"/>
              <w:keepNext/>
              <w:rPr>
                <w:rFonts w:eastAsia="Calibri"/>
                <w:lang w:eastAsia="en-US"/>
              </w:rPr>
            </w:pPr>
            <w:r w:rsidRPr="000D59A7">
              <w:rPr>
                <w:rFonts w:eastAsia="Calibri"/>
                <w:lang w:eastAsia="en-US"/>
              </w:rPr>
              <w:t>UPA v ADA</w:t>
            </w:r>
          </w:p>
        </w:tc>
        <w:tc>
          <w:tcPr>
            <w:tcW w:w="975" w:type="pct"/>
            <w:tcBorders>
              <w:top w:val="single" w:sz="4" w:space="0" w:color="auto"/>
              <w:left w:val="single" w:sz="4" w:space="0" w:color="auto"/>
              <w:bottom w:val="single" w:sz="4" w:space="0" w:color="auto"/>
              <w:right w:val="single" w:sz="4" w:space="0" w:color="auto"/>
            </w:tcBorders>
            <w:vAlign w:val="center"/>
          </w:tcPr>
          <w:p w14:paraId="455E259B" w14:textId="77777777" w:rsidR="00620C4B" w:rsidRPr="000D59A7" w:rsidRDefault="00620C4B">
            <w:pPr>
              <w:pStyle w:val="Tabletext"/>
              <w:keepNext/>
              <w:jc w:val="center"/>
              <w:rPr>
                <w:rFonts w:eastAsia="Calibri"/>
                <w:lang w:eastAsia="en-US"/>
              </w:rPr>
            </w:pPr>
            <w:r w:rsidRPr="000D59A7">
              <w:rPr>
                <w:rFonts w:eastAsia="Calibri"/>
                <w:lang w:eastAsia="en-US"/>
              </w:rPr>
              <w:t>1.36 (0.41, 4.46)</w:t>
            </w:r>
          </w:p>
        </w:tc>
        <w:tc>
          <w:tcPr>
            <w:tcW w:w="975" w:type="pct"/>
            <w:tcBorders>
              <w:top w:val="single" w:sz="4" w:space="0" w:color="auto"/>
              <w:left w:val="single" w:sz="4" w:space="0" w:color="auto"/>
              <w:bottom w:val="single" w:sz="4" w:space="0" w:color="auto"/>
              <w:right w:val="single" w:sz="4" w:space="0" w:color="auto"/>
            </w:tcBorders>
            <w:vAlign w:val="center"/>
          </w:tcPr>
          <w:p w14:paraId="47D5946F" w14:textId="77777777" w:rsidR="00620C4B" w:rsidRPr="000D59A7" w:rsidRDefault="00620C4B">
            <w:pPr>
              <w:pStyle w:val="Tabletext"/>
              <w:keepNext/>
              <w:jc w:val="center"/>
              <w:rPr>
                <w:rFonts w:eastAsia="Calibri"/>
                <w:lang w:eastAsia="en-US"/>
              </w:rPr>
            </w:pPr>
            <w:r w:rsidRPr="000D59A7">
              <w:rPr>
                <w:rFonts w:eastAsia="Calibri"/>
                <w:lang w:eastAsia="en-US"/>
              </w:rPr>
              <w:t>1.38 (0.40, 4.70)</w:t>
            </w:r>
          </w:p>
        </w:tc>
        <w:tc>
          <w:tcPr>
            <w:tcW w:w="976" w:type="pct"/>
            <w:tcBorders>
              <w:top w:val="single" w:sz="4" w:space="0" w:color="auto"/>
              <w:left w:val="single" w:sz="4" w:space="0" w:color="auto"/>
              <w:bottom w:val="single" w:sz="4" w:space="0" w:color="auto"/>
              <w:right w:val="single" w:sz="4" w:space="0" w:color="auto"/>
            </w:tcBorders>
            <w:vAlign w:val="center"/>
          </w:tcPr>
          <w:p w14:paraId="67AC3A18" w14:textId="2F2A48F0" w:rsidR="00620C4B" w:rsidRPr="000D59A7" w:rsidRDefault="00620C4B">
            <w:pPr>
              <w:pStyle w:val="Tabletext"/>
              <w:keepNext/>
              <w:jc w:val="center"/>
              <w:rPr>
                <w:rFonts w:eastAsia="Calibri"/>
                <w:lang w:eastAsia="en-US"/>
              </w:rPr>
            </w:pPr>
            <w:r w:rsidRPr="000D59A7">
              <w:rPr>
                <w:rFonts w:eastAsia="Calibri"/>
                <w:lang w:eastAsia="en-US"/>
              </w:rPr>
              <w:t>0.01 (</w:t>
            </w:r>
            <w:r w:rsidR="00FC7500">
              <w:rPr>
                <w:rFonts w:eastAsia="Calibri"/>
                <w:lang w:eastAsia="en-US"/>
              </w:rPr>
              <w:noBreakHyphen/>
            </w:r>
            <w:r w:rsidRPr="000D59A7">
              <w:rPr>
                <w:rFonts w:eastAsia="Calibri"/>
                <w:lang w:eastAsia="en-US"/>
              </w:rPr>
              <w:t>0.03, 0.05)</w:t>
            </w:r>
          </w:p>
        </w:tc>
      </w:tr>
      <w:tr w:rsidR="00732B27" w:rsidRPr="000D59A7" w14:paraId="11E8C716" w14:textId="77777777">
        <w:tc>
          <w:tcPr>
            <w:tcW w:w="1098" w:type="pct"/>
            <w:vMerge/>
            <w:tcBorders>
              <w:left w:val="single" w:sz="4" w:space="0" w:color="auto"/>
              <w:right w:val="single" w:sz="4" w:space="0" w:color="auto"/>
            </w:tcBorders>
          </w:tcPr>
          <w:p w14:paraId="34806EB5" w14:textId="77777777" w:rsidR="00620C4B" w:rsidRPr="000D59A7" w:rsidRDefault="00620C4B">
            <w:pPr>
              <w:pStyle w:val="Tabletext"/>
              <w:keepNext/>
              <w:rPr>
                <w:rFonts w:eastAsia="Calibri"/>
                <w:lang w:eastAsia="en-US"/>
              </w:rPr>
            </w:pPr>
          </w:p>
        </w:tc>
        <w:tc>
          <w:tcPr>
            <w:tcW w:w="975" w:type="pct"/>
            <w:tcBorders>
              <w:top w:val="single" w:sz="4" w:space="0" w:color="auto"/>
              <w:left w:val="single" w:sz="4" w:space="0" w:color="auto"/>
              <w:bottom w:val="single" w:sz="4" w:space="0" w:color="auto"/>
              <w:right w:val="single" w:sz="4" w:space="0" w:color="auto"/>
            </w:tcBorders>
          </w:tcPr>
          <w:p w14:paraId="3E23EBFF" w14:textId="77777777" w:rsidR="00620C4B" w:rsidRPr="000D59A7" w:rsidRDefault="00620C4B">
            <w:pPr>
              <w:pStyle w:val="Tabletext"/>
              <w:keepNext/>
              <w:rPr>
                <w:rFonts w:eastAsia="Calibri"/>
                <w:lang w:eastAsia="en-US"/>
              </w:rPr>
            </w:pPr>
            <w:r w:rsidRPr="000D59A7">
              <w:rPr>
                <w:rFonts w:eastAsia="Calibri"/>
                <w:lang w:eastAsia="en-US"/>
              </w:rPr>
              <w:t>UPA v IFX</w:t>
            </w:r>
          </w:p>
        </w:tc>
        <w:tc>
          <w:tcPr>
            <w:tcW w:w="975" w:type="pct"/>
            <w:tcBorders>
              <w:top w:val="single" w:sz="4" w:space="0" w:color="auto"/>
              <w:left w:val="single" w:sz="4" w:space="0" w:color="auto"/>
              <w:bottom w:val="single" w:sz="4" w:space="0" w:color="auto"/>
              <w:right w:val="single" w:sz="4" w:space="0" w:color="auto"/>
            </w:tcBorders>
            <w:vAlign w:val="center"/>
          </w:tcPr>
          <w:p w14:paraId="0321721A" w14:textId="77777777" w:rsidR="00620C4B" w:rsidRPr="000D59A7" w:rsidRDefault="00620C4B">
            <w:pPr>
              <w:pStyle w:val="Tabletext"/>
              <w:keepNext/>
              <w:jc w:val="center"/>
              <w:rPr>
                <w:rFonts w:eastAsia="Calibri"/>
                <w:lang w:eastAsia="en-US"/>
              </w:rPr>
            </w:pPr>
            <w:r w:rsidRPr="000D59A7">
              <w:rPr>
                <w:rFonts w:eastAsia="Calibri"/>
                <w:lang w:eastAsia="en-US"/>
              </w:rPr>
              <w:t>1.02 (0.29, 3.51)</w:t>
            </w:r>
          </w:p>
        </w:tc>
        <w:tc>
          <w:tcPr>
            <w:tcW w:w="975" w:type="pct"/>
            <w:tcBorders>
              <w:top w:val="single" w:sz="4" w:space="0" w:color="auto"/>
              <w:left w:val="single" w:sz="4" w:space="0" w:color="auto"/>
              <w:bottom w:val="single" w:sz="4" w:space="0" w:color="auto"/>
              <w:right w:val="single" w:sz="4" w:space="0" w:color="auto"/>
            </w:tcBorders>
            <w:vAlign w:val="center"/>
          </w:tcPr>
          <w:p w14:paraId="35230877" w14:textId="77777777" w:rsidR="00620C4B" w:rsidRPr="000D59A7" w:rsidRDefault="00620C4B">
            <w:pPr>
              <w:pStyle w:val="Tabletext"/>
              <w:keepNext/>
              <w:jc w:val="center"/>
              <w:rPr>
                <w:rFonts w:eastAsia="Calibri"/>
                <w:lang w:eastAsia="en-US"/>
              </w:rPr>
            </w:pPr>
            <w:r w:rsidRPr="000D59A7">
              <w:rPr>
                <w:rFonts w:eastAsia="Calibri"/>
                <w:lang w:eastAsia="en-US"/>
              </w:rPr>
              <w:t>1.02 (0.28, 3.71)</w:t>
            </w:r>
          </w:p>
        </w:tc>
        <w:tc>
          <w:tcPr>
            <w:tcW w:w="976" w:type="pct"/>
            <w:tcBorders>
              <w:top w:val="single" w:sz="4" w:space="0" w:color="auto"/>
              <w:left w:val="single" w:sz="4" w:space="0" w:color="auto"/>
              <w:bottom w:val="single" w:sz="4" w:space="0" w:color="auto"/>
              <w:right w:val="single" w:sz="4" w:space="0" w:color="auto"/>
            </w:tcBorders>
            <w:vAlign w:val="center"/>
          </w:tcPr>
          <w:p w14:paraId="1C089FD7" w14:textId="31A6192A" w:rsidR="00620C4B" w:rsidRPr="000D59A7" w:rsidRDefault="00620C4B">
            <w:pPr>
              <w:pStyle w:val="Tabletext"/>
              <w:keepNext/>
              <w:jc w:val="center"/>
              <w:rPr>
                <w:rFonts w:eastAsia="Calibri"/>
                <w:lang w:eastAsia="en-US"/>
              </w:rPr>
            </w:pPr>
            <w:r w:rsidRPr="000D59A7">
              <w:rPr>
                <w:rFonts w:eastAsia="Calibri"/>
                <w:lang w:eastAsia="en-US"/>
              </w:rPr>
              <w:t>0.00 (</w:t>
            </w:r>
            <w:r w:rsidR="00FC7500">
              <w:rPr>
                <w:rFonts w:eastAsia="Calibri"/>
                <w:lang w:eastAsia="en-US"/>
              </w:rPr>
              <w:noBreakHyphen/>
            </w:r>
            <w:r w:rsidRPr="000D59A7">
              <w:rPr>
                <w:rFonts w:eastAsia="Calibri"/>
                <w:lang w:eastAsia="en-US"/>
              </w:rPr>
              <w:t>0.05, 0.05)</w:t>
            </w:r>
          </w:p>
        </w:tc>
      </w:tr>
      <w:tr w:rsidR="00732B27" w:rsidRPr="000D59A7" w14:paraId="204F974E" w14:textId="77777777">
        <w:tc>
          <w:tcPr>
            <w:tcW w:w="1098" w:type="pct"/>
            <w:vMerge/>
            <w:tcBorders>
              <w:left w:val="single" w:sz="4" w:space="0" w:color="auto"/>
              <w:bottom w:val="single" w:sz="4" w:space="0" w:color="auto"/>
              <w:right w:val="single" w:sz="4" w:space="0" w:color="auto"/>
            </w:tcBorders>
          </w:tcPr>
          <w:p w14:paraId="2A2A5183" w14:textId="77777777" w:rsidR="00620C4B" w:rsidRPr="000D59A7" w:rsidRDefault="00620C4B">
            <w:pPr>
              <w:pStyle w:val="Tabletext"/>
              <w:keepNext/>
              <w:rPr>
                <w:rFonts w:eastAsia="Calibri"/>
                <w:lang w:eastAsia="en-US"/>
              </w:rPr>
            </w:pPr>
          </w:p>
        </w:tc>
        <w:tc>
          <w:tcPr>
            <w:tcW w:w="975" w:type="pct"/>
            <w:tcBorders>
              <w:top w:val="single" w:sz="4" w:space="0" w:color="auto"/>
              <w:left w:val="single" w:sz="4" w:space="0" w:color="auto"/>
              <w:bottom w:val="single" w:sz="4" w:space="0" w:color="auto"/>
              <w:right w:val="single" w:sz="4" w:space="0" w:color="auto"/>
            </w:tcBorders>
          </w:tcPr>
          <w:p w14:paraId="3485E31C" w14:textId="77777777" w:rsidR="00620C4B" w:rsidRPr="000D59A7" w:rsidRDefault="00620C4B">
            <w:pPr>
              <w:pStyle w:val="Tabletext"/>
              <w:keepNext/>
              <w:rPr>
                <w:rFonts w:eastAsia="Calibri"/>
                <w:lang w:eastAsia="en-US"/>
              </w:rPr>
            </w:pPr>
            <w:r w:rsidRPr="000D59A7">
              <w:rPr>
                <w:rFonts w:eastAsia="Calibri"/>
                <w:lang w:eastAsia="en-US"/>
              </w:rPr>
              <w:t>UPA v UST</w:t>
            </w:r>
          </w:p>
        </w:tc>
        <w:tc>
          <w:tcPr>
            <w:tcW w:w="975" w:type="pct"/>
            <w:tcBorders>
              <w:top w:val="single" w:sz="4" w:space="0" w:color="auto"/>
              <w:left w:val="single" w:sz="4" w:space="0" w:color="auto"/>
              <w:bottom w:val="single" w:sz="4" w:space="0" w:color="auto"/>
              <w:right w:val="single" w:sz="4" w:space="0" w:color="auto"/>
            </w:tcBorders>
            <w:vAlign w:val="center"/>
          </w:tcPr>
          <w:p w14:paraId="0F667ED1" w14:textId="77777777" w:rsidR="00620C4B" w:rsidRPr="000D59A7" w:rsidRDefault="00620C4B">
            <w:pPr>
              <w:pStyle w:val="Tabletext"/>
              <w:keepNext/>
              <w:jc w:val="center"/>
              <w:rPr>
                <w:rFonts w:eastAsia="Calibri"/>
                <w:lang w:eastAsia="en-US"/>
              </w:rPr>
            </w:pPr>
            <w:r w:rsidRPr="000D59A7">
              <w:rPr>
                <w:rFonts w:eastAsia="Calibri"/>
                <w:lang w:eastAsia="en-US"/>
              </w:rPr>
              <w:t>0.98 (0.17, 5.71)</w:t>
            </w:r>
          </w:p>
        </w:tc>
        <w:tc>
          <w:tcPr>
            <w:tcW w:w="975" w:type="pct"/>
            <w:tcBorders>
              <w:top w:val="single" w:sz="4" w:space="0" w:color="auto"/>
              <w:left w:val="single" w:sz="4" w:space="0" w:color="auto"/>
              <w:bottom w:val="single" w:sz="4" w:space="0" w:color="auto"/>
              <w:right w:val="single" w:sz="4" w:space="0" w:color="auto"/>
            </w:tcBorders>
            <w:vAlign w:val="center"/>
          </w:tcPr>
          <w:p w14:paraId="6A1BE300" w14:textId="77777777" w:rsidR="00620C4B" w:rsidRPr="000D59A7" w:rsidRDefault="00620C4B">
            <w:pPr>
              <w:pStyle w:val="Tabletext"/>
              <w:keepNext/>
              <w:jc w:val="center"/>
              <w:rPr>
                <w:rFonts w:eastAsia="Calibri"/>
                <w:lang w:eastAsia="en-US"/>
              </w:rPr>
            </w:pPr>
            <w:r w:rsidRPr="000D59A7">
              <w:rPr>
                <w:rFonts w:eastAsia="Calibri"/>
                <w:lang w:eastAsia="en-US"/>
              </w:rPr>
              <w:t>0.98 (0.16, 5.98)</w:t>
            </w:r>
          </w:p>
        </w:tc>
        <w:tc>
          <w:tcPr>
            <w:tcW w:w="976" w:type="pct"/>
            <w:tcBorders>
              <w:top w:val="single" w:sz="4" w:space="0" w:color="auto"/>
              <w:left w:val="single" w:sz="4" w:space="0" w:color="auto"/>
              <w:bottom w:val="single" w:sz="4" w:space="0" w:color="auto"/>
              <w:right w:val="single" w:sz="4" w:space="0" w:color="auto"/>
            </w:tcBorders>
            <w:vAlign w:val="center"/>
          </w:tcPr>
          <w:p w14:paraId="4AE0775A" w14:textId="0AFA276A" w:rsidR="00620C4B" w:rsidRPr="000D59A7" w:rsidRDefault="00620C4B">
            <w:pPr>
              <w:pStyle w:val="Tabletext"/>
              <w:keepNext/>
              <w:jc w:val="center"/>
              <w:rPr>
                <w:rFonts w:eastAsia="Calibri"/>
                <w:lang w:eastAsia="en-US"/>
              </w:rPr>
            </w:pPr>
            <w:r w:rsidRPr="000D59A7">
              <w:rPr>
                <w:rFonts w:eastAsia="Calibri"/>
                <w:lang w:eastAsia="en-US"/>
              </w:rPr>
              <w:t>0.00 (</w:t>
            </w:r>
            <w:r w:rsidR="00FC7500">
              <w:rPr>
                <w:rFonts w:eastAsia="Calibri"/>
                <w:lang w:eastAsia="en-US"/>
              </w:rPr>
              <w:noBreakHyphen/>
            </w:r>
            <w:r w:rsidRPr="000D59A7">
              <w:rPr>
                <w:rFonts w:eastAsia="Calibri"/>
                <w:lang w:eastAsia="en-US"/>
              </w:rPr>
              <w:t>0.05, 0.05)</w:t>
            </w:r>
          </w:p>
        </w:tc>
      </w:tr>
      <w:tr w:rsidR="00620C4B" w:rsidRPr="000D59A7" w14:paraId="6024D005" w14:textId="77777777">
        <w:tc>
          <w:tcPr>
            <w:tcW w:w="5000" w:type="pct"/>
            <w:gridSpan w:val="5"/>
          </w:tcPr>
          <w:p w14:paraId="286C5C7C" w14:textId="77777777" w:rsidR="00620C4B" w:rsidRPr="00AD5DAB" w:rsidRDefault="00620C4B">
            <w:pPr>
              <w:pStyle w:val="Tabletext"/>
              <w:keepNext/>
              <w:rPr>
                <w:rFonts w:eastAsia="Calibri"/>
                <w:b/>
                <w:bCs/>
                <w:lang w:eastAsia="en-US"/>
              </w:rPr>
            </w:pPr>
            <w:r w:rsidRPr="00AD5DAB">
              <w:rPr>
                <w:rFonts w:eastAsia="Calibri"/>
                <w:b/>
                <w:bCs/>
                <w:lang w:eastAsia="en-US"/>
              </w:rPr>
              <w:t>AE resulting in discontinuation</w:t>
            </w:r>
          </w:p>
        </w:tc>
      </w:tr>
      <w:tr w:rsidR="00732B27" w:rsidRPr="000D59A7" w14:paraId="66730204" w14:textId="77777777">
        <w:tc>
          <w:tcPr>
            <w:tcW w:w="1098" w:type="pct"/>
            <w:vMerge w:val="restart"/>
            <w:tcBorders>
              <w:top w:val="single" w:sz="4" w:space="0" w:color="auto"/>
              <w:left w:val="single" w:sz="4" w:space="0" w:color="auto"/>
              <w:right w:val="single" w:sz="4" w:space="0" w:color="auto"/>
            </w:tcBorders>
          </w:tcPr>
          <w:p w14:paraId="7F4D3AE3" w14:textId="77777777" w:rsidR="00620C4B" w:rsidRPr="000D59A7" w:rsidRDefault="00620C4B">
            <w:pPr>
              <w:pStyle w:val="Tabletext"/>
              <w:keepNext/>
              <w:rPr>
                <w:rFonts w:eastAsia="Calibri"/>
                <w:lang w:eastAsia="en-US"/>
              </w:rPr>
            </w:pPr>
            <w:r w:rsidRPr="000D59A7">
              <w:rPr>
                <w:rFonts w:eastAsia="Calibri"/>
                <w:lang w:eastAsia="en-US"/>
              </w:rPr>
              <w:t>ITC result</w:t>
            </w:r>
          </w:p>
        </w:tc>
        <w:tc>
          <w:tcPr>
            <w:tcW w:w="975" w:type="pct"/>
            <w:tcBorders>
              <w:top w:val="single" w:sz="4" w:space="0" w:color="auto"/>
              <w:left w:val="single" w:sz="4" w:space="0" w:color="auto"/>
              <w:bottom w:val="single" w:sz="4" w:space="0" w:color="auto"/>
              <w:right w:val="single" w:sz="4" w:space="0" w:color="auto"/>
            </w:tcBorders>
          </w:tcPr>
          <w:p w14:paraId="50D905F5" w14:textId="77777777" w:rsidR="00620C4B" w:rsidRPr="000D59A7" w:rsidRDefault="00620C4B">
            <w:pPr>
              <w:pStyle w:val="Tabletext"/>
              <w:keepNext/>
              <w:rPr>
                <w:rFonts w:eastAsia="Calibri"/>
                <w:lang w:eastAsia="en-US"/>
              </w:rPr>
            </w:pPr>
            <w:r w:rsidRPr="000D59A7">
              <w:rPr>
                <w:rFonts w:eastAsia="Calibri"/>
                <w:lang w:eastAsia="en-US"/>
              </w:rPr>
              <w:t>UPA v ADA</w:t>
            </w:r>
          </w:p>
        </w:tc>
        <w:tc>
          <w:tcPr>
            <w:tcW w:w="975" w:type="pct"/>
            <w:tcBorders>
              <w:top w:val="single" w:sz="4" w:space="0" w:color="auto"/>
              <w:left w:val="single" w:sz="4" w:space="0" w:color="auto"/>
              <w:bottom w:val="single" w:sz="4" w:space="0" w:color="auto"/>
              <w:right w:val="single" w:sz="4" w:space="0" w:color="auto"/>
            </w:tcBorders>
            <w:vAlign w:val="center"/>
          </w:tcPr>
          <w:p w14:paraId="30C66CA2" w14:textId="77777777" w:rsidR="00620C4B" w:rsidRPr="000D59A7" w:rsidRDefault="00620C4B">
            <w:pPr>
              <w:pStyle w:val="Tabletext"/>
              <w:keepNext/>
              <w:jc w:val="center"/>
              <w:rPr>
                <w:rFonts w:eastAsia="Calibri"/>
                <w:lang w:eastAsia="en-US"/>
              </w:rPr>
            </w:pPr>
            <w:r w:rsidRPr="000D59A7">
              <w:rPr>
                <w:rFonts w:eastAsia="Calibri"/>
                <w:lang w:eastAsia="en-US"/>
              </w:rPr>
              <w:t>3.82 (1.53, 9.57)</w:t>
            </w:r>
          </w:p>
        </w:tc>
        <w:tc>
          <w:tcPr>
            <w:tcW w:w="975" w:type="pct"/>
            <w:tcBorders>
              <w:top w:val="single" w:sz="4" w:space="0" w:color="auto"/>
              <w:left w:val="single" w:sz="4" w:space="0" w:color="auto"/>
              <w:bottom w:val="single" w:sz="4" w:space="0" w:color="auto"/>
              <w:right w:val="single" w:sz="4" w:space="0" w:color="auto"/>
            </w:tcBorders>
            <w:vAlign w:val="center"/>
          </w:tcPr>
          <w:p w14:paraId="47425A84" w14:textId="77777777" w:rsidR="00620C4B" w:rsidRPr="000D59A7" w:rsidRDefault="00620C4B">
            <w:pPr>
              <w:pStyle w:val="Tabletext"/>
              <w:keepNext/>
              <w:jc w:val="center"/>
              <w:rPr>
                <w:rFonts w:eastAsia="Calibri"/>
                <w:lang w:eastAsia="en-US"/>
              </w:rPr>
            </w:pPr>
            <w:r w:rsidRPr="000D59A7">
              <w:rPr>
                <w:rFonts w:eastAsia="Calibri"/>
                <w:lang w:eastAsia="en-US"/>
              </w:rPr>
              <w:t>4.31 (1.63, 11.36)</w:t>
            </w:r>
          </w:p>
        </w:tc>
        <w:tc>
          <w:tcPr>
            <w:tcW w:w="976" w:type="pct"/>
            <w:tcBorders>
              <w:top w:val="single" w:sz="4" w:space="0" w:color="auto"/>
              <w:left w:val="single" w:sz="4" w:space="0" w:color="auto"/>
              <w:bottom w:val="single" w:sz="4" w:space="0" w:color="auto"/>
              <w:right w:val="single" w:sz="4" w:space="0" w:color="auto"/>
            </w:tcBorders>
            <w:vAlign w:val="center"/>
          </w:tcPr>
          <w:p w14:paraId="579767B9" w14:textId="77777777" w:rsidR="00620C4B" w:rsidRPr="000D59A7" w:rsidRDefault="00620C4B">
            <w:pPr>
              <w:pStyle w:val="Tabletext"/>
              <w:keepNext/>
              <w:jc w:val="center"/>
              <w:rPr>
                <w:rFonts w:eastAsia="Calibri"/>
                <w:lang w:eastAsia="en-US"/>
              </w:rPr>
            </w:pPr>
            <w:r w:rsidRPr="000D59A7">
              <w:rPr>
                <w:rFonts w:eastAsia="Calibri"/>
                <w:lang w:eastAsia="en-US"/>
              </w:rPr>
              <w:t>0.11 (0.05, 0.16)</w:t>
            </w:r>
          </w:p>
        </w:tc>
      </w:tr>
      <w:tr w:rsidR="00732B27" w:rsidRPr="000D59A7" w14:paraId="22FF5F9B" w14:textId="77777777">
        <w:tc>
          <w:tcPr>
            <w:tcW w:w="1098" w:type="pct"/>
            <w:vMerge/>
            <w:tcBorders>
              <w:left w:val="single" w:sz="4" w:space="0" w:color="auto"/>
              <w:right w:val="single" w:sz="4" w:space="0" w:color="auto"/>
            </w:tcBorders>
          </w:tcPr>
          <w:p w14:paraId="65213D2D" w14:textId="77777777" w:rsidR="00620C4B" w:rsidRPr="000D59A7" w:rsidRDefault="00620C4B">
            <w:pPr>
              <w:pStyle w:val="Tabletext"/>
              <w:keepNext/>
              <w:rPr>
                <w:rFonts w:eastAsia="Calibri"/>
                <w:lang w:eastAsia="en-US"/>
              </w:rPr>
            </w:pPr>
          </w:p>
        </w:tc>
        <w:tc>
          <w:tcPr>
            <w:tcW w:w="975" w:type="pct"/>
            <w:tcBorders>
              <w:top w:val="single" w:sz="4" w:space="0" w:color="auto"/>
              <w:left w:val="single" w:sz="4" w:space="0" w:color="auto"/>
              <w:bottom w:val="single" w:sz="4" w:space="0" w:color="auto"/>
              <w:right w:val="single" w:sz="4" w:space="0" w:color="auto"/>
            </w:tcBorders>
          </w:tcPr>
          <w:p w14:paraId="4734CC80" w14:textId="77777777" w:rsidR="00620C4B" w:rsidRPr="000D59A7" w:rsidRDefault="00620C4B">
            <w:pPr>
              <w:pStyle w:val="Tabletext"/>
              <w:keepNext/>
              <w:rPr>
                <w:rFonts w:eastAsia="Calibri"/>
                <w:lang w:eastAsia="en-US"/>
              </w:rPr>
            </w:pPr>
            <w:r w:rsidRPr="000D59A7">
              <w:rPr>
                <w:rFonts w:eastAsia="Calibri"/>
                <w:lang w:eastAsia="en-US"/>
              </w:rPr>
              <w:t>UPA v IFX</w:t>
            </w:r>
          </w:p>
        </w:tc>
        <w:tc>
          <w:tcPr>
            <w:tcW w:w="975" w:type="pct"/>
            <w:tcBorders>
              <w:top w:val="single" w:sz="4" w:space="0" w:color="auto"/>
              <w:left w:val="single" w:sz="4" w:space="0" w:color="auto"/>
              <w:bottom w:val="single" w:sz="4" w:space="0" w:color="auto"/>
              <w:right w:val="single" w:sz="4" w:space="0" w:color="auto"/>
            </w:tcBorders>
            <w:vAlign w:val="center"/>
          </w:tcPr>
          <w:p w14:paraId="4F962C95" w14:textId="77777777" w:rsidR="00620C4B" w:rsidRPr="000D59A7" w:rsidRDefault="00620C4B">
            <w:pPr>
              <w:pStyle w:val="Tabletext"/>
              <w:keepNext/>
              <w:jc w:val="center"/>
              <w:rPr>
                <w:rFonts w:eastAsia="Calibri"/>
                <w:lang w:eastAsia="en-US"/>
              </w:rPr>
            </w:pPr>
            <w:r w:rsidRPr="000D59A7">
              <w:rPr>
                <w:rFonts w:eastAsia="Calibri"/>
                <w:lang w:eastAsia="en-US"/>
              </w:rPr>
              <w:t>0.32 (0.10, 1.06)</w:t>
            </w:r>
          </w:p>
        </w:tc>
        <w:tc>
          <w:tcPr>
            <w:tcW w:w="975" w:type="pct"/>
            <w:tcBorders>
              <w:top w:val="single" w:sz="4" w:space="0" w:color="auto"/>
              <w:left w:val="single" w:sz="4" w:space="0" w:color="auto"/>
              <w:bottom w:val="single" w:sz="4" w:space="0" w:color="auto"/>
              <w:right w:val="single" w:sz="4" w:space="0" w:color="auto"/>
            </w:tcBorders>
            <w:vAlign w:val="center"/>
          </w:tcPr>
          <w:p w14:paraId="4F39210D" w14:textId="77777777" w:rsidR="00620C4B" w:rsidRPr="000D59A7" w:rsidRDefault="00620C4B">
            <w:pPr>
              <w:pStyle w:val="Tabletext"/>
              <w:keepNext/>
              <w:jc w:val="center"/>
              <w:rPr>
                <w:rFonts w:eastAsia="Calibri"/>
                <w:lang w:eastAsia="en-US"/>
              </w:rPr>
            </w:pPr>
            <w:r w:rsidRPr="000D59A7">
              <w:rPr>
                <w:rFonts w:eastAsia="Calibri"/>
                <w:lang w:eastAsia="en-US"/>
              </w:rPr>
              <w:t>0.29 (0.08, 1.01)</w:t>
            </w:r>
          </w:p>
        </w:tc>
        <w:tc>
          <w:tcPr>
            <w:tcW w:w="976" w:type="pct"/>
            <w:tcBorders>
              <w:top w:val="single" w:sz="4" w:space="0" w:color="auto"/>
              <w:left w:val="single" w:sz="4" w:space="0" w:color="auto"/>
              <w:bottom w:val="single" w:sz="4" w:space="0" w:color="auto"/>
              <w:right w:val="single" w:sz="4" w:space="0" w:color="auto"/>
            </w:tcBorders>
            <w:vAlign w:val="center"/>
          </w:tcPr>
          <w:p w14:paraId="5DB5D027" w14:textId="09D416F8" w:rsidR="00620C4B" w:rsidRPr="000D59A7" w:rsidRDefault="00FC7500">
            <w:pPr>
              <w:pStyle w:val="Tabletext"/>
              <w:keepNext/>
              <w:jc w:val="center"/>
              <w:rPr>
                <w:rFonts w:eastAsia="Calibri"/>
                <w:lang w:eastAsia="en-US"/>
              </w:rPr>
            </w:pPr>
            <w:r>
              <w:rPr>
                <w:rFonts w:eastAsia="Calibri"/>
                <w:lang w:eastAsia="en-US"/>
              </w:rPr>
              <w:noBreakHyphen/>
            </w:r>
            <w:r w:rsidR="00620C4B" w:rsidRPr="000D59A7">
              <w:rPr>
                <w:rFonts w:eastAsia="Calibri"/>
                <w:lang w:eastAsia="en-US"/>
              </w:rPr>
              <w:t>0.10 (</w:t>
            </w:r>
            <w:r>
              <w:rPr>
                <w:rFonts w:eastAsia="Calibri"/>
                <w:lang w:eastAsia="en-US"/>
              </w:rPr>
              <w:noBreakHyphen/>
            </w:r>
            <w:r w:rsidR="00620C4B" w:rsidRPr="000D59A7">
              <w:rPr>
                <w:rFonts w:eastAsia="Calibri"/>
                <w:lang w:eastAsia="en-US"/>
              </w:rPr>
              <w:t>0.16,</w:t>
            </w:r>
            <w:r w:rsidR="00620C4B">
              <w:rPr>
                <w:rFonts w:eastAsia="Calibri"/>
                <w:lang w:eastAsia="en-US"/>
              </w:rPr>
              <w:t xml:space="preserve"> </w:t>
            </w:r>
            <w:r>
              <w:rPr>
                <w:rFonts w:eastAsia="Calibri"/>
                <w:lang w:eastAsia="en-US"/>
              </w:rPr>
              <w:noBreakHyphen/>
            </w:r>
            <w:r w:rsidR="00620C4B" w:rsidRPr="000D59A7">
              <w:rPr>
                <w:rFonts w:eastAsia="Calibri"/>
                <w:lang w:eastAsia="en-US"/>
              </w:rPr>
              <w:t>0.03)</w:t>
            </w:r>
          </w:p>
        </w:tc>
      </w:tr>
      <w:tr w:rsidR="00732B27" w:rsidRPr="000D59A7" w14:paraId="48709774" w14:textId="77777777">
        <w:tc>
          <w:tcPr>
            <w:tcW w:w="1098" w:type="pct"/>
            <w:vMerge/>
            <w:tcBorders>
              <w:left w:val="single" w:sz="4" w:space="0" w:color="auto"/>
              <w:bottom w:val="single" w:sz="4" w:space="0" w:color="auto"/>
              <w:right w:val="single" w:sz="4" w:space="0" w:color="auto"/>
            </w:tcBorders>
          </w:tcPr>
          <w:p w14:paraId="3A038551" w14:textId="77777777" w:rsidR="00620C4B" w:rsidRPr="000D59A7" w:rsidRDefault="00620C4B">
            <w:pPr>
              <w:pStyle w:val="Tabletext"/>
              <w:keepNext/>
              <w:rPr>
                <w:rFonts w:eastAsia="Calibri"/>
                <w:lang w:eastAsia="en-US"/>
              </w:rPr>
            </w:pPr>
          </w:p>
        </w:tc>
        <w:tc>
          <w:tcPr>
            <w:tcW w:w="975" w:type="pct"/>
            <w:tcBorders>
              <w:top w:val="single" w:sz="4" w:space="0" w:color="auto"/>
              <w:left w:val="single" w:sz="4" w:space="0" w:color="auto"/>
              <w:bottom w:val="single" w:sz="4" w:space="0" w:color="auto"/>
              <w:right w:val="single" w:sz="4" w:space="0" w:color="auto"/>
            </w:tcBorders>
          </w:tcPr>
          <w:p w14:paraId="341E3D42" w14:textId="77777777" w:rsidR="00620C4B" w:rsidRPr="000D59A7" w:rsidRDefault="00620C4B">
            <w:pPr>
              <w:pStyle w:val="Tabletext"/>
              <w:keepNext/>
              <w:rPr>
                <w:rFonts w:eastAsia="Calibri"/>
                <w:lang w:eastAsia="en-US"/>
              </w:rPr>
            </w:pPr>
            <w:r w:rsidRPr="000D59A7">
              <w:rPr>
                <w:rFonts w:eastAsia="Calibri"/>
                <w:lang w:eastAsia="en-US"/>
              </w:rPr>
              <w:t>UPA v UST</w:t>
            </w:r>
          </w:p>
        </w:tc>
        <w:tc>
          <w:tcPr>
            <w:tcW w:w="975" w:type="pct"/>
            <w:tcBorders>
              <w:top w:val="single" w:sz="4" w:space="0" w:color="auto"/>
              <w:left w:val="single" w:sz="4" w:space="0" w:color="auto"/>
              <w:bottom w:val="single" w:sz="4" w:space="0" w:color="auto"/>
              <w:right w:val="single" w:sz="4" w:space="0" w:color="auto"/>
            </w:tcBorders>
          </w:tcPr>
          <w:p w14:paraId="0720D5BC" w14:textId="77777777" w:rsidR="00620C4B" w:rsidRPr="000D59A7" w:rsidRDefault="00620C4B">
            <w:pPr>
              <w:pStyle w:val="Tabletext"/>
              <w:keepNext/>
              <w:jc w:val="center"/>
              <w:rPr>
                <w:rFonts w:eastAsia="Calibri"/>
                <w:lang w:eastAsia="en-US"/>
              </w:rPr>
            </w:pPr>
            <w:r w:rsidRPr="000D59A7">
              <w:rPr>
                <w:rFonts w:eastAsia="Calibri"/>
                <w:lang w:eastAsia="en-US"/>
              </w:rPr>
              <w:t>NA</w:t>
            </w:r>
          </w:p>
        </w:tc>
        <w:tc>
          <w:tcPr>
            <w:tcW w:w="975" w:type="pct"/>
            <w:tcBorders>
              <w:top w:val="single" w:sz="4" w:space="0" w:color="auto"/>
              <w:left w:val="single" w:sz="4" w:space="0" w:color="auto"/>
              <w:bottom w:val="single" w:sz="4" w:space="0" w:color="auto"/>
              <w:right w:val="single" w:sz="4" w:space="0" w:color="auto"/>
            </w:tcBorders>
          </w:tcPr>
          <w:p w14:paraId="11B44F16" w14:textId="77777777" w:rsidR="00620C4B" w:rsidRPr="000D59A7" w:rsidRDefault="00620C4B">
            <w:pPr>
              <w:pStyle w:val="Tabletext"/>
              <w:keepNext/>
              <w:jc w:val="center"/>
              <w:rPr>
                <w:rFonts w:eastAsia="Calibri"/>
                <w:lang w:eastAsia="en-US"/>
              </w:rPr>
            </w:pPr>
            <w:r w:rsidRPr="000D59A7">
              <w:rPr>
                <w:rFonts w:eastAsia="Calibri"/>
                <w:lang w:eastAsia="en-US"/>
              </w:rPr>
              <w:t>NA</w:t>
            </w:r>
          </w:p>
        </w:tc>
        <w:tc>
          <w:tcPr>
            <w:tcW w:w="976" w:type="pct"/>
            <w:tcBorders>
              <w:top w:val="single" w:sz="4" w:space="0" w:color="auto"/>
              <w:left w:val="single" w:sz="4" w:space="0" w:color="auto"/>
              <w:bottom w:val="single" w:sz="4" w:space="0" w:color="auto"/>
              <w:right w:val="single" w:sz="4" w:space="0" w:color="auto"/>
            </w:tcBorders>
          </w:tcPr>
          <w:p w14:paraId="4D4AC4E6" w14:textId="77777777" w:rsidR="00620C4B" w:rsidRPr="000D59A7" w:rsidRDefault="00620C4B">
            <w:pPr>
              <w:pStyle w:val="Tabletext"/>
              <w:keepNext/>
              <w:jc w:val="center"/>
              <w:rPr>
                <w:rFonts w:eastAsia="Calibri"/>
                <w:lang w:eastAsia="en-US"/>
              </w:rPr>
            </w:pPr>
            <w:r w:rsidRPr="000D59A7">
              <w:rPr>
                <w:rFonts w:eastAsia="Calibri"/>
                <w:lang w:eastAsia="en-US"/>
              </w:rPr>
              <w:t>NA</w:t>
            </w:r>
          </w:p>
        </w:tc>
      </w:tr>
    </w:tbl>
    <w:p w14:paraId="226F0633" w14:textId="477E2E64" w:rsidR="00620C4B" w:rsidRPr="00E81C3F" w:rsidRDefault="00620C4B" w:rsidP="00620C4B">
      <w:pPr>
        <w:pStyle w:val="TableFigureFooter"/>
        <w:rPr>
          <w:rStyle w:val="CommentReference"/>
          <w:b w:val="0"/>
          <w:sz w:val="18"/>
          <w:szCs w:val="22"/>
        </w:rPr>
      </w:pPr>
      <w:r w:rsidRPr="00E81C3F">
        <w:rPr>
          <w:rStyle w:val="CommentReference"/>
          <w:b w:val="0"/>
          <w:sz w:val="18"/>
          <w:szCs w:val="22"/>
        </w:rPr>
        <w:t>Source: Table 2</w:t>
      </w:r>
      <w:r w:rsidR="00FC7500">
        <w:rPr>
          <w:rStyle w:val="CommentReference"/>
          <w:b w:val="0"/>
          <w:sz w:val="18"/>
          <w:szCs w:val="22"/>
        </w:rPr>
        <w:noBreakHyphen/>
      </w:r>
      <w:r w:rsidRPr="00E81C3F">
        <w:rPr>
          <w:rStyle w:val="CommentReference"/>
          <w:b w:val="0"/>
          <w:sz w:val="18"/>
          <w:szCs w:val="22"/>
        </w:rPr>
        <w:t>42, pp104</w:t>
      </w:r>
      <w:r w:rsidR="00FC7500">
        <w:rPr>
          <w:rStyle w:val="CommentReference"/>
          <w:b w:val="0"/>
          <w:sz w:val="18"/>
          <w:szCs w:val="22"/>
        </w:rPr>
        <w:noBreakHyphen/>
      </w:r>
      <w:r w:rsidRPr="00E81C3F">
        <w:rPr>
          <w:rStyle w:val="CommentReference"/>
          <w:b w:val="0"/>
          <w:sz w:val="18"/>
          <w:szCs w:val="22"/>
        </w:rPr>
        <w:t>106; Table 2</w:t>
      </w:r>
      <w:r w:rsidR="00FC7500">
        <w:rPr>
          <w:rStyle w:val="CommentReference"/>
          <w:b w:val="0"/>
          <w:sz w:val="18"/>
          <w:szCs w:val="22"/>
        </w:rPr>
        <w:noBreakHyphen/>
      </w:r>
      <w:r w:rsidRPr="00E81C3F">
        <w:rPr>
          <w:rStyle w:val="CommentReference"/>
          <w:b w:val="0"/>
          <w:sz w:val="18"/>
          <w:szCs w:val="22"/>
        </w:rPr>
        <w:t>44, pp109</w:t>
      </w:r>
      <w:r w:rsidR="00FC7500">
        <w:rPr>
          <w:rStyle w:val="CommentReference"/>
          <w:b w:val="0"/>
          <w:sz w:val="18"/>
          <w:szCs w:val="22"/>
        </w:rPr>
        <w:noBreakHyphen/>
      </w:r>
      <w:r w:rsidRPr="00E81C3F">
        <w:rPr>
          <w:rStyle w:val="CommentReference"/>
          <w:b w:val="0"/>
          <w:sz w:val="18"/>
          <w:szCs w:val="22"/>
        </w:rPr>
        <w:t>110 of the submission.</w:t>
      </w:r>
    </w:p>
    <w:p w14:paraId="184D89D4" w14:textId="14B222C3" w:rsidR="00620C4B" w:rsidRDefault="00620C4B" w:rsidP="00620C4B">
      <w:pPr>
        <w:pStyle w:val="TableFigureFooter"/>
        <w:rPr>
          <w:rStyle w:val="CommentReference"/>
          <w:b w:val="0"/>
          <w:sz w:val="18"/>
          <w:szCs w:val="22"/>
        </w:rPr>
      </w:pPr>
      <w:r w:rsidRPr="00681B42">
        <w:rPr>
          <w:rStyle w:val="CommentReference"/>
          <w:b w:val="0"/>
          <w:sz w:val="18"/>
          <w:szCs w:val="22"/>
        </w:rPr>
        <w:t xml:space="preserve">ADA = adalimumab; AE = adverse event; </w:t>
      </w:r>
      <w:r w:rsidR="00DE579C">
        <w:rPr>
          <w:rStyle w:val="CommentReference"/>
          <w:b w:val="0"/>
          <w:sz w:val="18"/>
          <w:szCs w:val="22"/>
        </w:rPr>
        <w:t xml:space="preserve">CD = Crohn’s disease; </w:t>
      </w:r>
      <w:r w:rsidRPr="00681B42">
        <w:rPr>
          <w:rStyle w:val="CommentReference"/>
          <w:b w:val="0"/>
          <w:sz w:val="18"/>
          <w:szCs w:val="22"/>
        </w:rPr>
        <w:t>CI = confidence interval; IFX = infliximab; ITC = indirect trial comparison; NA = not applicable; OR = odds ratio; RD = risk difference; RR = relative risk; UPA = upadacitinib; UST = ustekinumab</w:t>
      </w:r>
    </w:p>
    <w:p w14:paraId="567716CC" w14:textId="214E8773" w:rsidR="00DE579C" w:rsidRPr="00DE579C" w:rsidRDefault="00DE579C" w:rsidP="00DE579C">
      <w:pPr>
        <w:pStyle w:val="TableFigureFooter"/>
      </w:pPr>
      <w:r w:rsidRPr="00DE579C">
        <w:t>Note: Evidence was from the CD trials</w:t>
      </w:r>
      <w:r w:rsidR="004240C3">
        <w:t xml:space="preserve"> for upadacitinib, adalimumab, and ustekinumab</w:t>
      </w:r>
      <w:r w:rsidRPr="00DE579C">
        <w:t xml:space="preserve"> </w:t>
      </w:r>
      <w:r w:rsidR="0047600D">
        <w:t>(</w:t>
      </w:r>
      <w:r w:rsidRPr="00DE579C">
        <w:t xml:space="preserve">not the </w:t>
      </w:r>
      <w:r w:rsidR="0047600D">
        <w:t xml:space="preserve">FCD </w:t>
      </w:r>
      <w:r w:rsidRPr="00DE579C">
        <w:t>subpopulation</w:t>
      </w:r>
      <w:r w:rsidR="0047600D">
        <w:t>),</w:t>
      </w:r>
      <w:r w:rsidR="004240C3">
        <w:t xml:space="preserve"> and the FCD trial for infliximab</w:t>
      </w:r>
      <w:r w:rsidR="008970E1">
        <w:t>.</w:t>
      </w:r>
    </w:p>
    <w:p w14:paraId="71AD3F70" w14:textId="380757F1" w:rsidR="00620C4B" w:rsidRPr="00B552FE" w:rsidRDefault="00620C4B" w:rsidP="00620C4B">
      <w:pPr>
        <w:pStyle w:val="3-BodyText"/>
        <w:rPr>
          <w:lang w:eastAsia="en-US"/>
        </w:rPr>
      </w:pPr>
      <w:bookmarkStart w:id="70" w:name="_Hlk216719690"/>
      <w:r w:rsidRPr="00B552FE">
        <w:rPr>
          <w:lang w:eastAsia="en-US"/>
        </w:rPr>
        <w:t>The indirect comparisons in Table 6 suggest during induction a higher incidence of any adverse event with upadacitinib vs adalimumab, while no consistent differences were observed vs ustekinumab. For serious adverse events, serious infections and discontinuations, estimates were imprecise</w:t>
      </w:r>
      <w:r w:rsidR="00844CFE" w:rsidRPr="00B552FE">
        <w:rPr>
          <w:lang w:eastAsia="en-US"/>
        </w:rPr>
        <w:t xml:space="preserve"> with wide confidence intervals</w:t>
      </w:r>
      <w:r w:rsidRPr="00B552FE">
        <w:rPr>
          <w:lang w:eastAsia="en-US"/>
        </w:rPr>
        <w:t xml:space="preserve">. </w:t>
      </w:r>
    </w:p>
    <w:p w14:paraId="1E679916" w14:textId="77777777" w:rsidR="00620C4B" w:rsidRPr="00B552FE" w:rsidRDefault="00620C4B" w:rsidP="00620C4B">
      <w:pPr>
        <w:pStyle w:val="3-BodyText"/>
        <w:rPr>
          <w:lang w:eastAsia="en-US"/>
        </w:rPr>
      </w:pPr>
      <w:r w:rsidRPr="00B552FE">
        <w:rPr>
          <w:lang w:eastAsia="en-US"/>
        </w:rPr>
        <w:t xml:space="preserve">In the upadacitinib FCD subgroup any AEs were similar within the induction (~70%) and maintenance (~80%) arms. There were twice as many AE leading to study drug discontinuation in maintenance period upadacitinib 15 mg (10.6%) vs placebo (5%) and no AEs leading to death. </w:t>
      </w:r>
    </w:p>
    <w:p w14:paraId="07689BF7" w14:textId="77777777" w:rsidR="00620C4B" w:rsidRPr="0098262F" w:rsidRDefault="00620C4B" w:rsidP="00620C4B">
      <w:pPr>
        <w:pStyle w:val="4-SubsectionHeading"/>
      </w:pPr>
      <w:bookmarkStart w:id="71" w:name="_Toc22897643"/>
      <w:bookmarkStart w:id="72" w:name="_Toc216541085"/>
      <w:bookmarkStart w:id="73" w:name="_Toc219709221"/>
      <w:bookmarkEnd w:id="70"/>
      <w:r w:rsidRPr="0098262F">
        <w:t>Benefits/harms</w:t>
      </w:r>
      <w:bookmarkEnd w:id="71"/>
      <w:bookmarkEnd w:id="72"/>
      <w:bookmarkEnd w:id="73"/>
    </w:p>
    <w:p w14:paraId="53340455" w14:textId="306111CA" w:rsidR="00620C4B" w:rsidRPr="0098262F" w:rsidRDefault="00620C4B" w:rsidP="00620C4B">
      <w:pPr>
        <w:pStyle w:val="3-BodyText"/>
      </w:pPr>
      <w:r w:rsidRPr="0098262F">
        <w:t xml:space="preserve">A benefits and harms table is </w:t>
      </w:r>
      <w:r w:rsidRPr="002C4ACD">
        <w:t>not presented</w:t>
      </w:r>
      <w:r w:rsidRPr="0098262F">
        <w:t xml:space="preserve"> as the submission made a claim of </w:t>
      </w:r>
      <w:r w:rsidRPr="002C4ACD">
        <w:t>non</w:t>
      </w:r>
      <w:r w:rsidR="00FC7500">
        <w:noBreakHyphen/>
      </w:r>
      <w:r w:rsidRPr="002C4ACD">
        <w:t>inferiority</w:t>
      </w:r>
      <w:r w:rsidRPr="0098262F">
        <w:t>.</w:t>
      </w:r>
    </w:p>
    <w:p w14:paraId="0D97142A" w14:textId="77777777" w:rsidR="00620C4B" w:rsidRPr="0098262F" w:rsidRDefault="00620C4B" w:rsidP="00620C4B">
      <w:pPr>
        <w:pStyle w:val="4-SubsectionHeading"/>
      </w:pPr>
      <w:bookmarkStart w:id="74" w:name="_Toc22897644"/>
      <w:bookmarkStart w:id="75" w:name="_Toc216541086"/>
      <w:bookmarkStart w:id="76" w:name="_Toc219709222"/>
      <w:r w:rsidRPr="0098262F">
        <w:lastRenderedPageBreak/>
        <w:t>Clinical claim</w:t>
      </w:r>
      <w:bookmarkEnd w:id="74"/>
      <w:bookmarkEnd w:id="75"/>
      <w:bookmarkEnd w:id="76"/>
    </w:p>
    <w:p w14:paraId="77ED3638" w14:textId="315FC372" w:rsidR="00620C4B" w:rsidRPr="00B552FE" w:rsidRDefault="00620C4B" w:rsidP="00620C4B">
      <w:pPr>
        <w:pStyle w:val="3-BodyText"/>
      </w:pPr>
      <w:r w:rsidRPr="00B552FE">
        <w:t>The submission described upadacitinib as non</w:t>
      </w:r>
      <w:r w:rsidR="00FC7500">
        <w:noBreakHyphen/>
      </w:r>
      <w:r w:rsidRPr="00B552FE">
        <w:t xml:space="preserve">inferior in terms of efficacy </w:t>
      </w:r>
      <w:r w:rsidR="002C4ACD" w:rsidRPr="00B552FE">
        <w:t xml:space="preserve">and safety </w:t>
      </w:r>
      <w:r w:rsidRPr="00B552FE">
        <w:t>compared with infliximab, adalimumab and ustekinumab</w:t>
      </w:r>
      <w:r w:rsidR="002C4ACD" w:rsidRPr="00B552FE">
        <w:t xml:space="preserve">. </w:t>
      </w:r>
    </w:p>
    <w:p w14:paraId="6245ED90" w14:textId="4BBE21A0" w:rsidR="00620C4B" w:rsidRPr="00B552FE" w:rsidRDefault="00620C4B" w:rsidP="00620C4B">
      <w:pPr>
        <w:pStyle w:val="3-BodyText"/>
        <w:rPr>
          <w:rFonts w:eastAsia="Calibri"/>
        </w:rPr>
      </w:pPr>
      <w:r w:rsidRPr="00B552FE">
        <w:rPr>
          <w:rFonts w:eastAsia="Calibri"/>
        </w:rPr>
        <w:t>The</w:t>
      </w:r>
      <w:r w:rsidR="00817B43">
        <w:rPr>
          <w:rFonts w:eastAsia="Calibri"/>
        </w:rPr>
        <w:t xml:space="preserve"> evaluation considered the</w:t>
      </w:r>
      <w:r w:rsidRPr="00B552FE">
        <w:rPr>
          <w:rFonts w:eastAsia="Calibri"/>
        </w:rPr>
        <w:t xml:space="preserve"> therapeutic conclusion presented in the submission may not be adequately supported by the evidence presented in the submission because:</w:t>
      </w:r>
    </w:p>
    <w:p w14:paraId="3420F748" w14:textId="77777777" w:rsidR="00620C4B" w:rsidRPr="00B552FE" w:rsidRDefault="00620C4B" w:rsidP="00620C4B">
      <w:pPr>
        <w:pStyle w:val="ListParagraph"/>
        <w:ind w:left="1080"/>
        <w:jc w:val="both"/>
        <w:rPr>
          <w:rFonts w:eastAsia="Calibri"/>
        </w:rPr>
      </w:pPr>
      <w:r w:rsidRPr="00B552FE">
        <w:t xml:space="preserve">There were multiple differences between the trials and the trials differed in baseline characteristics, outcome definitions and assessment methods: </w:t>
      </w:r>
    </w:p>
    <w:p w14:paraId="6FBB5973" w14:textId="5935ED31" w:rsidR="00620C4B" w:rsidRPr="00B552FE" w:rsidRDefault="00620C4B" w:rsidP="00EB69AD">
      <w:pPr>
        <w:pStyle w:val="ListParagraph"/>
        <w:numPr>
          <w:ilvl w:val="2"/>
          <w:numId w:val="5"/>
        </w:numPr>
        <w:jc w:val="both"/>
      </w:pPr>
      <w:r w:rsidRPr="00B552FE">
        <w:t>Differences in baseline characteristics: the infliximab trial population had lower CDAI scores (mean of 184</w:t>
      </w:r>
      <w:r w:rsidR="00FC7500">
        <w:noBreakHyphen/>
      </w:r>
      <w:r w:rsidRPr="00B552FE">
        <w:t xml:space="preserve">193) </w:t>
      </w:r>
      <w:r w:rsidR="005B68BA" w:rsidRPr="00B552FE">
        <w:t>compared to the upadacitinib, adalimumab, and ustekinumab trials,</w:t>
      </w:r>
      <w:r w:rsidRPr="00B552FE">
        <w:t xml:space="preserve"> likely due to </w:t>
      </w:r>
      <w:r w:rsidR="008C1450" w:rsidRPr="00B552FE">
        <w:t xml:space="preserve">likely due to targeting patients with FCD and not CDAI severity at baseline </w:t>
      </w:r>
      <w:r w:rsidR="00FB7260" w:rsidRPr="00B552FE">
        <w:t>(</w:t>
      </w:r>
      <w:r w:rsidRPr="00B552FE">
        <w:t>actively draining fistula only contributing 20 points to the CDAI</w:t>
      </w:r>
      <w:r w:rsidR="00FB7260" w:rsidRPr="00B552FE">
        <w:t xml:space="preserve">); </w:t>
      </w:r>
      <w:r w:rsidRPr="00B552FE">
        <w:t xml:space="preserve">maintenance trial entry was determined by overall clinical response for upadacitinib, adalimumab and ustekinumab whereas the infliximab ACCENT II trial required fistula response. There was some variation on prior exposure to biologics and in proportion of patients with failure to biologics across the </w:t>
      </w:r>
      <w:r w:rsidR="007D412A" w:rsidRPr="00B552FE">
        <w:t xml:space="preserve">whole </w:t>
      </w:r>
      <w:r w:rsidRPr="00B552FE">
        <w:t>trial</w:t>
      </w:r>
      <w:r w:rsidR="007D412A" w:rsidRPr="00B552FE">
        <w:t xml:space="preserve"> populations</w:t>
      </w:r>
      <w:r w:rsidRPr="00B552FE">
        <w:t xml:space="preserve">, but this was due to eligibility criteria (see </w:t>
      </w:r>
      <w:r w:rsidRPr="00B552FE">
        <w:fldChar w:fldCharType="begin"/>
      </w:r>
      <w:r w:rsidRPr="00B552FE">
        <w:instrText xml:space="preserve"> REF _Ref216540915 \h  \* MERGEFORMAT </w:instrText>
      </w:r>
      <w:r w:rsidRPr="00B552FE">
        <w:fldChar w:fldCharType="separate"/>
      </w:r>
      <w:r w:rsidRPr="00B552FE">
        <w:t xml:space="preserve">Table </w:t>
      </w:r>
      <w:r w:rsidRPr="00B552FE">
        <w:rPr>
          <w:noProof/>
        </w:rPr>
        <w:t>3</w:t>
      </w:r>
      <w:r w:rsidRPr="00B552FE">
        <w:fldChar w:fldCharType="end"/>
      </w:r>
      <w:r w:rsidRPr="00B552FE">
        <w:t>).</w:t>
      </w:r>
      <w:r w:rsidR="007D412A" w:rsidRPr="00B552FE">
        <w:t xml:space="preserve"> Comparison between the upadacitinib, to adalimumab and ustekinumab FCD subgroups at baseline was not possible as the comparator subgroup data was not presented.</w:t>
      </w:r>
    </w:p>
    <w:p w14:paraId="016377E2" w14:textId="399C15B0" w:rsidR="00620C4B" w:rsidRPr="00B552FE" w:rsidRDefault="00620C4B" w:rsidP="00EB69AD">
      <w:pPr>
        <w:pStyle w:val="ListParagraph"/>
        <w:numPr>
          <w:ilvl w:val="2"/>
          <w:numId w:val="5"/>
        </w:numPr>
        <w:jc w:val="both"/>
      </w:pPr>
      <w:r w:rsidRPr="00B552FE">
        <w:t>The upadacitinib trials used post</w:t>
      </w:r>
      <w:r w:rsidR="00FC7500">
        <w:noBreakHyphen/>
      </w:r>
      <w:r w:rsidRPr="00B552FE">
        <w:t>hoc, single timepoint assessments whereas comparator trials required sustained response or remission across multiple consecutive visits. Comparator trials applied stricter response criteria, such as ≥2 consecutive visits in the infliximab T20 trial and ≥4 in the infliximab ACCENT II trial and conducted earlier and more frequent assessments throughout follow</w:t>
      </w:r>
      <w:r w:rsidR="00FC7500">
        <w:noBreakHyphen/>
      </w:r>
      <w:r w:rsidRPr="00B552FE">
        <w:t xml:space="preserve">up </w:t>
      </w:r>
      <w:r w:rsidRPr="005A408E">
        <w:t xml:space="preserve">(see paragraph </w:t>
      </w:r>
      <w:r w:rsidRPr="005A408E">
        <w:fldChar w:fldCharType="begin"/>
      </w:r>
      <w:r w:rsidRPr="005A408E">
        <w:instrText xml:space="preserve"> REF _Ref216643379 \r \h </w:instrText>
      </w:r>
      <w:r w:rsidR="00B552FE" w:rsidRPr="005A408E">
        <w:instrText xml:space="preserve"> \* MERGEFORMAT </w:instrText>
      </w:r>
      <w:r w:rsidRPr="005A408E">
        <w:fldChar w:fldCharType="separate"/>
      </w:r>
      <w:r w:rsidR="005A408E">
        <w:t>6.9</w:t>
      </w:r>
      <w:r w:rsidRPr="005A408E">
        <w:fldChar w:fldCharType="end"/>
      </w:r>
      <w:r w:rsidRPr="00B552FE">
        <w:t xml:space="preserve"> for discussion).</w:t>
      </w:r>
    </w:p>
    <w:p w14:paraId="5FFACA2E" w14:textId="77777777" w:rsidR="00620C4B" w:rsidRPr="00B552FE" w:rsidRDefault="00620C4B" w:rsidP="00EB69AD">
      <w:pPr>
        <w:pStyle w:val="ListParagraph"/>
        <w:numPr>
          <w:ilvl w:val="2"/>
          <w:numId w:val="5"/>
        </w:numPr>
        <w:jc w:val="both"/>
        <w:rPr>
          <w:rFonts w:eastAsia="Calibri"/>
        </w:rPr>
      </w:pPr>
      <w:r w:rsidRPr="00B552FE">
        <w:rPr>
          <w:rFonts w:eastAsia="Calibri"/>
        </w:rPr>
        <w:t>These differences reduced the transitivity between the trials, and thus limit confidence in the indirect comparisons.</w:t>
      </w:r>
    </w:p>
    <w:p w14:paraId="332B1F94" w14:textId="77777777" w:rsidR="00620C4B" w:rsidRPr="00B552FE" w:rsidRDefault="00620C4B" w:rsidP="00620C4B">
      <w:pPr>
        <w:pStyle w:val="ListParagraph"/>
        <w:ind w:left="1080"/>
        <w:jc w:val="both"/>
        <w:rPr>
          <w:rFonts w:eastAsia="Calibri"/>
        </w:rPr>
      </w:pPr>
      <w:r w:rsidRPr="00B552FE">
        <w:rPr>
          <w:rFonts w:eastAsia="Calibri"/>
        </w:rPr>
        <w:t>The use of subgroup analyses reduced the sample sizes and decreased the likelihood of finding a statistically significant difference in the treatment effect.</w:t>
      </w:r>
    </w:p>
    <w:p w14:paraId="1867400B" w14:textId="32046BB9" w:rsidR="00620C4B" w:rsidRPr="00B552FE" w:rsidRDefault="00620C4B" w:rsidP="00620C4B">
      <w:pPr>
        <w:pStyle w:val="ListParagraph"/>
        <w:ind w:left="1080"/>
        <w:jc w:val="both"/>
        <w:rPr>
          <w:rFonts w:eastAsia="Calibri"/>
        </w:rPr>
      </w:pPr>
      <w:r w:rsidRPr="00B552FE">
        <w:rPr>
          <w:rFonts w:eastAsia="Calibri"/>
        </w:rPr>
        <w:t>The indirect comparison results for induction and maintenance demonstrated that upadacitinib showed similar efficacy compared to infliximab, adalimumab and ustekinumab, with odds ratio</w:t>
      </w:r>
      <w:r w:rsidR="005041F7">
        <w:rPr>
          <w:rFonts w:eastAsia="Calibri"/>
        </w:rPr>
        <w:t>s</w:t>
      </w:r>
      <w:r w:rsidRPr="00B552FE">
        <w:rPr>
          <w:rFonts w:eastAsia="Calibri"/>
        </w:rPr>
        <w:t xml:space="preserve"> crossing unity, suggesting no statistically significant differences. However, for maintenance fistula remission (complete closure/absence of all draining fistula) the indirect comparison </w:t>
      </w:r>
      <w:r w:rsidR="003D232D" w:rsidRPr="00B552FE">
        <w:rPr>
          <w:rFonts w:eastAsia="Calibri"/>
        </w:rPr>
        <w:t>numerically</w:t>
      </w:r>
      <w:r w:rsidRPr="00B552FE">
        <w:rPr>
          <w:rFonts w:eastAsia="Calibri"/>
        </w:rPr>
        <w:t xml:space="preserve"> favoured infliximab, adalimumab and ustekinumab over upadacitinib (RD = </w:t>
      </w:r>
      <w:r w:rsidR="00FC7500">
        <w:rPr>
          <w:rFonts w:eastAsia="Calibri"/>
        </w:rPr>
        <w:noBreakHyphen/>
      </w:r>
      <w:r w:rsidRPr="00B552FE">
        <w:rPr>
          <w:rFonts w:eastAsia="Calibri"/>
        </w:rPr>
        <w:t xml:space="preserve">0.03, </w:t>
      </w:r>
      <w:r w:rsidR="00FC7500">
        <w:rPr>
          <w:rFonts w:eastAsia="Calibri"/>
        </w:rPr>
        <w:noBreakHyphen/>
      </w:r>
      <w:r w:rsidRPr="00B552FE">
        <w:rPr>
          <w:rFonts w:eastAsia="Calibri"/>
        </w:rPr>
        <w:t>0.10 and</w:t>
      </w:r>
      <w:r w:rsidR="00182ECC" w:rsidRPr="00B552FE">
        <w:rPr>
          <w:rFonts w:eastAsia="Calibri"/>
        </w:rPr>
        <w:t xml:space="preserve"> </w:t>
      </w:r>
      <w:r w:rsidR="00FC7500">
        <w:rPr>
          <w:rFonts w:eastAsia="Calibri"/>
        </w:rPr>
        <w:noBreakHyphen/>
      </w:r>
      <w:r w:rsidRPr="00B552FE">
        <w:rPr>
          <w:rFonts w:eastAsia="Calibri"/>
        </w:rPr>
        <w:t>0.20, respectively).</w:t>
      </w:r>
    </w:p>
    <w:p w14:paraId="4C10A037" w14:textId="77777777" w:rsidR="00620C4B" w:rsidRPr="00B552FE" w:rsidRDefault="00620C4B" w:rsidP="00620C4B">
      <w:pPr>
        <w:pStyle w:val="3-BodyText"/>
        <w:rPr>
          <w:rFonts w:eastAsia="Calibri"/>
        </w:rPr>
      </w:pPr>
      <w:r w:rsidRPr="00B552FE">
        <w:rPr>
          <w:lang w:eastAsia="en-US"/>
        </w:rPr>
        <w:t>In its assessment of ustekinumab as treatment for FCD, the PBAC previously noted the following, which may also apply in the current assessment:</w:t>
      </w:r>
    </w:p>
    <w:p w14:paraId="34DF3CFE" w14:textId="77777777" w:rsidR="00620C4B" w:rsidRPr="00B552FE" w:rsidRDefault="00620C4B" w:rsidP="00620C4B">
      <w:pPr>
        <w:pStyle w:val="ListParagraph"/>
        <w:ind w:left="1080"/>
        <w:jc w:val="both"/>
        <w:rPr>
          <w:rFonts w:eastAsia="Calibri"/>
        </w:rPr>
      </w:pPr>
      <w:r w:rsidRPr="00B552FE">
        <w:rPr>
          <w:lang w:eastAsia="en-US"/>
        </w:rPr>
        <w:lastRenderedPageBreak/>
        <w:t>Although the anchored indirect treatment comparisons generally found no statistically significant differences between ustekinumab vs adalimumab and infliximab for induction or maintenance treatment, the analyses were considered highly uncertain and difficult to interpret owing to poor level of evidence available and differences across the trials (paragraph 6.32, ustekinumab, PSD, July 2023 PBAC Meeting).</w:t>
      </w:r>
    </w:p>
    <w:p w14:paraId="6C84889C" w14:textId="59F2E09A" w:rsidR="006A3ED0" w:rsidRPr="006A3ED0" w:rsidRDefault="00620C4B" w:rsidP="006A3ED0">
      <w:pPr>
        <w:pStyle w:val="ListParagraph"/>
        <w:ind w:left="1080"/>
        <w:jc w:val="both"/>
        <w:rPr>
          <w:rFonts w:eastAsia="Calibri"/>
        </w:rPr>
      </w:pPr>
      <w:r w:rsidRPr="00B552FE">
        <w:rPr>
          <w:lang w:eastAsia="en-US"/>
        </w:rPr>
        <w:t>While the evidence supporting the clinical claims of non</w:t>
      </w:r>
      <w:r w:rsidR="00FC7500">
        <w:rPr>
          <w:lang w:eastAsia="en-US"/>
        </w:rPr>
        <w:noBreakHyphen/>
      </w:r>
      <w:r w:rsidRPr="00B552FE">
        <w:rPr>
          <w:lang w:eastAsia="en-US"/>
        </w:rPr>
        <w:t>inferior efficacy and safety vs the nominated comparators was limited, on balance when considering the clinical need for additional therapies for fistulising CD, the claims vs infliximab and adalimumab were likely to be reasonable (paragraph 7.1, ustekinumab, PSD, July 2023 PBAC Meeting).</w:t>
      </w:r>
    </w:p>
    <w:p w14:paraId="5A0F5013" w14:textId="3969B3E3" w:rsidR="006A3ED0" w:rsidRDefault="006A3ED0">
      <w:pPr>
        <w:pStyle w:val="3-BodyText"/>
        <w:rPr>
          <w:rFonts w:eastAsia="Calibri"/>
        </w:rPr>
      </w:pPr>
      <w:r w:rsidRPr="00F5408F">
        <w:rPr>
          <w:rFonts w:eastAsia="Calibri"/>
        </w:rPr>
        <w:t xml:space="preserve">The PSCR argued </w:t>
      </w:r>
      <w:r w:rsidR="00A4777F" w:rsidRPr="00F5408F">
        <w:rPr>
          <w:rFonts w:eastAsia="Calibri"/>
        </w:rPr>
        <w:t>that</w:t>
      </w:r>
      <w:r w:rsidR="00E1052E" w:rsidRPr="00F5408F">
        <w:rPr>
          <w:rFonts w:eastAsia="Calibri"/>
        </w:rPr>
        <w:t xml:space="preserve"> whilst there were limitations with the available evidence</w:t>
      </w:r>
      <w:r w:rsidR="00A4777F" w:rsidRPr="00F5408F">
        <w:rPr>
          <w:rFonts w:eastAsia="Calibri"/>
        </w:rPr>
        <w:t xml:space="preserve"> the indirect treatment comparison results presented support the claims of non</w:t>
      </w:r>
      <w:r w:rsidR="00FC7500">
        <w:rPr>
          <w:rFonts w:eastAsia="Calibri"/>
        </w:rPr>
        <w:noBreakHyphen/>
      </w:r>
      <w:r w:rsidR="00A4777F" w:rsidRPr="00F5408F">
        <w:rPr>
          <w:rFonts w:eastAsia="Calibri"/>
        </w:rPr>
        <w:t xml:space="preserve">inferiority to the other listed FCD therapies, noting that </w:t>
      </w:r>
      <w:r w:rsidR="00D921A0" w:rsidRPr="00F5408F">
        <w:rPr>
          <w:rFonts w:eastAsia="Calibri"/>
        </w:rPr>
        <w:t xml:space="preserve">the results indicated </w:t>
      </w:r>
      <w:r w:rsidR="00DD11B3" w:rsidRPr="00F5408F">
        <w:rPr>
          <w:rFonts w:eastAsia="Calibri"/>
        </w:rPr>
        <w:t xml:space="preserve">upadacitinib </w:t>
      </w:r>
      <w:r w:rsidR="00D921A0" w:rsidRPr="00F5408F">
        <w:rPr>
          <w:rFonts w:eastAsia="Calibri"/>
        </w:rPr>
        <w:t>was numerically favoured for some comparisons (</w:t>
      </w:r>
      <w:r w:rsidR="009C1B16" w:rsidRPr="00F5408F">
        <w:rPr>
          <w:rFonts w:eastAsia="Calibri"/>
        </w:rPr>
        <w:t xml:space="preserve">e.g. induction response/remission vs </w:t>
      </w:r>
      <w:r w:rsidR="00DD11B3" w:rsidRPr="00F5408F">
        <w:rPr>
          <w:rFonts w:eastAsia="Calibri"/>
        </w:rPr>
        <w:t xml:space="preserve">adalimumab </w:t>
      </w:r>
      <w:r w:rsidR="009C1B16" w:rsidRPr="00F5408F">
        <w:rPr>
          <w:rFonts w:eastAsia="Calibri"/>
        </w:rPr>
        <w:t>and</w:t>
      </w:r>
      <w:r w:rsidR="00DD11B3" w:rsidRPr="00F5408F">
        <w:rPr>
          <w:rFonts w:eastAsia="Calibri"/>
        </w:rPr>
        <w:t xml:space="preserve"> ustekinumab</w:t>
      </w:r>
      <w:r w:rsidR="009C1B16" w:rsidRPr="00F5408F">
        <w:rPr>
          <w:rFonts w:eastAsia="Calibri"/>
        </w:rPr>
        <w:t>)</w:t>
      </w:r>
      <w:r w:rsidR="004A1BE9" w:rsidRPr="00F5408F">
        <w:rPr>
          <w:rFonts w:eastAsia="Calibri"/>
        </w:rPr>
        <w:t xml:space="preserve"> and the est</w:t>
      </w:r>
      <w:r w:rsidR="00873522" w:rsidRPr="00F5408F">
        <w:rPr>
          <w:rFonts w:eastAsia="Calibri"/>
        </w:rPr>
        <w:t>ablished relativities</w:t>
      </w:r>
      <w:r w:rsidR="00476427" w:rsidRPr="00F5408F">
        <w:rPr>
          <w:rFonts w:eastAsia="Calibri"/>
        </w:rPr>
        <w:t xml:space="preserve"> of these therapies</w:t>
      </w:r>
      <w:r w:rsidR="00873522" w:rsidRPr="00F5408F">
        <w:rPr>
          <w:rFonts w:eastAsia="Calibri"/>
        </w:rPr>
        <w:t xml:space="preserve"> in severe Crohn’s disease further support the </w:t>
      </w:r>
      <w:r w:rsidR="00476427" w:rsidRPr="00F5408F">
        <w:rPr>
          <w:rFonts w:eastAsia="Calibri"/>
        </w:rPr>
        <w:t>clinical claims.</w:t>
      </w:r>
      <w:r w:rsidR="00FD37E4" w:rsidRPr="00F5408F">
        <w:rPr>
          <w:rFonts w:eastAsia="Calibri"/>
        </w:rPr>
        <w:t xml:space="preserve"> The PSCR also argued the evidence for other biologics </w:t>
      </w:r>
      <w:r w:rsidR="008D1216" w:rsidRPr="00F5408F">
        <w:rPr>
          <w:rFonts w:eastAsia="Calibri"/>
        </w:rPr>
        <w:t>for FCD considered by the PBAC had similar uncertainties.</w:t>
      </w:r>
      <w:r w:rsidR="00112A0A" w:rsidRPr="00F5408F">
        <w:rPr>
          <w:rFonts w:eastAsia="Calibri"/>
        </w:rPr>
        <w:t xml:space="preserve"> The ESC considered the evidence, while limited</w:t>
      </w:r>
      <w:r w:rsidR="00F271D4" w:rsidRPr="00F5408F">
        <w:rPr>
          <w:rFonts w:eastAsia="Calibri"/>
        </w:rPr>
        <w:t xml:space="preserve"> </w:t>
      </w:r>
      <w:r w:rsidR="000E57DB" w:rsidRPr="00F5408F">
        <w:rPr>
          <w:rFonts w:eastAsia="Calibri"/>
        </w:rPr>
        <w:t xml:space="preserve">for </w:t>
      </w:r>
      <w:r w:rsidR="00FD2972" w:rsidRPr="00F5408F">
        <w:rPr>
          <w:rFonts w:eastAsia="Calibri"/>
        </w:rPr>
        <w:t>multiple reasons (outlined in</w:t>
      </w:r>
      <w:r w:rsidR="00F271D4" w:rsidRPr="00F5408F">
        <w:rPr>
          <w:rFonts w:eastAsia="Calibri"/>
        </w:rPr>
        <w:t xml:space="preserve"> the </w:t>
      </w:r>
      <w:r w:rsidR="00FD2972" w:rsidRPr="00F5408F">
        <w:rPr>
          <w:rFonts w:eastAsia="Calibri"/>
        </w:rPr>
        <w:t xml:space="preserve">paragraphs above), </w:t>
      </w:r>
      <w:r w:rsidR="003A27FF" w:rsidRPr="00F5408F">
        <w:rPr>
          <w:rFonts w:eastAsia="Calibri"/>
        </w:rPr>
        <w:t xml:space="preserve">was </w:t>
      </w:r>
      <w:r w:rsidR="00C040CD" w:rsidRPr="00F5408F">
        <w:rPr>
          <w:rFonts w:eastAsia="Calibri"/>
        </w:rPr>
        <w:t>of similar quality to that used to support other</w:t>
      </w:r>
      <w:r w:rsidR="0035090D" w:rsidRPr="00F5408F">
        <w:rPr>
          <w:rFonts w:eastAsia="Calibri"/>
        </w:rPr>
        <w:t xml:space="preserve"> </w:t>
      </w:r>
      <w:r w:rsidR="007A3A70" w:rsidRPr="00F5408F">
        <w:rPr>
          <w:rFonts w:eastAsia="Calibri"/>
        </w:rPr>
        <w:t>biologic</w:t>
      </w:r>
      <w:r w:rsidR="0035090D" w:rsidRPr="00F5408F">
        <w:rPr>
          <w:rFonts w:eastAsia="Calibri"/>
        </w:rPr>
        <w:t xml:space="preserve"> submissions for FCD</w:t>
      </w:r>
      <w:r w:rsidR="007A3A70" w:rsidRPr="00F5408F">
        <w:rPr>
          <w:rFonts w:eastAsia="Calibri"/>
        </w:rPr>
        <w:t>.</w:t>
      </w:r>
      <w:r w:rsidR="003F177E">
        <w:rPr>
          <w:rFonts w:eastAsia="Calibri"/>
        </w:rPr>
        <w:t xml:space="preserve"> </w:t>
      </w:r>
    </w:p>
    <w:p w14:paraId="5C01CAA5" w14:textId="0219B77A" w:rsidR="003F177E" w:rsidRPr="00E77537" w:rsidRDefault="003F177E" w:rsidP="003F177E">
      <w:pPr>
        <w:pStyle w:val="3-BodyText"/>
        <w:rPr>
          <w:snapToGrid w:val="0"/>
        </w:rPr>
      </w:pPr>
      <w:bookmarkStart w:id="77" w:name="_Hlk76376200"/>
      <w:r w:rsidRPr="00E77537">
        <w:rPr>
          <w:iCs/>
          <w:snapToGrid w:val="0"/>
        </w:rPr>
        <w:t>The</w:t>
      </w:r>
      <w:r w:rsidRPr="00E77537">
        <w:rPr>
          <w:snapToGrid w:val="0"/>
        </w:rPr>
        <w:t xml:space="preserve"> PBAC </w:t>
      </w:r>
      <w:r w:rsidR="004C507F" w:rsidRPr="00E77537">
        <w:rPr>
          <w:snapToGrid w:val="0"/>
        </w:rPr>
        <w:t>noted</w:t>
      </w:r>
      <w:r w:rsidRPr="00E77537">
        <w:rPr>
          <w:snapToGrid w:val="0"/>
        </w:rPr>
        <w:t xml:space="preserve"> that the claim</w:t>
      </w:r>
      <w:r w:rsidR="00CB7D8A" w:rsidRPr="00E77537">
        <w:rPr>
          <w:snapToGrid w:val="0"/>
        </w:rPr>
        <w:t>s</w:t>
      </w:r>
      <w:r w:rsidRPr="00E77537">
        <w:rPr>
          <w:snapToGrid w:val="0"/>
        </w:rPr>
        <w:t xml:space="preserve"> of non</w:t>
      </w:r>
      <w:r w:rsidR="00FC7500">
        <w:rPr>
          <w:snapToGrid w:val="0"/>
        </w:rPr>
        <w:noBreakHyphen/>
      </w:r>
      <w:r w:rsidRPr="00E77537">
        <w:rPr>
          <w:snapToGrid w:val="0"/>
        </w:rPr>
        <w:t>inferior comparative effectiveness</w:t>
      </w:r>
      <w:r w:rsidR="00CB7D8A" w:rsidRPr="00E77537">
        <w:rPr>
          <w:snapToGrid w:val="0"/>
        </w:rPr>
        <w:t xml:space="preserve"> and safety were</w:t>
      </w:r>
      <w:r w:rsidR="004C507F" w:rsidRPr="00E77537">
        <w:rPr>
          <w:snapToGrid w:val="0"/>
        </w:rPr>
        <w:t xml:space="preserve"> supported by limited and uncertain data but considered, on balance, were likely to be reasonable.</w:t>
      </w:r>
      <w:r w:rsidRPr="00E77537">
        <w:rPr>
          <w:snapToGrid w:val="0"/>
        </w:rPr>
        <w:t xml:space="preserve"> </w:t>
      </w:r>
    </w:p>
    <w:p w14:paraId="74A1172E" w14:textId="2694B288" w:rsidR="00B60939" w:rsidRPr="0098262F" w:rsidRDefault="00B60939" w:rsidP="00E9094A">
      <w:pPr>
        <w:pStyle w:val="4-SubsectionHeading"/>
      </w:pPr>
      <w:bookmarkStart w:id="78" w:name="_Toc219709223"/>
      <w:bookmarkEnd w:id="3"/>
      <w:bookmarkEnd w:id="77"/>
      <w:r w:rsidRPr="0098262F">
        <w:t>Economic analysis</w:t>
      </w:r>
      <w:bookmarkEnd w:id="4"/>
      <w:bookmarkEnd w:id="78"/>
      <w:r w:rsidR="00491B3A" w:rsidRPr="0098262F">
        <w:t xml:space="preserve"> </w:t>
      </w:r>
    </w:p>
    <w:p w14:paraId="139E06F5" w14:textId="6C8C1D55" w:rsidR="00AE4932" w:rsidRPr="00B552FE" w:rsidRDefault="00AE4932" w:rsidP="00AE4932">
      <w:pPr>
        <w:pStyle w:val="3-BodyText"/>
      </w:pPr>
      <w:bookmarkStart w:id="79" w:name="_Toc22897647"/>
      <w:r w:rsidRPr="00B552FE">
        <w:t>The submission</w:t>
      </w:r>
      <w:r w:rsidRPr="00B552FE" w:rsidDel="003B0A6A">
        <w:t xml:space="preserve"> </w:t>
      </w:r>
      <w:r w:rsidR="003B0A6A" w:rsidRPr="00B552FE">
        <w:t>proposed</w:t>
      </w:r>
      <w:r w:rsidRPr="00B552FE">
        <w:t xml:space="preserve"> a cost</w:t>
      </w:r>
      <w:r w:rsidR="00FC7500">
        <w:noBreakHyphen/>
      </w:r>
      <w:r w:rsidRPr="00B552FE">
        <w:t xml:space="preserve">minimisation approach </w:t>
      </w:r>
      <w:r w:rsidR="00560160" w:rsidRPr="00B552FE">
        <w:t xml:space="preserve">(CMA) </w:t>
      </w:r>
      <w:r w:rsidRPr="00B552FE">
        <w:t xml:space="preserve">comparing upadacitinib with infliximab, ustekinumab and adalimumab for the treatment of FCD, </w:t>
      </w:r>
      <w:proofErr w:type="gramStart"/>
      <w:r w:rsidRPr="00B552FE">
        <w:t>on the basis of</w:t>
      </w:r>
      <w:proofErr w:type="gramEnd"/>
      <w:r w:rsidRPr="00B552FE">
        <w:t xml:space="preserve"> non</w:t>
      </w:r>
      <w:r w:rsidR="00FC7500">
        <w:noBreakHyphen/>
      </w:r>
      <w:r w:rsidRPr="00B552FE">
        <w:t>inferior comparative effectiveness and safety. A 2</w:t>
      </w:r>
      <w:r w:rsidR="00FC7500">
        <w:noBreakHyphen/>
      </w:r>
      <w:r w:rsidRPr="00B552FE">
        <w:t>year time horizon was assumed to capture the induction and maintenance phases of treatment. Drug acquisition costs were estimated using ex</w:t>
      </w:r>
      <w:r w:rsidR="00FC7500">
        <w:noBreakHyphen/>
      </w:r>
      <w:r w:rsidRPr="00B552FE">
        <w:t>manufacturer prices (AEMP), with administration</w:t>
      </w:r>
      <w:r w:rsidR="00FC7500">
        <w:noBreakHyphen/>
      </w:r>
      <w:r w:rsidRPr="00B552FE">
        <w:t>related MBS costs applied where relevant. The submission used a weighted</w:t>
      </w:r>
      <w:r w:rsidR="00FC7500">
        <w:noBreakHyphen/>
      </w:r>
      <w:r w:rsidRPr="00B552FE">
        <w:t>average comparator AEMP price to propose a cost</w:t>
      </w:r>
      <w:r w:rsidR="00FC7500">
        <w:noBreakHyphen/>
      </w:r>
      <w:r w:rsidRPr="00B552FE">
        <w:t>minimised price for upadacitinib</w:t>
      </w:r>
      <w:r w:rsidR="00F4172C">
        <w:t>.</w:t>
      </w:r>
    </w:p>
    <w:p w14:paraId="307DB002" w14:textId="43EA0FA8" w:rsidR="00AE4932" w:rsidRPr="00B552FE" w:rsidRDefault="00AE4932" w:rsidP="00AE4932">
      <w:pPr>
        <w:pStyle w:val="3-BodyText"/>
      </w:pPr>
      <w:bookmarkStart w:id="80" w:name="_Ref216646189"/>
      <w:r w:rsidRPr="00B552FE">
        <w:t xml:space="preserve">The analysis assumed no differential monitoring or AE management costs between treatments. The TGA PI documents reviewed during the evaluation indicated that upadacitinib includes monitoring recommendations (e.g., lipid testing, laboratory thresholds), while biologic comparators include precautions for serious infections and screening requirements. The recent PBAC CMAs for complex refractory </w:t>
      </w:r>
      <w:r w:rsidR="00560160" w:rsidRPr="00B552FE">
        <w:t>FCD</w:t>
      </w:r>
      <w:r w:rsidRPr="00B552FE">
        <w:t xml:space="preserve"> (e.g. ustekinumab July 2023; infliximab Nov 2020) did not incorporate laboratory monitoring or </w:t>
      </w:r>
      <w:r w:rsidR="00560160" w:rsidRPr="00B552FE">
        <w:t>AE</w:t>
      </w:r>
      <w:r w:rsidRPr="00B552FE">
        <w:t xml:space="preserve"> management costs. Therefore, the omission of differential </w:t>
      </w:r>
      <w:r w:rsidRPr="00B552FE">
        <w:lastRenderedPageBreak/>
        <w:t>monitoring costs in the submission seems consistent with the PBAC precedent for the proposed indication.</w:t>
      </w:r>
      <w:bookmarkEnd w:id="80"/>
      <w:r w:rsidRPr="00B552FE">
        <w:t xml:space="preserve"> </w:t>
      </w:r>
    </w:p>
    <w:p w14:paraId="60D60FBF" w14:textId="5F8DD527" w:rsidR="00AE4932" w:rsidRPr="00B552FE" w:rsidRDefault="00AE4932" w:rsidP="00AE4932">
      <w:pPr>
        <w:pStyle w:val="3-BodyText"/>
      </w:pPr>
      <w:r w:rsidRPr="00B552FE">
        <w:t>The proposed equi</w:t>
      </w:r>
      <w:r w:rsidR="00FC7500">
        <w:noBreakHyphen/>
      </w:r>
      <w:r w:rsidRPr="00B552FE">
        <w:t>effective doses were based on the PI</w:t>
      </w:r>
      <w:r w:rsidR="00FC7500">
        <w:noBreakHyphen/>
      </w:r>
      <w:r w:rsidRPr="00B552FE">
        <w:t>recommended doses and average vial requirements</w:t>
      </w:r>
      <w:r w:rsidR="00C91987" w:rsidRPr="00B552FE">
        <w:t xml:space="preserve"> based on utilisation</w:t>
      </w:r>
      <w:r w:rsidRPr="00B552FE">
        <w:t>:</w:t>
      </w:r>
    </w:p>
    <w:p w14:paraId="0F26F61F" w14:textId="61568913" w:rsidR="00AE4932" w:rsidRPr="00B552FE" w:rsidRDefault="00AE4932" w:rsidP="001E0488">
      <w:pPr>
        <w:pStyle w:val="ListParagraph"/>
        <w:ind w:left="1080"/>
        <w:jc w:val="both"/>
        <w:rPr>
          <w:lang w:eastAsia="en-US"/>
        </w:rPr>
      </w:pPr>
      <w:r w:rsidRPr="00B552FE">
        <w:rPr>
          <w:lang w:eastAsia="en-US"/>
        </w:rPr>
        <w:t xml:space="preserve">Ustekinumab: weight based </w:t>
      </w:r>
      <w:r w:rsidR="00A42550" w:rsidRPr="00B552FE">
        <w:rPr>
          <w:lang w:eastAsia="en-US"/>
        </w:rPr>
        <w:t>intravenous (</w:t>
      </w:r>
      <w:r w:rsidRPr="00B552FE">
        <w:rPr>
          <w:lang w:eastAsia="en-US"/>
        </w:rPr>
        <w:t>IV</w:t>
      </w:r>
      <w:r w:rsidR="00A42550" w:rsidRPr="00B552FE">
        <w:rPr>
          <w:lang w:eastAsia="en-US"/>
        </w:rPr>
        <w:t>)</w:t>
      </w:r>
      <w:r w:rsidRPr="00B552FE">
        <w:rPr>
          <w:lang w:eastAsia="en-US"/>
        </w:rPr>
        <w:t xml:space="preserve"> dose at Week 0 (estimated at 3.3 × 130 mg vials based on 2024</w:t>
      </w:r>
      <w:r w:rsidR="00FC7500">
        <w:rPr>
          <w:lang w:eastAsia="en-US"/>
        </w:rPr>
        <w:noBreakHyphen/>
      </w:r>
      <w:r w:rsidRPr="00B552FE">
        <w:rPr>
          <w:lang w:eastAsia="en-US"/>
        </w:rPr>
        <w:t xml:space="preserve">2025 PBS/RPBS utilisation), followed by 90 mg </w:t>
      </w:r>
      <w:r w:rsidR="00A42550" w:rsidRPr="00B552FE">
        <w:rPr>
          <w:lang w:eastAsia="en-US"/>
        </w:rPr>
        <w:t>subcutaneous (</w:t>
      </w:r>
      <w:r w:rsidRPr="00B552FE">
        <w:rPr>
          <w:lang w:eastAsia="en-US"/>
        </w:rPr>
        <w:t>SC</w:t>
      </w:r>
      <w:r w:rsidR="00A42550" w:rsidRPr="00B552FE">
        <w:rPr>
          <w:lang w:eastAsia="en-US"/>
        </w:rPr>
        <w:t>)</w:t>
      </w:r>
      <w:r w:rsidRPr="00B552FE">
        <w:rPr>
          <w:lang w:eastAsia="en-US"/>
        </w:rPr>
        <w:t xml:space="preserve"> at Week 8, then 90 mg SC every 8 weeks (88%) or 12 weeks (12%) thereafter.</w:t>
      </w:r>
    </w:p>
    <w:p w14:paraId="64BCADAB" w14:textId="4E08C70B" w:rsidR="00AE4932" w:rsidRPr="00B552FE" w:rsidRDefault="00AE4932" w:rsidP="001E0488">
      <w:pPr>
        <w:pStyle w:val="ListParagraph"/>
        <w:ind w:left="1080"/>
        <w:jc w:val="both"/>
        <w:rPr>
          <w:lang w:eastAsia="en-US"/>
        </w:rPr>
      </w:pPr>
      <w:r w:rsidRPr="00B552FE">
        <w:rPr>
          <w:lang w:eastAsia="en-US"/>
        </w:rPr>
        <w:t>Infliximab (IV): 5 mg/kg at Weeks 0, 2 and 6, then every 8 weeks thereafter, with an average of 4.36 × 100 mg vials per infusion based on the 2024</w:t>
      </w:r>
      <w:r w:rsidR="00FC7500">
        <w:rPr>
          <w:lang w:eastAsia="en-US"/>
        </w:rPr>
        <w:noBreakHyphen/>
      </w:r>
      <w:r w:rsidRPr="00B552FE">
        <w:rPr>
          <w:lang w:eastAsia="en-US"/>
        </w:rPr>
        <w:t>2025 PBS/RPBS utilisation.</w:t>
      </w:r>
    </w:p>
    <w:p w14:paraId="355F71FB" w14:textId="77777777" w:rsidR="00AE4932" w:rsidRPr="00B552FE" w:rsidRDefault="00AE4932" w:rsidP="001E0488">
      <w:pPr>
        <w:pStyle w:val="ListParagraph"/>
        <w:ind w:left="1080"/>
        <w:jc w:val="both"/>
        <w:rPr>
          <w:lang w:eastAsia="en-US"/>
        </w:rPr>
      </w:pPr>
      <w:r w:rsidRPr="00B552FE">
        <w:rPr>
          <w:lang w:eastAsia="en-US"/>
        </w:rPr>
        <w:t>Infliximab (IV + SC): 5 mg/kg IV at Weeks 0 and 2, followed by 120 mg SC every 2 weeks from Week 6.</w:t>
      </w:r>
    </w:p>
    <w:p w14:paraId="29A48380" w14:textId="77777777" w:rsidR="00AE4932" w:rsidRPr="00B552FE" w:rsidRDefault="00AE4932" w:rsidP="001E0488">
      <w:pPr>
        <w:pStyle w:val="ListParagraph"/>
        <w:ind w:left="1080"/>
        <w:jc w:val="both"/>
        <w:rPr>
          <w:lang w:eastAsia="en-US"/>
        </w:rPr>
      </w:pPr>
      <w:r w:rsidRPr="00B552FE">
        <w:rPr>
          <w:lang w:eastAsia="en-US"/>
        </w:rPr>
        <w:t>Adalimumab: 160 mg at Week 0, 80 mg at Week 2, then 40 mg every 2 weeks.</w:t>
      </w:r>
    </w:p>
    <w:p w14:paraId="27558CC2" w14:textId="77777777" w:rsidR="00AE4932" w:rsidRPr="00B552FE" w:rsidRDefault="00AE4932" w:rsidP="001E0488">
      <w:pPr>
        <w:pStyle w:val="ListParagraph"/>
        <w:ind w:left="1080"/>
        <w:jc w:val="both"/>
        <w:rPr>
          <w:lang w:eastAsia="en-US"/>
        </w:rPr>
      </w:pPr>
      <w:r w:rsidRPr="00B552FE">
        <w:rPr>
          <w:lang w:eastAsia="en-US"/>
        </w:rPr>
        <w:t>Upadacitinib: 45 mg once daily for 12 weeks followed by 30 mg or 15 mg once daily maintenance.</w:t>
      </w:r>
    </w:p>
    <w:bookmarkStart w:id="81" w:name="_Ref224649076"/>
    <w:p w14:paraId="1805BE5A" w14:textId="79B67AC1" w:rsidR="00AE4932" w:rsidRPr="004A1333" w:rsidRDefault="001E0488" w:rsidP="00AE4932">
      <w:pPr>
        <w:pStyle w:val="3-BodyText"/>
      </w:pPr>
      <w:r w:rsidRPr="004A1333">
        <w:fldChar w:fldCharType="begin"/>
      </w:r>
      <w:r w:rsidRPr="004A1333">
        <w:instrText xml:space="preserve"> REF _Ref216644746 \h </w:instrText>
      </w:r>
      <w:r w:rsidR="00B552FE" w:rsidRPr="004A1333">
        <w:instrText xml:space="preserve"> \* MERGEFORMAT </w:instrText>
      </w:r>
      <w:r w:rsidRPr="004A1333">
        <w:fldChar w:fldCharType="separate"/>
      </w:r>
      <w:r w:rsidRPr="004A1333">
        <w:t xml:space="preserve">Table </w:t>
      </w:r>
      <w:r w:rsidRPr="004A1333">
        <w:rPr>
          <w:noProof/>
        </w:rPr>
        <w:t>7</w:t>
      </w:r>
      <w:r w:rsidRPr="004A1333">
        <w:fldChar w:fldCharType="end"/>
      </w:r>
      <w:r w:rsidRPr="004A1333">
        <w:t xml:space="preserve"> </w:t>
      </w:r>
      <w:r w:rsidR="00560160" w:rsidRPr="004A1333">
        <w:t>shows</w:t>
      </w:r>
      <w:r w:rsidR="00AE4932" w:rsidRPr="004A1333">
        <w:t xml:space="preserve"> the </w:t>
      </w:r>
      <w:r w:rsidR="00560160" w:rsidRPr="004A1333">
        <w:t xml:space="preserve">CMA </w:t>
      </w:r>
      <w:r w:rsidR="00AE4932" w:rsidRPr="004A1333">
        <w:t>results presented in the</w:t>
      </w:r>
      <w:r w:rsidR="004B375D" w:rsidRPr="004A1333">
        <w:t xml:space="preserve"> submission with amendments from the</w:t>
      </w:r>
      <w:r w:rsidR="00AE4932" w:rsidRPr="004A1333">
        <w:t xml:space="preserve"> </w:t>
      </w:r>
      <w:r w:rsidR="000D630A" w:rsidRPr="004A1333">
        <w:t>PSCR</w:t>
      </w:r>
      <w:r w:rsidR="00AE4932" w:rsidRPr="004A1333">
        <w:t>, based on the following key assumptions:</w:t>
      </w:r>
      <w:bookmarkEnd w:id="81"/>
    </w:p>
    <w:p w14:paraId="2F644E4D" w14:textId="219ADD48" w:rsidR="00AE4932" w:rsidRPr="004A1333" w:rsidRDefault="00AE4932" w:rsidP="001E0488">
      <w:pPr>
        <w:pStyle w:val="ListParagraph"/>
        <w:ind w:left="1080"/>
        <w:jc w:val="both"/>
        <w:rPr>
          <w:rFonts w:eastAsiaTheme="minorHAnsi" w:cstheme="minorBidi"/>
          <w:snapToGrid/>
          <w:szCs w:val="22"/>
        </w:rPr>
      </w:pPr>
      <w:r w:rsidRPr="004A1333">
        <w:rPr>
          <w:rFonts w:eastAsiaTheme="minorHAnsi" w:cstheme="minorBidi"/>
          <w:snapToGrid/>
          <w:szCs w:val="22"/>
        </w:rPr>
        <w:t xml:space="preserve">The </w:t>
      </w:r>
      <w:r w:rsidRPr="004A1333">
        <w:rPr>
          <w:lang w:eastAsia="en-US"/>
        </w:rPr>
        <w:t>analysis</w:t>
      </w:r>
      <w:r w:rsidRPr="004A1333">
        <w:rPr>
          <w:rFonts w:eastAsiaTheme="minorHAnsi" w:cstheme="minorBidi"/>
          <w:snapToGrid/>
          <w:szCs w:val="22"/>
        </w:rPr>
        <w:t xml:space="preserve"> was conducted at the </w:t>
      </w:r>
      <w:r w:rsidR="00D10D6B" w:rsidRPr="004A1333">
        <w:rPr>
          <w:rFonts w:eastAsiaTheme="minorHAnsi" w:cstheme="minorBidi"/>
          <w:snapToGrid/>
          <w:szCs w:val="22"/>
        </w:rPr>
        <w:t xml:space="preserve">published </w:t>
      </w:r>
      <w:r w:rsidRPr="004A1333">
        <w:rPr>
          <w:rFonts w:eastAsiaTheme="minorHAnsi" w:cstheme="minorBidi"/>
          <w:snapToGrid/>
          <w:szCs w:val="22"/>
        </w:rPr>
        <w:t>AEMP level for all comparators</w:t>
      </w:r>
      <w:r w:rsidR="00AD4B91">
        <w:rPr>
          <w:rFonts w:eastAsiaTheme="minorHAnsi" w:cstheme="minorBidi"/>
          <w:snapToGrid/>
          <w:szCs w:val="22"/>
        </w:rPr>
        <w:t xml:space="preserve">, however it was confirmed </w:t>
      </w:r>
      <w:r w:rsidR="00D860E3">
        <w:rPr>
          <w:rFonts w:eastAsiaTheme="minorHAnsi" w:cstheme="minorBidi"/>
          <w:snapToGrid/>
          <w:szCs w:val="22"/>
        </w:rPr>
        <w:t>at time of</w:t>
      </w:r>
      <w:r w:rsidR="00AD4B91">
        <w:rPr>
          <w:rFonts w:eastAsiaTheme="minorHAnsi" w:cstheme="minorBidi"/>
          <w:snapToGrid/>
          <w:szCs w:val="22"/>
        </w:rPr>
        <w:t xml:space="preserve"> evaluation that no special pricing arrangements exist for </w:t>
      </w:r>
      <w:r w:rsidR="00D860E3">
        <w:rPr>
          <w:rFonts w:eastAsiaTheme="minorHAnsi" w:cstheme="minorBidi"/>
          <w:snapToGrid/>
          <w:szCs w:val="22"/>
        </w:rPr>
        <w:t>these agents</w:t>
      </w:r>
      <w:r w:rsidRPr="004A1333">
        <w:rPr>
          <w:rFonts w:eastAsiaTheme="minorHAnsi" w:cstheme="minorBidi"/>
          <w:snapToGrid/>
          <w:szCs w:val="22"/>
        </w:rPr>
        <w:t xml:space="preserve">. </w:t>
      </w:r>
    </w:p>
    <w:p w14:paraId="361C9E04" w14:textId="76C6DF78" w:rsidR="00AE4932" w:rsidRPr="004A1333" w:rsidRDefault="00AE4932" w:rsidP="001E0488">
      <w:pPr>
        <w:pStyle w:val="ListParagraph"/>
        <w:ind w:left="1080"/>
        <w:jc w:val="both"/>
      </w:pPr>
      <w:r w:rsidRPr="004A1333">
        <w:t xml:space="preserve">The submission proposed a flat effective AEMP for upadacitinib across all strengths (45 mg, 30 mg and 15 mg). </w:t>
      </w:r>
    </w:p>
    <w:p w14:paraId="3F08B013" w14:textId="45097DF2" w:rsidR="000D630A" w:rsidRPr="004A1333" w:rsidRDefault="000D630A" w:rsidP="001E0488">
      <w:pPr>
        <w:pStyle w:val="ListParagraph"/>
        <w:ind w:left="1080"/>
        <w:jc w:val="both"/>
      </w:pPr>
      <w:r w:rsidRPr="004A1333">
        <w:t xml:space="preserve">The PSCR </w:t>
      </w:r>
      <w:r w:rsidR="00C33F37" w:rsidRPr="004A1333">
        <w:t>amended the costs of the</w:t>
      </w:r>
      <w:r w:rsidR="00472294" w:rsidRPr="004A1333">
        <w:t xml:space="preserve"> </w:t>
      </w:r>
      <w:r w:rsidR="00C362AD" w:rsidRPr="004A1333">
        <w:t>adalimumab, infliximab</w:t>
      </w:r>
      <w:r w:rsidR="00815215" w:rsidRPr="004A1333">
        <w:t xml:space="preserve"> </w:t>
      </w:r>
      <w:r w:rsidR="00C33F37" w:rsidRPr="004A1333">
        <w:t xml:space="preserve">SC and </w:t>
      </w:r>
      <w:r w:rsidR="00815215" w:rsidRPr="004A1333">
        <w:t xml:space="preserve">ustekinumab </w:t>
      </w:r>
      <w:r w:rsidR="00C33F37" w:rsidRPr="004A1333">
        <w:t xml:space="preserve">regimens to reflect GP administration costs (MBS item 23) rather than IV administration costs </w:t>
      </w:r>
      <w:r w:rsidR="004B375D" w:rsidRPr="004A1333">
        <w:t xml:space="preserve">for the SC treatment components (see paragraph </w:t>
      </w:r>
      <w:r w:rsidR="004B375D" w:rsidRPr="004A1333">
        <w:fldChar w:fldCharType="begin"/>
      </w:r>
      <w:r w:rsidR="004B375D" w:rsidRPr="004A1333">
        <w:instrText xml:space="preserve"> REF _Ref221532425 \r \h </w:instrText>
      </w:r>
      <w:r w:rsidR="004A1333" w:rsidRPr="004A1333">
        <w:instrText xml:space="preserve"> \* MERGEFORMAT </w:instrText>
      </w:r>
      <w:r w:rsidR="004B375D" w:rsidRPr="004A1333">
        <w:fldChar w:fldCharType="separate"/>
      </w:r>
      <w:r w:rsidR="00651FA5">
        <w:t>6.37</w:t>
      </w:r>
      <w:r w:rsidR="004B375D" w:rsidRPr="004A1333">
        <w:fldChar w:fldCharType="end"/>
      </w:r>
      <w:r w:rsidR="004B375D" w:rsidRPr="004A1333">
        <w:t xml:space="preserve">). </w:t>
      </w:r>
    </w:p>
    <w:p w14:paraId="02E6C238" w14:textId="47F6C751" w:rsidR="00AE4932" w:rsidRPr="004A1333" w:rsidRDefault="00AE4932" w:rsidP="001E0488">
      <w:pPr>
        <w:pStyle w:val="ListParagraph"/>
        <w:ind w:left="1080"/>
        <w:jc w:val="both"/>
      </w:pPr>
      <w:r w:rsidRPr="004A1333">
        <w:t>The submission cost</w:t>
      </w:r>
      <w:r w:rsidR="00FC7500">
        <w:noBreakHyphen/>
      </w:r>
      <w:r w:rsidRPr="004A1333">
        <w:t>minimised upadacitinib to a utilisation</w:t>
      </w:r>
      <w:r w:rsidR="00FC7500">
        <w:noBreakHyphen/>
      </w:r>
      <w:r w:rsidRPr="004A1333">
        <w:t>weighted average of comparator AEMPs</w:t>
      </w:r>
      <w:r w:rsidR="00F55F75" w:rsidRPr="004A1333">
        <w:t>, with weights derived from 2024 initiation script utilisation</w:t>
      </w:r>
      <w:r w:rsidR="00F67810" w:rsidRPr="004A1333">
        <w:t>,</w:t>
      </w:r>
      <w:r w:rsidR="00231CA4" w:rsidRPr="004A1333">
        <w:t xml:space="preserve"> which placed greater weight on higher</w:t>
      </w:r>
      <w:r w:rsidR="00FC7500">
        <w:noBreakHyphen/>
      </w:r>
      <w:r w:rsidR="00231CA4" w:rsidRPr="004A1333">
        <w:t>cost comparator therapies such as adalimumab and infliximab</w:t>
      </w:r>
      <w:r w:rsidRPr="004A1333">
        <w:t>.</w:t>
      </w:r>
      <w:r w:rsidR="00E63ECC">
        <w:t xml:space="preserve"> </w:t>
      </w:r>
      <w:r w:rsidRPr="004A1333">
        <w:t xml:space="preserve">The PBAC </w:t>
      </w:r>
      <w:r w:rsidR="00803729" w:rsidRPr="004A1333">
        <w:t>has previously advised that</w:t>
      </w:r>
      <w:r w:rsidRPr="004A1333">
        <w:t>, in a CMA, the proposed medicine should be cost</w:t>
      </w:r>
      <w:r w:rsidR="00FC7500">
        <w:noBreakHyphen/>
      </w:r>
      <w:r w:rsidRPr="004A1333">
        <w:t>minimised to the least costly alternative therapy (paragraph 7.1, ustekinumab, PSD, July 2023 PBAC meeting).</w:t>
      </w:r>
      <w:r w:rsidR="001C7CF8" w:rsidRPr="004A1333">
        <w:t xml:space="preserve"> Also, as</w:t>
      </w:r>
      <w:r w:rsidR="006E5C1D" w:rsidRPr="004A1333">
        <w:t xml:space="preserve"> initiation scripts capture incident patients (new treatment starts) </w:t>
      </w:r>
      <w:r w:rsidR="00DE0545" w:rsidRPr="004A1333">
        <w:t xml:space="preserve">only </w:t>
      </w:r>
      <w:r w:rsidR="006E5C1D" w:rsidRPr="004A1333">
        <w:t xml:space="preserve">rather than the prevalent treated population, </w:t>
      </w:r>
      <w:r w:rsidR="001C7CF8" w:rsidRPr="004A1333">
        <w:t>th</w:t>
      </w:r>
      <w:r w:rsidR="00C349A1" w:rsidRPr="004A1333">
        <w:t>e</w:t>
      </w:r>
      <w:r w:rsidR="006E5C1D" w:rsidRPr="004A1333">
        <w:t xml:space="preserve"> </w:t>
      </w:r>
      <w:r w:rsidR="00651505" w:rsidRPr="004A1333">
        <w:t>cost</w:t>
      </w:r>
      <w:r w:rsidR="00FC7500">
        <w:noBreakHyphen/>
      </w:r>
      <w:r w:rsidR="00651505" w:rsidRPr="004A1333">
        <w:t xml:space="preserve">minimisation </w:t>
      </w:r>
      <w:r w:rsidR="006E5C1D" w:rsidRPr="004A1333">
        <w:t xml:space="preserve">approach </w:t>
      </w:r>
      <w:r w:rsidR="00651505" w:rsidRPr="004A1333">
        <w:t>in</w:t>
      </w:r>
      <w:r w:rsidR="00C349A1" w:rsidRPr="004A1333">
        <w:t xml:space="preserve"> the submission</w:t>
      </w:r>
      <w:r w:rsidR="001C7CF8" w:rsidRPr="004A1333">
        <w:t xml:space="preserve"> </w:t>
      </w:r>
      <w:r w:rsidR="006E5C1D" w:rsidRPr="004A1333">
        <w:t>may not reflect proportional use across ongoing therapy in a chronic condition.</w:t>
      </w:r>
    </w:p>
    <w:p w14:paraId="6ECECF40" w14:textId="60C3FF40" w:rsidR="000D630A" w:rsidRDefault="00803729">
      <w:pPr>
        <w:pStyle w:val="ListParagraph"/>
        <w:ind w:left="1080"/>
        <w:jc w:val="both"/>
        <w:sectPr w:rsidR="000D630A" w:rsidSect="00824818">
          <w:pgSz w:w="11907" w:h="16840" w:code="9"/>
          <w:pgMar w:top="1440" w:right="1440" w:bottom="1440" w:left="1440" w:header="1440" w:footer="1440" w:gutter="0"/>
          <w:cols w:space="708"/>
          <w:docGrid w:linePitch="360"/>
        </w:sectPr>
      </w:pPr>
      <w:r w:rsidRPr="00B552FE">
        <w:rPr>
          <w:lang w:eastAsia="en-US"/>
        </w:rPr>
        <w:t>Because infliximab and ustekinumab dosing is weight</w:t>
      </w:r>
      <w:r w:rsidR="00FC7500">
        <w:rPr>
          <w:lang w:eastAsia="en-US"/>
        </w:rPr>
        <w:noBreakHyphen/>
      </w:r>
      <w:r w:rsidRPr="00B552FE">
        <w:rPr>
          <w:lang w:eastAsia="en-US"/>
        </w:rPr>
        <w:t xml:space="preserve">based and PBS dispensing does not record patient weight, the submission estimated the average number of </w:t>
      </w:r>
      <w:r w:rsidRPr="00B552FE">
        <w:rPr>
          <w:lang w:eastAsia="en-US"/>
        </w:rPr>
        <w:lastRenderedPageBreak/>
        <w:t xml:space="preserve">vials from </w:t>
      </w:r>
      <w:r w:rsidR="00A42550" w:rsidRPr="00B552FE">
        <w:t xml:space="preserve">recent </w:t>
      </w:r>
      <w:r w:rsidRPr="00B552FE">
        <w:t>PBS utilisation data (Aug 2024</w:t>
      </w:r>
      <w:r w:rsidR="00FC7500">
        <w:noBreakHyphen/>
      </w:r>
      <w:r w:rsidRPr="00B552FE">
        <w:t xml:space="preserve">Jul 2025, Services Australia). </w:t>
      </w:r>
      <w:r w:rsidR="00AE4932" w:rsidRPr="00B552FE">
        <w:rPr>
          <w:lang w:eastAsia="en-US"/>
        </w:rPr>
        <w:t>The</w:t>
      </w:r>
      <w:r w:rsidRPr="00B552FE">
        <w:rPr>
          <w:lang w:eastAsia="en-US"/>
        </w:rPr>
        <w:t xml:space="preserve"> submission estimated 3.3 vials for the</w:t>
      </w:r>
      <w:r w:rsidR="00AE4932" w:rsidRPr="00B552FE">
        <w:t xml:space="preserve"> </w:t>
      </w:r>
      <w:r w:rsidRPr="00B552FE">
        <w:t xml:space="preserve">initial </w:t>
      </w:r>
      <w:r w:rsidR="00AE4932" w:rsidRPr="00B552FE">
        <w:t xml:space="preserve">ustekinumab </w:t>
      </w:r>
      <w:r w:rsidRPr="00B552FE">
        <w:t>infusion</w:t>
      </w:r>
      <w:r w:rsidR="00AE4932" w:rsidRPr="00B552FE">
        <w:t xml:space="preserve"> and </w:t>
      </w:r>
      <w:r w:rsidRPr="00B552FE">
        <w:t xml:space="preserve">4.36 vials for </w:t>
      </w:r>
      <w:r w:rsidR="00AE4932" w:rsidRPr="00B552FE">
        <w:t xml:space="preserve">infliximab </w:t>
      </w:r>
      <w:r w:rsidR="00A42550" w:rsidRPr="00B552FE">
        <w:t xml:space="preserve">infusions. </w:t>
      </w:r>
      <w:r w:rsidR="00AE4932" w:rsidRPr="00B552FE">
        <w:t>These differ slightly from the earlier values considered by the PBAC (3.0 vials for ustekinumab and 4.17 vials for infliximab, (paragraph 6.38, ustekinumab PSD, July 2023 PBAC meeting)</w:t>
      </w:r>
      <w:r w:rsidR="00560160" w:rsidRPr="00B552FE">
        <w:t>)</w:t>
      </w:r>
      <w:r w:rsidR="00AE4932" w:rsidRPr="00B552FE">
        <w:t>.</w:t>
      </w:r>
      <w:r w:rsidR="00300DCD">
        <w:t xml:space="preserve"> </w:t>
      </w:r>
    </w:p>
    <w:p w14:paraId="76D754FA" w14:textId="364E9195" w:rsidR="001E0488" w:rsidRPr="004A1333" w:rsidRDefault="001E0488" w:rsidP="001E0488">
      <w:pPr>
        <w:pStyle w:val="Caption"/>
      </w:pPr>
      <w:bookmarkStart w:id="82" w:name="_Ref216644746"/>
      <w:r w:rsidRPr="004A1333">
        <w:lastRenderedPageBreak/>
        <w:t xml:space="preserve">Table </w:t>
      </w:r>
      <w:fldSimple w:instr=" SEQ Table \* ARABIC ">
        <w:r w:rsidR="000C3F10" w:rsidRPr="004A1333">
          <w:rPr>
            <w:noProof/>
          </w:rPr>
          <w:t>7</w:t>
        </w:r>
      </w:fldSimple>
      <w:bookmarkEnd w:id="82"/>
      <w:r w:rsidRPr="004A1333">
        <w:t xml:space="preserve">: </w:t>
      </w:r>
      <w:r w:rsidRPr="004A1333">
        <w:rPr>
          <w:rStyle w:val="CommentReference"/>
          <w:b/>
          <w:szCs w:val="24"/>
        </w:rPr>
        <w:t>Results of the cost</w:t>
      </w:r>
      <w:r w:rsidR="00FC7500">
        <w:rPr>
          <w:rStyle w:val="CommentReference"/>
          <w:b/>
          <w:szCs w:val="24"/>
        </w:rPr>
        <w:noBreakHyphen/>
      </w:r>
      <w:r w:rsidRPr="004A1333">
        <w:rPr>
          <w:rStyle w:val="CommentReference"/>
          <w:b/>
          <w:szCs w:val="24"/>
        </w:rPr>
        <w:t>minimisation approach over 104 weeks (per patient, AEMP level)</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7: Results of the cost minimisation approach over 104 weeks (per patient, AEMP level)"/>
      </w:tblPr>
      <w:tblGrid>
        <w:gridCol w:w="1271"/>
        <w:gridCol w:w="992"/>
        <w:gridCol w:w="993"/>
        <w:gridCol w:w="992"/>
        <w:gridCol w:w="1134"/>
        <w:gridCol w:w="236"/>
        <w:gridCol w:w="705"/>
        <w:gridCol w:w="51"/>
        <w:gridCol w:w="995"/>
        <w:gridCol w:w="139"/>
        <w:gridCol w:w="992"/>
        <w:gridCol w:w="372"/>
        <w:gridCol w:w="286"/>
        <w:gridCol w:w="476"/>
      </w:tblGrid>
      <w:tr w:rsidR="00D94F22" w:rsidRPr="004A1333" w14:paraId="15C95F5A" w14:textId="77777777" w:rsidTr="00560120">
        <w:tc>
          <w:tcPr>
            <w:tcW w:w="1271" w:type="dxa"/>
            <w:vAlign w:val="center"/>
          </w:tcPr>
          <w:p w14:paraId="41083CA6" w14:textId="77777777" w:rsidR="00AE4932" w:rsidRPr="004A1333" w:rsidRDefault="00AE4932">
            <w:pPr>
              <w:pStyle w:val="In-tableHeading"/>
              <w:jc w:val="center"/>
              <w:rPr>
                <w:szCs w:val="20"/>
                <w:lang w:val="en-AU"/>
              </w:rPr>
            </w:pPr>
            <w:bookmarkStart w:id="83" w:name="_Hlk215387873"/>
            <w:r w:rsidRPr="004A1333">
              <w:rPr>
                <w:szCs w:val="20"/>
                <w:lang w:val="en-AU"/>
              </w:rPr>
              <w:t>Component</w:t>
            </w:r>
          </w:p>
        </w:tc>
        <w:tc>
          <w:tcPr>
            <w:tcW w:w="1985" w:type="dxa"/>
            <w:gridSpan w:val="2"/>
            <w:vAlign w:val="center"/>
          </w:tcPr>
          <w:p w14:paraId="740B908E" w14:textId="00FA2993" w:rsidR="00AE4932" w:rsidRPr="004A1333" w:rsidRDefault="00AE4932">
            <w:pPr>
              <w:pStyle w:val="In-tableHeading"/>
              <w:jc w:val="center"/>
              <w:rPr>
                <w:szCs w:val="20"/>
                <w:lang w:val="en-AU"/>
              </w:rPr>
            </w:pPr>
            <w:r w:rsidRPr="004A1333">
              <w:rPr>
                <w:szCs w:val="20"/>
                <w:lang w:val="en-AU"/>
              </w:rPr>
              <w:t>Infliximab</w:t>
            </w:r>
            <w:r w:rsidR="00FC7500">
              <w:rPr>
                <w:szCs w:val="20"/>
                <w:lang w:val="en-AU"/>
              </w:rPr>
              <w:noBreakHyphen/>
            </w:r>
            <w:r w:rsidRPr="004A1333">
              <w:rPr>
                <w:szCs w:val="20"/>
                <w:lang w:val="en-AU"/>
              </w:rPr>
              <w:t xml:space="preserve"> IV only</w:t>
            </w:r>
          </w:p>
        </w:tc>
        <w:tc>
          <w:tcPr>
            <w:tcW w:w="2126" w:type="dxa"/>
            <w:gridSpan w:val="2"/>
            <w:vAlign w:val="center"/>
          </w:tcPr>
          <w:p w14:paraId="7AB59922" w14:textId="2A95C6B9" w:rsidR="00AE4932" w:rsidRPr="004A1333" w:rsidRDefault="00AE4932">
            <w:pPr>
              <w:pStyle w:val="In-tableHeading"/>
              <w:jc w:val="center"/>
              <w:rPr>
                <w:szCs w:val="20"/>
                <w:lang w:val="en-AU"/>
              </w:rPr>
            </w:pPr>
            <w:r w:rsidRPr="004A1333">
              <w:rPr>
                <w:szCs w:val="20"/>
                <w:lang w:val="en-AU"/>
              </w:rPr>
              <w:t>Infliximab</w:t>
            </w:r>
            <w:r w:rsidR="00FC7500">
              <w:rPr>
                <w:szCs w:val="20"/>
                <w:lang w:val="en-AU"/>
              </w:rPr>
              <w:noBreakHyphen/>
            </w:r>
            <w:r w:rsidRPr="004A1333">
              <w:rPr>
                <w:szCs w:val="20"/>
                <w:lang w:val="en-AU"/>
              </w:rPr>
              <w:t xml:space="preserve"> IV + SC</w:t>
            </w:r>
          </w:p>
        </w:tc>
        <w:tc>
          <w:tcPr>
            <w:tcW w:w="2126" w:type="dxa"/>
            <w:gridSpan w:val="5"/>
            <w:vAlign w:val="center"/>
          </w:tcPr>
          <w:p w14:paraId="23C0AFCE" w14:textId="77777777" w:rsidR="00AE4932" w:rsidRPr="004A1333" w:rsidRDefault="00AE4932">
            <w:pPr>
              <w:pStyle w:val="In-tableHeading"/>
              <w:jc w:val="center"/>
              <w:rPr>
                <w:szCs w:val="20"/>
                <w:lang w:val="en-AU"/>
              </w:rPr>
            </w:pPr>
            <w:r w:rsidRPr="004A1333">
              <w:rPr>
                <w:szCs w:val="20"/>
                <w:lang w:val="en-AU"/>
              </w:rPr>
              <w:t>Adalimumab</w:t>
            </w:r>
          </w:p>
        </w:tc>
        <w:tc>
          <w:tcPr>
            <w:tcW w:w="2126" w:type="dxa"/>
            <w:gridSpan w:val="4"/>
            <w:vAlign w:val="center"/>
          </w:tcPr>
          <w:p w14:paraId="32252E74" w14:textId="77777777" w:rsidR="00AE4932" w:rsidRPr="004A1333" w:rsidRDefault="00AE4932">
            <w:pPr>
              <w:pStyle w:val="In-tableHeading"/>
              <w:jc w:val="center"/>
              <w:rPr>
                <w:szCs w:val="20"/>
                <w:lang w:val="en-AU"/>
              </w:rPr>
            </w:pPr>
            <w:r w:rsidRPr="004A1333">
              <w:rPr>
                <w:szCs w:val="20"/>
                <w:lang w:val="en-AU"/>
              </w:rPr>
              <w:t>Ustekinumab</w:t>
            </w:r>
          </w:p>
          <w:p w14:paraId="5773EFF5" w14:textId="77777777" w:rsidR="00AE4932" w:rsidRPr="004A1333" w:rsidRDefault="00AE4932">
            <w:pPr>
              <w:pStyle w:val="In-tableHeading"/>
              <w:jc w:val="center"/>
              <w:rPr>
                <w:szCs w:val="20"/>
                <w:lang w:val="en-AU"/>
              </w:rPr>
            </w:pPr>
            <w:r w:rsidRPr="004A1333">
              <w:rPr>
                <w:szCs w:val="20"/>
                <w:lang w:val="en-AU"/>
              </w:rPr>
              <w:t>(Q8W + Q12W combined)</w:t>
            </w:r>
          </w:p>
        </w:tc>
      </w:tr>
      <w:tr w:rsidR="00F907F1" w:rsidRPr="004A1333" w14:paraId="7FFCBDAF" w14:textId="77777777" w:rsidTr="00560120">
        <w:tc>
          <w:tcPr>
            <w:tcW w:w="1271" w:type="dxa"/>
          </w:tcPr>
          <w:p w14:paraId="695BAEE6" w14:textId="77777777" w:rsidR="00AE4932" w:rsidRPr="004A1333" w:rsidRDefault="00AE4932">
            <w:pPr>
              <w:pStyle w:val="In-tableHeading"/>
              <w:rPr>
                <w:b w:val="0"/>
                <w:bCs/>
                <w:szCs w:val="20"/>
                <w:lang w:val="en-AU"/>
              </w:rPr>
            </w:pPr>
          </w:p>
        </w:tc>
        <w:tc>
          <w:tcPr>
            <w:tcW w:w="992" w:type="dxa"/>
          </w:tcPr>
          <w:p w14:paraId="7D519806" w14:textId="77777777" w:rsidR="00AE4932" w:rsidRPr="004A1333" w:rsidRDefault="00AE4932">
            <w:pPr>
              <w:pStyle w:val="In-tableHeading"/>
              <w:jc w:val="center"/>
              <w:rPr>
                <w:b w:val="0"/>
                <w:bCs/>
                <w:szCs w:val="20"/>
                <w:lang w:val="en-AU"/>
              </w:rPr>
            </w:pPr>
            <w:r w:rsidRPr="004A1333">
              <w:rPr>
                <w:b w:val="0"/>
                <w:bCs/>
                <w:szCs w:val="20"/>
                <w:lang w:val="en-AU"/>
              </w:rPr>
              <w:t>Initial (IV)</w:t>
            </w:r>
          </w:p>
        </w:tc>
        <w:tc>
          <w:tcPr>
            <w:tcW w:w="993" w:type="dxa"/>
          </w:tcPr>
          <w:p w14:paraId="0A383FE8" w14:textId="5FF22D26" w:rsidR="00AE4932" w:rsidRPr="004A1333" w:rsidRDefault="00FF266E" w:rsidP="002778C1">
            <w:pPr>
              <w:pStyle w:val="In-tableHeading"/>
              <w:jc w:val="center"/>
              <w:rPr>
                <w:b w:val="0"/>
                <w:bCs/>
                <w:szCs w:val="20"/>
                <w:lang w:val="en-AU"/>
              </w:rPr>
            </w:pPr>
            <w:r w:rsidRPr="004A1333">
              <w:rPr>
                <w:b w:val="0"/>
                <w:bCs/>
                <w:szCs w:val="20"/>
                <w:lang w:val="en-AU"/>
              </w:rPr>
              <w:t>Cont</w:t>
            </w:r>
            <w:r w:rsidR="00AB4299" w:rsidRPr="004A1333">
              <w:rPr>
                <w:b w:val="0"/>
                <w:bCs/>
                <w:szCs w:val="20"/>
                <w:lang w:val="en-AU"/>
              </w:rPr>
              <w:t>.</w:t>
            </w:r>
            <w:r w:rsidR="002778C1" w:rsidRPr="004A1333">
              <w:rPr>
                <w:b w:val="0"/>
                <w:bCs/>
                <w:szCs w:val="20"/>
                <w:lang w:val="en-AU"/>
              </w:rPr>
              <w:t xml:space="preserve"> </w:t>
            </w:r>
            <w:r w:rsidR="00AE4932" w:rsidRPr="004A1333">
              <w:rPr>
                <w:b w:val="0"/>
                <w:bCs/>
                <w:szCs w:val="20"/>
                <w:lang w:val="en-AU"/>
              </w:rPr>
              <w:t>(IV)</w:t>
            </w:r>
          </w:p>
        </w:tc>
        <w:tc>
          <w:tcPr>
            <w:tcW w:w="992" w:type="dxa"/>
          </w:tcPr>
          <w:p w14:paraId="13F83F13" w14:textId="7EFB3DD5" w:rsidR="00AE4932" w:rsidRPr="004A1333" w:rsidRDefault="00AE4932" w:rsidP="002778C1">
            <w:pPr>
              <w:pStyle w:val="In-tableHeading"/>
              <w:jc w:val="center"/>
              <w:rPr>
                <w:b w:val="0"/>
                <w:bCs/>
                <w:szCs w:val="20"/>
                <w:lang w:val="en-AU"/>
              </w:rPr>
            </w:pPr>
            <w:r w:rsidRPr="004A1333">
              <w:rPr>
                <w:b w:val="0"/>
                <w:bCs/>
                <w:szCs w:val="20"/>
                <w:lang w:val="en-AU"/>
              </w:rPr>
              <w:t>Initial (IV)</w:t>
            </w:r>
          </w:p>
        </w:tc>
        <w:tc>
          <w:tcPr>
            <w:tcW w:w="1134" w:type="dxa"/>
          </w:tcPr>
          <w:p w14:paraId="4180689F" w14:textId="68BAF367" w:rsidR="00AE4932" w:rsidRPr="004A1333" w:rsidRDefault="006B3786">
            <w:pPr>
              <w:pStyle w:val="In-tableHeading"/>
              <w:jc w:val="center"/>
              <w:rPr>
                <w:b w:val="0"/>
                <w:bCs/>
                <w:szCs w:val="20"/>
                <w:lang w:val="en-AU"/>
              </w:rPr>
            </w:pPr>
            <w:r w:rsidRPr="004A1333">
              <w:rPr>
                <w:b w:val="0"/>
                <w:bCs/>
                <w:szCs w:val="20"/>
                <w:lang w:val="en-AU"/>
              </w:rPr>
              <w:t>Initial</w:t>
            </w:r>
            <w:r w:rsidR="005F561B" w:rsidRPr="004A1333">
              <w:rPr>
                <w:b w:val="0"/>
                <w:bCs/>
                <w:szCs w:val="20"/>
                <w:lang w:val="en-AU"/>
              </w:rPr>
              <w:t xml:space="preserve"> </w:t>
            </w:r>
            <w:r w:rsidRPr="004A1333">
              <w:rPr>
                <w:b w:val="0"/>
                <w:bCs/>
                <w:szCs w:val="20"/>
                <w:lang w:val="en-AU"/>
              </w:rPr>
              <w:t xml:space="preserve">+ </w:t>
            </w:r>
            <w:r w:rsidR="00FF266E" w:rsidRPr="004A1333">
              <w:rPr>
                <w:b w:val="0"/>
                <w:bCs/>
                <w:szCs w:val="20"/>
                <w:lang w:val="en-AU"/>
              </w:rPr>
              <w:t>Cont</w:t>
            </w:r>
            <w:r w:rsidR="00AB4299" w:rsidRPr="004A1333">
              <w:rPr>
                <w:b w:val="0"/>
                <w:bCs/>
                <w:szCs w:val="20"/>
                <w:lang w:val="en-AU"/>
              </w:rPr>
              <w:t>.</w:t>
            </w:r>
            <w:r w:rsidR="00AE4932" w:rsidRPr="004A1333">
              <w:rPr>
                <w:b w:val="0"/>
                <w:bCs/>
                <w:szCs w:val="20"/>
                <w:lang w:val="en-AU"/>
              </w:rPr>
              <w:t xml:space="preserve"> (SC)</w:t>
            </w:r>
          </w:p>
        </w:tc>
        <w:tc>
          <w:tcPr>
            <w:tcW w:w="992" w:type="dxa"/>
            <w:gridSpan w:val="3"/>
          </w:tcPr>
          <w:p w14:paraId="3A03BA89" w14:textId="5F4AA3EE" w:rsidR="00AE4932" w:rsidRPr="004A1333" w:rsidRDefault="00AE4932" w:rsidP="002778C1">
            <w:pPr>
              <w:pStyle w:val="In-tableHeading"/>
              <w:jc w:val="center"/>
              <w:rPr>
                <w:b w:val="0"/>
                <w:bCs/>
                <w:szCs w:val="20"/>
                <w:lang w:val="en-AU"/>
              </w:rPr>
            </w:pPr>
            <w:r w:rsidRPr="004A1333">
              <w:rPr>
                <w:b w:val="0"/>
                <w:bCs/>
                <w:szCs w:val="20"/>
                <w:lang w:val="en-AU"/>
              </w:rPr>
              <w:t>Initial (SC)</w:t>
            </w:r>
          </w:p>
        </w:tc>
        <w:tc>
          <w:tcPr>
            <w:tcW w:w="1134" w:type="dxa"/>
            <w:gridSpan w:val="2"/>
          </w:tcPr>
          <w:p w14:paraId="7B379861" w14:textId="6718A622" w:rsidR="00AE4932" w:rsidRPr="004A1333" w:rsidRDefault="00FF266E" w:rsidP="002778C1">
            <w:pPr>
              <w:pStyle w:val="In-tableHeading"/>
              <w:jc w:val="center"/>
              <w:rPr>
                <w:b w:val="0"/>
                <w:bCs/>
                <w:szCs w:val="20"/>
                <w:lang w:val="en-AU"/>
              </w:rPr>
            </w:pPr>
            <w:r w:rsidRPr="004A1333">
              <w:rPr>
                <w:b w:val="0"/>
                <w:bCs/>
                <w:szCs w:val="20"/>
                <w:lang w:val="en-AU"/>
              </w:rPr>
              <w:t>Cont</w:t>
            </w:r>
            <w:r w:rsidR="00AB4299" w:rsidRPr="004A1333">
              <w:rPr>
                <w:b w:val="0"/>
                <w:bCs/>
                <w:szCs w:val="20"/>
                <w:lang w:val="en-AU"/>
              </w:rPr>
              <w:t>.</w:t>
            </w:r>
            <w:r w:rsidR="002778C1" w:rsidRPr="004A1333">
              <w:rPr>
                <w:b w:val="0"/>
                <w:bCs/>
                <w:szCs w:val="20"/>
                <w:lang w:val="en-AU"/>
              </w:rPr>
              <w:t xml:space="preserve"> </w:t>
            </w:r>
            <w:r w:rsidR="00AE4932" w:rsidRPr="004A1333">
              <w:rPr>
                <w:b w:val="0"/>
                <w:bCs/>
                <w:szCs w:val="20"/>
                <w:lang w:val="en-AU"/>
              </w:rPr>
              <w:t>(SC)</w:t>
            </w:r>
          </w:p>
        </w:tc>
        <w:tc>
          <w:tcPr>
            <w:tcW w:w="992" w:type="dxa"/>
          </w:tcPr>
          <w:p w14:paraId="3AFFAD0F" w14:textId="20B58512" w:rsidR="00AE4932" w:rsidRPr="004A1333" w:rsidRDefault="00AE4932" w:rsidP="002778C1">
            <w:pPr>
              <w:pStyle w:val="In-tableHeading"/>
              <w:jc w:val="center"/>
              <w:rPr>
                <w:b w:val="0"/>
                <w:bCs/>
                <w:szCs w:val="20"/>
                <w:lang w:val="en-AU"/>
              </w:rPr>
            </w:pPr>
            <w:r w:rsidRPr="004A1333">
              <w:rPr>
                <w:b w:val="0"/>
                <w:bCs/>
                <w:szCs w:val="20"/>
                <w:lang w:val="en-AU"/>
              </w:rPr>
              <w:t>Initial</w:t>
            </w:r>
            <w:r w:rsidR="002778C1" w:rsidRPr="004A1333">
              <w:rPr>
                <w:b w:val="0"/>
                <w:bCs/>
                <w:szCs w:val="20"/>
                <w:lang w:val="en-AU"/>
              </w:rPr>
              <w:t xml:space="preserve"> </w:t>
            </w:r>
            <w:r w:rsidRPr="004A1333">
              <w:rPr>
                <w:b w:val="0"/>
                <w:bCs/>
                <w:szCs w:val="20"/>
                <w:lang w:val="en-AU"/>
              </w:rPr>
              <w:t>(IV)</w:t>
            </w:r>
          </w:p>
        </w:tc>
        <w:tc>
          <w:tcPr>
            <w:tcW w:w="1134" w:type="dxa"/>
            <w:gridSpan w:val="3"/>
          </w:tcPr>
          <w:p w14:paraId="54DEBCC5" w14:textId="1E2D52C5" w:rsidR="00AE4932" w:rsidRPr="004A1333" w:rsidRDefault="00FF266E" w:rsidP="002778C1">
            <w:pPr>
              <w:pStyle w:val="In-tableHeading"/>
              <w:jc w:val="center"/>
              <w:rPr>
                <w:b w:val="0"/>
                <w:bCs/>
                <w:szCs w:val="20"/>
                <w:lang w:val="en-AU"/>
              </w:rPr>
            </w:pPr>
            <w:r w:rsidRPr="004A1333">
              <w:rPr>
                <w:b w:val="0"/>
                <w:bCs/>
                <w:szCs w:val="20"/>
                <w:lang w:val="en-AU"/>
              </w:rPr>
              <w:t>Cont</w:t>
            </w:r>
            <w:r w:rsidR="00AB4299" w:rsidRPr="004A1333">
              <w:rPr>
                <w:b w:val="0"/>
                <w:bCs/>
                <w:szCs w:val="20"/>
                <w:lang w:val="en-AU"/>
              </w:rPr>
              <w:t>.</w:t>
            </w:r>
            <w:r w:rsidR="002778C1" w:rsidRPr="004A1333">
              <w:rPr>
                <w:b w:val="0"/>
                <w:bCs/>
                <w:szCs w:val="20"/>
                <w:lang w:val="en-AU"/>
              </w:rPr>
              <w:t xml:space="preserve"> </w:t>
            </w:r>
            <w:r w:rsidR="00AE4932" w:rsidRPr="004A1333">
              <w:rPr>
                <w:b w:val="0"/>
                <w:bCs/>
                <w:szCs w:val="20"/>
                <w:lang w:val="en-AU"/>
              </w:rPr>
              <w:t>(SC)</w:t>
            </w:r>
          </w:p>
        </w:tc>
      </w:tr>
      <w:tr w:rsidR="00F907F1" w:rsidRPr="004A1333" w14:paraId="5C14A88F" w14:textId="77777777" w:rsidTr="00560120">
        <w:tc>
          <w:tcPr>
            <w:tcW w:w="1271" w:type="dxa"/>
          </w:tcPr>
          <w:p w14:paraId="1E05E6E6" w14:textId="4BCD1819" w:rsidR="00AE4932" w:rsidRPr="004A1333" w:rsidRDefault="00AE4932">
            <w:pPr>
              <w:pStyle w:val="In-tableHeading"/>
              <w:rPr>
                <w:b w:val="0"/>
                <w:bCs/>
                <w:szCs w:val="20"/>
                <w:lang w:val="en-AU"/>
              </w:rPr>
            </w:pPr>
            <w:r w:rsidRPr="004A1333">
              <w:rPr>
                <w:b w:val="0"/>
                <w:bCs/>
                <w:szCs w:val="20"/>
                <w:lang w:val="en-AU"/>
              </w:rPr>
              <w:t xml:space="preserve">Formulation </w:t>
            </w:r>
          </w:p>
        </w:tc>
        <w:tc>
          <w:tcPr>
            <w:tcW w:w="992" w:type="dxa"/>
          </w:tcPr>
          <w:p w14:paraId="6377D700" w14:textId="77777777" w:rsidR="00AE4932" w:rsidRPr="004A1333" w:rsidRDefault="00AE4932">
            <w:pPr>
              <w:pStyle w:val="In-tableHeading"/>
              <w:jc w:val="center"/>
              <w:rPr>
                <w:b w:val="0"/>
                <w:bCs/>
                <w:szCs w:val="20"/>
                <w:lang w:val="en-AU"/>
              </w:rPr>
            </w:pPr>
            <w:r w:rsidRPr="004A1333">
              <w:rPr>
                <w:b w:val="0"/>
                <w:bCs/>
                <w:szCs w:val="20"/>
                <w:lang w:val="en-AU"/>
              </w:rPr>
              <w:t>100 mg</w:t>
            </w:r>
          </w:p>
          <w:p w14:paraId="078005DA" w14:textId="16224A55" w:rsidR="00AE4932" w:rsidRPr="004A1333" w:rsidRDefault="00AE4932">
            <w:pPr>
              <w:pStyle w:val="In-tableHeading"/>
              <w:jc w:val="center"/>
              <w:rPr>
                <w:b w:val="0"/>
                <w:bCs/>
                <w:szCs w:val="20"/>
                <w:lang w:val="en-AU"/>
              </w:rPr>
            </w:pPr>
            <w:r w:rsidRPr="004A1333">
              <w:rPr>
                <w:b w:val="0"/>
                <w:bCs/>
                <w:szCs w:val="20"/>
                <w:lang w:val="en-AU"/>
              </w:rPr>
              <w:t xml:space="preserve">vial </w:t>
            </w:r>
          </w:p>
        </w:tc>
        <w:tc>
          <w:tcPr>
            <w:tcW w:w="993" w:type="dxa"/>
          </w:tcPr>
          <w:p w14:paraId="556D306B" w14:textId="77777777" w:rsidR="00AE4932" w:rsidRPr="004A1333" w:rsidRDefault="00AE4932">
            <w:pPr>
              <w:pStyle w:val="In-tableHeading"/>
              <w:jc w:val="center"/>
              <w:rPr>
                <w:b w:val="0"/>
                <w:bCs/>
                <w:szCs w:val="20"/>
                <w:lang w:val="en-AU"/>
              </w:rPr>
            </w:pPr>
            <w:r w:rsidRPr="004A1333">
              <w:rPr>
                <w:b w:val="0"/>
                <w:bCs/>
                <w:szCs w:val="20"/>
                <w:lang w:val="en-AU"/>
              </w:rPr>
              <w:t>100 mg</w:t>
            </w:r>
          </w:p>
          <w:p w14:paraId="58E769DD" w14:textId="3C8A4ACA" w:rsidR="00AE4932" w:rsidRPr="004A1333" w:rsidRDefault="00AE4932">
            <w:pPr>
              <w:pStyle w:val="In-tableHeading"/>
              <w:jc w:val="center"/>
              <w:rPr>
                <w:b w:val="0"/>
                <w:bCs/>
                <w:szCs w:val="20"/>
                <w:lang w:val="en-AU"/>
              </w:rPr>
            </w:pPr>
            <w:r w:rsidRPr="004A1333">
              <w:rPr>
                <w:b w:val="0"/>
                <w:bCs/>
                <w:szCs w:val="20"/>
                <w:lang w:val="en-AU"/>
              </w:rPr>
              <w:t xml:space="preserve">vial </w:t>
            </w:r>
          </w:p>
        </w:tc>
        <w:tc>
          <w:tcPr>
            <w:tcW w:w="992" w:type="dxa"/>
          </w:tcPr>
          <w:p w14:paraId="40D519D4" w14:textId="77777777" w:rsidR="00AE4932" w:rsidRPr="004A1333" w:rsidRDefault="00AE4932">
            <w:pPr>
              <w:pStyle w:val="In-tableHeading"/>
              <w:jc w:val="center"/>
              <w:rPr>
                <w:b w:val="0"/>
                <w:bCs/>
                <w:szCs w:val="20"/>
                <w:lang w:val="en-AU"/>
              </w:rPr>
            </w:pPr>
            <w:r w:rsidRPr="004A1333">
              <w:rPr>
                <w:b w:val="0"/>
                <w:bCs/>
                <w:szCs w:val="20"/>
                <w:lang w:val="en-AU"/>
              </w:rPr>
              <w:t>100 mg</w:t>
            </w:r>
          </w:p>
          <w:p w14:paraId="4A4CABFD" w14:textId="2063EBCB" w:rsidR="00AE4932" w:rsidRPr="004A1333" w:rsidRDefault="00AE4932">
            <w:pPr>
              <w:pStyle w:val="In-tableHeading"/>
              <w:jc w:val="center"/>
              <w:rPr>
                <w:b w:val="0"/>
                <w:bCs/>
                <w:szCs w:val="20"/>
                <w:lang w:val="en-AU"/>
              </w:rPr>
            </w:pPr>
            <w:r w:rsidRPr="004A1333">
              <w:rPr>
                <w:b w:val="0"/>
                <w:bCs/>
                <w:szCs w:val="20"/>
                <w:lang w:val="en-AU"/>
              </w:rPr>
              <w:t xml:space="preserve">vial </w:t>
            </w:r>
          </w:p>
        </w:tc>
        <w:tc>
          <w:tcPr>
            <w:tcW w:w="1134" w:type="dxa"/>
          </w:tcPr>
          <w:p w14:paraId="095A044F" w14:textId="34599E5E" w:rsidR="00AE4932" w:rsidRPr="004A1333" w:rsidRDefault="00AE4932">
            <w:pPr>
              <w:pStyle w:val="In-tableHeading"/>
              <w:jc w:val="center"/>
              <w:rPr>
                <w:b w:val="0"/>
                <w:bCs/>
                <w:szCs w:val="20"/>
                <w:lang w:val="en-AU"/>
              </w:rPr>
            </w:pPr>
            <w:r w:rsidRPr="004A1333">
              <w:rPr>
                <w:b w:val="0"/>
                <w:bCs/>
                <w:szCs w:val="20"/>
                <w:lang w:val="en-AU"/>
              </w:rPr>
              <w:t>120 mg/</w:t>
            </w:r>
            <w:r w:rsidR="00381883" w:rsidRPr="004A1333">
              <w:rPr>
                <w:b w:val="0"/>
                <w:bCs/>
                <w:szCs w:val="20"/>
                <w:lang w:val="en-AU"/>
              </w:rPr>
              <w:t xml:space="preserve"> </w:t>
            </w:r>
            <w:r w:rsidRPr="004A1333">
              <w:rPr>
                <w:b w:val="0"/>
                <w:bCs/>
                <w:szCs w:val="20"/>
                <w:lang w:val="en-AU"/>
              </w:rPr>
              <w:t xml:space="preserve">mL pen/ syringe </w:t>
            </w:r>
          </w:p>
        </w:tc>
        <w:tc>
          <w:tcPr>
            <w:tcW w:w="992" w:type="dxa"/>
            <w:gridSpan w:val="3"/>
          </w:tcPr>
          <w:p w14:paraId="5D63F196" w14:textId="3D8377C3" w:rsidR="00AE4932" w:rsidRPr="004A1333" w:rsidRDefault="00AE4932">
            <w:pPr>
              <w:pStyle w:val="In-tableHeading"/>
              <w:jc w:val="center"/>
              <w:rPr>
                <w:b w:val="0"/>
                <w:bCs/>
                <w:szCs w:val="20"/>
                <w:lang w:val="en-AU"/>
              </w:rPr>
            </w:pPr>
            <w:r w:rsidRPr="004A1333">
              <w:rPr>
                <w:b w:val="0"/>
                <w:bCs/>
                <w:szCs w:val="20"/>
                <w:lang w:val="en-AU"/>
              </w:rPr>
              <w:t>80</w:t>
            </w:r>
            <w:r w:rsidR="0056312A" w:rsidRPr="004A1333">
              <w:rPr>
                <w:b w:val="0"/>
                <w:bCs/>
                <w:szCs w:val="20"/>
                <w:lang w:val="en-AU"/>
              </w:rPr>
              <w:t xml:space="preserve"> </w:t>
            </w:r>
            <w:r w:rsidRPr="004A1333">
              <w:rPr>
                <w:b w:val="0"/>
                <w:bCs/>
                <w:szCs w:val="20"/>
                <w:lang w:val="en-AU"/>
              </w:rPr>
              <w:t>mg/ 0.8mL</w:t>
            </w:r>
          </w:p>
          <w:p w14:paraId="5E37EBBF" w14:textId="63EBDA28" w:rsidR="00AE4932" w:rsidRPr="004A1333" w:rsidRDefault="00AE4932">
            <w:pPr>
              <w:pStyle w:val="In-tableHeading"/>
              <w:jc w:val="center"/>
              <w:rPr>
                <w:b w:val="0"/>
                <w:bCs/>
                <w:szCs w:val="20"/>
                <w:lang w:val="en-AU"/>
              </w:rPr>
            </w:pPr>
            <w:r w:rsidRPr="004A1333">
              <w:rPr>
                <w:b w:val="0"/>
                <w:bCs/>
                <w:szCs w:val="20"/>
                <w:lang w:val="en-AU"/>
              </w:rPr>
              <w:t>syring</w:t>
            </w:r>
            <w:r w:rsidRPr="004A1333" w:rsidDel="00DD6438">
              <w:rPr>
                <w:b w:val="0"/>
                <w:bCs/>
                <w:szCs w:val="20"/>
                <w:lang w:val="en-AU"/>
              </w:rPr>
              <w:t>e</w:t>
            </w:r>
          </w:p>
        </w:tc>
        <w:tc>
          <w:tcPr>
            <w:tcW w:w="1134" w:type="dxa"/>
            <w:gridSpan w:val="2"/>
          </w:tcPr>
          <w:p w14:paraId="225BD994" w14:textId="77777777" w:rsidR="00AE4932" w:rsidRPr="004A1333" w:rsidRDefault="00AE4932">
            <w:pPr>
              <w:pStyle w:val="In-tableHeading"/>
              <w:jc w:val="center"/>
              <w:rPr>
                <w:b w:val="0"/>
                <w:bCs/>
                <w:szCs w:val="20"/>
                <w:lang w:val="en-AU"/>
              </w:rPr>
            </w:pPr>
            <w:r w:rsidRPr="004A1333">
              <w:rPr>
                <w:b w:val="0"/>
                <w:bCs/>
                <w:szCs w:val="20"/>
                <w:lang w:val="en-AU"/>
              </w:rPr>
              <w:t xml:space="preserve">40 mg/ </w:t>
            </w:r>
          </w:p>
          <w:p w14:paraId="38B6B86A" w14:textId="77777777" w:rsidR="00AE4932" w:rsidRPr="004A1333" w:rsidRDefault="00AE4932">
            <w:pPr>
              <w:pStyle w:val="In-tableHeading"/>
              <w:jc w:val="center"/>
              <w:rPr>
                <w:b w:val="0"/>
                <w:bCs/>
                <w:szCs w:val="20"/>
                <w:lang w:val="en-AU"/>
              </w:rPr>
            </w:pPr>
            <w:r w:rsidRPr="004A1333">
              <w:rPr>
                <w:b w:val="0"/>
                <w:bCs/>
                <w:szCs w:val="20"/>
                <w:lang w:val="en-AU"/>
              </w:rPr>
              <w:t>0.8 mL</w:t>
            </w:r>
          </w:p>
          <w:p w14:paraId="54CD9672" w14:textId="0266A1DB" w:rsidR="00AE4932" w:rsidRPr="004A1333" w:rsidRDefault="00AE4932">
            <w:pPr>
              <w:pStyle w:val="In-tableHeading"/>
              <w:jc w:val="center"/>
              <w:rPr>
                <w:b w:val="0"/>
                <w:bCs/>
                <w:szCs w:val="20"/>
                <w:lang w:val="en-AU"/>
              </w:rPr>
            </w:pPr>
            <w:r w:rsidRPr="004A1333">
              <w:rPr>
                <w:b w:val="0"/>
                <w:bCs/>
                <w:szCs w:val="20"/>
                <w:lang w:val="en-AU"/>
              </w:rPr>
              <w:t xml:space="preserve">syringe </w:t>
            </w:r>
          </w:p>
        </w:tc>
        <w:tc>
          <w:tcPr>
            <w:tcW w:w="992" w:type="dxa"/>
          </w:tcPr>
          <w:p w14:paraId="6E116861" w14:textId="77777777" w:rsidR="00AE4932" w:rsidRPr="004A1333" w:rsidRDefault="00AE4932">
            <w:pPr>
              <w:pStyle w:val="In-tableHeading"/>
              <w:jc w:val="center"/>
              <w:rPr>
                <w:b w:val="0"/>
                <w:bCs/>
                <w:szCs w:val="20"/>
                <w:lang w:val="en-AU"/>
              </w:rPr>
            </w:pPr>
            <w:r w:rsidRPr="004A1333">
              <w:rPr>
                <w:b w:val="0"/>
                <w:bCs/>
                <w:szCs w:val="20"/>
                <w:lang w:val="en-AU"/>
              </w:rPr>
              <w:t>130 mg/</w:t>
            </w:r>
          </w:p>
          <w:p w14:paraId="2CDE50B1" w14:textId="2A2E8DFD" w:rsidR="00AE4932" w:rsidRPr="004A1333" w:rsidRDefault="00AE4932">
            <w:pPr>
              <w:pStyle w:val="In-tableHeading"/>
              <w:jc w:val="center"/>
              <w:rPr>
                <w:b w:val="0"/>
                <w:bCs/>
                <w:szCs w:val="20"/>
                <w:lang w:val="en-AU"/>
              </w:rPr>
            </w:pPr>
            <w:r w:rsidRPr="004A1333">
              <w:rPr>
                <w:b w:val="0"/>
                <w:bCs/>
                <w:szCs w:val="20"/>
                <w:lang w:val="en-AU"/>
              </w:rPr>
              <w:t>26 mL injection</w:t>
            </w:r>
          </w:p>
        </w:tc>
        <w:tc>
          <w:tcPr>
            <w:tcW w:w="1134" w:type="dxa"/>
            <w:gridSpan w:val="3"/>
          </w:tcPr>
          <w:p w14:paraId="67CA6F17" w14:textId="365BF346" w:rsidR="00AE4932" w:rsidRPr="004A1333" w:rsidRDefault="00AE4932">
            <w:pPr>
              <w:pStyle w:val="In-tableHeading"/>
              <w:jc w:val="center"/>
              <w:rPr>
                <w:b w:val="0"/>
                <w:bCs/>
                <w:szCs w:val="20"/>
                <w:lang w:val="en-AU"/>
              </w:rPr>
            </w:pPr>
            <w:r w:rsidRPr="004A1333">
              <w:rPr>
                <w:b w:val="0"/>
                <w:bCs/>
                <w:szCs w:val="20"/>
                <w:lang w:val="en-AU"/>
              </w:rPr>
              <w:t xml:space="preserve">90 mg/mL syringe </w:t>
            </w:r>
          </w:p>
        </w:tc>
      </w:tr>
      <w:tr w:rsidR="00F907F1" w:rsidRPr="004A1333" w14:paraId="483F4C62" w14:textId="77777777" w:rsidTr="00560120">
        <w:tc>
          <w:tcPr>
            <w:tcW w:w="1271" w:type="dxa"/>
          </w:tcPr>
          <w:p w14:paraId="1F9362AC" w14:textId="77777777" w:rsidR="00AE4932" w:rsidRPr="004A1333" w:rsidRDefault="00AE4932">
            <w:pPr>
              <w:pStyle w:val="In-tableHeading"/>
              <w:rPr>
                <w:b w:val="0"/>
                <w:bCs/>
                <w:szCs w:val="20"/>
                <w:lang w:val="en-AU"/>
              </w:rPr>
            </w:pPr>
            <w:r w:rsidRPr="004A1333">
              <w:rPr>
                <w:b w:val="0"/>
                <w:bCs/>
                <w:szCs w:val="20"/>
                <w:lang w:val="en-AU"/>
              </w:rPr>
              <w:t>AEMP (A)</w:t>
            </w:r>
          </w:p>
        </w:tc>
        <w:tc>
          <w:tcPr>
            <w:tcW w:w="992" w:type="dxa"/>
          </w:tcPr>
          <w:p w14:paraId="743D2976" w14:textId="4EEEB9AE" w:rsidR="00AE4932" w:rsidRPr="00CF09F0" w:rsidRDefault="00AE4932">
            <w:pPr>
              <w:pStyle w:val="In-tableHeading"/>
              <w:jc w:val="center"/>
              <w:rPr>
                <w:b w:val="0"/>
                <w:bCs/>
                <w:szCs w:val="20"/>
                <w:lang w:val="en-AU"/>
              </w:rPr>
            </w:pPr>
            <w:r w:rsidRPr="00CF09F0">
              <w:rPr>
                <w:b w:val="0"/>
                <w:bCs/>
                <w:szCs w:val="20"/>
                <w:lang w:val="en-AU"/>
              </w:rPr>
              <w:t>$</w:t>
            </w:r>
            <w:r w:rsidR="00443A05" w:rsidRPr="00443A05">
              <w:rPr>
                <w:b w:val="0"/>
                <w:bCs/>
                <w:sz w:val="2"/>
                <w:szCs w:val="20"/>
                <w:highlight w:val="black"/>
                <w:lang w:val="en-AU"/>
              </w:rPr>
              <w:t>redacted content</w:t>
            </w:r>
          </w:p>
        </w:tc>
        <w:tc>
          <w:tcPr>
            <w:tcW w:w="993" w:type="dxa"/>
          </w:tcPr>
          <w:p w14:paraId="696C90EC" w14:textId="7F6D927E" w:rsidR="00AE4932" w:rsidRPr="00CF09F0" w:rsidRDefault="00AE4932">
            <w:pPr>
              <w:pStyle w:val="In-tableHeading"/>
              <w:jc w:val="center"/>
              <w:rPr>
                <w:b w:val="0"/>
                <w:bCs/>
                <w:szCs w:val="20"/>
                <w:lang w:val="en-AU"/>
              </w:rPr>
            </w:pPr>
            <w:r w:rsidRPr="00CF09F0">
              <w:rPr>
                <w:b w:val="0"/>
                <w:bCs/>
                <w:szCs w:val="20"/>
                <w:lang w:val="en-AU"/>
              </w:rPr>
              <w:t>$</w:t>
            </w:r>
            <w:r w:rsidR="00443A05" w:rsidRPr="00443A05">
              <w:rPr>
                <w:b w:val="0"/>
                <w:bCs/>
                <w:sz w:val="2"/>
                <w:szCs w:val="20"/>
                <w:highlight w:val="black"/>
                <w:lang w:val="en-AU"/>
              </w:rPr>
              <w:t>redacted content</w:t>
            </w:r>
          </w:p>
        </w:tc>
        <w:tc>
          <w:tcPr>
            <w:tcW w:w="992" w:type="dxa"/>
          </w:tcPr>
          <w:p w14:paraId="05008DB9" w14:textId="1199E096" w:rsidR="00AE4932" w:rsidRPr="00CF09F0" w:rsidRDefault="00AE4932">
            <w:pPr>
              <w:pStyle w:val="In-tableHeading"/>
              <w:jc w:val="center"/>
              <w:rPr>
                <w:b w:val="0"/>
                <w:bCs/>
                <w:szCs w:val="20"/>
                <w:lang w:val="en-AU"/>
              </w:rPr>
            </w:pPr>
            <w:r w:rsidRPr="00CF09F0">
              <w:rPr>
                <w:b w:val="0"/>
                <w:bCs/>
                <w:szCs w:val="20"/>
                <w:lang w:val="en-AU"/>
              </w:rPr>
              <w:t>$</w:t>
            </w:r>
            <w:r w:rsidR="00443A05" w:rsidRPr="00443A05">
              <w:rPr>
                <w:b w:val="0"/>
                <w:bCs/>
                <w:sz w:val="2"/>
                <w:szCs w:val="20"/>
                <w:highlight w:val="black"/>
                <w:lang w:val="en-AU"/>
              </w:rPr>
              <w:t>redacted content</w:t>
            </w:r>
          </w:p>
        </w:tc>
        <w:tc>
          <w:tcPr>
            <w:tcW w:w="1134" w:type="dxa"/>
          </w:tcPr>
          <w:p w14:paraId="7F917153" w14:textId="3DF77C53" w:rsidR="00AE4932" w:rsidRPr="00CF09F0" w:rsidRDefault="00AE4932">
            <w:pPr>
              <w:pStyle w:val="In-tableHeading"/>
              <w:jc w:val="center"/>
              <w:rPr>
                <w:b w:val="0"/>
                <w:bCs/>
                <w:szCs w:val="20"/>
                <w:lang w:val="en-AU"/>
              </w:rPr>
            </w:pPr>
            <w:r w:rsidRPr="00CF09F0">
              <w:rPr>
                <w:b w:val="0"/>
                <w:bCs/>
                <w:szCs w:val="20"/>
                <w:lang w:val="en-AU"/>
              </w:rPr>
              <w:t>$</w:t>
            </w:r>
            <w:r w:rsidR="00443A05" w:rsidRPr="00443A05">
              <w:rPr>
                <w:b w:val="0"/>
                <w:bCs/>
                <w:sz w:val="2"/>
                <w:szCs w:val="20"/>
                <w:highlight w:val="black"/>
                <w:lang w:val="en-AU"/>
              </w:rPr>
              <w:t xml:space="preserve">redacted </w:t>
            </w:r>
            <w:proofErr w:type="spellStart"/>
            <w:r w:rsidR="00443A05" w:rsidRPr="00443A05">
              <w:rPr>
                <w:b w:val="0"/>
                <w:bCs/>
                <w:sz w:val="2"/>
                <w:szCs w:val="20"/>
                <w:highlight w:val="black"/>
                <w:lang w:val="en-AU"/>
              </w:rPr>
              <w:t>content</w:t>
            </w:r>
            <w:r w:rsidRPr="00CF09F0">
              <w:rPr>
                <w:b w:val="0"/>
                <w:bCs/>
                <w:szCs w:val="20"/>
                <w:vertAlign w:val="superscript"/>
                <w:lang w:val="en-AU"/>
              </w:rPr>
              <w:t>a</w:t>
            </w:r>
            <w:proofErr w:type="spellEnd"/>
          </w:p>
        </w:tc>
        <w:tc>
          <w:tcPr>
            <w:tcW w:w="992" w:type="dxa"/>
            <w:gridSpan w:val="3"/>
          </w:tcPr>
          <w:p w14:paraId="09B56A1A" w14:textId="1445F7C5" w:rsidR="00AE4932" w:rsidRPr="00CF09F0" w:rsidRDefault="00AE4932">
            <w:pPr>
              <w:pStyle w:val="In-tableHeading"/>
              <w:jc w:val="center"/>
              <w:rPr>
                <w:b w:val="0"/>
                <w:bCs/>
                <w:szCs w:val="20"/>
                <w:lang w:val="en-AU"/>
              </w:rPr>
            </w:pPr>
            <w:r w:rsidRPr="00CF09F0">
              <w:rPr>
                <w:b w:val="0"/>
                <w:bCs/>
                <w:szCs w:val="20"/>
                <w:lang w:val="en-AU"/>
              </w:rPr>
              <w:t>$</w:t>
            </w:r>
            <w:r w:rsidR="00443A05" w:rsidRPr="00443A05">
              <w:rPr>
                <w:b w:val="0"/>
                <w:bCs/>
                <w:sz w:val="2"/>
                <w:szCs w:val="20"/>
                <w:highlight w:val="black"/>
                <w:lang w:val="en-AU"/>
              </w:rPr>
              <w:t>redacted content</w:t>
            </w:r>
          </w:p>
        </w:tc>
        <w:tc>
          <w:tcPr>
            <w:tcW w:w="1134" w:type="dxa"/>
            <w:gridSpan w:val="2"/>
          </w:tcPr>
          <w:p w14:paraId="0FB42A82" w14:textId="1AC5E8EB" w:rsidR="00AE4932" w:rsidRPr="00CF09F0" w:rsidRDefault="00AE4932">
            <w:pPr>
              <w:pStyle w:val="In-tableHeading"/>
              <w:jc w:val="center"/>
              <w:rPr>
                <w:b w:val="0"/>
                <w:bCs/>
                <w:szCs w:val="20"/>
                <w:lang w:val="en-AU"/>
              </w:rPr>
            </w:pPr>
            <w:r w:rsidRPr="00CF09F0">
              <w:rPr>
                <w:b w:val="0"/>
                <w:bCs/>
                <w:szCs w:val="20"/>
                <w:lang w:val="en-AU"/>
              </w:rPr>
              <w:t>$</w:t>
            </w:r>
            <w:r w:rsidR="00443A05" w:rsidRPr="00443A05">
              <w:rPr>
                <w:b w:val="0"/>
                <w:bCs/>
                <w:sz w:val="2"/>
                <w:szCs w:val="20"/>
                <w:highlight w:val="black"/>
                <w:lang w:val="en-AU"/>
              </w:rPr>
              <w:t>redacted content</w:t>
            </w:r>
          </w:p>
        </w:tc>
        <w:tc>
          <w:tcPr>
            <w:tcW w:w="992" w:type="dxa"/>
          </w:tcPr>
          <w:p w14:paraId="0DCF8683" w14:textId="545B0537" w:rsidR="00AE4932" w:rsidRPr="00CF09F0" w:rsidRDefault="00AE4932">
            <w:pPr>
              <w:pStyle w:val="In-tableHeading"/>
              <w:jc w:val="center"/>
              <w:rPr>
                <w:b w:val="0"/>
                <w:bCs/>
                <w:szCs w:val="20"/>
                <w:lang w:val="en-AU"/>
              </w:rPr>
            </w:pPr>
            <w:r w:rsidRPr="00CF09F0">
              <w:rPr>
                <w:b w:val="0"/>
                <w:bCs/>
                <w:szCs w:val="20"/>
                <w:lang w:val="en-AU"/>
              </w:rPr>
              <w:t>$</w:t>
            </w:r>
            <w:r w:rsidR="00443A05" w:rsidRPr="00443A05">
              <w:rPr>
                <w:b w:val="0"/>
                <w:bCs/>
                <w:sz w:val="2"/>
                <w:szCs w:val="20"/>
                <w:highlight w:val="black"/>
                <w:lang w:val="en-AU"/>
              </w:rPr>
              <w:t>redacted content</w:t>
            </w:r>
          </w:p>
        </w:tc>
        <w:tc>
          <w:tcPr>
            <w:tcW w:w="1134" w:type="dxa"/>
            <w:gridSpan w:val="3"/>
          </w:tcPr>
          <w:p w14:paraId="6D67F56D" w14:textId="3E41DC9F" w:rsidR="00AE4932" w:rsidRPr="00CF09F0" w:rsidRDefault="00AE4932">
            <w:pPr>
              <w:pStyle w:val="In-tableHeading"/>
              <w:jc w:val="center"/>
              <w:rPr>
                <w:b w:val="0"/>
                <w:bCs/>
                <w:szCs w:val="20"/>
                <w:lang w:val="en-AU"/>
              </w:rPr>
            </w:pPr>
            <w:r w:rsidRPr="00CF09F0">
              <w:rPr>
                <w:b w:val="0"/>
                <w:bCs/>
                <w:szCs w:val="20"/>
                <w:lang w:val="en-AU"/>
              </w:rPr>
              <w:t>$</w:t>
            </w:r>
            <w:r w:rsidR="00443A05" w:rsidRPr="00443A05">
              <w:rPr>
                <w:b w:val="0"/>
                <w:bCs/>
                <w:sz w:val="2"/>
                <w:szCs w:val="20"/>
                <w:highlight w:val="black"/>
                <w:lang w:val="en-AU"/>
              </w:rPr>
              <w:t>redacted content</w:t>
            </w:r>
          </w:p>
        </w:tc>
      </w:tr>
      <w:tr w:rsidR="00F907F1" w:rsidRPr="004A1333" w14:paraId="0BE527D1" w14:textId="77777777" w:rsidTr="00560120">
        <w:tc>
          <w:tcPr>
            <w:tcW w:w="1271" w:type="dxa"/>
            <w:tcBorders>
              <w:right w:val="nil"/>
            </w:tcBorders>
          </w:tcPr>
          <w:p w14:paraId="3F623A1F" w14:textId="77777777" w:rsidR="00AE4932" w:rsidRPr="004A1333" w:rsidRDefault="00AE4932">
            <w:pPr>
              <w:pStyle w:val="In-tableHeading"/>
              <w:rPr>
                <w:szCs w:val="20"/>
                <w:lang w:val="en-AU"/>
              </w:rPr>
            </w:pPr>
            <w:r w:rsidRPr="004A1333">
              <w:rPr>
                <w:szCs w:val="20"/>
                <w:lang w:val="en-AU"/>
              </w:rPr>
              <w:t>Drug costs</w:t>
            </w:r>
          </w:p>
        </w:tc>
        <w:tc>
          <w:tcPr>
            <w:tcW w:w="992" w:type="dxa"/>
            <w:tcBorders>
              <w:left w:val="nil"/>
              <w:right w:val="nil"/>
            </w:tcBorders>
          </w:tcPr>
          <w:p w14:paraId="365C8E08" w14:textId="77777777" w:rsidR="00AE4932" w:rsidRPr="004A1333" w:rsidRDefault="00AE4932">
            <w:pPr>
              <w:pStyle w:val="In-tableHeading"/>
              <w:jc w:val="center"/>
              <w:rPr>
                <w:b w:val="0"/>
                <w:bCs/>
                <w:szCs w:val="20"/>
                <w:lang w:val="en-AU"/>
              </w:rPr>
            </w:pPr>
          </w:p>
        </w:tc>
        <w:tc>
          <w:tcPr>
            <w:tcW w:w="993" w:type="dxa"/>
            <w:tcBorders>
              <w:left w:val="nil"/>
              <w:right w:val="nil"/>
            </w:tcBorders>
          </w:tcPr>
          <w:p w14:paraId="17C1896C" w14:textId="77777777" w:rsidR="00AE4932" w:rsidRPr="004A1333" w:rsidRDefault="00AE4932">
            <w:pPr>
              <w:pStyle w:val="In-tableHeading"/>
              <w:jc w:val="center"/>
              <w:rPr>
                <w:b w:val="0"/>
                <w:bCs/>
                <w:szCs w:val="20"/>
                <w:lang w:val="en-AU"/>
              </w:rPr>
            </w:pPr>
          </w:p>
        </w:tc>
        <w:tc>
          <w:tcPr>
            <w:tcW w:w="992" w:type="dxa"/>
            <w:tcBorders>
              <w:left w:val="nil"/>
              <w:right w:val="nil"/>
            </w:tcBorders>
          </w:tcPr>
          <w:p w14:paraId="76C1B6C5" w14:textId="77777777" w:rsidR="00AE4932" w:rsidRPr="004A1333" w:rsidRDefault="00AE4932">
            <w:pPr>
              <w:pStyle w:val="In-tableHeading"/>
              <w:jc w:val="center"/>
              <w:rPr>
                <w:b w:val="0"/>
                <w:bCs/>
                <w:szCs w:val="20"/>
                <w:lang w:val="en-AU"/>
              </w:rPr>
            </w:pPr>
          </w:p>
        </w:tc>
        <w:tc>
          <w:tcPr>
            <w:tcW w:w="1134" w:type="dxa"/>
            <w:tcBorders>
              <w:left w:val="nil"/>
              <w:right w:val="nil"/>
            </w:tcBorders>
          </w:tcPr>
          <w:p w14:paraId="008D88CC" w14:textId="77777777" w:rsidR="00AE4932" w:rsidRPr="004A1333" w:rsidRDefault="00AE4932">
            <w:pPr>
              <w:pStyle w:val="In-tableHeading"/>
              <w:jc w:val="center"/>
              <w:rPr>
                <w:b w:val="0"/>
                <w:bCs/>
                <w:szCs w:val="20"/>
                <w:lang w:val="en-AU"/>
              </w:rPr>
            </w:pPr>
          </w:p>
        </w:tc>
        <w:tc>
          <w:tcPr>
            <w:tcW w:w="236" w:type="dxa"/>
            <w:tcBorders>
              <w:left w:val="nil"/>
              <w:right w:val="nil"/>
            </w:tcBorders>
          </w:tcPr>
          <w:p w14:paraId="50C5BCDF" w14:textId="77777777" w:rsidR="00AE4932" w:rsidRPr="004A1333" w:rsidRDefault="00AE4932">
            <w:pPr>
              <w:pStyle w:val="In-tableHeading"/>
              <w:jc w:val="center"/>
              <w:rPr>
                <w:b w:val="0"/>
                <w:bCs/>
                <w:szCs w:val="20"/>
                <w:lang w:val="en-AU"/>
              </w:rPr>
            </w:pPr>
          </w:p>
        </w:tc>
        <w:tc>
          <w:tcPr>
            <w:tcW w:w="705" w:type="dxa"/>
            <w:tcBorders>
              <w:left w:val="nil"/>
              <w:right w:val="nil"/>
            </w:tcBorders>
          </w:tcPr>
          <w:p w14:paraId="4CEB8AC8" w14:textId="77777777" w:rsidR="00AE4932" w:rsidRPr="004A1333" w:rsidRDefault="00AE4932">
            <w:pPr>
              <w:pStyle w:val="In-tableHeading"/>
              <w:jc w:val="center"/>
              <w:rPr>
                <w:b w:val="0"/>
                <w:bCs/>
                <w:szCs w:val="20"/>
                <w:lang w:val="en-AU"/>
              </w:rPr>
            </w:pPr>
          </w:p>
        </w:tc>
        <w:tc>
          <w:tcPr>
            <w:tcW w:w="1046" w:type="dxa"/>
            <w:gridSpan w:val="2"/>
            <w:tcBorders>
              <w:left w:val="nil"/>
              <w:right w:val="nil"/>
            </w:tcBorders>
          </w:tcPr>
          <w:p w14:paraId="033802D0" w14:textId="77777777" w:rsidR="00AE4932" w:rsidRPr="004A1333" w:rsidRDefault="00AE4932">
            <w:pPr>
              <w:pStyle w:val="In-tableHeading"/>
              <w:jc w:val="center"/>
              <w:rPr>
                <w:b w:val="0"/>
                <w:bCs/>
                <w:szCs w:val="20"/>
                <w:lang w:val="en-AU"/>
              </w:rPr>
            </w:pPr>
          </w:p>
        </w:tc>
        <w:tc>
          <w:tcPr>
            <w:tcW w:w="1789" w:type="dxa"/>
            <w:gridSpan w:val="4"/>
            <w:tcBorders>
              <w:left w:val="nil"/>
              <w:right w:val="nil"/>
            </w:tcBorders>
          </w:tcPr>
          <w:p w14:paraId="16D0851C" w14:textId="77777777" w:rsidR="00AE4932" w:rsidRPr="004A1333" w:rsidRDefault="00AE4932">
            <w:pPr>
              <w:pStyle w:val="In-tableHeading"/>
              <w:jc w:val="center"/>
              <w:rPr>
                <w:b w:val="0"/>
                <w:bCs/>
                <w:szCs w:val="20"/>
                <w:lang w:val="en-AU"/>
              </w:rPr>
            </w:pPr>
          </w:p>
        </w:tc>
        <w:tc>
          <w:tcPr>
            <w:tcW w:w="476" w:type="dxa"/>
            <w:tcBorders>
              <w:left w:val="nil"/>
            </w:tcBorders>
          </w:tcPr>
          <w:p w14:paraId="588F48B5" w14:textId="77777777" w:rsidR="00AE4932" w:rsidRPr="004A1333" w:rsidRDefault="00AE4932">
            <w:pPr>
              <w:pStyle w:val="In-tableHeading"/>
              <w:jc w:val="center"/>
              <w:rPr>
                <w:b w:val="0"/>
                <w:bCs/>
                <w:szCs w:val="20"/>
                <w:lang w:val="en-AU"/>
              </w:rPr>
            </w:pPr>
          </w:p>
        </w:tc>
      </w:tr>
      <w:tr w:rsidR="00F907F1" w:rsidRPr="004A1333" w14:paraId="33ABF746" w14:textId="77777777" w:rsidTr="00560120">
        <w:tc>
          <w:tcPr>
            <w:tcW w:w="1271" w:type="dxa"/>
          </w:tcPr>
          <w:p w14:paraId="71352B27" w14:textId="77DA8F19" w:rsidR="00AE4932" w:rsidRPr="004A1333" w:rsidRDefault="00AE4932">
            <w:pPr>
              <w:pStyle w:val="In-tableHeading"/>
              <w:rPr>
                <w:b w:val="0"/>
                <w:bCs/>
                <w:szCs w:val="20"/>
                <w:lang w:val="en-AU"/>
              </w:rPr>
            </w:pPr>
            <w:r w:rsidRPr="004A1333">
              <w:rPr>
                <w:b w:val="0"/>
                <w:bCs/>
                <w:szCs w:val="20"/>
                <w:lang w:val="en-AU"/>
              </w:rPr>
              <w:t>Units /104</w:t>
            </w:r>
            <w:r w:rsidR="007D20E5" w:rsidRPr="004A1333">
              <w:rPr>
                <w:b w:val="0"/>
                <w:bCs/>
                <w:szCs w:val="20"/>
                <w:lang w:val="en-AU"/>
              </w:rPr>
              <w:t xml:space="preserve"> </w:t>
            </w:r>
            <w:r w:rsidRPr="004A1333">
              <w:rPr>
                <w:b w:val="0"/>
                <w:bCs/>
                <w:szCs w:val="20"/>
                <w:lang w:val="en-AU"/>
              </w:rPr>
              <w:t>wk (B)</w:t>
            </w:r>
          </w:p>
        </w:tc>
        <w:tc>
          <w:tcPr>
            <w:tcW w:w="992" w:type="dxa"/>
          </w:tcPr>
          <w:p w14:paraId="1FC57A25" w14:textId="77777777" w:rsidR="00AE4932" w:rsidRPr="004A1333" w:rsidRDefault="00AE4932">
            <w:pPr>
              <w:pStyle w:val="In-tableHeading"/>
              <w:jc w:val="center"/>
              <w:rPr>
                <w:b w:val="0"/>
                <w:bCs/>
                <w:szCs w:val="20"/>
                <w:lang w:val="en-AU"/>
              </w:rPr>
            </w:pPr>
            <w:r w:rsidRPr="004A1333">
              <w:rPr>
                <w:b w:val="0"/>
                <w:bCs/>
                <w:szCs w:val="20"/>
                <w:lang w:val="en-AU"/>
              </w:rPr>
              <w:t>3 x 4.36 vials</w:t>
            </w:r>
          </w:p>
        </w:tc>
        <w:tc>
          <w:tcPr>
            <w:tcW w:w="993" w:type="dxa"/>
          </w:tcPr>
          <w:p w14:paraId="75EBA465" w14:textId="77777777" w:rsidR="00AE4932" w:rsidRPr="004A1333" w:rsidRDefault="00AE4932">
            <w:pPr>
              <w:pStyle w:val="In-tableHeading"/>
              <w:jc w:val="center"/>
              <w:rPr>
                <w:b w:val="0"/>
                <w:bCs/>
                <w:szCs w:val="20"/>
                <w:lang w:val="en-AU"/>
              </w:rPr>
            </w:pPr>
            <w:r w:rsidRPr="004A1333">
              <w:rPr>
                <w:b w:val="0"/>
                <w:bCs/>
                <w:szCs w:val="20"/>
                <w:lang w:val="en-AU"/>
              </w:rPr>
              <w:t>12 x 4.36 vials</w:t>
            </w:r>
          </w:p>
        </w:tc>
        <w:tc>
          <w:tcPr>
            <w:tcW w:w="992" w:type="dxa"/>
          </w:tcPr>
          <w:p w14:paraId="6C0EB76A" w14:textId="77777777" w:rsidR="00AE4932" w:rsidRPr="004A1333" w:rsidRDefault="00AE4932">
            <w:pPr>
              <w:pStyle w:val="In-tableHeading"/>
              <w:jc w:val="center"/>
              <w:rPr>
                <w:b w:val="0"/>
                <w:bCs/>
                <w:szCs w:val="20"/>
                <w:lang w:val="en-AU"/>
              </w:rPr>
            </w:pPr>
            <w:r w:rsidRPr="004A1333">
              <w:rPr>
                <w:b w:val="0"/>
                <w:bCs/>
                <w:szCs w:val="20"/>
                <w:lang w:val="en-AU"/>
              </w:rPr>
              <w:t>2 x 4.36 vials</w:t>
            </w:r>
          </w:p>
        </w:tc>
        <w:tc>
          <w:tcPr>
            <w:tcW w:w="1134" w:type="dxa"/>
          </w:tcPr>
          <w:p w14:paraId="7C36DCB9" w14:textId="0FFCC8ED" w:rsidR="00AE4932" w:rsidRPr="004A1333" w:rsidRDefault="004754EB">
            <w:pPr>
              <w:pStyle w:val="In-tableHeading"/>
              <w:jc w:val="center"/>
              <w:rPr>
                <w:b w:val="0"/>
                <w:bCs/>
                <w:szCs w:val="20"/>
                <w:lang w:val="en-AU"/>
              </w:rPr>
            </w:pPr>
            <w:r w:rsidRPr="004A1333">
              <w:rPr>
                <w:b w:val="0"/>
                <w:bCs/>
                <w:szCs w:val="20"/>
                <w:lang w:val="en-AU"/>
              </w:rPr>
              <w:t xml:space="preserve">49 </w:t>
            </w:r>
            <w:r w:rsidR="00AE4932" w:rsidRPr="004A1333">
              <w:rPr>
                <w:b w:val="0"/>
                <w:bCs/>
                <w:szCs w:val="20"/>
                <w:lang w:val="en-AU"/>
              </w:rPr>
              <w:t>x 1 pen/ syringe</w:t>
            </w:r>
          </w:p>
        </w:tc>
        <w:tc>
          <w:tcPr>
            <w:tcW w:w="992" w:type="dxa"/>
            <w:gridSpan w:val="3"/>
          </w:tcPr>
          <w:p w14:paraId="5FBE9B24" w14:textId="6FB4F021" w:rsidR="00AE4932" w:rsidRPr="004A1333" w:rsidRDefault="00F44A2D">
            <w:pPr>
              <w:pStyle w:val="In-tableHeading"/>
              <w:jc w:val="center"/>
              <w:rPr>
                <w:b w:val="0"/>
                <w:bCs/>
                <w:szCs w:val="20"/>
                <w:lang w:val="en-AU"/>
              </w:rPr>
            </w:pPr>
            <w:r w:rsidRPr="004A1333">
              <w:rPr>
                <w:b w:val="0"/>
                <w:bCs/>
                <w:szCs w:val="20"/>
                <w:lang w:val="en-AU"/>
              </w:rPr>
              <w:t xml:space="preserve">3 </w:t>
            </w:r>
            <w:r w:rsidR="00AE4932" w:rsidRPr="004A1333">
              <w:rPr>
                <w:b w:val="0"/>
                <w:bCs/>
                <w:szCs w:val="20"/>
                <w:lang w:val="en-AU"/>
              </w:rPr>
              <w:t>x 1 pen device</w:t>
            </w:r>
          </w:p>
        </w:tc>
        <w:tc>
          <w:tcPr>
            <w:tcW w:w="1134" w:type="dxa"/>
            <w:gridSpan w:val="2"/>
          </w:tcPr>
          <w:p w14:paraId="2E52B0AF" w14:textId="5AB40E21" w:rsidR="00AE4932" w:rsidRPr="004A1333" w:rsidRDefault="00E571ED">
            <w:pPr>
              <w:pStyle w:val="In-tableHeading"/>
              <w:jc w:val="center"/>
              <w:rPr>
                <w:b w:val="0"/>
                <w:bCs/>
                <w:szCs w:val="20"/>
                <w:lang w:val="en-AU"/>
              </w:rPr>
            </w:pPr>
            <w:r w:rsidRPr="004A1333">
              <w:rPr>
                <w:b w:val="0"/>
                <w:bCs/>
                <w:szCs w:val="20"/>
                <w:lang w:val="en-AU"/>
              </w:rPr>
              <w:t>5</w:t>
            </w:r>
            <w:r w:rsidR="00EC1AE4" w:rsidRPr="004A1333">
              <w:rPr>
                <w:b w:val="0"/>
                <w:bCs/>
                <w:szCs w:val="20"/>
                <w:lang w:val="en-AU"/>
              </w:rPr>
              <w:t>0</w:t>
            </w:r>
            <w:r w:rsidRPr="004A1333">
              <w:rPr>
                <w:b w:val="0"/>
                <w:bCs/>
                <w:szCs w:val="20"/>
                <w:lang w:val="en-AU"/>
              </w:rPr>
              <w:t xml:space="preserve"> </w:t>
            </w:r>
            <w:r w:rsidR="00AE4932" w:rsidRPr="004A1333">
              <w:rPr>
                <w:b w:val="0"/>
                <w:bCs/>
                <w:szCs w:val="20"/>
                <w:lang w:val="en-AU"/>
              </w:rPr>
              <w:t>x 1 pen device</w:t>
            </w:r>
          </w:p>
        </w:tc>
        <w:tc>
          <w:tcPr>
            <w:tcW w:w="992" w:type="dxa"/>
          </w:tcPr>
          <w:p w14:paraId="35510609" w14:textId="77777777" w:rsidR="00AE4932" w:rsidRPr="004A1333" w:rsidRDefault="00AE4932">
            <w:pPr>
              <w:pStyle w:val="In-tableHeading"/>
              <w:jc w:val="center"/>
              <w:rPr>
                <w:b w:val="0"/>
                <w:bCs/>
                <w:szCs w:val="20"/>
                <w:lang w:val="en-AU"/>
              </w:rPr>
            </w:pPr>
            <w:r w:rsidRPr="004A1333">
              <w:rPr>
                <w:b w:val="0"/>
                <w:bCs/>
                <w:szCs w:val="20"/>
                <w:lang w:val="en-AU"/>
              </w:rPr>
              <w:t>1 x 3.3 vials</w:t>
            </w:r>
          </w:p>
        </w:tc>
        <w:tc>
          <w:tcPr>
            <w:tcW w:w="1134" w:type="dxa"/>
            <w:gridSpan w:val="3"/>
          </w:tcPr>
          <w:p w14:paraId="006166A8" w14:textId="77777777" w:rsidR="00AE4932" w:rsidRPr="004A1333" w:rsidRDefault="00AE4932">
            <w:pPr>
              <w:pStyle w:val="In-tableHeading"/>
              <w:jc w:val="center"/>
              <w:rPr>
                <w:b w:val="0"/>
                <w:bCs/>
                <w:szCs w:val="20"/>
                <w:lang w:val="en-AU"/>
              </w:rPr>
            </w:pPr>
            <w:r w:rsidRPr="004A1333">
              <w:rPr>
                <w:b w:val="0"/>
                <w:bCs/>
                <w:szCs w:val="20"/>
                <w:lang w:val="en-AU"/>
              </w:rPr>
              <w:t>11.52 x 1 syringe</w:t>
            </w:r>
          </w:p>
        </w:tc>
      </w:tr>
      <w:tr w:rsidR="00F907F1" w:rsidRPr="004A1333" w14:paraId="3C06DA72" w14:textId="77777777" w:rsidTr="00560120">
        <w:tc>
          <w:tcPr>
            <w:tcW w:w="1271" w:type="dxa"/>
          </w:tcPr>
          <w:p w14:paraId="673A13C4" w14:textId="77777777" w:rsidR="00AE4932" w:rsidRPr="004A1333" w:rsidRDefault="00AE4932">
            <w:pPr>
              <w:pStyle w:val="In-tableHeading"/>
              <w:rPr>
                <w:b w:val="0"/>
                <w:bCs/>
                <w:szCs w:val="20"/>
                <w:lang w:val="en-AU"/>
              </w:rPr>
            </w:pPr>
            <w:r w:rsidRPr="004A1333">
              <w:rPr>
                <w:b w:val="0"/>
                <w:bCs/>
                <w:szCs w:val="20"/>
                <w:lang w:val="en-AU"/>
              </w:rPr>
              <w:t>Admin. / 104wk (C)</w:t>
            </w:r>
          </w:p>
        </w:tc>
        <w:tc>
          <w:tcPr>
            <w:tcW w:w="992" w:type="dxa"/>
          </w:tcPr>
          <w:p w14:paraId="3A153E8A" w14:textId="77777777" w:rsidR="00AE4932" w:rsidRPr="004A1333" w:rsidRDefault="00AE4932">
            <w:pPr>
              <w:pStyle w:val="In-tableHeading"/>
              <w:jc w:val="center"/>
              <w:rPr>
                <w:b w:val="0"/>
                <w:bCs/>
                <w:szCs w:val="20"/>
                <w:lang w:val="en-AU"/>
              </w:rPr>
            </w:pPr>
            <w:r w:rsidRPr="004A1333">
              <w:rPr>
                <w:b w:val="0"/>
                <w:bCs/>
                <w:szCs w:val="20"/>
                <w:lang w:val="en-AU"/>
              </w:rPr>
              <w:t>3</w:t>
            </w:r>
          </w:p>
        </w:tc>
        <w:tc>
          <w:tcPr>
            <w:tcW w:w="993" w:type="dxa"/>
          </w:tcPr>
          <w:p w14:paraId="5C0D0308" w14:textId="77777777" w:rsidR="00AE4932" w:rsidRPr="004A1333" w:rsidRDefault="00AE4932">
            <w:pPr>
              <w:pStyle w:val="In-tableHeading"/>
              <w:jc w:val="center"/>
              <w:rPr>
                <w:b w:val="0"/>
                <w:bCs/>
                <w:szCs w:val="20"/>
                <w:lang w:val="en-AU"/>
              </w:rPr>
            </w:pPr>
            <w:r w:rsidRPr="004A1333">
              <w:rPr>
                <w:b w:val="0"/>
                <w:bCs/>
                <w:szCs w:val="20"/>
                <w:lang w:val="en-AU"/>
              </w:rPr>
              <w:t>12</w:t>
            </w:r>
          </w:p>
        </w:tc>
        <w:tc>
          <w:tcPr>
            <w:tcW w:w="992" w:type="dxa"/>
          </w:tcPr>
          <w:p w14:paraId="7A3A2E02" w14:textId="77777777" w:rsidR="00AE4932" w:rsidRPr="004A1333" w:rsidRDefault="00AE4932">
            <w:pPr>
              <w:pStyle w:val="In-tableHeading"/>
              <w:jc w:val="center"/>
              <w:rPr>
                <w:b w:val="0"/>
                <w:bCs/>
                <w:szCs w:val="20"/>
                <w:lang w:val="en-AU"/>
              </w:rPr>
            </w:pPr>
            <w:r w:rsidRPr="004A1333">
              <w:rPr>
                <w:b w:val="0"/>
                <w:bCs/>
                <w:szCs w:val="20"/>
                <w:lang w:val="en-AU"/>
              </w:rPr>
              <w:t>2</w:t>
            </w:r>
          </w:p>
        </w:tc>
        <w:tc>
          <w:tcPr>
            <w:tcW w:w="1134" w:type="dxa"/>
          </w:tcPr>
          <w:p w14:paraId="240E4BF0" w14:textId="745E0833" w:rsidR="00AE4932" w:rsidRPr="004A1333" w:rsidRDefault="00FF266E">
            <w:pPr>
              <w:pStyle w:val="In-tableHeading"/>
              <w:jc w:val="center"/>
              <w:rPr>
                <w:b w:val="0"/>
                <w:bCs/>
                <w:szCs w:val="20"/>
                <w:lang w:val="en-AU"/>
              </w:rPr>
            </w:pPr>
            <w:r w:rsidRPr="004A1333">
              <w:rPr>
                <w:b w:val="0"/>
                <w:bCs/>
                <w:szCs w:val="20"/>
                <w:lang w:val="en-AU"/>
              </w:rPr>
              <w:t>49</w:t>
            </w:r>
          </w:p>
        </w:tc>
        <w:tc>
          <w:tcPr>
            <w:tcW w:w="992" w:type="dxa"/>
            <w:gridSpan w:val="3"/>
          </w:tcPr>
          <w:p w14:paraId="5383F1FB" w14:textId="2CB0F13B" w:rsidR="00AE4932" w:rsidRPr="004A1333" w:rsidRDefault="00F44E3F">
            <w:pPr>
              <w:pStyle w:val="In-tableHeading"/>
              <w:jc w:val="center"/>
              <w:rPr>
                <w:b w:val="0"/>
                <w:bCs/>
                <w:szCs w:val="20"/>
                <w:vertAlign w:val="superscript"/>
                <w:lang w:val="en-AU"/>
              </w:rPr>
            </w:pPr>
            <w:r w:rsidRPr="004A1333">
              <w:rPr>
                <w:b w:val="0"/>
                <w:bCs/>
                <w:szCs w:val="20"/>
                <w:lang w:val="en-AU"/>
              </w:rPr>
              <w:t>1</w:t>
            </w:r>
            <w:r w:rsidRPr="004A1333">
              <w:rPr>
                <w:b w:val="0"/>
                <w:bCs/>
                <w:szCs w:val="20"/>
                <w:vertAlign w:val="superscript"/>
                <w:lang w:val="en-AU"/>
              </w:rPr>
              <w:t>b</w:t>
            </w:r>
          </w:p>
        </w:tc>
        <w:tc>
          <w:tcPr>
            <w:tcW w:w="1134" w:type="dxa"/>
            <w:gridSpan w:val="2"/>
          </w:tcPr>
          <w:p w14:paraId="07E70214" w14:textId="6D1507B8" w:rsidR="00AE4932" w:rsidRPr="004A1333" w:rsidRDefault="00AE4932">
            <w:pPr>
              <w:pStyle w:val="In-tableHeading"/>
              <w:jc w:val="center"/>
              <w:rPr>
                <w:b w:val="0"/>
                <w:bCs/>
                <w:szCs w:val="20"/>
                <w:vertAlign w:val="superscript"/>
                <w:lang w:val="en-AU"/>
              </w:rPr>
            </w:pPr>
            <w:r w:rsidRPr="004A1333">
              <w:rPr>
                <w:b w:val="0"/>
                <w:bCs/>
                <w:szCs w:val="20"/>
                <w:lang w:val="en-AU"/>
              </w:rPr>
              <w:t>51</w:t>
            </w:r>
            <w:r w:rsidRPr="004A1333">
              <w:rPr>
                <w:b w:val="0"/>
                <w:bCs/>
                <w:szCs w:val="20"/>
                <w:vertAlign w:val="superscript"/>
                <w:lang w:val="en-AU"/>
              </w:rPr>
              <w:t>b</w:t>
            </w:r>
          </w:p>
        </w:tc>
        <w:tc>
          <w:tcPr>
            <w:tcW w:w="992" w:type="dxa"/>
          </w:tcPr>
          <w:p w14:paraId="44476F37" w14:textId="77777777" w:rsidR="00AE4932" w:rsidRPr="004A1333" w:rsidRDefault="00AE4932">
            <w:pPr>
              <w:pStyle w:val="In-tableHeading"/>
              <w:jc w:val="center"/>
              <w:rPr>
                <w:b w:val="0"/>
                <w:bCs/>
                <w:szCs w:val="20"/>
                <w:lang w:val="en-AU"/>
              </w:rPr>
            </w:pPr>
            <w:r w:rsidRPr="004A1333">
              <w:rPr>
                <w:b w:val="0"/>
                <w:bCs/>
                <w:szCs w:val="20"/>
                <w:lang w:val="en-AU"/>
              </w:rPr>
              <w:t>1</w:t>
            </w:r>
          </w:p>
        </w:tc>
        <w:tc>
          <w:tcPr>
            <w:tcW w:w="1134" w:type="dxa"/>
            <w:gridSpan w:val="3"/>
          </w:tcPr>
          <w:p w14:paraId="0382626E" w14:textId="77777777" w:rsidR="00AE4932" w:rsidRPr="004A1333" w:rsidRDefault="00AE4932">
            <w:pPr>
              <w:pStyle w:val="In-tableHeading"/>
              <w:jc w:val="center"/>
              <w:rPr>
                <w:b w:val="0"/>
                <w:bCs/>
                <w:szCs w:val="20"/>
                <w:lang w:val="en-AU"/>
              </w:rPr>
            </w:pPr>
            <w:r w:rsidRPr="004A1333">
              <w:rPr>
                <w:b w:val="0"/>
                <w:bCs/>
                <w:szCs w:val="20"/>
                <w:lang w:val="en-AU"/>
              </w:rPr>
              <w:t>11.52</w:t>
            </w:r>
          </w:p>
        </w:tc>
      </w:tr>
      <w:tr w:rsidR="00F907F1" w:rsidRPr="004A1333" w14:paraId="492A1B8F" w14:textId="77777777" w:rsidTr="00560120">
        <w:tc>
          <w:tcPr>
            <w:tcW w:w="1271" w:type="dxa"/>
          </w:tcPr>
          <w:p w14:paraId="6DF72200" w14:textId="16B0ABB2" w:rsidR="00AE4932" w:rsidRPr="004A1333" w:rsidRDefault="00AE4932">
            <w:pPr>
              <w:pStyle w:val="In-tableHeading"/>
              <w:rPr>
                <w:b w:val="0"/>
                <w:bCs/>
                <w:szCs w:val="20"/>
                <w:lang w:val="en-AU"/>
              </w:rPr>
            </w:pPr>
            <w:r w:rsidRPr="004A1333">
              <w:rPr>
                <w:b w:val="0"/>
                <w:bCs/>
                <w:szCs w:val="20"/>
                <w:lang w:val="en-AU"/>
              </w:rPr>
              <w:t>Drug cost / 104</w:t>
            </w:r>
            <w:r w:rsidR="007D20E5" w:rsidRPr="004A1333">
              <w:rPr>
                <w:b w:val="0"/>
                <w:bCs/>
                <w:szCs w:val="20"/>
                <w:lang w:val="en-AU"/>
              </w:rPr>
              <w:t xml:space="preserve"> </w:t>
            </w:r>
            <w:r w:rsidRPr="004A1333">
              <w:rPr>
                <w:b w:val="0"/>
                <w:bCs/>
                <w:szCs w:val="20"/>
                <w:lang w:val="en-AU"/>
              </w:rPr>
              <w:t>wk (A x B)</w:t>
            </w:r>
          </w:p>
        </w:tc>
        <w:tc>
          <w:tcPr>
            <w:tcW w:w="992" w:type="dxa"/>
          </w:tcPr>
          <w:p w14:paraId="3CE04AFE" w14:textId="0FCA8929" w:rsidR="00AE4932" w:rsidRPr="00CF09F0" w:rsidRDefault="00AE4932">
            <w:pPr>
              <w:pStyle w:val="In-tableHeading"/>
              <w:jc w:val="center"/>
              <w:rPr>
                <w:b w:val="0"/>
                <w:bCs/>
                <w:szCs w:val="20"/>
                <w:lang w:val="en-AU"/>
              </w:rPr>
            </w:pPr>
            <w:r w:rsidRPr="00CF09F0">
              <w:rPr>
                <w:b w:val="0"/>
                <w:bCs/>
                <w:szCs w:val="20"/>
                <w:lang w:val="en-AU"/>
              </w:rPr>
              <w:t>$</w:t>
            </w:r>
            <w:r w:rsidR="00443A05" w:rsidRPr="00443A05">
              <w:rPr>
                <w:b w:val="0"/>
                <w:bCs/>
                <w:sz w:val="2"/>
                <w:szCs w:val="20"/>
                <w:highlight w:val="black"/>
                <w:lang w:val="en-AU"/>
              </w:rPr>
              <w:t>redacted content</w:t>
            </w:r>
          </w:p>
        </w:tc>
        <w:tc>
          <w:tcPr>
            <w:tcW w:w="993" w:type="dxa"/>
          </w:tcPr>
          <w:p w14:paraId="03A9C8D2" w14:textId="63FCB6DA" w:rsidR="00AE4932" w:rsidRPr="00CF09F0" w:rsidRDefault="00AE4932">
            <w:pPr>
              <w:pStyle w:val="In-tableHeading"/>
              <w:jc w:val="center"/>
              <w:rPr>
                <w:b w:val="0"/>
                <w:bCs/>
                <w:szCs w:val="20"/>
                <w:lang w:val="en-AU"/>
              </w:rPr>
            </w:pPr>
            <w:r w:rsidRPr="00CF09F0">
              <w:rPr>
                <w:b w:val="0"/>
                <w:bCs/>
                <w:szCs w:val="20"/>
                <w:lang w:val="en-AU"/>
              </w:rPr>
              <w:t>$</w:t>
            </w:r>
            <w:r w:rsidR="00443A05" w:rsidRPr="00443A05">
              <w:rPr>
                <w:b w:val="0"/>
                <w:bCs/>
                <w:sz w:val="2"/>
                <w:szCs w:val="20"/>
                <w:highlight w:val="black"/>
                <w:lang w:val="en-AU"/>
              </w:rPr>
              <w:t>redacted content</w:t>
            </w:r>
          </w:p>
        </w:tc>
        <w:tc>
          <w:tcPr>
            <w:tcW w:w="992" w:type="dxa"/>
          </w:tcPr>
          <w:p w14:paraId="2389CBE6" w14:textId="1AE1D926" w:rsidR="00AE4932" w:rsidRPr="00CF09F0" w:rsidRDefault="00AE4932">
            <w:pPr>
              <w:pStyle w:val="In-tableHeading"/>
              <w:jc w:val="center"/>
              <w:rPr>
                <w:b w:val="0"/>
                <w:bCs/>
                <w:szCs w:val="20"/>
                <w:lang w:val="en-AU"/>
              </w:rPr>
            </w:pPr>
            <w:r w:rsidRPr="00CF09F0">
              <w:rPr>
                <w:b w:val="0"/>
                <w:bCs/>
                <w:szCs w:val="20"/>
                <w:lang w:val="en-AU"/>
              </w:rPr>
              <w:t>$</w:t>
            </w:r>
            <w:r w:rsidR="00443A05" w:rsidRPr="00443A05">
              <w:rPr>
                <w:b w:val="0"/>
                <w:bCs/>
                <w:sz w:val="2"/>
                <w:szCs w:val="20"/>
                <w:highlight w:val="black"/>
                <w:lang w:val="en-AU"/>
              </w:rPr>
              <w:t>redacted content</w:t>
            </w:r>
          </w:p>
        </w:tc>
        <w:tc>
          <w:tcPr>
            <w:tcW w:w="1134" w:type="dxa"/>
          </w:tcPr>
          <w:p w14:paraId="16BE173F" w14:textId="6F40804E" w:rsidR="00AE4932" w:rsidRPr="00CF09F0" w:rsidRDefault="00AE4932">
            <w:pPr>
              <w:pStyle w:val="In-tableHeading"/>
              <w:jc w:val="center"/>
              <w:rPr>
                <w:b w:val="0"/>
                <w:bCs/>
                <w:szCs w:val="20"/>
                <w:lang w:val="en-AU"/>
              </w:rPr>
            </w:pPr>
            <w:r w:rsidRPr="00CF09F0">
              <w:rPr>
                <w:b w:val="0"/>
                <w:szCs w:val="20"/>
                <w:lang w:val="en-AU"/>
              </w:rPr>
              <w:t>$</w:t>
            </w:r>
            <w:r w:rsidR="00443A05" w:rsidRPr="00443A05">
              <w:rPr>
                <w:b w:val="0"/>
                <w:bCs/>
                <w:sz w:val="2"/>
                <w:szCs w:val="20"/>
                <w:highlight w:val="black"/>
                <w:lang w:val="en-AU"/>
              </w:rPr>
              <w:t>redacted content</w:t>
            </w:r>
          </w:p>
        </w:tc>
        <w:tc>
          <w:tcPr>
            <w:tcW w:w="992" w:type="dxa"/>
            <w:gridSpan w:val="3"/>
          </w:tcPr>
          <w:p w14:paraId="158E9924" w14:textId="10A0E675" w:rsidR="00AE4932" w:rsidRPr="00CF09F0" w:rsidRDefault="00AE4932">
            <w:pPr>
              <w:pStyle w:val="In-tableHeading"/>
              <w:jc w:val="center"/>
              <w:rPr>
                <w:b w:val="0"/>
                <w:bCs/>
                <w:szCs w:val="20"/>
                <w:lang w:val="en-AU"/>
              </w:rPr>
            </w:pPr>
            <w:r w:rsidRPr="00CF09F0">
              <w:rPr>
                <w:b w:val="0"/>
                <w:bCs/>
                <w:szCs w:val="20"/>
                <w:lang w:val="en-AU"/>
              </w:rPr>
              <w:t>$</w:t>
            </w:r>
            <w:r w:rsidR="00443A05" w:rsidRPr="00443A05">
              <w:rPr>
                <w:b w:val="0"/>
                <w:bCs/>
                <w:sz w:val="2"/>
                <w:szCs w:val="20"/>
                <w:highlight w:val="black"/>
                <w:lang w:val="en-AU"/>
              </w:rPr>
              <w:t>redacted content</w:t>
            </w:r>
          </w:p>
        </w:tc>
        <w:tc>
          <w:tcPr>
            <w:tcW w:w="1134" w:type="dxa"/>
            <w:gridSpan w:val="2"/>
          </w:tcPr>
          <w:p w14:paraId="1A95B7F9" w14:textId="66F5329E" w:rsidR="00AE4932" w:rsidRPr="00CF09F0" w:rsidRDefault="00AE4932">
            <w:pPr>
              <w:pStyle w:val="In-tableHeading"/>
              <w:jc w:val="center"/>
              <w:rPr>
                <w:b w:val="0"/>
                <w:bCs/>
                <w:szCs w:val="20"/>
                <w:lang w:val="en-AU"/>
              </w:rPr>
            </w:pPr>
            <w:r w:rsidRPr="00CF09F0">
              <w:rPr>
                <w:b w:val="0"/>
                <w:bCs/>
                <w:szCs w:val="20"/>
                <w:lang w:val="en-AU"/>
              </w:rPr>
              <w:t>$</w:t>
            </w:r>
            <w:r w:rsidR="00443A05" w:rsidRPr="00443A05">
              <w:rPr>
                <w:b w:val="0"/>
                <w:bCs/>
                <w:sz w:val="2"/>
                <w:szCs w:val="20"/>
                <w:highlight w:val="black"/>
                <w:lang w:val="en-AU"/>
              </w:rPr>
              <w:t>redacted content</w:t>
            </w:r>
          </w:p>
        </w:tc>
        <w:tc>
          <w:tcPr>
            <w:tcW w:w="992" w:type="dxa"/>
          </w:tcPr>
          <w:p w14:paraId="7CBF8047" w14:textId="1003C99E" w:rsidR="00AE4932" w:rsidRPr="00CF09F0" w:rsidRDefault="00AE4932">
            <w:pPr>
              <w:pStyle w:val="In-tableHeading"/>
              <w:jc w:val="center"/>
              <w:rPr>
                <w:b w:val="0"/>
                <w:bCs/>
                <w:szCs w:val="20"/>
                <w:lang w:val="en-AU"/>
              </w:rPr>
            </w:pPr>
            <w:r w:rsidRPr="00CF09F0">
              <w:rPr>
                <w:b w:val="0"/>
                <w:bCs/>
                <w:szCs w:val="20"/>
                <w:lang w:val="en-AU"/>
              </w:rPr>
              <w:t>$</w:t>
            </w:r>
            <w:r w:rsidR="00443A05" w:rsidRPr="00443A05">
              <w:rPr>
                <w:b w:val="0"/>
                <w:bCs/>
                <w:sz w:val="2"/>
                <w:szCs w:val="20"/>
                <w:highlight w:val="black"/>
                <w:lang w:val="en-AU"/>
              </w:rPr>
              <w:t>redacted content</w:t>
            </w:r>
          </w:p>
        </w:tc>
        <w:tc>
          <w:tcPr>
            <w:tcW w:w="1134" w:type="dxa"/>
            <w:gridSpan w:val="3"/>
          </w:tcPr>
          <w:p w14:paraId="59A9262B" w14:textId="333F7155" w:rsidR="00AE4932" w:rsidRPr="00CF09F0" w:rsidRDefault="00AE4932">
            <w:pPr>
              <w:pStyle w:val="In-tableHeading"/>
              <w:jc w:val="center"/>
              <w:rPr>
                <w:b w:val="0"/>
                <w:bCs/>
                <w:szCs w:val="20"/>
                <w:vertAlign w:val="superscript"/>
                <w:lang w:val="en-AU"/>
              </w:rPr>
            </w:pPr>
            <w:r w:rsidRPr="00CF09F0">
              <w:rPr>
                <w:b w:val="0"/>
                <w:bCs/>
                <w:szCs w:val="20"/>
                <w:lang w:val="en-AU"/>
              </w:rPr>
              <w:t>$</w:t>
            </w:r>
            <w:r w:rsidR="00443A05" w:rsidRPr="00443A05">
              <w:rPr>
                <w:b w:val="0"/>
                <w:bCs/>
                <w:sz w:val="2"/>
                <w:szCs w:val="20"/>
                <w:highlight w:val="black"/>
                <w:lang w:val="en-AU"/>
              </w:rPr>
              <w:t xml:space="preserve">redacted </w:t>
            </w:r>
            <w:proofErr w:type="spellStart"/>
            <w:r w:rsidR="00443A05" w:rsidRPr="00443A05">
              <w:rPr>
                <w:b w:val="0"/>
                <w:bCs/>
                <w:sz w:val="2"/>
                <w:szCs w:val="20"/>
                <w:highlight w:val="black"/>
                <w:lang w:val="en-AU"/>
              </w:rPr>
              <w:t>content</w:t>
            </w:r>
            <w:r w:rsidR="00C73934" w:rsidRPr="00CF09F0">
              <w:rPr>
                <w:b w:val="0"/>
                <w:bCs/>
                <w:szCs w:val="20"/>
                <w:vertAlign w:val="superscript"/>
                <w:lang w:val="en-AU"/>
              </w:rPr>
              <w:t>c</w:t>
            </w:r>
            <w:proofErr w:type="spellEnd"/>
          </w:p>
        </w:tc>
      </w:tr>
      <w:tr w:rsidR="00F907F1" w:rsidRPr="004A1333" w14:paraId="51E7F0FE" w14:textId="77777777" w:rsidTr="00560120">
        <w:tc>
          <w:tcPr>
            <w:tcW w:w="1271" w:type="dxa"/>
          </w:tcPr>
          <w:p w14:paraId="6F7011EA" w14:textId="4A49C1E8" w:rsidR="00AE4932" w:rsidRPr="00CF09F0" w:rsidRDefault="00AE4932">
            <w:pPr>
              <w:pStyle w:val="In-tableHeading"/>
              <w:rPr>
                <w:b w:val="0"/>
                <w:bCs/>
                <w:szCs w:val="20"/>
                <w:lang w:val="en-AU"/>
              </w:rPr>
            </w:pPr>
            <w:r w:rsidRPr="00CF09F0">
              <w:rPr>
                <w:b w:val="0"/>
                <w:bCs/>
                <w:szCs w:val="20"/>
                <w:lang w:val="en-AU"/>
              </w:rPr>
              <w:t>IV/SC admin costs (C x IV admin cost)</w:t>
            </w:r>
            <w:r w:rsidR="00C73934" w:rsidRPr="00CF09F0">
              <w:rPr>
                <w:szCs w:val="20"/>
                <w:vertAlign w:val="superscript"/>
                <w:lang w:val="en-AU"/>
              </w:rPr>
              <w:t>d</w:t>
            </w:r>
            <w:r w:rsidR="00C73934" w:rsidRPr="00CF09F0">
              <w:rPr>
                <w:b w:val="0"/>
                <w:bCs/>
                <w:szCs w:val="20"/>
                <w:vertAlign w:val="superscript"/>
                <w:lang w:val="en-AU"/>
              </w:rPr>
              <w:t xml:space="preserve"> </w:t>
            </w:r>
          </w:p>
        </w:tc>
        <w:tc>
          <w:tcPr>
            <w:tcW w:w="992" w:type="dxa"/>
          </w:tcPr>
          <w:p w14:paraId="396C3D76" w14:textId="77777777" w:rsidR="00AE4932" w:rsidRPr="00CF09F0" w:rsidRDefault="00AE4932">
            <w:pPr>
              <w:pStyle w:val="In-tableHeading"/>
              <w:jc w:val="center"/>
              <w:rPr>
                <w:b w:val="0"/>
                <w:bCs/>
                <w:szCs w:val="20"/>
                <w:lang w:val="en-AU"/>
              </w:rPr>
            </w:pPr>
            <w:r w:rsidRPr="00CF09F0">
              <w:rPr>
                <w:b w:val="0"/>
                <w:bCs/>
                <w:szCs w:val="20"/>
                <w:lang w:val="en-AU"/>
              </w:rPr>
              <w:t>$342.90</w:t>
            </w:r>
          </w:p>
        </w:tc>
        <w:tc>
          <w:tcPr>
            <w:tcW w:w="993" w:type="dxa"/>
          </w:tcPr>
          <w:p w14:paraId="087EB0A9" w14:textId="77777777" w:rsidR="00AE4932" w:rsidRPr="00CF09F0" w:rsidRDefault="00AE4932">
            <w:pPr>
              <w:pStyle w:val="In-tableHeading"/>
              <w:jc w:val="center"/>
              <w:rPr>
                <w:b w:val="0"/>
                <w:bCs/>
                <w:szCs w:val="20"/>
                <w:lang w:val="en-AU"/>
              </w:rPr>
            </w:pPr>
            <w:r w:rsidRPr="00CF09F0">
              <w:rPr>
                <w:b w:val="0"/>
                <w:bCs/>
                <w:szCs w:val="20"/>
                <w:lang w:val="en-AU"/>
              </w:rPr>
              <w:t>$1,371.60</w:t>
            </w:r>
          </w:p>
        </w:tc>
        <w:tc>
          <w:tcPr>
            <w:tcW w:w="992" w:type="dxa"/>
          </w:tcPr>
          <w:p w14:paraId="7F4C003C" w14:textId="1934B3E5" w:rsidR="00AE4932" w:rsidRPr="00CF09F0" w:rsidRDefault="00AE4932">
            <w:pPr>
              <w:pStyle w:val="In-tableHeading"/>
              <w:jc w:val="center"/>
              <w:rPr>
                <w:b w:val="0"/>
                <w:bCs/>
                <w:szCs w:val="20"/>
                <w:lang w:val="en-AU"/>
              </w:rPr>
            </w:pPr>
            <w:r w:rsidRPr="00CF09F0">
              <w:rPr>
                <w:b w:val="0"/>
                <w:bCs/>
                <w:szCs w:val="20"/>
                <w:lang w:val="en-AU"/>
              </w:rPr>
              <w:t>$228.60</w:t>
            </w:r>
          </w:p>
        </w:tc>
        <w:tc>
          <w:tcPr>
            <w:tcW w:w="1134" w:type="dxa"/>
          </w:tcPr>
          <w:p w14:paraId="417EB95F" w14:textId="47DBA333" w:rsidR="00AE4932" w:rsidRPr="00CF09F0" w:rsidRDefault="00AE4932">
            <w:pPr>
              <w:pStyle w:val="In-tableHeading"/>
              <w:jc w:val="center"/>
              <w:rPr>
                <w:b w:val="0"/>
                <w:bCs/>
                <w:szCs w:val="20"/>
                <w:lang w:val="en-AU"/>
              </w:rPr>
            </w:pPr>
            <w:r w:rsidRPr="00CF09F0">
              <w:rPr>
                <w:b w:val="0"/>
                <w:szCs w:val="20"/>
                <w:lang w:val="en-AU"/>
              </w:rPr>
              <w:t>$</w:t>
            </w:r>
            <w:r w:rsidR="000B48BC" w:rsidRPr="00CF09F0">
              <w:rPr>
                <w:b w:val="0"/>
                <w:bCs/>
                <w:szCs w:val="20"/>
                <w:lang w:val="en-AU"/>
              </w:rPr>
              <w:t xml:space="preserve"> 215.11</w:t>
            </w:r>
          </w:p>
        </w:tc>
        <w:tc>
          <w:tcPr>
            <w:tcW w:w="992" w:type="dxa"/>
            <w:gridSpan w:val="3"/>
          </w:tcPr>
          <w:p w14:paraId="359A4F2C" w14:textId="77777777" w:rsidR="00AE4932" w:rsidRPr="00CF09F0" w:rsidRDefault="00AE4932">
            <w:pPr>
              <w:pStyle w:val="In-tableHeading"/>
              <w:jc w:val="center"/>
              <w:rPr>
                <w:b w:val="0"/>
                <w:bCs/>
                <w:szCs w:val="20"/>
                <w:lang w:val="en-AU"/>
              </w:rPr>
            </w:pPr>
            <w:r w:rsidRPr="00CF09F0">
              <w:rPr>
                <w:b w:val="0"/>
                <w:bCs/>
                <w:szCs w:val="20"/>
                <w:lang w:val="en-AU"/>
              </w:rPr>
              <w:t>$11.43</w:t>
            </w:r>
          </w:p>
        </w:tc>
        <w:tc>
          <w:tcPr>
            <w:tcW w:w="1134" w:type="dxa"/>
            <w:gridSpan w:val="2"/>
          </w:tcPr>
          <w:p w14:paraId="7BDC26C5" w14:textId="386E7E66" w:rsidR="00AE4932" w:rsidRPr="00CF09F0" w:rsidRDefault="00AE4932">
            <w:pPr>
              <w:pStyle w:val="In-tableHeading"/>
              <w:jc w:val="center"/>
              <w:rPr>
                <w:b w:val="0"/>
                <w:bCs/>
                <w:szCs w:val="20"/>
                <w:lang w:val="en-AU"/>
              </w:rPr>
            </w:pPr>
            <w:r w:rsidRPr="00CF09F0">
              <w:rPr>
                <w:b w:val="0"/>
                <w:bCs/>
                <w:szCs w:val="20"/>
                <w:lang w:val="en-AU"/>
              </w:rPr>
              <w:t>$</w:t>
            </w:r>
            <w:r w:rsidR="00472294" w:rsidRPr="00CF09F0">
              <w:rPr>
                <w:b w:val="0"/>
                <w:bCs/>
                <w:szCs w:val="20"/>
                <w:lang w:val="en-AU"/>
              </w:rPr>
              <w:t xml:space="preserve"> 228.28</w:t>
            </w:r>
          </w:p>
        </w:tc>
        <w:tc>
          <w:tcPr>
            <w:tcW w:w="992" w:type="dxa"/>
          </w:tcPr>
          <w:p w14:paraId="47C840F6" w14:textId="77777777" w:rsidR="00AE4932" w:rsidRPr="00CF09F0" w:rsidRDefault="00AE4932">
            <w:pPr>
              <w:pStyle w:val="In-tableHeading"/>
              <w:jc w:val="center"/>
              <w:rPr>
                <w:b w:val="0"/>
                <w:bCs/>
                <w:szCs w:val="20"/>
                <w:lang w:val="en-AU"/>
              </w:rPr>
            </w:pPr>
            <w:r w:rsidRPr="00CF09F0">
              <w:rPr>
                <w:b w:val="0"/>
                <w:bCs/>
                <w:szCs w:val="20"/>
                <w:lang w:val="en-AU"/>
              </w:rPr>
              <w:t>$114.30</w:t>
            </w:r>
          </w:p>
        </w:tc>
        <w:tc>
          <w:tcPr>
            <w:tcW w:w="1134" w:type="dxa"/>
            <w:gridSpan w:val="3"/>
          </w:tcPr>
          <w:p w14:paraId="6870FEB2" w14:textId="63B5716C" w:rsidR="00AE4932" w:rsidRPr="00CF09F0" w:rsidRDefault="00194F19">
            <w:pPr>
              <w:pStyle w:val="In-tableHeading"/>
              <w:jc w:val="center"/>
              <w:rPr>
                <w:b w:val="0"/>
                <w:bCs/>
                <w:szCs w:val="20"/>
                <w:lang w:val="en-AU"/>
              </w:rPr>
            </w:pPr>
            <w:r w:rsidRPr="00CF09F0">
              <w:rPr>
                <w:b w:val="0"/>
                <w:bCs/>
                <w:szCs w:val="20"/>
                <w:lang w:val="en-AU"/>
              </w:rPr>
              <w:t xml:space="preserve"> $50.57</w:t>
            </w:r>
          </w:p>
        </w:tc>
      </w:tr>
      <w:tr w:rsidR="00F907F1" w:rsidRPr="004A1333" w14:paraId="4E925681" w14:textId="77777777" w:rsidTr="00560120">
        <w:tc>
          <w:tcPr>
            <w:tcW w:w="1271" w:type="dxa"/>
          </w:tcPr>
          <w:p w14:paraId="4A15238E" w14:textId="77777777" w:rsidR="00AE4932" w:rsidRPr="004A1333" w:rsidRDefault="00AE4932">
            <w:pPr>
              <w:pStyle w:val="In-tableHeading"/>
              <w:rPr>
                <w:b w:val="0"/>
                <w:bCs/>
                <w:szCs w:val="20"/>
                <w:lang w:val="en-AU"/>
              </w:rPr>
            </w:pPr>
            <w:r w:rsidRPr="004A1333">
              <w:rPr>
                <w:b w:val="0"/>
                <w:bCs/>
                <w:szCs w:val="20"/>
                <w:lang w:val="en-AU"/>
              </w:rPr>
              <w:t>Total (drug + admin costs)</w:t>
            </w:r>
          </w:p>
        </w:tc>
        <w:tc>
          <w:tcPr>
            <w:tcW w:w="992" w:type="dxa"/>
          </w:tcPr>
          <w:p w14:paraId="2801CBEA" w14:textId="206DAD1B" w:rsidR="00AE4932" w:rsidRPr="0008148C" w:rsidRDefault="00AE4932">
            <w:pPr>
              <w:pStyle w:val="In-tableHeading"/>
              <w:jc w:val="center"/>
              <w:rPr>
                <w:b w:val="0"/>
                <w:bCs/>
                <w:szCs w:val="20"/>
                <w:lang w:val="en-AU"/>
              </w:rPr>
            </w:pPr>
            <w:r w:rsidRPr="0008148C">
              <w:rPr>
                <w:b w:val="0"/>
                <w:bCs/>
                <w:szCs w:val="20"/>
                <w:lang w:val="en-AU"/>
              </w:rPr>
              <w:t>$</w:t>
            </w:r>
            <w:r w:rsidR="00443A05" w:rsidRPr="00443A05">
              <w:rPr>
                <w:b w:val="0"/>
                <w:bCs/>
                <w:sz w:val="2"/>
                <w:szCs w:val="20"/>
                <w:highlight w:val="black"/>
                <w:lang w:val="en-AU"/>
              </w:rPr>
              <w:t>redacted content</w:t>
            </w:r>
          </w:p>
        </w:tc>
        <w:tc>
          <w:tcPr>
            <w:tcW w:w="993" w:type="dxa"/>
          </w:tcPr>
          <w:p w14:paraId="67F894DD" w14:textId="71CC929D" w:rsidR="00AE4932" w:rsidRPr="0008148C" w:rsidRDefault="00AE4932">
            <w:pPr>
              <w:pStyle w:val="In-tableHeading"/>
              <w:jc w:val="center"/>
              <w:rPr>
                <w:b w:val="0"/>
                <w:bCs/>
                <w:szCs w:val="20"/>
                <w:lang w:val="en-AU"/>
              </w:rPr>
            </w:pPr>
            <w:r w:rsidRPr="0008148C">
              <w:rPr>
                <w:b w:val="0"/>
                <w:bCs/>
                <w:szCs w:val="20"/>
                <w:lang w:val="en-AU"/>
              </w:rPr>
              <w:t>$</w:t>
            </w:r>
            <w:r w:rsidR="00443A05" w:rsidRPr="00443A05">
              <w:rPr>
                <w:b w:val="0"/>
                <w:bCs/>
                <w:sz w:val="2"/>
                <w:szCs w:val="20"/>
                <w:highlight w:val="black"/>
                <w:lang w:val="en-AU"/>
              </w:rPr>
              <w:t>redacted content</w:t>
            </w:r>
          </w:p>
        </w:tc>
        <w:tc>
          <w:tcPr>
            <w:tcW w:w="992" w:type="dxa"/>
          </w:tcPr>
          <w:p w14:paraId="4673DFB7" w14:textId="337A1B26" w:rsidR="00AE4932" w:rsidRPr="0008148C" w:rsidRDefault="00AE4932">
            <w:pPr>
              <w:pStyle w:val="In-tableHeading"/>
              <w:jc w:val="center"/>
              <w:rPr>
                <w:b w:val="0"/>
                <w:bCs/>
                <w:szCs w:val="20"/>
                <w:lang w:val="en-AU"/>
              </w:rPr>
            </w:pPr>
            <w:r w:rsidRPr="0008148C">
              <w:rPr>
                <w:b w:val="0"/>
                <w:bCs/>
                <w:szCs w:val="20"/>
                <w:lang w:val="en-AU"/>
              </w:rPr>
              <w:t>$</w:t>
            </w:r>
            <w:r w:rsidR="00443A05" w:rsidRPr="00443A05">
              <w:rPr>
                <w:b w:val="0"/>
                <w:bCs/>
                <w:sz w:val="2"/>
                <w:szCs w:val="20"/>
                <w:highlight w:val="black"/>
                <w:lang w:val="en-AU"/>
              </w:rPr>
              <w:t>redacted content</w:t>
            </w:r>
          </w:p>
        </w:tc>
        <w:tc>
          <w:tcPr>
            <w:tcW w:w="1134" w:type="dxa"/>
          </w:tcPr>
          <w:p w14:paraId="311D5C11" w14:textId="65BCEFD9" w:rsidR="00AE4932" w:rsidRPr="0008148C" w:rsidRDefault="00AE4932">
            <w:pPr>
              <w:pStyle w:val="In-tableHeading"/>
              <w:jc w:val="center"/>
              <w:rPr>
                <w:b w:val="0"/>
                <w:bCs/>
                <w:szCs w:val="20"/>
                <w:lang w:val="en-AU"/>
              </w:rPr>
            </w:pPr>
            <w:r w:rsidRPr="0008148C">
              <w:rPr>
                <w:b w:val="0"/>
                <w:szCs w:val="20"/>
                <w:lang w:val="en-AU"/>
              </w:rPr>
              <w:t>$</w:t>
            </w:r>
            <w:r w:rsidR="00443A05" w:rsidRPr="00443A05">
              <w:rPr>
                <w:b w:val="0"/>
                <w:bCs/>
                <w:sz w:val="2"/>
                <w:szCs w:val="20"/>
                <w:highlight w:val="black"/>
                <w:lang w:val="en-AU"/>
              </w:rPr>
              <w:t>redacted content</w:t>
            </w:r>
          </w:p>
        </w:tc>
        <w:tc>
          <w:tcPr>
            <w:tcW w:w="992" w:type="dxa"/>
            <w:gridSpan w:val="3"/>
          </w:tcPr>
          <w:p w14:paraId="4E61B88A" w14:textId="66299C1A" w:rsidR="00AE4932" w:rsidRPr="0008148C" w:rsidRDefault="00AE4932">
            <w:pPr>
              <w:pStyle w:val="In-tableHeading"/>
              <w:jc w:val="center"/>
              <w:rPr>
                <w:b w:val="0"/>
                <w:bCs/>
                <w:szCs w:val="20"/>
                <w:lang w:val="en-AU"/>
              </w:rPr>
            </w:pPr>
            <w:r w:rsidRPr="0008148C">
              <w:rPr>
                <w:b w:val="0"/>
                <w:bCs/>
                <w:szCs w:val="20"/>
                <w:lang w:val="en-AU"/>
              </w:rPr>
              <w:t>$</w:t>
            </w:r>
            <w:r w:rsidR="00443A05" w:rsidRPr="00443A05">
              <w:rPr>
                <w:b w:val="0"/>
                <w:bCs/>
                <w:sz w:val="2"/>
                <w:szCs w:val="20"/>
                <w:highlight w:val="black"/>
                <w:lang w:val="en-AU"/>
              </w:rPr>
              <w:t>redacted content</w:t>
            </w:r>
          </w:p>
        </w:tc>
        <w:tc>
          <w:tcPr>
            <w:tcW w:w="1134" w:type="dxa"/>
            <w:gridSpan w:val="2"/>
          </w:tcPr>
          <w:p w14:paraId="15F16119" w14:textId="42108227" w:rsidR="00AE4932" w:rsidRPr="0008148C" w:rsidRDefault="00AE4932">
            <w:pPr>
              <w:pStyle w:val="In-tableHeading"/>
              <w:jc w:val="center"/>
              <w:rPr>
                <w:b w:val="0"/>
                <w:bCs/>
                <w:szCs w:val="20"/>
                <w:lang w:val="en-AU"/>
              </w:rPr>
            </w:pPr>
            <w:r w:rsidRPr="0008148C">
              <w:rPr>
                <w:b w:val="0"/>
                <w:bCs/>
                <w:szCs w:val="20"/>
                <w:lang w:val="en-AU"/>
              </w:rPr>
              <w:t>$</w:t>
            </w:r>
            <w:r w:rsidR="00443A05" w:rsidRPr="00443A05">
              <w:rPr>
                <w:b w:val="0"/>
                <w:bCs/>
                <w:sz w:val="2"/>
                <w:szCs w:val="20"/>
                <w:highlight w:val="black"/>
                <w:lang w:val="en-AU"/>
              </w:rPr>
              <w:t>redacted content</w:t>
            </w:r>
          </w:p>
        </w:tc>
        <w:tc>
          <w:tcPr>
            <w:tcW w:w="992" w:type="dxa"/>
          </w:tcPr>
          <w:p w14:paraId="6826C330" w14:textId="45648CB1" w:rsidR="00AE4932" w:rsidRPr="0008148C" w:rsidRDefault="00AE4932">
            <w:pPr>
              <w:pStyle w:val="In-tableHeading"/>
              <w:jc w:val="center"/>
              <w:rPr>
                <w:b w:val="0"/>
                <w:bCs/>
                <w:szCs w:val="20"/>
                <w:lang w:val="en-AU"/>
              </w:rPr>
            </w:pPr>
            <w:r w:rsidRPr="0008148C">
              <w:rPr>
                <w:b w:val="0"/>
                <w:bCs/>
                <w:szCs w:val="20"/>
                <w:lang w:val="en-AU"/>
              </w:rPr>
              <w:t>$</w:t>
            </w:r>
            <w:r w:rsidR="00443A05" w:rsidRPr="00443A05">
              <w:rPr>
                <w:b w:val="0"/>
                <w:bCs/>
                <w:sz w:val="2"/>
                <w:szCs w:val="20"/>
                <w:highlight w:val="black"/>
                <w:lang w:val="en-AU"/>
              </w:rPr>
              <w:t>redacted content</w:t>
            </w:r>
          </w:p>
        </w:tc>
        <w:tc>
          <w:tcPr>
            <w:tcW w:w="1134" w:type="dxa"/>
            <w:gridSpan w:val="3"/>
          </w:tcPr>
          <w:p w14:paraId="321AF0BD" w14:textId="79A39D21" w:rsidR="00AE4932" w:rsidRPr="0008148C" w:rsidRDefault="00AE4932">
            <w:pPr>
              <w:pStyle w:val="In-tableHeading"/>
              <w:jc w:val="center"/>
              <w:rPr>
                <w:b w:val="0"/>
                <w:bCs/>
                <w:szCs w:val="20"/>
                <w:lang w:val="en-AU"/>
              </w:rPr>
            </w:pPr>
            <w:r w:rsidRPr="0008148C">
              <w:rPr>
                <w:b w:val="0"/>
                <w:bCs/>
                <w:szCs w:val="20"/>
                <w:lang w:val="en-AU"/>
              </w:rPr>
              <w:t>$</w:t>
            </w:r>
            <w:r w:rsidR="00443A05" w:rsidRPr="00443A05">
              <w:rPr>
                <w:b w:val="0"/>
                <w:bCs/>
                <w:sz w:val="2"/>
                <w:szCs w:val="20"/>
                <w:highlight w:val="black"/>
                <w:lang w:val="en-AU"/>
              </w:rPr>
              <w:t>redacted content</w:t>
            </w:r>
          </w:p>
        </w:tc>
      </w:tr>
      <w:tr w:rsidR="008906FB" w:rsidRPr="004A1333" w14:paraId="5B4CE442" w14:textId="77777777" w:rsidTr="00560120">
        <w:tc>
          <w:tcPr>
            <w:tcW w:w="1271" w:type="dxa"/>
          </w:tcPr>
          <w:p w14:paraId="5F0D7684" w14:textId="43B7E0D2" w:rsidR="00AE4932" w:rsidRPr="004A1333" w:rsidRDefault="00AE4932">
            <w:pPr>
              <w:pStyle w:val="In-tableHeading"/>
              <w:rPr>
                <w:b w:val="0"/>
                <w:bCs/>
                <w:szCs w:val="20"/>
                <w:lang w:val="en-AU"/>
              </w:rPr>
            </w:pPr>
            <w:r w:rsidRPr="004A1333">
              <w:rPr>
                <w:b w:val="0"/>
                <w:bCs/>
                <w:szCs w:val="20"/>
                <w:lang w:val="en-AU"/>
              </w:rPr>
              <w:t xml:space="preserve">Total (initial </w:t>
            </w:r>
            <w:r w:rsidR="00C25E7F" w:rsidRPr="004A1333">
              <w:rPr>
                <w:b w:val="0"/>
                <w:bCs/>
                <w:szCs w:val="20"/>
                <w:lang w:val="en-AU"/>
              </w:rPr>
              <w:t>+</w:t>
            </w:r>
            <w:r w:rsidRPr="004A1333">
              <w:rPr>
                <w:b w:val="0"/>
                <w:bCs/>
                <w:szCs w:val="20"/>
                <w:lang w:val="en-AU"/>
              </w:rPr>
              <w:t xml:space="preserve"> cont</w:t>
            </w:r>
            <w:r w:rsidR="00C25E7F" w:rsidRPr="004A1333">
              <w:rPr>
                <w:b w:val="0"/>
                <w:bCs/>
                <w:szCs w:val="20"/>
                <w:lang w:val="en-AU"/>
              </w:rPr>
              <w:t>.</w:t>
            </w:r>
            <w:r w:rsidRPr="004A1333">
              <w:rPr>
                <w:b w:val="0"/>
                <w:bCs/>
                <w:szCs w:val="20"/>
                <w:lang w:val="en-AU"/>
              </w:rPr>
              <w:t>)</w:t>
            </w:r>
          </w:p>
        </w:tc>
        <w:tc>
          <w:tcPr>
            <w:tcW w:w="1985" w:type="dxa"/>
            <w:gridSpan w:val="2"/>
          </w:tcPr>
          <w:p w14:paraId="2288961F" w14:textId="09549F04" w:rsidR="00AE4932" w:rsidRPr="004A1333" w:rsidRDefault="00AE4932">
            <w:pPr>
              <w:pStyle w:val="In-tableHeading"/>
              <w:jc w:val="center"/>
              <w:rPr>
                <w:b w:val="0"/>
                <w:bCs/>
                <w:szCs w:val="20"/>
                <w:lang w:val="en-AU"/>
              </w:rPr>
            </w:pPr>
            <w:r w:rsidRPr="004A1333">
              <w:rPr>
                <w:b w:val="0"/>
                <w:bCs/>
                <w:szCs w:val="20"/>
                <w:lang w:val="en-AU"/>
              </w:rPr>
              <w:t>$</w:t>
            </w:r>
            <w:r w:rsidR="00443A05" w:rsidRPr="00443A05">
              <w:rPr>
                <w:b w:val="0"/>
                <w:bCs/>
                <w:sz w:val="2"/>
                <w:szCs w:val="20"/>
                <w:highlight w:val="black"/>
                <w:lang w:val="en-AU"/>
              </w:rPr>
              <w:t>redacted content</w:t>
            </w:r>
          </w:p>
        </w:tc>
        <w:tc>
          <w:tcPr>
            <w:tcW w:w="2126" w:type="dxa"/>
            <w:gridSpan w:val="2"/>
          </w:tcPr>
          <w:p w14:paraId="6CF3F9E0" w14:textId="593D2B4F" w:rsidR="00AE4932" w:rsidRPr="004A1333" w:rsidRDefault="00AE4932">
            <w:pPr>
              <w:pStyle w:val="In-tableHeading"/>
              <w:jc w:val="center"/>
              <w:rPr>
                <w:b w:val="0"/>
                <w:bCs/>
                <w:szCs w:val="20"/>
                <w:lang w:val="en-AU"/>
              </w:rPr>
            </w:pPr>
            <w:r w:rsidRPr="004A1333">
              <w:rPr>
                <w:b w:val="0"/>
                <w:bCs/>
                <w:szCs w:val="20"/>
                <w:lang w:val="en-AU"/>
              </w:rPr>
              <w:t>$</w:t>
            </w:r>
            <w:r w:rsidR="00443A05" w:rsidRPr="00443A05">
              <w:rPr>
                <w:b w:val="0"/>
                <w:bCs/>
                <w:sz w:val="2"/>
                <w:szCs w:val="20"/>
                <w:highlight w:val="black"/>
                <w:lang w:val="en-AU"/>
              </w:rPr>
              <w:t>redacted content</w:t>
            </w:r>
          </w:p>
        </w:tc>
        <w:tc>
          <w:tcPr>
            <w:tcW w:w="2126" w:type="dxa"/>
            <w:gridSpan w:val="5"/>
          </w:tcPr>
          <w:p w14:paraId="66C605AD" w14:textId="6D55436A" w:rsidR="00AE4932" w:rsidRPr="004A1333" w:rsidRDefault="00AE4932">
            <w:pPr>
              <w:pStyle w:val="In-tableHeading"/>
              <w:jc w:val="center"/>
              <w:rPr>
                <w:b w:val="0"/>
                <w:bCs/>
                <w:szCs w:val="20"/>
                <w:lang w:val="en-AU"/>
              </w:rPr>
            </w:pPr>
            <w:r w:rsidRPr="004A1333">
              <w:rPr>
                <w:b w:val="0"/>
                <w:bCs/>
                <w:szCs w:val="20"/>
                <w:lang w:val="en-AU"/>
              </w:rPr>
              <w:t>$</w:t>
            </w:r>
            <w:r w:rsidR="00443A05" w:rsidRPr="00443A05">
              <w:rPr>
                <w:b w:val="0"/>
                <w:bCs/>
                <w:sz w:val="2"/>
                <w:szCs w:val="20"/>
                <w:highlight w:val="black"/>
                <w:lang w:val="en-AU"/>
              </w:rPr>
              <w:t>redacted content</w:t>
            </w:r>
          </w:p>
        </w:tc>
        <w:tc>
          <w:tcPr>
            <w:tcW w:w="2126" w:type="dxa"/>
            <w:gridSpan w:val="4"/>
          </w:tcPr>
          <w:p w14:paraId="55D4AF10" w14:textId="0108E16E" w:rsidR="00AE4932" w:rsidRPr="004A1333" w:rsidRDefault="00AE4932">
            <w:pPr>
              <w:pStyle w:val="In-tableHeading"/>
              <w:jc w:val="center"/>
              <w:rPr>
                <w:b w:val="0"/>
                <w:bCs/>
                <w:szCs w:val="20"/>
                <w:lang w:val="en-AU"/>
              </w:rPr>
            </w:pPr>
            <w:r w:rsidRPr="004A1333">
              <w:rPr>
                <w:b w:val="0"/>
                <w:bCs/>
                <w:szCs w:val="20"/>
                <w:lang w:val="en-AU"/>
              </w:rPr>
              <w:t>$</w:t>
            </w:r>
            <w:r w:rsidR="00443A05" w:rsidRPr="00443A05">
              <w:rPr>
                <w:b w:val="0"/>
                <w:bCs/>
                <w:sz w:val="2"/>
                <w:szCs w:val="20"/>
                <w:highlight w:val="black"/>
                <w:lang w:val="en-AU"/>
              </w:rPr>
              <w:t>redacted content</w:t>
            </w:r>
          </w:p>
        </w:tc>
      </w:tr>
      <w:tr w:rsidR="00D94F22" w:rsidRPr="004A1333" w14:paraId="529FDE11" w14:textId="77777777" w:rsidTr="00560120">
        <w:tc>
          <w:tcPr>
            <w:tcW w:w="3256" w:type="dxa"/>
            <w:gridSpan w:val="3"/>
            <w:tcBorders>
              <w:right w:val="nil"/>
            </w:tcBorders>
          </w:tcPr>
          <w:p w14:paraId="06259AE9" w14:textId="38DF2811" w:rsidR="00AE4932" w:rsidRPr="004A1333" w:rsidRDefault="00AE4932">
            <w:pPr>
              <w:pStyle w:val="In-tableHeading"/>
              <w:rPr>
                <w:szCs w:val="20"/>
                <w:lang w:val="en-AU"/>
              </w:rPr>
            </w:pPr>
            <w:r w:rsidRPr="004A1333">
              <w:rPr>
                <w:szCs w:val="20"/>
                <w:lang w:val="en-AU"/>
              </w:rPr>
              <w:t>Cost</w:t>
            </w:r>
            <w:r w:rsidR="00FC7500">
              <w:rPr>
                <w:szCs w:val="20"/>
                <w:lang w:val="en-AU"/>
              </w:rPr>
              <w:noBreakHyphen/>
            </w:r>
            <w:r w:rsidRPr="004A1333">
              <w:rPr>
                <w:szCs w:val="20"/>
                <w:lang w:val="en-AU"/>
              </w:rPr>
              <w:t>min price of upadacitinib</w:t>
            </w:r>
          </w:p>
        </w:tc>
        <w:tc>
          <w:tcPr>
            <w:tcW w:w="2126" w:type="dxa"/>
            <w:gridSpan w:val="2"/>
            <w:tcBorders>
              <w:left w:val="nil"/>
              <w:right w:val="nil"/>
            </w:tcBorders>
          </w:tcPr>
          <w:p w14:paraId="6BB483D5" w14:textId="77777777" w:rsidR="00AE4932" w:rsidRPr="004A1333" w:rsidRDefault="00AE4932">
            <w:pPr>
              <w:pStyle w:val="In-tableHeading"/>
              <w:jc w:val="center"/>
              <w:rPr>
                <w:b w:val="0"/>
                <w:bCs/>
                <w:szCs w:val="20"/>
                <w:lang w:val="en-AU"/>
              </w:rPr>
            </w:pPr>
          </w:p>
        </w:tc>
        <w:tc>
          <w:tcPr>
            <w:tcW w:w="2126" w:type="dxa"/>
            <w:gridSpan w:val="5"/>
            <w:tcBorders>
              <w:left w:val="nil"/>
              <w:right w:val="nil"/>
            </w:tcBorders>
          </w:tcPr>
          <w:p w14:paraId="07327324" w14:textId="77777777" w:rsidR="00AE4932" w:rsidRPr="004A1333" w:rsidRDefault="00AE4932">
            <w:pPr>
              <w:pStyle w:val="In-tableHeading"/>
              <w:jc w:val="center"/>
              <w:rPr>
                <w:b w:val="0"/>
                <w:bCs/>
                <w:szCs w:val="20"/>
                <w:lang w:val="en-AU"/>
              </w:rPr>
            </w:pPr>
          </w:p>
        </w:tc>
        <w:tc>
          <w:tcPr>
            <w:tcW w:w="2126" w:type="dxa"/>
            <w:gridSpan w:val="4"/>
            <w:tcBorders>
              <w:left w:val="nil"/>
            </w:tcBorders>
          </w:tcPr>
          <w:p w14:paraId="3577DE81" w14:textId="77777777" w:rsidR="00AE4932" w:rsidRPr="004A1333" w:rsidRDefault="00AE4932">
            <w:pPr>
              <w:pStyle w:val="In-tableHeading"/>
              <w:jc w:val="center"/>
              <w:rPr>
                <w:b w:val="0"/>
                <w:bCs/>
                <w:szCs w:val="20"/>
                <w:lang w:val="en-AU"/>
              </w:rPr>
            </w:pPr>
          </w:p>
        </w:tc>
      </w:tr>
      <w:tr w:rsidR="008906FB" w:rsidRPr="004A1333" w14:paraId="24E6E135" w14:textId="77777777" w:rsidTr="00560120">
        <w:tc>
          <w:tcPr>
            <w:tcW w:w="1271" w:type="dxa"/>
          </w:tcPr>
          <w:p w14:paraId="5A171EE5" w14:textId="73A1DDA3" w:rsidR="00AE4932" w:rsidRPr="004A1333" w:rsidRDefault="00AE4932">
            <w:pPr>
              <w:pStyle w:val="In-tableHeading"/>
              <w:rPr>
                <w:b w:val="0"/>
                <w:bCs/>
                <w:szCs w:val="20"/>
                <w:lang w:val="en-AU"/>
              </w:rPr>
            </w:pPr>
            <w:r w:rsidRPr="004A1333">
              <w:rPr>
                <w:b w:val="0"/>
                <w:bCs/>
                <w:szCs w:val="20"/>
                <w:lang w:val="en-AU"/>
              </w:rPr>
              <w:t>Packs/104</w:t>
            </w:r>
            <w:r w:rsidR="00697494" w:rsidRPr="004A1333">
              <w:rPr>
                <w:b w:val="0"/>
                <w:bCs/>
                <w:szCs w:val="20"/>
                <w:lang w:val="en-AU"/>
              </w:rPr>
              <w:t xml:space="preserve"> </w:t>
            </w:r>
            <w:r w:rsidRPr="004A1333">
              <w:rPr>
                <w:b w:val="0"/>
                <w:bCs/>
                <w:szCs w:val="20"/>
                <w:lang w:val="en-AU"/>
              </w:rPr>
              <w:t xml:space="preserve">wk </w:t>
            </w:r>
            <w:r w:rsidR="00C73934" w:rsidRPr="004A1333">
              <w:rPr>
                <w:b w:val="0"/>
                <w:bCs/>
                <w:szCs w:val="20"/>
                <w:vertAlign w:val="superscript"/>
                <w:lang w:val="en-AU"/>
              </w:rPr>
              <w:t>e</w:t>
            </w:r>
          </w:p>
        </w:tc>
        <w:tc>
          <w:tcPr>
            <w:tcW w:w="1985" w:type="dxa"/>
            <w:gridSpan w:val="2"/>
          </w:tcPr>
          <w:p w14:paraId="44092689" w14:textId="77777777" w:rsidR="00AE4932" w:rsidRPr="004A1333" w:rsidRDefault="00AE4932">
            <w:pPr>
              <w:pStyle w:val="In-tableHeading"/>
              <w:jc w:val="center"/>
              <w:rPr>
                <w:b w:val="0"/>
                <w:bCs/>
                <w:szCs w:val="20"/>
                <w:lang w:val="en-AU"/>
              </w:rPr>
            </w:pPr>
            <w:r w:rsidRPr="004A1333">
              <w:rPr>
                <w:b w:val="0"/>
                <w:bCs/>
                <w:szCs w:val="20"/>
                <w:lang w:val="en-AU"/>
              </w:rPr>
              <w:t>26</w:t>
            </w:r>
          </w:p>
        </w:tc>
        <w:tc>
          <w:tcPr>
            <w:tcW w:w="2126" w:type="dxa"/>
            <w:gridSpan w:val="2"/>
          </w:tcPr>
          <w:p w14:paraId="2E182C77" w14:textId="77777777" w:rsidR="00AE4932" w:rsidRPr="004A1333" w:rsidRDefault="00AE4932">
            <w:pPr>
              <w:pStyle w:val="In-tableHeading"/>
              <w:jc w:val="center"/>
              <w:rPr>
                <w:b w:val="0"/>
                <w:bCs/>
                <w:szCs w:val="20"/>
                <w:lang w:val="en-AU"/>
              </w:rPr>
            </w:pPr>
            <w:r w:rsidRPr="004A1333">
              <w:rPr>
                <w:b w:val="0"/>
                <w:bCs/>
                <w:szCs w:val="20"/>
                <w:lang w:val="en-AU"/>
              </w:rPr>
              <w:t>26</w:t>
            </w:r>
          </w:p>
        </w:tc>
        <w:tc>
          <w:tcPr>
            <w:tcW w:w="2126" w:type="dxa"/>
            <w:gridSpan w:val="5"/>
          </w:tcPr>
          <w:p w14:paraId="706E8AC6" w14:textId="77777777" w:rsidR="00AE4932" w:rsidRPr="004A1333" w:rsidRDefault="00AE4932">
            <w:pPr>
              <w:pStyle w:val="In-tableHeading"/>
              <w:jc w:val="center"/>
              <w:rPr>
                <w:b w:val="0"/>
                <w:bCs/>
                <w:szCs w:val="20"/>
                <w:lang w:val="en-AU"/>
              </w:rPr>
            </w:pPr>
            <w:r w:rsidRPr="004A1333">
              <w:rPr>
                <w:b w:val="0"/>
                <w:bCs/>
                <w:szCs w:val="20"/>
                <w:lang w:val="en-AU"/>
              </w:rPr>
              <w:t>26</w:t>
            </w:r>
          </w:p>
        </w:tc>
        <w:tc>
          <w:tcPr>
            <w:tcW w:w="2126" w:type="dxa"/>
            <w:gridSpan w:val="4"/>
          </w:tcPr>
          <w:p w14:paraId="5BCEBAF3" w14:textId="77777777" w:rsidR="00AE4932" w:rsidRPr="004A1333" w:rsidRDefault="00AE4932">
            <w:pPr>
              <w:pStyle w:val="In-tableHeading"/>
              <w:jc w:val="center"/>
              <w:rPr>
                <w:b w:val="0"/>
                <w:bCs/>
                <w:szCs w:val="20"/>
                <w:lang w:val="en-AU"/>
              </w:rPr>
            </w:pPr>
            <w:r w:rsidRPr="004A1333">
              <w:rPr>
                <w:b w:val="0"/>
                <w:bCs/>
                <w:szCs w:val="20"/>
                <w:lang w:val="en-AU"/>
              </w:rPr>
              <w:t>26</w:t>
            </w:r>
          </w:p>
        </w:tc>
      </w:tr>
      <w:tr w:rsidR="008906FB" w:rsidRPr="004A1333" w14:paraId="21EB6809" w14:textId="77777777" w:rsidTr="00560120">
        <w:tc>
          <w:tcPr>
            <w:tcW w:w="1271" w:type="dxa"/>
          </w:tcPr>
          <w:p w14:paraId="485A7B6E" w14:textId="76405B60" w:rsidR="00AE4932" w:rsidRPr="004A1333" w:rsidRDefault="00AE4932">
            <w:pPr>
              <w:pStyle w:val="In-tableHeading"/>
              <w:rPr>
                <w:b w:val="0"/>
                <w:bCs/>
                <w:szCs w:val="20"/>
                <w:vertAlign w:val="superscript"/>
                <w:lang w:val="en-AU"/>
              </w:rPr>
            </w:pPr>
            <w:r w:rsidRPr="004A1333">
              <w:rPr>
                <w:b w:val="0"/>
                <w:bCs/>
                <w:szCs w:val="20"/>
                <w:lang w:val="en-AU"/>
              </w:rPr>
              <w:t>Cost</w:t>
            </w:r>
            <w:r w:rsidR="00FC7500">
              <w:rPr>
                <w:b w:val="0"/>
                <w:bCs/>
                <w:szCs w:val="20"/>
                <w:lang w:val="en-AU"/>
              </w:rPr>
              <w:noBreakHyphen/>
            </w:r>
            <w:r w:rsidRPr="004A1333">
              <w:rPr>
                <w:b w:val="0"/>
                <w:bCs/>
                <w:szCs w:val="20"/>
                <w:lang w:val="en-AU"/>
              </w:rPr>
              <w:t xml:space="preserve">minimised AEMP </w:t>
            </w:r>
            <w:r w:rsidR="00C73934" w:rsidRPr="004A1333">
              <w:rPr>
                <w:b w:val="0"/>
                <w:bCs/>
                <w:szCs w:val="20"/>
                <w:vertAlign w:val="superscript"/>
                <w:lang w:val="en-AU"/>
              </w:rPr>
              <w:t>f</w:t>
            </w:r>
          </w:p>
        </w:tc>
        <w:tc>
          <w:tcPr>
            <w:tcW w:w="1985" w:type="dxa"/>
            <w:gridSpan w:val="2"/>
          </w:tcPr>
          <w:p w14:paraId="523E083F" w14:textId="051DE981" w:rsidR="00AE4932" w:rsidRPr="004A1333" w:rsidRDefault="00AE4932">
            <w:pPr>
              <w:pStyle w:val="In-tableHeading"/>
              <w:jc w:val="center"/>
              <w:rPr>
                <w:b w:val="0"/>
                <w:bCs/>
                <w:szCs w:val="20"/>
                <w:lang w:val="en-AU"/>
              </w:rPr>
            </w:pPr>
            <w:r w:rsidRPr="004A1333">
              <w:rPr>
                <w:b w:val="0"/>
                <w:bCs/>
                <w:szCs w:val="20"/>
                <w:lang w:val="en-AU"/>
              </w:rPr>
              <w:t>$</w:t>
            </w:r>
            <w:r w:rsidR="00443A05" w:rsidRPr="00443A05">
              <w:rPr>
                <w:b w:val="0"/>
                <w:bCs/>
                <w:sz w:val="2"/>
                <w:szCs w:val="20"/>
                <w:highlight w:val="black"/>
                <w:lang w:val="en-AU"/>
              </w:rPr>
              <w:t>redacted content</w:t>
            </w:r>
          </w:p>
        </w:tc>
        <w:tc>
          <w:tcPr>
            <w:tcW w:w="2126" w:type="dxa"/>
            <w:gridSpan w:val="2"/>
          </w:tcPr>
          <w:p w14:paraId="30CF3832" w14:textId="287EC7FE" w:rsidR="00AE4932" w:rsidRPr="004A1333" w:rsidRDefault="00AE4932">
            <w:pPr>
              <w:pStyle w:val="In-tableHeading"/>
              <w:jc w:val="center"/>
              <w:rPr>
                <w:b w:val="0"/>
                <w:bCs/>
                <w:szCs w:val="20"/>
                <w:lang w:val="en-AU"/>
              </w:rPr>
            </w:pPr>
            <w:r w:rsidRPr="004A1333">
              <w:rPr>
                <w:b w:val="0"/>
                <w:bCs/>
                <w:szCs w:val="20"/>
                <w:lang w:val="en-AU"/>
              </w:rPr>
              <w:t>$</w:t>
            </w:r>
            <w:r w:rsidR="00443A05" w:rsidRPr="00443A05">
              <w:rPr>
                <w:b w:val="0"/>
                <w:bCs/>
                <w:sz w:val="2"/>
                <w:szCs w:val="20"/>
                <w:highlight w:val="black"/>
                <w:lang w:val="en-AU"/>
              </w:rPr>
              <w:t>redacted content</w:t>
            </w:r>
          </w:p>
        </w:tc>
        <w:tc>
          <w:tcPr>
            <w:tcW w:w="2126" w:type="dxa"/>
            <w:gridSpan w:val="5"/>
          </w:tcPr>
          <w:p w14:paraId="18ABB1CE" w14:textId="6782598F" w:rsidR="00AE4932" w:rsidRPr="004A1333" w:rsidRDefault="00AE4932">
            <w:pPr>
              <w:pStyle w:val="In-tableHeading"/>
              <w:jc w:val="center"/>
              <w:rPr>
                <w:b w:val="0"/>
                <w:bCs/>
                <w:szCs w:val="20"/>
                <w:lang w:val="en-AU"/>
              </w:rPr>
            </w:pPr>
            <w:r w:rsidRPr="004A1333">
              <w:rPr>
                <w:b w:val="0"/>
                <w:bCs/>
                <w:szCs w:val="20"/>
                <w:lang w:val="en-AU"/>
              </w:rPr>
              <w:t>$</w:t>
            </w:r>
            <w:r w:rsidR="00443A05" w:rsidRPr="00443A05">
              <w:rPr>
                <w:b w:val="0"/>
                <w:bCs/>
                <w:sz w:val="2"/>
                <w:szCs w:val="20"/>
                <w:highlight w:val="black"/>
                <w:lang w:val="en-AU"/>
              </w:rPr>
              <w:t>redacted content</w:t>
            </w:r>
          </w:p>
        </w:tc>
        <w:tc>
          <w:tcPr>
            <w:tcW w:w="2126" w:type="dxa"/>
            <w:gridSpan w:val="4"/>
          </w:tcPr>
          <w:p w14:paraId="0DD0E4EF" w14:textId="7A7426A8" w:rsidR="00AE4932" w:rsidRPr="004A1333" w:rsidRDefault="00AE4932">
            <w:pPr>
              <w:pStyle w:val="In-tableHeading"/>
              <w:jc w:val="center"/>
              <w:rPr>
                <w:b w:val="0"/>
                <w:bCs/>
                <w:szCs w:val="20"/>
                <w:lang w:val="en-AU"/>
              </w:rPr>
            </w:pPr>
            <w:r w:rsidRPr="004A1333">
              <w:rPr>
                <w:b w:val="0"/>
                <w:bCs/>
                <w:szCs w:val="20"/>
                <w:lang w:val="en-AU"/>
              </w:rPr>
              <w:t>$</w:t>
            </w:r>
            <w:r w:rsidR="00443A05" w:rsidRPr="00443A05">
              <w:rPr>
                <w:b w:val="0"/>
                <w:bCs/>
                <w:sz w:val="2"/>
                <w:szCs w:val="20"/>
                <w:highlight w:val="black"/>
                <w:lang w:val="en-AU"/>
              </w:rPr>
              <w:t>redacted content</w:t>
            </w:r>
          </w:p>
        </w:tc>
      </w:tr>
      <w:tr w:rsidR="00D94F22" w:rsidRPr="004A1333" w14:paraId="5A0F0C0D" w14:textId="77777777" w:rsidTr="00560120">
        <w:tc>
          <w:tcPr>
            <w:tcW w:w="5382" w:type="dxa"/>
            <w:gridSpan w:val="5"/>
            <w:tcBorders>
              <w:right w:val="nil"/>
            </w:tcBorders>
          </w:tcPr>
          <w:p w14:paraId="5F02F87C" w14:textId="77777777" w:rsidR="00AE4932" w:rsidRPr="004A1333" w:rsidRDefault="00AE4932">
            <w:pPr>
              <w:pStyle w:val="In-tableHeading"/>
              <w:rPr>
                <w:b w:val="0"/>
                <w:bCs/>
                <w:szCs w:val="20"/>
                <w:lang w:val="en-AU"/>
              </w:rPr>
            </w:pPr>
            <w:r w:rsidRPr="004A1333">
              <w:rPr>
                <w:szCs w:val="20"/>
              </w:rPr>
              <w:t>Upadacitinib weighted average AEMP</w:t>
            </w:r>
          </w:p>
        </w:tc>
        <w:tc>
          <w:tcPr>
            <w:tcW w:w="2126" w:type="dxa"/>
            <w:gridSpan w:val="5"/>
            <w:tcBorders>
              <w:left w:val="nil"/>
              <w:right w:val="nil"/>
            </w:tcBorders>
          </w:tcPr>
          <w:p w14:paraId="10039760" w14:textId="77777777" w:rsidR="00AE4932" w:rsidRPr="004A1333" w:rsidRDefault="00AE4932">
            <w:pPr>
              <w:pStyle w:val="In-tableHeading"/>
              <w:jc w:val="center"/>
              <w:rPr>
                <w:b w:val="0"/>
                <w:bCs/>
                <w:szCs w:val="20"/>
                <w:lang w:val="en-AU"/>
              </w:rPr>
            </w:pPr>
          </w:p>
        </w:tc>
        <w:tc>
          <w:tcPr>
            <w:tcW w:w="2126" w:type="dxa"/>
            <w:gridSpan w:val="4"/>
            <w:tcBorders>
              <w:left w:val="nil"/>
            </w:tcBorders>
          </w:tcPr>
          <w:p w14:paraId="74D2E7AF" w14:textId="77777777" w:rsidR="00AE4932" w:rsidRPr="004A1333" w:rsidRDefault="00AE4932">
            <w:pPr>
              <w:pStyle w:val="In-tableHeading"/>
              <w:jc w:val="center"/>
              <w:rPr>
                <w:b w:val="0"/>
                <w:bCs/>
                <w:szCs w:val="20"/>
                <w:lang w:val="en-AU"/>
              </w:rPr>
            </w:pPr>
          </w:p>
        </w:tc>
      </w:tr>
      <w:tr w:rsidR="008906FB" w:rsidRPr="004A1333" w14:paraId="1573BD7B" w14:textId="77777777" w:rsidTr="00560120">
        <w:tc>
          <w:tcPr>
            <w:tcW w:w="3256" w:type="dxa"/>
            <w:gridSpan w:val="3"/>
          </w:tcPr>
          <w:p w14:paraId="0E4E22B8" w14:textId="77777777" w:rsidR="00AE4932" w:rsidRPr="004A1333" w:rsidRDefault="00AE4932">
            <w:pPr>
              <w:pStyle w:val="TableText0"/>
              <w:rPr>
                <w:b/>
                <w:bCs w:val="0"/>
                <w:szCs w:val="20"/>
              </w:rPr>
            </w:pPr>
            <w:r w:rsidRPr="004A1333">
              <w:rPr>
                <w:b/>
                <w:bCs w:val="0"/>
                <w:szCs w:val="20"/>
              </w:rPr>
              <w:t>Comparison</w:t>
            </w:r>
          </w:p>
        </w:tc>
        <w:tc>
          <w:tcPr>
            <w:tcW w:w="2126" w:type="dxa"/>
            <w:gridSpan w:val="2"/>
          </w:tcPr>
          <w:p w14:paraId="6696B812" w14:textId="77777777" w:rsidR="00AE4932" w:rsidRPr="004A1333" w:rsidRDefault="00AE4932">
            <w:pPr>
              <w:pStyle w:val="TableText0"/>
              <w:jc w:val="center"/>
              <w:rPr>
                <w:b/>
                <w:bCs w:val="0"/>
                <w:szCs w:val="20"/>
              </w:rPr>
            </w:pPr>
            <w:r w:rsidRPr="004A1333">
              <w:rPr>
                <w:b/>
                <w:bCs w:val="0"/>
                <w:szCs w:val="20"/>
              </w:rPr>
              <w:t>Effective AEMP</w:t>
            </w:r>
          </w:p>
        </w:tc>
        <w:tc>
          <w:tcPr>
            <w:tcW w:w="2126" w:type="dxa"/>
            <w:gridSpan w:val="5"/>
          </w:tcPr>
          <w:p w14:paraId="3F207277" w14:textId="77777777" w:rsidR="00AE4932" w:rsidRPr="004A1333" w:rsidRDefault="00AE4932">
            <w:pPr>
              <w:pStyle w:val="TableText0"/>
              <w:jc w:val="center"/>
              <w:rPr>
                <w:b/>
                <w:bCs w:val="0"/>
                <w:szCs w:val="20"/>
              </w:rPr>
            </w:pPr>
            <w:r w:rsidRPr="004A1333">
              <w:rPr>
                <w:b/>
                <w:bCs w:val="0"/>
                <w:szCs w:val="20"/>
              </w:rPr>
              <w:t>Weighting</w:t>
            </w:r>
          </w:p>
        </w:tc>
        <w:tc>
          <w:tcPr>
            <w:tcW w:w="2126" w:type="dxa"/>
            <w:gridSpan w:val="4"/>
          </w:tcPr>
          <w:p w14:paraId="5AD41698" w14:textId="77777777" w:rsidR="00AE4932" w:rsidRPr="004A1333" w:rsidRDefault="00AE4932">
            <w:pPr>
              <w:pStyle w:val="TableText0"/>
              <w:rPr>
                <w:szCs w:val="20"/>
              </w:rPr>
            </w:pPr>
            <w:r w:rsidRPr="004A1333">
              <w:rPr>
                <w:b/>
                <w:bCs w:val="0"/>
                <w:szCs w:val="20"/>
              </w:rPr>
              <w:t>Weighted effective AEMP</w:t>
            </w:r>
          </w:p>
        </w:tc>
      </w:tr>
      <w:tr w:rsidR="00D94F22" w:rsidRPr="004A1333" w14:paraId="7F0D7F6B" w14:textId="77777777" w:rsidTr="00560120">
        <w:tc>
          <w:tcPr>
            <w:tcW w:w="3256" w:type="dxa"/>
            <w:gridSpan w:val="3"/>
          </w:tcPr>
          <w:p w14:paraId="1438DF9E" w14:textId="77777777" w:rsidR="00AE4932" w:rsidRPr="004A1333" w:rsidRDefault="00AE4932">
            <w:pPr>
              <w:pStyle w:val="TableText0"/>
              <w:rPr>
                <w:szCs w:val="20"/>
              </w:rPr>
            </w:pPr>
            <w:r w:rsidRPr="004A1333">
              <w:rPr>
                <w:szCs w:val="20"/>
              </w:rPr>
              <w:t>Versus ustekinumab</w:t>
            </w:r>
          </w:p>
        </w:tc>
        <w:tc>
          <w:tcPr>
            <w:tcW w:w="2126" w:type="dxa"/>
            <w:gridSpan w:val="2"/>
          </w:tcPr>
          <w:p w14:paraId="64E77242" w14:textId="60DC6A3C" w:rsidR="00AE4932" w:rsidRPr="004A1333" w:rsidRDefault="00AE4932">
            <w:pPr>
              <w:pStyle w:val="TableText0"/>
              <w:jc w:val="center"/>
              <w:rPr>
                <w:szCs w:val="20"/>
              </w:rPr>
            </w:pPr>
            <w:r w:rsidRPr="004A1333">
              <w:rPr>
                <w:szCs w:val="20"/>
              </w:rPr>
              <w:t>$</w:t>
            </w:r>
            <w:r w:rsidR="00443A05" w:rsidRPr="00443A05">
              <w:rPr>
                <w:sz w:val="2"/>
                <w:szCs w:val="20"/>
                <w:highlight w:val="black"/>
              </w:rPr>
              <w:t>redacted content</w:t>
            </w:r>
          </w:p>
        </w:tc>
        <w:tc>
          <w:tcPr>
            <w:tcW w:w="2126" w:type="dxa"/>
            <w:gridSpan w:val="5"/>
          </w:tcPr>
          <w:p w14:paraId="1E174138" w14:textId="77777777" w:rsidR="00AE4932" w:rsidRPr="004A1333" w:rsidRDefault="00AE4932">
            <w:pPr>
              <w:pStyle w:val="TableText0"/>
              <w:jc w:val="center"/>
              <w:rPr>
                <w:b/>
                <w:bCs w:val="0"/>
                <w:szCs w:val="20"/>
              </w:rPr>
            </w:pPr>
            <w:r w:rsidRPr="004A1333">
              <w:rPr>
                <w:szCs w:val="20"/>
              </w:rPr>
              <w:t>22.2%</w:t>
            </w:r>
          </w:p>
        </w:tc>
        <w:tc>
          <w:tcPr>
            <w:tcW w:w="1364" w:type="dxa"/>
            <w:gridSpan w:val="2"/>
            <w:tcBorders>
              <w:bottom w:val="nil"/>
              <w:right w:val="nil"/>
            </w:tcBorders>
          </w:tcPr>
          <w:p w14:paraId="7D2DC2C1" w14:textId="77777777" w:rsidR="00AE4932" w:rsidRPr="004A1333" w:rsidRDefault="00AE4932">
            <w:pPr>
              <w:pStyle w:val="TableText0"/>
              <w:rPr>
                <w:szCs w:val="20"/>
              </w:rPr>
            </w:pPr>
          </w:p>
        </w:tc>
        <w:tc>
          <w:tcPr>
            <w:tcW w:w="762" w:type="dxa"/>
            <w:gridSpan w:val="2"/>
            <w:tcBorders>
              <w:left w:val="nil"/>
              <w:bottom w:val="nil"/>
            </w:tcBorders>
          </w:tcPr>
          <w:p w14:paraId="5F9555E8" w14:textId="77777777" w:rsidR="00AE4932" w:rsidRPr="004A1333" w:rsidRDefault="00AE4932">
            <w:pPr>
              <w:pStyle w:val="TableText0"/>
              <w:rPr>
                <w:szCs w:val="20"/>
              </w:rPr>
            </w:pPr>
          </w:p>
        </w:tc>
      </w:tr>
      <w:tr w:rsidR="008906FB" w:rsidRPr="004A1333" w14:paraId="547914BC" w14:textId="77777777" w:rsidTr="00560120">
        <w:tc>
          <w:tcPr>
            <w:tcW w:w="3256" w:type="dxa"/>
            <w:gridSpan w:val="3"/>
          </w:tcPr>
          <w:p w14:paraId="43DE196B" w14:textId="77777777" w:rsidR="00AE4932" w:rsidRPr="004A1333" w:rsidRDefault="00AE4932">
            <w:pPr>
              <w:pStyle w:val="TableText0"/>
              <w:rPr>
                <w:szCs w:val="20"/>
              </w:rPr>
            </w:pPr>
            <w:r w:rsidRPr="004A1333">
              <w:rPr>
                <w:szCs w:val="20"/>
              </w:rPr>
              <w:t>Versus adalimumab</w:t>
            </w:r>
          </w:p>
        </w:tc>
        <w:tc>
          <w:tcPr>
            <w:tcW w:w="2126" w:type="dxa"/>
            <w:gridSpan w:val="2"/>
          </w:tcPr>
          <w:p w14:paraId="3A81E6ED" w14:textId="11B38153" w:rsidR="00AE4932" w:rsidRPr="004A1333" w:rsidRDefault="00AE4932">
            <w:pPr>
              <w:pStyle w:val="TableText0"/>
              <w:jc w:val="center"/>
              <w:rPr>
                <w:szCs w:val="20"/>
              </w:rPr>
            </w:pPr>
            <w:r w:rsidRPr="004A1333">
              <w:rPr>
                <w:szCs w:val="20"/>
              </w:rPr>
              <w:t>$</w:t>
            </w:r>
            <w:r w:rsidR="00443A05" w:rsidRPr="00443A05">
              <w:rPr>
                <w:sz w:val="2"/>
                <w:szCs w:val="20"/>
                <w:highlight w:val="black"/>
              </w:rPr>
              <w:t>redacted content</w:t>
            </w:r>
          </w:p>
        </w:tc>
        <w:tc>
          <w:tcPr>
            <w:tcW w:w="2126" w:type="dxa"/>
            <w:gridSpan w:val="5"/>
          </w:tcPr>
          <w:p w14:paraId="2484EFC3" w14:textId="77777777" w:rsidR="00AE4932" w:rsidRPr="004A1333" w:rsidRDefault="00AE4932">
            <w:pPr>
              <w:pStyle w:val="TableText0"/>
              <w:jc w:val="center"/>
              <w:rPr>
                <w:szCs w:val="20"/>
              </w:rPr>
            </w:pPr>
            <w:r w:rsidRPr="004A1333">
              <w:rPr>
                <w:szCs w:val="20"/>
              </w:rPr>
              <w:t>39.9%</w:t>
            </w:r>
          </w:p>
        </w:tc>
        <w:tc>
          <w:tcPr>
            <w:tcW w:w="2126" w:type="dxa"/>
            <w:gridSpan w:val="4"/>
            <w:tcBorders>
              <w:top w:val="nil"/>
              <w:bottom w:val="nil"/>
            </w:tcBorders>
          </w:tcPr>
          <w:p w14:paraId="1AEEC144" w14:textId="5991EA11" w:rsidR="00AE4932" w:rsidRPr="004A1333" w:rsidRDefault="00AE4932">
            <w:pPr>
              <w:pStyle w:val="TableText0"/>
              <w:jc w:val="center"/>
              <w:rPr>
                <w:szCs w:val="20"/>
              </w:rPr>
            </w:pPr>
            <w:r w:rsidRPr="004A1333">
              <w:rPr>
                <w:szCs w:val="20"/>
              </w:rPr>
              <w:t>$</w:t>
            </w:r>
            <w:r w:rsidR="00443A05" w:rsidRPr="00443A05">
              <w:rPr>
                <w:sz w:val="2"/>
                <w:szCs w:val="20"/>
                <w:highlight w:val="black"/>
              </w:rPr>
              <w:t>redacted content</w:t>
            </w:r>
          </w:p>
        </w:tc>
      </w:tr>
      <w:tr w:rsidR="00D94F22" w:rsidRPr="004A1333" w14:paraId="7DA7850D" w14:textId="77777777" w:rsidTr="00560120">
        <w:tc>
          <w:tcPr>
            <w:tcW w:w="3256" w:type="dxa"/>
            <w:gridSpan w:val="3"/>
          </w:tcPr>
          <w:p w14:paraId="441D51A1" w14:textId="77777777" w:rsidR="00AE4932" w:rsidRPr="004A1333" w:rsidRDefault="00AE4932">
            <w:pPr>
              <w:pStyle w:val="TableText0"/>
              <w:rPr>
                <w:szCs w:val="20"/>
              </w:rPr>
            </w:pPr>
            <w:r w:rsidRPr="004A1333">
              <w:rPr>
                <w:szCs w:val="20"/>
              </w:rPr>
              <w:t>Versus infliximab</w:t>
            </w:r>
          </w:p>
        </w:tc>
        <w:tc>
          <w:tcPr>
            <w:tcW w:w="2126" w:type="dxa"/>
            <w:gridSpan w:val="2"/>
          </w:tcPr>
          <w:p w14:paraId="33D16575" w14:textId="5F01D1C2" w:rsidR="00AE4932" w:rsidRPr="004A1333" w:rsidRDefault="00AE4932">
            <w:pPr>
              <w:pStyle w:val="TableText0"/>
              <w:jc w:val="center"/>
              <w:rPr>
                <w:szCs w:val="20"/>
                <w:vertAlign w:val="superscript"/>
              </w:rPr>
            </w:pPr>
            <w:r w:rsidRPr="004A1333">
              <w:rPr>
                <w:szCs w:val="20"/>
              </w:rPr>
              <w:t>$</w:t>
            </w:r>
            <w:r w:rsidR="00443A05" w:rsidRPr="00443A05">
              <w:rPr>
                <w:sz w:val="2"/>
                <w:szCs w:val="20"/>
                <w:highlight w:val="black"/>
              </w:rPr>
              <w:t>redacted content</w:t>
            </w:r>
            <w:r w:rsidRPr="004A1333">
              <w:rPr>
                <w:szCs w:val="20"/>
              </w:rPr>
              <w:t xml:space="preserve"> </w:t>
            </w:r>
            <w:r w:rsidR="00C73934" w:rsidRPr="004A1333">
              <w:rPr>
                <w:szCs w:val="20"/>
                <w:vertAlign w:val="superscript"/>
              </w:rPr>
              <w:t>g</w:t>
            </w:r>
          </w:p>
        </w:tc>
        <w:tc>
          <w:tcPr>
            <w:tcW w:w="2126" w:type="dxa"/>
            <w:gridSpan w:val="5"/>
          </w:tcPr>
          <w:p w14:paraId="032DF66D" w14:textId="77777777" w:rsidR="00AE4932" w:rsidRPr="004A1333" w:rsidRDefault="00AE4932">
            <w:pPr>
              <w:pStyle w:val="TableText0"/>
              <w:jc w:val="center"/>
              <w:rPr>
                <w:szCs w:val="20"/>
              </w:rPr>
            </w:pPr>
            <w:r w:rsidRPr="004A1333">
              <w:rPr>
                <w:szCs w:val="20"/>
              </w:rPr>
              <w:t>37.9%</w:t>
            </w:r>
          </w:p>
        </w:tc>
        <w:tc>
          <w:tcPr>
            <w:tcW w:w="1364" w:type="dxa"/>
            <w:gridSpan w:val="2"/>
            <w:tcBorders>
              <w:top w:val="nil"/>
              <w:right w:val="nil"/>
            </w:tcBorders>
          </w:tcPr>
          <w:p w14:paraId="15535A90" w14:textId="77777777" w:rsidR="00AE4932" w:rsidRPr="004A1333" w:rsidRDefault="00AE4932">
            <w:pPr>
              <w:pStyle w:val="TableText0"/>
              <w:rPr>
                <w:szCs w:val="20"/>
              </w:rPr>
            </w:pPr>
          </w:p>
        </w:tc>
        <w:tc>
          <w:tcPr>
            <w:tcW w:w="762" w:type="dxa"/>
            <w:gridSpan w:val="2"/>
            <w:tcBorders>
              <w:top w:val="nil"/>
              <w:left w:val="nil"/>
            </w:tcBorders>
          </w:tcPr>
          <w:p w14:paraId="39C60B2D" w14:textId="77777777" w:rsidR="00AE4932" w:rsidRPr="004A1333" w:rsidRDefault="00AE4932">
            <w:pPr>
              <w:pStyle w:val="TableText0"/>
              <w:rPr>
                <w:szCs w:val="20"/>
              </w:rPr>
            </w:pPr>
          </w:p>
        </w:tc>
      </w:tr>
    </w:tbl>
    <w:bookmarkEnd w:id="83"/>
    <w:p w14:paraId="1EA83D69" w14:textId="769A9615" w:rsidR="00AE4932" w:rsidRPr="004A1333" w:rsidRDefault="00AE4932" w:rsidP="00AE4932">
      <w:pPr>
        <w:pStyle w:val="TableFigureFooter"/>
      </w:pPr>
      <w:r w:rsidRPr="004A1333">
        <w:t>Source: Tables 3</w:t>
      </w:r>
      <w:r w:rsidR="00FC7500">
        <w:noBreakHyphen/>
      </w:r>
      <w:r w:rsidRPr="004A1333">
        <w:t>6 to 3</w:t>
      </w:r>
      <w:r w:rsidR="00FC7500">
        <w:noBreakHyphen/>
      </w:r>
      <w:r w:rsidRPr="004A1333">
        <w:t>10, pp123</w:t>
      </w:r>
      <w:r w:rsidR="00FC7500">
        <w:noBreakHyphen/>
      </w:r>
      <w:r w:rsidRPr="004A1333">
        <w:t>125 of the submission; Economic Evaluation worksheet, Attachment 3 of the submission.</w:t>
      </w:r>
      <w:r w:rsidR="004B375D" w:rsidRPr="004A1333">
        <w:t xml:space="preserve"> </w:t>
      </w:r>
      <w:r w:rsidR="004A1333" w:rsidRPr="004A1333">
        <w:t>Updated from evaluation based on</w:t>
      </w:r>
      <w:r w:rsidR="004B375D" w:rsidRPr="004A1333">
        <w:t xml:space="preserve"> </w:t>
      </w:r>
      <w:r w:rsidR="000303EA" w:rsidRPr="004A1333">
        <w:t>PSCR attachment UPA FCD Section 3 CMA spreadsheet</w:t>
      </w:r>
    </w:p>
    <w:p w14:paraId="37489806" w14:textId="7E3604AD" w:rsidR="00AE4932" w:rsidRPr="004A1333" w:rsidRDefault="00AE4932" w:rsidP="00AE4932">
      <w:pPr>
        <w:pStyle w:val="TableFigureFooter"/>
      </w:pPr>
      <w:r w:rsidRPr="004A1333">
        <w:t>Admin. = administration; AEMP = approved ex</w:t>
      </w:r>
      <w:r w:rsidR="00FC7500">
        <w:noBreakHyphen/>
      </w:r>
      <w:r w:rsidRPr="004A1333">
        <w:t xml:space="preserve">manufacturer price; </w:t>
      </w:r>
      <w:r w:rsidR="00AB4299" w:rsidRPr="004A1333">
        <w:t xml:space="preserve">Cont. = continuing; </w:t>
      </w:r>
      <w:r w:rsidRPr="004A1333">
        <w:t xml:space="preserve">IV = intravenous; mg = milligram; mL = millilitre; Q8W = every 8 weeks; Q12W = every 12 weeks; SC = subcutaneous, wk = week. </w:t>
      </w:r>
    </w:p>
    <w:p w14:paraId="76FCDE77" w14:textId="77777777" w:rsidR="00AE4932" w:rsidRPr="004A1333" w:rsidRDefault="00AE4932" w:rsidP="00AE4932">
      <w:pPr>
        <w:pStyle w:val="TableFigureFooter"/>
      </w:pPr>
      <w:r w:rsidRPr="004A1333">
        <w:t>Note: Minor numerical differences between the values in this table and the submission’s Excel workbook reflect rounding conventions. All final comparisons and conclusions in the evaluation used the exact values from the submission’s economic evaluation workbook to ensure consistency.</w:t>
      </w:r>
    </w:p>
    <w:p w14:paraId="5DEF7596" w14:textId="6AAF37E4" w:rsidR="00AE4932" w:rsidRPr="004A1333" w:rsidRDefault="00AE4932" w:rsidP="00AE4932">
      <w:pPr>
        <w:pStyle w:val="TableFigureFooter"/>
      </w:pPr>
      <w:proofErr w:type="spellStart"/>
      <w:r w:rsidRPr="004A1333">
        <w:rPr>
          <w:vertAlign w:val="superscript"/>
        </w:rPr>
        <w:t>a</w:t>
      </w:r>
      <w:proofErr w:type="spellEnd"/>
      <w:r w:rsidRPr="004A1333">
        <w:rPr>
          <w:vertAlign w:val="superscript"/>
        </w:rPr>
        <w:t xml:space="preserve"> </w:t>
      </w:r>
      <w:r w:rsidRPr="004A1333">
        <w:t xml:space="preserve">The infliximab SC AEMP </w:t>
      </w:r>
      <w:r w:rsidRPr="00A200FB">
        <w:t>of $</w:t>
      </w:r>
      <w:r w:rsidR="00443A05" w:rsidRPr="00443A05">
        <w:rPr>
          <w:sz w:val="2"/>
          <w:highlight w:val="black"/>
        </w:rPr>
        <w:t>redacted content</w:t>
      </w:r>
      <w:r w:rsidRPr="004A1333">
        <w:t xml:space="preserve"> reflects a weighted average of the 2 infliximab 120 mg SC presentations (pen AEMP </w:t>
      </w:r>
      <w:r w:rsidRPr="00A200FB">
        <w:t>$</w:t>
      </w:r>
      <w:r w:rsidR="00443A05" w:rsidRPr="00443A05">
        <w:rPr>
          <w:sz w:val="2"/>
          <w:highlight w:val="black"/>
        </w:rPr>
        <w:t>redacted content</w:t>
      </w:r>
      <w:r w:rsidRPr="004A1333">
        <w:t xml:space="preserve">; syringe AEMP </w:t>
      </w:r>
      <w:r w:rsidRPr="00A200FB">
        <w:t>$</w:t>
      </w:r>
      <w:r w:rsidR="00443A05" w:rsidRPr="00443A05">
        <w:rPr>
          <w:sz w:val="2"/>
          <w:highlight w:val="black"/>
        </w:rPr>
        <w:t>redacted content</w:t>
      </w:r>
      <w:r w:rsidRPr="004A1333">
        <w:t xml:space="preserve">), based on the distribution of 2024 PBS scripts for the SC formulations (PBS items 13055D &amp; 13072B). </w:t>
      </w:r>
    </w:p>
    <w:p w14:paraId="467EED29" w14:textId="77777777" w:rsidR="00AE4932" w:rsidRPr="004A1333" w:rsidRDefault="00AE4932" w:rsidP="00AE4932">
      <w:pPr>
        <w:pStyle w:val="TableFigureFooter"/>
      </w:pPr>
      <w:r w:rsidRPr="004A1333">
        <w:rPr>
          <w:vertAlign w:val="superscript"/>
        </w:rPr>
        <w:t>b</w:t>
      </w:r>
      <w:r w:rsidRPr="004A1333">
        <w:t xml:space="preserve"> For adalimumab, the number of PBS ‘units per 104 weeks’ (26 packs) reflects dispensing patterns, not the number of injections. Each 40 mg pack contains 2 injections and covers 4 weeks of treatment. This means that although 26 packs are dispensed, the patient receives 52 injections over 104 weeks: 1 injection at Week 0, followed by 51 injections every 2 weeks from Week 2 to Week 104.</w:t>
      </w:r>
    </w:p>
    <w:p w14:paraId="21CC56D8" w14:textId="344826D9" w:rsidR="00AE4932" w:rsidRPr="004A1333" w:rsidRDefault="00C73934" w:rsidP="00AE4932">
      <w:pPr>
        <w:pStyle w:val="TableFigureFooter"/>
      </w:pPr>
      <w:r w:rsidRPr="004A1333">
        <w:rPr>
          <w:vertAlign w:val="superscript"/>
        </w:rPr>
        <w:t>c</w:t>
      </w:r>
      <w:r w:rsidR="00AE4932" w:rsidRPr="004A1333">
        <w:t xml:space="preserve"> The submission presented separate 104</w:t>
      </w:r>
      <w:r w:rsidR="00FC7500">
        <w:noBreakHyphen/>
      </w:r>
      <w:r w:rsidR="00AE4932" w:rsidRPr="004A1333">
        <w:t xml:space="preserve">week drug costs for ustekinumab Q8W and Q12W regimens. For presentation purposes, these have been combined using the utilisation </w:t>
      </w:r>
      <w:r w:rsidR="00721D8F" w:rsidRPr="004A1333">
        <w:t xml:space="preserve">previously accepted by the PBAC: </w:t>
      </w:r>
      <w:r w:rsidR="00AE4932" w:rsidRPr="004A1333">
        <w:t>88% Q8W and 12% Q12W (July 2023 ustekinumab PSD). The reported ustekinumab (Q8W + Q12W combined) drug cost represents this weighted average of the regimen specific IV and SC components.</w:t>
      </w:r>
    </w:p>
    <w:p w14:paraId="372C6EBE" w14:textId="7AD88A2F" w:rsidR="00AE4932" w:rsidRPr="004A1333" w:rsidRDefault="00C73934" w:rsidP="00AE4932">
      <w:pPr>
        <w:pStyle w:val="TableFigureFooter"/>
      </w:pPr>
      <w:r w:rsidRPr="004A1333">
        <w:rPr>
          <w:vertAlign w:val="superscript"/>
        </w:rPr>
        <w:t>d</w:t>
      </w:r>
      <w:r w:rsidR="00AE4932" w:rsidRPr="004A1333">
        <w:rPr>
          <w:vertAlign w:val="superscript"/>
        </w:rPr>
        <w:t xml:space="preserve"> </w:t>
      </w:r>
      <w:r w:rsidR="00AE4932" w:rsidRPr="004A1333">
        <w:t>IV admin cost (MBS item, 14245, $114,30). The submission also assumed 10% of patients receiving SC treatment would require injection assistance (</w:t>
      </w:r>
      <w:r w:rsidR="00906E89" w:rsidRPr="004A1333">
        <w:t>Amended in PSCR to MBS item 23).</w:t>
      </w:r>
    </w:p>
    <w:p w14:paraId="3EA1336F" w14:textId="432E37D7" w:rsidR="00AE4932" w:rsidRPr="003668D2" w:rsidRDefault="00C73934" w:rsidP="00AE4932">
      <w:pPr>
        <w:pStyle w:val="TableFigureFooter"/>
      </w:pPr>
      <w:r>
        <w:rPr>
          <w:vertAlign w:val="superscript"/>
        </w:rPr>
        <w:t>e</w:t>
      </w:r>
      <w:r w:rsidR="00AE4932" w:rsidRPr="003668D2">
        <w:rPr>
          <w:vertAlign w:val="superscript"/>
        </w:rPr>
        <w:t xml:space="preserve"> </w:t>
      </w:r>
      <w:r w:rsidR="00AE4932" w:rsidRPr="003668D2">
        <w:t>26 upadacitinib packs were requested in the submission over 104 weeks (3 initial</w:t>
      </w:r>
      <w:r w:rsidR="00FC7500">
        <w:noBreakHyphen/>
      </w:r>
      <w:r w:rsidR="00AE4932" w:rsidRPr="003668D2">
        <w:t xml:space="preserve"> 45 mg; 23 continuous</w:t>
      </w:r>
      <w:r w:rsidR="00FC7500">
        <w:noBreakHyphen/>
      </w:r>
      <w:r w:rsidR="00AE4932" w:rsidRPr="003668D2">
        <w:t xml:space="preserve"> 15 mg</w:t>
      </w:r>
      <w:r w:rsidR="00AE4932">
        <w:t>,</w:t>
      </w:r>
      <w:r w:rsidR="00AE4932" w:rsidRPr="003668D2">
        <w:t xml:space="preserve"> 4</w:t>
      </w:r>
      <w:r w:rsidR="00FC7500">
        <w:noBreakHyphen/>
      </w:r>
      <w:r w:rsidR="00AE4932">
        <w:t xml:space="preserve"> </w:t>
      </w:r>
      <w:r w:rsidR="00AE4932" w:rsidRPr="003668D2">
        <w:t>weekly dosing).</w:t>
      </w:r>
    </w:p>
    <w:p w14:paraId="493EFCF2" w14:textId="2F0FFC31" w:rsidR="00AE4932" w:rsidRPr="003668D2" w:rsidRDefault="00C73934" w:rsidP="00AE4932">
      <w:pPr>
        <w:pStyle w:val="TableFigureFooter"/>
      </w:pPr>
      <w:r>
        <w:rPr>
          <w:vertAlign w:val="superscript"/>
        </w:rPr>
        <w:lastRenderedPageBreak/>
        <w:t>f</w:t>
      </w:r>
      <w:r w:rsidR="00AE4932" w:rsidRPr="003668D2">
        <w:t xml:space="preserve"> Cost</w:t>
      </w:r>
      <w:r w:rsidR="00FC7500">
        <w:noBreakHyphen/>
      </w:r>
      <w:r w:rsidR="00AE4932" w:rsidRPr="003668D2">
        <w:t>minimised AEMPs were estimated by dividing each comparator’s total 104</w:t>
      </w:r>
      <w:r w:rsidR="00FC7500">
        <w:noBreakHyphen/>
      </w:r>
      <w:r w:rsidR="00AE4932" w:rsidRPr="003668D2">
        <w:t xml:space="preserve">week cost by the number of upadacitinib scripts required over the same period (i.e., 26 packs). For example, infliximab IV only= </w:t>
      </w:r>
      <w:r w:rsidR="00AE4932" w:rsidRPr="00A200FB">
        <w:t>$</w:t>
      </w:r>
      <w:r w:rsidR="00443A05" w:rsidRPr="00443A05">
        <w:rPr>
          <w:sz w:val="2"/>
          <w:highlight w:val="black"/>
        </w:rPr>
        <w:t>redacted content</w:t>
      </w:r>
      <w:r w:rsidR="00AE4932">
        <w:t xml:space="preserve"> </w:t>
      </w:r>
      <w:r w:rsidR="00AE4932" w:rsidRPr="003668D2">
        <w:t>/</w:t>
      </w:r>
      <w:r w:rsidR="00AE4932">
        <w:t xml:space="preserve"> </w:t>
      </w:r>
      <w:r w:rsidR="00AE4932" w:rsidRPr="003668D2">
        <w:t>26= $</w:t>
      </w:r>
      <w:r w:rsidR="00443A05" w:rsidRPr="00443A05">
        <w:rPr>
          <w:sz w:val="2"/>
          <w:highlight w:val="black"/>
        </w:rPr>
        <w:t>redacted content</w:t>
      </w:r>
      <w:r w:rsidR="00AE4932" w:rsidRPr="003668D2">
        <w:t>.</w:t>
      </w:r>
    </w:p>
    <w:p w14:paraId="699FD7D8" w14:textId="32A82D4A" w:rsidR="00400EF4" w:rsidRPr="00400EF4" w:rsidRDefault="00C73934" w:rsidP="00366D42">
      <w:pPr>
        <w:pStyle w:val="TableFigureFooter"/>
      </w:pPr>
      <w:r>
        <w:rPr>
          <w:vertAlign w:val="superscript"/>
        </w:rPr>
        <w:t>g</w:t>
      </w:r>
      <w:r w:rsidR="00AE4932" w:rsidRPr="003668D2">
        <w:t xml:space="preserve"> The combined infliximab cost</w:t>
      </w:r>
      <w:r w:rsidR="00FC7500">
        <w:noBreakHyphen/>
      </w:r>
      <w:r w:rsidR="00AE4932" w:rsidRPr="003668D2">
        <w:t>minimised AEMP of $</w:t>
      </w:r>
      <w:r w:rsidR="00443A05" w:rsidRPr="00443A05">
        <w:rPr>
          <w:i/>
          <w:iCs/>
          <w:sz w:val="2"/>
          <w:highlight w:val="black"/>
        </w:rPr>
        <w:t>redacted content</w:t>
      </w:r>
      <w:r w:rsidR="00443A05" w:rsidRPr="00443A05">
        <w:rPr>
          <w:sz w:val="20"/>
        </w:rPr>
        <w:t xml:space="preserve"> </w:t>
      </w:r>
      <w:r w:rsidR="00AE4932" w:rsidRPr="003668D2">
        <w:t>was calculated by weighting the regimen</w:t>
      </w:r>
      <w:r w:rsidR="00FC7500">
        <w:noBreakHyphen/>
      </w:r>
      <w:r w:rsidR="00AE4932" w:rsidRPr="003668D2">
        <w:t>specific cost</w:t>
      </w:r>
      <w:r w:rsidR="00FC7500">
        <w:noBreakHyphen/>
      </w:r>
      <w:r w:rsidR="00AE4932" w:rsidRPr="003668D2">
        <w:t>minimised prices according to the estimated utilisation split of 94% IV</w:t>
      </w:r>
      <w:r w:rsidR="00FC7500">
        <w:noBreakHyphen/>
      </w:r>
      <w:r w:rsidR="00AE4932" w:rsidRPr="003668D2">
        <w:t xml:space="preserve">only and 6% IV+SC (based on 2024 PBS script volumes for infliximab). </w:t>
      </w:r>
    </w:p>
    <w:p w14:paraId="4B25B5ED" w14:textId="016BDF25" w:rsidR="00AE4932" w:rsidRPr="004A1333" w:rsidRDefault="00AE4932" w:rsidP="00AE4932">
      <w:pPr>
        <w:pStyle w:val="3-BodyText"/>
      </w:pPr>
      <w:bookmarkStart w:id="84" w:name="_Ref221532425"/>
      <w:bookmarkStart w:id="85" w:name="_Hlk216272217"/>
      <w:r w:rsidRPr="004A1333">
        <w:t>Two key issues were identified in the submission’s cost</w:t>
      </w:r>
      <w:r w:rsidR="00FC7500">
        <w:noBreakHyphen/>
      </w:r>
      <w:r w:rsidRPr="004A1333">
        <w:t xml:space="preserve">minimisation results. First, while the use of MBS item 14245 ($114.30) for IV administration of ustekinumab and infliximab was appropriate, the submission incorrectly applied the same IV infusion item to the 10% of patients assumed to require assistance with SC injections, which would ordinarily attract a standard GP or nurse attendance item (e.g. MBS item 23, $43.90, </w:t>
      </w:r>
      <w:r w:rsidR="0029064D" w:rsidRPr="004A1333">
        <w:t xml:space="preserve">or MBS item 3, </w:t>
      </w:r>
      <w:r w:rsidR="006B3167" w:rsidRPr="004A1333">
        <w:t xml:space="preserve">$20.05, </w:t>
      </w:r>
      <w:r w:rsidRPr="004A1333">
        <w:t>not an IV infusion item).</w:t>
      </w:r>
      <w:r w:rsidR="00E63ECC">
        <w:t xml:space="preserve"> </w:t>
      </w:r>
      <w:r w:rsidR="007D78DF" w:rsidRPr="004A1333">
        <w:t>The PSCR acknowledged this error</w:t>
      </w:r>
      <w:r w:rsidR="00155CE6" w:rsidRPr="004A1333">
        <w:t xml:space="preserve"> and provided an updated CMA for UPA, with a resultant </w:t>
      </w:r>
      <w:r w:rsidR="008446CD" w:rsidRPr="004A1333">
        <w:t>effective AEMP of $</w:t>
      </w:r>
      <w:r w:rsidR="00443A05" w:rsidRPr="00443A05">
        <w:rPr>
          <w:sz w:val="2"/>
          <w:highlight w:val="black"/>
        </w:rPr>
        <w:t>redacted content</w:t>
      </w:r>
      <w:bookmarkEnd w:id="84"/>
      <w:r w:rsidR="00C016A4" w:rsidRPr="004A1333">
        <w:t>.</w:t>
      </w:r>
      <w:r w:rsidR="00DE5899" w:rsidRPr="004A1333">
        <w:t xml:space="preserve"> The ESC noted SC administration costs were not included in the recent PBAC consideration of ustekinumab for complex refractory FCD (paragraph 6.38, ustekinumab PSD, July 2023 PBAC meeting).</w:t>
      </w:r>
    </w:p>
    <w:p w14:paraId="00C11A98" w14:textId="36F968AA" w:rsidR="00AE4932" w:rsidRPr="00B552FE" w:rsidRDefault="00AE4932" w:rsidP="00AE4932">
      <w:pPr>
        <w:pStyle w:val="3-BodyText"/>
      </w:pPr>
      <w:bookmarkStart w:id="86" w:name="_Ref216646091"/>
      <w:r w:rsidRPr="00B552FE">
        <w:t>The second issue was that the submission cost</w:t>
      </w:r>
      <w:r w:rsidR="00FC7500">
        <w:noBreakHyphen/>
      </w:r>
      <w:r w:rsidRPr="00B552FE">
        <w:t>minimised upadacitinib to a utilisation</w:t>
      </w:r>
      <w:r w:rsidR="00FC7500">
        <w:noBreakHyphen/>
      </w:r>
      <w:r w:rsidRPr="00B552FE">
        <w:t>weighted average of comparator AEMPs rather than to the least costly alternative therapy.</w:t>
      </w:r>
      <w:r w:rsidR="00A45771">
        <w:t xml:space="preserve"> The Pre</w:t>
      </w:r>
      <w:r w:rsidR="00FC7500">
        <w:noBreakHyphen/>
      </w:r>
      <w:r w:rsidR="00A45771">
        <w:t xml:space="preserve">PBAC Response </w:t>
      </w:r>
      <w:r w:rsidR="00AE55AA">
        <w:t xml:space="preserve">argued comparator selection should consider market utilisation and mode of administration where no pharmacological analogue exists, and further argued the lower </w:t>
      </w:r>
      <w:r w:rsidR="003A5811">
        <w:t>use of ustekinumab made it an inappropriate sole comparator, and that the weighted CMA approach proposed in the submission represented a</w:t>
      </w:r>
      <w:r w:rsidR="002C5AEE">
        <w:t xml:space="preserve"> balanced approach.</w:t>
      </w:r>
      <w:bookmarkEnd w:id="86"/>
    </w:p>
    <w:p w14:paraId="0B25F65D" w14:textId="77777777" w:rsidR="00AE4932" w:rsidRPr="0098262F" w:rsidRDefault="00AE4932" w:rsidP="00AE4932">
      <w:pPr>
        <w:pStyle w:val="4-SubsectionHeading"/>
      </w:pPr>
      <w:bookmarkStart w:id="87" w:name="_Toc22897646"/>
      <w:bookmarkStart w:id="88" w:name="_Toc219709224"/>
      <w:bookmarkEnd w:id="85"/>
      <w:r w:rsidRPr="0098262F">
        <w:t>Drug cost/patient/year</w:t>
      </w:r>
      <w:bookmarkEnd w:id="87"/>
      <w:bookmarkEnd w:id="88"/>
    </w:p>
    <w:p w14:paraId="4A6909A7" w14:textId="3297E7BA" w:rsidR="00AE4932" w:rsidRPr="00261316" w:rsidRDefault="00AE4932" w:rsidP="00AE4932">
      <w:pPr>
        <w:pStyle w:val="3-BodyText"/>
      </w:pPr>
      <w:bookmarkStart w:id="89" w:name="_Hlk107307804"/>
      <w:r w:rsidRPr="00D33ED8">
        <w:t xml:space="preserve">Based on the proposed effective </w:t>
      </w:r>
      <w:r>
        <w:t xml:space="preserve">weighted </w:t>
      </w:r>
      <w:r w:rsidRPr="00D33ED8">
        <w:t>AEMP of $</w:t>
      </w:r>
      <w:r w:rsidR="00443A05" w:rsidRPr="00443A05">
        <w:rPr>
          <w:sz w:val="2"/>
          <w:highlight w:val="black"/>
        </w:rPr>
        <w:t>redacted content</w:t>
      </w:r>
      <w:r w:rsidRPr="00D33ED8">
        <w:t xml:space="preserve">, the submission estimated an annual drug cost of </w:t>
      </w:r>
      <w:r w:rsidRPr="0033642C">
        <w:t>$</w:t>
      </w:r>
      <w:r w:rsidR="00443A05" w:rsidRPr="00443A05">
        <w:rPr>
          <w:sz w:val="2"/>
          <w:highlight w:val="black"/>
        </w:rPr>
        <w:t>redacted content</w:t>
      </w:r>
      <w:r>
        <w:t xml:space="preserve"> (</w:t>
      </w:r>
      <w:r w:rsidRPr="00D33ED8">
        <w:t>$</w:t>
      </w:r>
      <w:r w:rsidR="00443A05" w:rsidRPr="00443A05">
        <w:rPr>
          <w:sz w:val="2"/>
          <w:highlight w:val="black"/>
        </w:rPr>
        <w:t>redacted content</w:t>
      </w:r>
      <w:r w:rsidR="00443A05" w:rsidRPr="00443A05">
        <w:rPr>
          <w:sz w:val="20"/>
        </w:rPr>
        <w:t xml:space="preserve"> </w:t>
      </w:r>
      <w:r>
        <w:t>x 13)</w:t>
      </w:r>
      <w:r w:rsidRPr="00D33ED8">
        <w:t xml:space="preserve"> per patient for upadacitinib, calculated using the assumptions outlined in </w:t>
      </w:r>
      <w:r w:rsidR="00A42550">
        <w:fldChar w:fldCharType="begin"/>
      </w:r>
      <w:r w:rsidR="00A42550">
        <w:instrText xml:space="preserve"> REF _Ref216644746 \h </w:instrText>
      </w:r>
      <w:r w:rsidR="00A42550">
        <w:fldChar w:fldCharType="separate"/>
      </w:r>
      <w:r w:rsidR="00A42550">
        <w:t xml:space="preserve">Table </w:t>
      </w:r>
      <w:r w:rsidR="00A42550">
        <w:rPr>
          <w:noProof/>
        </w:rPr>
        <w:t>7</w:t>
      </w:r>
      <w:r w:rsidR="00A42550">
        <w:fldChar w:fldCharType="end"/>
      </w:r>
      <w:r>
        <w:t xml:space="preserve">. </w:t>
      </w:r>
    </w:p>
    <w:p w14:paraId="268768EF" w14:textId="3626F292" w:rsidR="00B60939" w:rsidRPr="0098262F" w:rsidRDefault="00B60939" w:rsidP="002B05A1">
      <w:pPr>
        <w:pStyle w:val="4-SubsectionHeading"/>
      </w:pPr>
      <w:bookmarkStart w:id="90" w:name="_Toc219709225"/>
      <w:bookmarkEnd w:id="89"/>
      <w:r w:rsidRPr="0098262F">
        <w:t>Estimated PBS usage &amp; financial implications</w:t>
      </w:r>
      <w:bookmarkEnd w:id="79"/>
      <w:bookmarkEnd w:id="90"/>
    </w:p>
    <w:p w14:paraId="7AF35147" w14:textId="237FA6E4" w:rsidR="00A5467F" w:rsidRPr="00525AD2" w:rsidRDefault="00A5467F" w:rsidP="00A5467F">
      <w:pPr>
        <w:pStyle w:val="3-BodyText"/>
      </w:pPr>
      <w:bookmarkStart w:id="91" w:name="_Toc22897650"/>
      <w:r w:rsidRPr="0098262F">
        <w:t xml:space="preserve">This submission </w:t>
      </w:r>
      <w:r w:rsidR="00DD6934">
        <w:t>was</w:t>
      </w:r>
      <w:r w:rsidRPr="0098262F">
        <w:t xml:space="preserve"> not considered by DUSC</w:t>
      </w:r>
      <w:r w:rsidRPr="0098262F">
        <w:rPr>
          <w:color w:val="0070C0"/>
        </w:rPr>
        <w:t>.</w:t>
      </w:r>
      <w:r>
        <w:rPr>
          <w:color w:val="0070C0"/>
        </w:rPr>
        <w:t xml:space="preserve"> </w:t>
      </w:r>
      <w:r w:rsidRPr="00525AD2">
        <w:t xml:space="preserve">The submission used a market share approach </w:t>
      </w:r>
      <w:r w:rsidR="00755036">
        <w:t>for</w:t>
      </w:r>
      <w:r w:rsidR="00E63ECC">
        <w:t xml:space="preserve"> </w:t>
      </w:r>
      <w:r w:rsidRPr="00525AD2">
        <w:t xml:space="preserve">the financial estimates. </w:t>
      </w:r>
      <w:r>
        <w:fldChar w:fldCharType="begin"/>
      </w:r>
      <w:r>
        <w:instrText xml:space="preserve"> REF _Ref104805262 \h </w:instrText>
      </w:r>
      <w:r>
        <w:fldChar w:fldCharType="separate"/>
      </w:r>
      <w:r w:rsidR="00A42550" w:rsidRPr="0098262F">
        <w:t xml:space="preserve">Table </w:t>
      </w:r>
      <w:r w:rsidR="00A42550">
        <w:rPr>
          <w:noProof/>
        </w:rPr>
        <w:t>8</w:t>
      </w:r>
      <w:r>
        <w:fldChar w:fldCharType="end"/>
      </w:r>
      <w:r w:rsidRPr="00525AD2">
        <w:t xml:space="preserve"> summarises the key inputs used for the financial estimates.</w:t>
      </w:r>
      <w:r w:rsidR="008A2AD5">
        <w:t xml:space="preserve"> </w:t>
      </w:r>
      <w:r w:rsidR="007E48E6" w:rsidRPr="00E878FB">
        <w:t xml:space="preserve">Several computational issues with the financial estimates were </w:t>
      </w:r>
      <w:r w:rsidR="008F71DF" w:rsidRPr="00E878FB">
        <w:t>identified during the evaluation</w:t>
      </w:r>
      <w:r w:rsidR="00D24923" w:rsidRPr="00E878FB">
        <w:t>,</w:t>
      </w:r>
      <w:r w:rsidR="00D24923" w:rsidRPr="004A1333">
        <w:t xml:space="preserve"> with many addressed in the PSCR</w:t>
      </w:r>
      <w:r w:rsidR="00A53453" w:rsidRPr="004A1333">
        <w:t xml:space="preserve"> and noted (where relevant) in the table below. Revised financial estimates were also provided alongside the PSCR. </w:t>
      </w:r>
    </w:p>
    <w:p w14:paraId="63821005" w14:textId="2B6E2420" w:rsidR="00A5467F" w:rsidRPr="0098262F" w:rsidRDefault="00A5467F" w:rsidP="00A5467F">
      <w:pPr>
        <w:pStyle w:val="Caption"/>
        <w:rPr>
          <w:rStyle w:val="CommentReference"/>
          <w:b/>
          <w:szCs w:val="24"/>
        </w:rPr>
      </w:pPr>
      <w:bookmarkStart w:id="92" w:name="_Ref104805262"/>
      <w:r w:rsidRPr="0098262F">
        <w:t xml:space="preserve">Table </w:t>
      </w:r>
      <w:fldSimple w:instr=" SEQ Table \* ARABIC ">
        <w:r w:rsidR="000C3F10">
          <w:rPr>
            <w:noProof/>
          </w:rPr>
          <w:t>8</w:t>
        </w:r>
      </w:fldSimple>
      <w:bookmarkEnd w:id="92"/>
      <w:r w:rsidRPr="0098262F">
        <w:t>:</w:t>
      </w:r>
      <w:r w:rsidRPr="0098262F">
        <w:rPr>
          <w:rStyle w:val="CommentReference"/>
          <w:b/>
          <w:szCs w:val="24"/>
        </w:rPr>
        <w:t xml:space="preserve"> Key inputs for financial estimates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Key inputs for financial estimates"/>
      </w:tblPr>
      <w:tblGrid>
        <w:gridCol w:w="1713"/>
        <w:gridCol w:w="7304"/>
      </w:tblGrid>
      <w:tr w:rsidR="00FD3AB9" w:rsidRPr="0098262F" w14:paraId="0CD889BB" w14:textId="77777777" w:rsidTr="008D5D8A">
        <w:trPr>
          <w:tblHeader/>
        </w:trPr>
        <w:tc>
          <w:tcPr>
            <w:tcW w:w="950" w:type="pct"/>
            <w:vAlign w:val="center"/>
          </w:tcPr>
          <w:p w14:paraId="0FAD7A25" w14:textId="77777777" w:rsidR="00A5467F" w:rsidRPr="004A1333" w:rsidRDefault="00A5467F">
            <w:pPr>
              <w:pStyle w:val="In-tableHeading"/>
              <w:rPr>
                <w:lang w:val="en-AU"/>
              </w:rPr>
            </w:pPr>
            <w:r w:rsidRPr="004A1333">
              <w:rPr>
                <w:lang w:val="en-AU"/>
              </w:rPr>
              <w:t>Parameter</w:t>
            </w:r>
          </w:p>
        </w:tc>
        <w:tc>
          <w:tcPr>
            <w:tcW w:w="4050" w:type="pct"/>
            <w:vAlign w:val="center"/>
          </w:tcPr>
          <w:p w14:paraId="0D338741" w14:textId="77777777" w:rsidR="00A5467F" w:rsidRPr="004A1333" w:rsidRDefault="00A5467F">
            <w:pPr>
              <w:pStyle w:val="In-tableHeading"/>
              <w:jc w:val="center"/>
              <w:rPr>
                <w:lang w:val="en-AU"/>
              </w:rPr>
            </w:pPr>
            <w:r w:rsidRPr="004A1333">
              <w:rPr>
                <w:lang w:val="en-AU"/>
              </w:rPr>
              <w:t>Value applied, source and comment</w:t>
            </w:r>
          </w:p>
        </w:tc>
      </w:tr>
      <w:tr w:rsidR="00A5467F" w:rsidRPr="0098262F" w14:paraId="6548E919" w14:textId="77777777" w:rsidTr="008D5D8A">
        <w:tc>
          <w:tcPr>
            <w:tcW w:w="950" w:type="pct"/>
            <w:vAlign w:val="center"/>
          </w:tcPr>
          <w:p w14:paraId="23B7FBA2" w14:textId="77777777" w:rsidR="00A5467F" w:rsidRPr="004A1333" w:rsidRDefault="00A5467F">
            <w:pPr>
              <w:pStyle w:val="TableText0"/>
            </w:pPr>
            <w:r w:rsidRPr="004A1333">
              <w:t>Current market and market shares</w:t>
            </w:r>
          </w:p>
        </w:tc>
        <w:tc>
          <w:tcPr>
            <w:tcW w:w="4050" w:type="pct"/>
            <w:vAlign w:val="center"/>
          </w:tcPr>
          <w:p w14:paraId="643D4B45" w14:textId="777300A4" w:rsidR="00A5467F" w:rsidRPr="004A1333" w:rsidRDefault="00A5467F">
            <w:pPr>
              <w:pStyle w:val="TableText0"/>
              <w:jc w:val="both"/>
            </w:pPr>
            <w:r w:rsidRPr="004A1333">
              <w:t xml:space="preserve">The submission used script data for adalimumab and infliximab extracted from the PBS/RPBS Services Australia database (2020 to 2024) to describe historical utilisation and market shares. </w:t>
            </w:r>
          </w:p>
          <w:p w14:paraId="1E7D729B" w14:textId="77777777" w:rsidR="00A5467F" w:rsidRPr="004A1333" w:rsidRDefault="00A5467F">
            <w:pPr>
              <w:pStyle w:val="TableText0"/>
              <w:jc w:val="both"/>
            </w:pPr>
          </w:p>
          <w:p w14:paraId="4DA2644C" w14:textId="77777777" w:rsidR="00A5467F" w:rsidRPr="004A1333" w:rsidRDefault="00A5467F">
            <w:pPr>
              <w:pStyle w:val="TableFigureHeading"/>
            </w:pPr>
            <w:r w:rsidRPr="004A1333">
              <w:t>Table: Scripts dispensed for FCD and corresponding market shares</w:t>
            </w:r>
          </w:p>
          <w:tbl>
            <w:tblPr>
              <w:tblStyle w:val="TableGrid"/>
              <w:tblW w:w="5000" w:type="pct"/>
              <w:tblCellMar>
                <w:left w:w="28" w:type="dxa"/>
                <w:right w:w="28" w:type="dxa"/>
              </w:tblCellMar>
              <w:tblLook w:val="04A0" w:firstRow="1" w:lastRow="0" w:firstColumn="1" w:lastColumn="0" w:noHBand="0" w:noVBand="1"/>
            </w:tblPr>
            <w:tblGrid>
              <w:gridCol w:w="2188"/>
              <w:gridCol w:w="1012"/>
              <w:gridCol w:w="1010"/>
              <w:gridCol w:w="1010"/>
              <w:gridCol w:w="1010"/>
              <w:gridCol w:w="1008"/>
            </w:tblGrid>
            <w:tr w:rsidR="00FD3AB9" w:rsidRPr="004A1333" w14:paraId="7D4C2433" w14:textId="77777777" w:rsidTr="008D5D8A">
              <w:tc>
                <w:tcPr>
                  <w:tcW w:w="1511" w:type="pct"/>
                  <w:tcBorders>
                    <w:bottom w:val="single" w:sz="4" w:space="0" w:color="auto"/>
                  </w:tcBorders>
                </w:tcPr>
                <w:p w14:paraId="69EE9617" w14:textId="77777777" w:rsidR="00A5467F" w:rsidRPr="004A1333" w:rsidRDefault="00A5467F" w:rsidP="00C4708F">
                  <w:pPr>
                    <w:framePr w:hSpace="180" w:wrap="around" w:vAnchor="text" w:hAnchor="text" w:y="1"/>
                    <w:suppressOverlap/>
                    <w:rPr>
                      <w:rFonts w:ascii="Arial Narrow" w:hAnsi="Arial Narrow"/>
                      <w:sz w:val="18"/>
                      <w:szCs w:val="18"/>
                    </w:rPr>
                  </w:pPr>
                </w:p>
              </w:tc>
              <w:tc>
                <w:tcPr>
                  <w:tcW w:w="699" w:type="pct"/>
                  <w:tcBorders>
                    <w:bottom w:val="single" w:sz="4" w:space="0" w:color="auto"/>
                  </w:tcBorders>
                  <w:vAlign w:val="center"/>
                </w:tcPr>
                <w:p w14:paraId="0100F26F" w14:textId="77777777" w:rsidR="00A5467F" w:rsidRPr="004A1333" w:rsidRDefault="00A5467F" w:rsidP="00C4708F">
                  <w:pPr>
                    <w:framePr w:hSpace="180" w:wrap="around" w:vAnchor="text" w:hAnchor="text" w:y="1"/>
                    <w:suppressOverlap/>
                    <w:jc w:val="center"/>
                    <w:rPr>
                      <w:rFonts w:ascii="Arial Narrow" w:hAnsi="Arial Narrow"/>
                      <w:b/>
                      <w:bCs/>
                      <w:sz w:val="18"/>
                      <w:szCs w:val="18"/>
                    </w:rPr>
                  </w:pPr>
                  <w:r w:rsidRPr="004A1333">
                    <w:rPr>
                      <w:rFonts w:ascii="Arial Narrow" w:hAnsi="Arial Narrow"/>
                      <w:b/>
                      <w:bCs/>
                      <w:sz w:val="18"/>
                      <w:szCs w:val="18"/>
                    </w:rPr>
                    <w:t>2020</w:t>
                  </w:r>
                </w:p>
              </w:tc>
              <w:tc>
                <w:tcPr>
                  <w:tcW w:w="698" w:type="pct"/>
                  <w:tcBorders>
                    <w:bottom w:val="single" w:sz="4" w:space="0" w:color="auto"/>
                  </w:tcBorders>
                  <w:vAlign w:val="center"/>
                </w:tcPr>
                <w:p w14:paraId="1C614C64" w14:textId="77777777" w:rsidR="00A5467F" w:rsidRPr="004A1333" w:rsidRDefault="00A5467F" w:rsidP="00C4708F">
                  <w:pPr>
                    <w:framePr w:hSpace="180" w:wrap="around" w:vAnchor="text" w:hAnchor="text" w:y="1"/>
                    <w:suppressOverlap/>
                    <w:jc w:val="center"/>
                    <w:rPr>
                      <w:rFonts w:ascii="Arial Narrow" w:hAnsi="Arial Narrow"/>
                      <w:b/>
                      <w:bCs/>
                      <w:sz w:val="18"/>
                      <w:szCs w:val="18"/>
                    </w:rPr>
                  </w:pPr>
                  <w:r w:rsidRPr="004A1333">
                    <w:rPr>
                      <w:rFonts w:ascii="Arial Narrow" w:hAnsi="Arial Narrow"/>
                      <w:b/>
                      <w:bCs/>
                      <w:sz w:val="18"/>
                      <w:szCs w:val="18"/>
                    </w:rPr>
                    <w:t>2021</w:t>
                  </w:r>
                </w:p>
              </w:tc>
              <w:tc>
                <w:tcPr>
                  <w:tcW w:w="698" w:type="pct"/>
                  <w:tcBorders>
                    <w:bottom w:val="single" w:sz="4" w:space="0" w:color="auto"/>
                  </w:tcBorders>
                  <w:vAlign w:val="center"/>
                </w:tcPr>
                <w:p w14:paraId="5BBC576B" w14:textId="77777777" w:rsidR="00A5467F" w:rsidRPr="004A1333" w:rsidRDefault="00A5467F" w:rsidP="00C4708F">
                  <w:pPr>
                    <w:framePr w:hSpace="180" w:wrap="around" w:vAnchor="text" w:hAnchor="text" w:y="1"/>
                    <w:suppressOverlap/>
                    <w:jc w:val="center"/>
                    <w:rPr>
                      <w:rFonts w:ascii="Arial Narrow" w:hAnsi="Arial Narrow"/>
                      <w:b/>
                      <w:bCs/>
                      <w:sz w:val="18"/>
                      <w:szCs w:val="18"/>
                    </w:rPr>
                  </w:pPr>
                  <w:r w:rsidRPr="004A1333">
                    <w:rPr>
                      <w:rFonts w:ascii="Arial Narrow" w:hAnsi="Arial Narrow"/>
                      <w:b/>
                      <w:bCs/>
                      <w:sz w:val="18"/>
                      <w:szCs w:val="18"/>
                    </w:rPr>
                    <w:t>2022</w:t>
                  </w:r>
                </w:p>
              </w:tc>
              <w:tc>
                <w:tcPr>
                  <w:tcW w:w="698" w:type="pct"/>
                  <w:tcBorders>
                    <w:bottom w:val="single" w:sz="4" w:space="0" w:color="auto"/>
                  </w:tcBorders>
                  <w:vAlign w:val="center"/>
                </w:tcPr>
                <w:p w14:paraId="637286F6" w14:textId="77777777" w:rsidR="00A5467F" w:rsidRPr="004A1333" w:rsidRDefault="00A5467F" w:rsidP="00C4708F">
                  <w:pPr>
                    <w:framePr w:hSpace="180" w:wrap="around" w:vAnchor="text" w:hAnchor="text" w:y="1"/>
                    <w:suppressOverlap/>
                    <w:jc w:val="center"/>
                    <w:rPr>
                      <w:rFonts w:ascii="Arial Narrow" w:hAnsi="Arial Narrow"/>
                      <w:b/>
                      <w:bCs/>
                      <w:sz w:val="18"/>
                      <w:szCs w:val="18"/>
                    </w:rPr>
                  </w:pPr>
                  <w:r w:rsidRPr="004A1333">
                    <w:rPr>
                      <w:rFonts w:ascii="Arial Narrow" w:hAnsi="Arial Narrow"/>
                      <w:b/>
                      <w:bCs/>
                      <w:sz w:val="18"/>
                      <w:szCs w:val="18"/>
                    </w:rPr>
                    <w:t>2023</w:t>
                  </w:r>
                </w:p>
              </w:tc>
              <w:tc>
                <w:tcPr>
                  <w:tcW w:w="697" w:type="pct"/>
                  <w:tcBorders>
                    <w:bottom w:val="single" w:sz="4" w:space="0" w:color="auto"/>
                  </w:tcBorders>
                  <w:vAlign w:val="center"/>
                </w:tcPr>
                <w:p w14:paraId="3BB080DB" w14:textId="77777777" w:rsidR="00A5467F" w:rsidRPr="004A1333" w:rsidRDefault="00A5467F" w:rsidP="00C4708F">
                  <w:pPr>
                    <w:framePr w:hSpace="180" w:wrap="around" w:vAnchor="text" w:hAnchor="text" w:y="1"/>
                    <w:suppressOverlap/>
                    <w:jc w:val="center"/>
                    <w:rPr>
                      <w:rFonts w:ascii="Arial Narrow" w:hAnsi="Arial Narrow"/>
                      <w:b/>
                      <w:bCs/>
                      <w:sz w:val="18"/>
                      <w:szCs w:val="18"/>
                    </w:rPr>
                  </w:pPr>
                  <w:r w:rsidRPr="004A1333">
                    <w:rPr>
                      <w:rFonts w:ascii="Arial Narrow" w:hAnsi="Arial Narrow"/>
                      <w:b/>
                      <w:bCs/>
                      <w:sz w:val="18"/>
                      <w:szCs w:val="18"/>
                    </w:rPr>
                    <w:t>2024</w:t>
                  </w:r>
                </w:p>
              </w:tc>
            </w:tr>
            <w:tr w:rsidR="00FD3AB9" w:rsidRPr="004A1333" w14:paraId="206D0B8B" w14:textId="77777777" w:rsidTr="008D5D8A">
              <w:tc>
                <w:tcPr>
                  <w:tcW w:w="1511" w:type="pct"/>
                  <w:tcBorders>
                    <w:bottom w:val="nil"/>
                  </w:tcBorders>
                </w:tcPr>
                <w:p w14:paraId="6D15C624" w14:textId="77777777" w:rsidR="00A5467F" w:rsidRPr="004A1333" w:rsidRDefault="00A5467F" w:rsidP="00C4708F">
                  <w:pPr>
                    <w:framePr w:hSpace="180" w:wrap="around" w:vAnchor="text" w:hAnchor="text" w:y="1"/>
                    <w:suppressOverlap/>
                    <w:rPr>
                      <w:rFonts w:ascii="Arial Narrow" w:hAnsi="Arial Narrow"/>
                      <w:sz w:val="18"/>
                      <w:szCs w:val="18"/>
                    </w:rPr>
                  </w:pPr>
                  <w:r w:rsidRPr="004A1333">
                    <w:rPr>
                      <w:rFonts w:ascii="Arial Narrow" w:hAnsi="Arial Narrow"/>
                      <w:sz w:val="18"/>
                      <w:szCs w:val="18"/>
                    </w:rPr>
                    <w:t>Scripts</w:t>
                  </w:r>
                </w:p>
              </w:tc>
              <w:tc>
                <w:tcPr>
                  <w:tcW w:w="699" w:type="pct"/>
                  <w:tcBorders>
                    <w:bottom w:val="nil"/>
                  </w:tcBorders>
                  <w:vAlign w:val="center"/>
                </w:tcPr>
                <w:p w14:paraId="775F389A" w14:textId="77777777"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22,910</w:t>
                  </w:r>
                </w:p>
              </w:tc>
              <w:tc>
                <w:tcPr>
                  <w:tcW w:w="698" w:type="pct"/>
                  <w:tcBorders>
                    <w:bottom w:val="nil"/>
                  </w:tcBorders>
                  <w:vAlign w:val="center"/>
                </w:tcPr>
                <w:p w14:paraId="1B0B70F2" w14:textId="77777777"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30,355</w:t>
                  </w:r>
                </w:p>
              </w:tc>
              <w:tc>
                <w:tcPr>
                  <w:tcW w:w="698" w:type="pct"/>
                  <w:tcBorders>
                    <w:bottom w:val="nil"/>
                  </w:tcBorders>
                  <w:vAlign w:val="center"/>
                </w:tcPr>
                <w:p w14:paraId="20F8B747" w14:textId="77777777"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30,229</w:t>
                  </w:r>
                </w:p>
              </w:tc>
              <w:tc>
                <w:tcPr>
                  <w:tcW w:w="698" w:type="pct"/>
                  <w:tcBorders>
                    <w:bottom w:val="nil"/>
                  </w:tcBorders>
                  <w:vAlign w:val="center"/>
                </w:tcPr>
                <w:p w14:paraId="009BDD96" w14:textId="77777777"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35,739</w:t>
                  </w:r>
                </w:p>
              </w:tc>
              <w:tc>
                <w:tcPr>
                  <w:tcW w:w="697" w:type="pct"/>
                  <w:tcBorders>
                    <w:bottom w:val="nil"/>
                  </w:tcBorders>
                  <w:vAlign w:val="center"/>
                </w:tcPr>
                <w:p w14:paraId="76907F35" w14:textId="68772BDC" w:rsidR="00A5467F" w:rsidRPr="004A1333" w:rsidRDefault="00EA561E"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36</w:t>
                  </w:r>
                  <w:r w:rsidR="00A5467F" w:rsidRPr="004A1333">
                    <w:rPr>
                      <w:rFonts w:ascii="Arial Narrow" w:hAnsi="Arial Narrow"/>
                      <w:sz w:val="18"/>
                      <w:szCs w:val="18"/>
                    </w:rPr>
                    <w:t>,</w:t>
                  </w:r>
                  <w:r w:rsidRPr="004A1333">
                    <w:rPr>
                      <w:rFonts w:ascii="Arial Narrow" w:hAnsi="Arial Narrow"/>
                      <w:sz w:val="18"/>
                      <w:szCs w:val="18"/>
                    </w:rPr>
                    <w:t>510</w:t>
                  </w:r>
                </w:p>
              </w:tc>
            </w:tr>
            <w:tr w:rsidR="00FD3AB9" w:rsidRPr="004A1333" w14:paraId="49E52BF1" w14:textId="77777777" w:rsidTr="008D5D8A">
              <w:tc>
                <w:tcPr>
                  <w:tcW w:w="1511" w:type="pct"/>
                  <w:tcBorders>
                    <w:top w:val="nil"/>
                    <w:bottom w:val="nil"/>
                  </w:tcBorders>
                </w:tcPr>
                <w:p w14:paraId="1260991C" w14:textId="77777777" w:rsidR="00A5467F" w:rsidRPr="004A1333" w:rsidRDefault="00A5467F" w:rsidP="00C4708F">
                  <w:pPr>
                    <w:framePr w:hSpace="180" w:wrap="around" w:vAnchor="text" w:hAnchor="text" w:y="1"/>
                    <w:ind w:left="107"/>
                    <w:suppressOverlap/>
                    <w:rPr>
                      <w:rFonts w:ascii="Arial Narrow" w:hAnsi="Arial Narrow"/>
                      <w:sz w:val="18"/>
                      <w:szCs w:val="18"/>
                    </w:rPr>
                  </w:pPr>
                  <w:r w:rsidRPr="004A1333">
                    <w:rPr>
                      <w:rFonts w:ascii="Arial Narrow" w:hAnsi="Arial Narrow"/>
                      <w:sz w:val="18"/>
                      <w:szCs w:val="18"/>
                    </w:rPr>
                    <w:t>ADA</w:t>
                  </w:r>
                </w:p>
              </w:tc>
              <w:tc>
                <w:tcPr>
                  <w:tcW w:w="699" w:type="pct"/>
                  <w:tcBorders>
                    <w:top w:val="nil"/>
                    <w:bottom w:val="nil"/>
                  </w:tcBorders>
                  <w:vAlign w:val="center"/>
                </w:tcPr>
                <w:p w14:paraId="1EDE70D6" w14:textId="77777777"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12,880</w:t>
                  </w:r>
                </w:p>
              </w:tc>
              <w:tc>
                <w:tcPr>
                  <w:tcW w:w="698" w:type="pct"/>
                  <w:tcBorders>
                    <w:top w:val="nil"/>
                    <w:bottom w:val="nil"/>
                  </w:tcBorders>
                  <w:vAlign w:val="center"/>
                </w:tcPr>
                <w:p w14:paraId="569B74EB" w14:textId="77777777"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19,277</w:t>
                  </w:r>
                </w:p>
              </w:tc>
              <w:tc>
                <w:tcPr>
                  <w:tcW w:w="698" w:type="pct"/>
                  <w:tcBorders>
                    <w:top w:val="nil"/>
                    <w:bottom w:val="nil"/>
                  </w:tcBorders>
                  <w:vAlign w:val="center"/>
                </w:tcPr>
                <w:p w14:paraId="24E13789" w14:textId="77777777"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18,125</w:t>
                  </w:r>
                </w:p>
              </w:tc>
              <w:tc>
                <w:tcPr>
                  <w:tcW w:w="698" w:type="pct"/>
                  <w:tcBorders>
                    <w:top w:val="nil"/>
                    <w:bottom w:val="nil"/>
                  </w:tcBorders>
                  <w:vAlign w:val="center"/>
                </w:tcPr>
                <w:p w14:paraId="6F1C4647" w14:textId="77777777"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21,297</w:t>
                  </w:r>
                </w:p>
              </w:tc>
              <w:tc>
                <w:tcPr>
                  <w:tcW w:w="697" w:type="pct"/>
                  <w:tcBorders>
                    <w:top w:val="nil"/>
                    <w:bottom w:val="nil"/>
                  </w:tcBorders>
                  <w:vAlign w:val="center"/>
                </w:tcPr>
                <w:p w14:paraId="2AC104E2" w14:textId="77777777"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18,069</w:t>
                  </w:r>
                </w:p>
              </w:tc>
            </w:tr>
            <w:tr w:rsidR="00FD3AB9" w:rsidRPr="004A1333" w14:paraId="3A6CFE8C" w14:textId="77777777" w:rsidTr="008D5D8A">
              <w:tc>
                <w:tcPr>
                  <w:tcW w:w="1511" w:type="pct"/>
                  <w:tcBorders>
                    <w:top w:val="nil"/>
                    <w:bottom w:val="nil"/>
                  </w:tcBorders>
                </w:tcPr>
                <w:p w14:paraId="77D38E38" w14:textId="77777777" w:rsidR="00A5467F" w:rsidRPr="004A1333" w:rsidRDefault="00A5467F" w:rsidP="00C4708F">
                  <w:pPr>
                    <w:framePr w:hSpace="180" w:wrap="around" w:vAnchor="text" w:hAnchor="text" w:y="1"/>
                    <w:ind w:left="107"/>
                    <w:suppressOverlap/>
                    <w:rPr>
                      <w:rFonts w:ascii="Arial Narrow" w:hAnsi="Arial Narrow"/>
                      <w:sz w:val="18"/>
                      <w:szCs w:val="18"/>
                    </w:rPr>
                  </w:pPr>
                  <w:r w:rsidRPr="004A1333">
                    <w:rPr>
                      <w:rFonts w:ascii="Arial Narrow" w:hAnsi="Arial Narrow"/>
                      <w:sz w:val="18"/>
                      <w:szCs w:val="18"/>
                    </w:rPr>
                    <w:t>IFX</w:t>
                  </w:r>
                </w:p>
              </w:tc>
              <w:tc>
                <w:tcPr>
                  <w:tcW w:w="699" w:type="pct"/>
                  <w:tcBorders>
                    <w:top w:val="nil"/>
                    <w:bottom w:val="nil"/>
                  </w:tcBorders>
                  <w:vAlign w:val="center"/>
                </w:tcPr>
                <w:p w14:paraId="0A03FA1A" w14:textId="77777777"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10,030</w:t>
                  </w:r>
                </w:p>
              </w:tc>
              <w:tc>
                <w:tcPr>
                  <w:tcW w:w="698" w:type="pct"/>
                  <w:tcBorders>
                    <w:top w:val="nil"/>
                    <w:bottom w:val="nil"/>
                  </w:tcBorders>
                  <w:vAlign w:val="center"/>
                </w:tcPr>
                <w:p w14:paraId="559E5F62" w14:textId="77777777"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11,078</w:t>
                  </w:r>
                </w:p>
              </w:tc>
              <w:tc>
                <w:tcPr>
                  <w:tcW w:w="698" w:type="pct"/>
                  <w:tcBorders>
                    <w:top w:val="nil"/>
                    <w:bottom w:val="nil"/>
                  </w:tcBorders>
                  <w:vAlign w:val="center"/>
                </w:tcPr>
                <w:p w14:paraId="37BE0553" w14:textId="77777777"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12,104</w:t>
                  </w:r>
                </w:p>
              </w:tc>
              <w:tc>
                <w:tcPr>
                  <w:tcW w:w="698" w:type="pct"/>
                  <w:tcBorders>
                    <w:top w:val="nil"/>
                    <w:bottom w:val="nil"/>
                  </w:tcBorders>
                  <w:vAlign w:val="center"/>
                </w:tcPr>
                <w:p w14:paraId="0FDF0903" w14:textId="77777777"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14,442</w:t>
                  </w:r>
                </w:p>
              </w:tc>
              <w:tc>
                <w:tcPr>
                  <w:tcW w:w="697" w:type="pct"/>
                  <w:tcBorders>
                    <w:top w:val="nil"/>
                    <w:bottom w:val="nil"/>
                  </w:tcBorders>
                  <w:vAlign w:val="center"/>
                </w:tcPr>
                <w:p w14:paraId="7A6972FB" w14:textId="77777777"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17,366</w:t>
                  </w:r>
                </w:p>
              </w:tc>
            </w:tr>
            <w:tr w:rsidR="005E5979" w:rsidRPr="004A1333" w14:paraId="2D088F02" w14:textId="77777777" w:rsidTr="008D5D8A">
              <w:tc>
                <w:tcPr>
                  <w:tcW w:w="1511" w:type="pct"/>
                  <w:tcBorders>
                    <w:top w:val="nil"/>
                    <w:bottom w:val="single" w:sz="4" w:space="0" w:color="auto"/>
                  </w:tcBorders>
                </w:tcPr>
                <w:p w14:paraId="026E01FA" w14:textId="77777777" w:rsidR="00A5467F" w:rsidRPr="004A1333" w:rsidRDefault="00A5467F" w:rsidP="00C4708F">
                  <w:pPr>
                    <w:framePr w:hSpace="180" w:wrap="around" w:vAnchor="text" w:hAnchor="text" w:y="1"/>
                    <w:ind w:left="107"/>
                    <w:suppressOverlap/>
                    <w:rPr>
                      <w:rFonts w:ascii="Arial Narrow" w:hAnsi="Arial Narrow"/>
                      <w:sz w:val="18"/>
                      <w:szCs w:val="18"/>
                      <w:vertAlign w:val="superscript"/>
                    </w:rPr>
                  </w:pPr>
                  <w:r w:rsidRPr="004A1333">
                    <w:rPr>
                      <w:rFonts w:ascii="Arial Narrow" w:hAnsi="Arial Narrow"/>
                      <w:sz w:val="18"/>
                      <w:szCs w:val="18"/>
                    </w:rPr>
                    <w:t xml:space="preserve">UST </w:t>
                  </w:r>
                  <w:r w:rsidRPr="004A1333">
                    <w:rPr>
                      <w:rFonts w:ascii="Arial Narrow" w:hAnsi="Arial Narrow"/>
                      <w:sz w:val="18"/>
                      <w:szCs w:val="18"/>
                      <w:vertAlign w:val="superscript"/>
                    </w:rPr>
                    <w:t>a</w:t>
                  </w:r>
                </w:p>
              </w:tc>
              <w:tc>
                <w:tcPr>
                  <w:tcW w:w="699" w:type="pct"/>
                  <w:tcBorders>
                    <w:top w:val="nil"/>
                    <w:bottom w:val="single" w:sz="4" w:space="0" w:color="auto"/>
                  </w:tcBorders>
                  <w:vAlign w:val="center"/>
                </w:tcPr>
                <w:p w14:paraId="514E8160" w14:textId="5E315BE8" w:rsidR="00A5467F" w:rsidRPr="004A1333" w:rsidRDefault="00FC7500" w:rsidP="00C4708F">
                  <w:pPr>
                    <w:framePr w:hSpace="180" w:wrap="around" w:vAnchor="text" w:hAnchor="text" w:y="1"/>
                    <w:suppressOverlap/>
                    <w:jc w:val="center"/>
                    <w:rPr>
                      <w:rFonts w:ascii="Arial Narrow" w:hAnsi="Arial Narrow"/>
                      <w:sz w:val="18"/>
                      <w:szCs w:val="18"/>
                    </w:rPr>
                  </w:pPr>
                  <w:r>
                    <w:rPr>
                      <w:rFonts w:ascii="Arial Narrow" w:hAnsi="Arial Narrow"/>
                      <w:sz w:val="18"/>
                      <w:szCs w:val="18"/>
                    </w:rPr>
                    <w:noBreakHyphen/>
                  </w:r>
                </w:p>
              </w:tc>
              <w:tc>
                <w:tcPr>
                  <w:tcW w:w="698" w:type="pct"/>
                  <w:tcBorders>
                    <w:top w:val="nil"/>
                    <w:bottom w:val="single" w:sz="4" w:space="0" w:color="auto"/>
                  </w:tcBorders>
                  <w:vAlign w:val="center"/>
                </w:tcPr>
                <w:p w14:paraId="4BC62A80" w14:textId="565F9454" w:rsidR="00A5467F" w:rsidRPr="004A1333" w:rsidRDefault="00FC7500" w:rsidP="00C4708F">
                  <w:pPr>
                    <w:framePr w:hSpace="180" w:wrap="around" w:vAnchor="text" w:hAnchor="text" w:y="1"/>
                    <w:suppressOverlap/>
                    <w:jc w:val="center"/>
                    <w:rPr>
                      <w:rFonts w:ascii="Arial Narrow" w:hAnsi="Arial Narrow"/>
                      <w:sz w:val="18"/>
                      <w:szCs w:val="18"/>
                    </w:rPr>
                  </w:pPr>
                  <w:r>
                    <w:rPr>
                      <w:rFonts w:ascii="Arial Narrow" w:hAnsi="Arial Narrow"/>
                      <w:sz w:val="18"/>
                      <w:szCs w:val="18"/>
                    </w:rPr>
                    <w:noBreakHyphen/>
                  </w:r>
                </w:p>
              </w:tc>
              <w:tc>
                <w:tcPr>
                  <w:tcW w:w="698" w:type="pct"/>
                  <w:tcBorders>
                    <w:top w:val="nil"/>
                    <w:bottom w:val="single" w:sz="4" w:space="0" w:color="auto"/>
                  </w:tcBorders>
                  <w:vAlign w:val="center"/>
                </w:tcPr>
                <w:p w14:paraId="0C594D31" w14:textId="0AF62E51" w:rsidR="00A5467F" w:rsidRPr="004A1333" w:rsidRDefault="00FC7500" w:rsidP="00C4708F">
                  <w:pPr>
                    <w:framePr w:hSpace="180" w:wrap="around" w:vAnchor="text" w:hAnchor="text" w:y="1"/>
                    <w:suppressOverlap/>
                    <w:jc w:val="center"/>
                    <w:rPr>
                      <w:rFonts w:ascii="Arial Narrow" w:hAnsi="Arial Narrow"/>
                      <w:sz w:val="18"/>
                      <w:szCs w:val="18"/>
                    </w:rPr>
                  </w:pPr>
                  <w:r>
                    <w:rPr>
                      <w:rFonts w:ascii="Arial Narrow" w:hAnsi="Arial Narrow"/>
                      <w:sz w:val="18"/>
                      <w:szCs w:val="18"/>
                    </w:rPr>
                    <w:noBreakHyphen/>
                  </w:r>
                </w:p>
              </w:tc>
              <w:tc>
                <w:tcPr>
                  <w:tcW w:w="698" w:type="pct"/>
                  <w:tcBorders>
                    <w:top w:val="nil"/>
                    <w:bottom w:val="single" w:sz="4" w:space="0" w:color="auto"/>
                  </w:tcBorders>
                  <w:vAlign w:val="center"/>
                </w:tcPr>
                <w:p w14:paraId="58F2F85D" w14:textId="4ECF1BE2" w:rsidR="00A5467F" w:rsidRPr="004A1333" w:rsidRDefault="00FC7500" w:rsidP="00C4708F">
                  <w:pPr>
                    <w:framePr w:hSpace="180" w:wrap="around" w:vAnchor="text" w:hAnchor="text" w:y="1"/>
                    <w:suppressOverlap/>
                    <w:jc w:val="center"/>
                    <w:rPr>
                      <w:rFonts w:ascii="Arial Narrow" w:hAnsi="Arial Narrow"/>
                      <w:sz w:val="18"/>
                      <w:szCs w:val="18"/>
                    </w:rPr>
                  </w:pPr>
                  <w:r>
                    <w:rPr>
                      <w:rFonts w:ascii="Arial Narrow" w:hAnsi="Arial Narrow"/>
                      <w:sz w:val="18"/>
                      <w:szCs w:val="18"/>
                    </w:rPr>
                    <w:noBreakHyphen/>
                  </w:r>
                </w:p>
              </w:tc>
              <w:tc>
                <w:tcPr>
                  <w:tcW w:w="697" w:type="pct"/>
                  <w:tcBorders>
                    <w:top w:val="nil"/>
                    <w:bottom w:val="single" w:sz="4" w:space="0" w:color="auto"/>
                  </w:tcBorders>
                  <w:vAlign w:val="center"/>
                </w:tcPr>
                <w:p w14:paraId="7C2EDE06" w14:textId="3EDA98A0" w:rsidR="00A5467F" w:rsidRPr="004A1333" w:rsidRDefault="0098588D"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1,075</w:t>
                  </w:r>
                </w:p>
              </w:tc>
            </w:tr>
            <w:tr w:rsidR="005E5979" w:rsidRPr="004A1333" w14:paraId="4EB68C5C" w14:textId="77777777" w:rsidTr="008D5D8A">
              <w:tc>
                <w:tcPr>
                  <w:tcW w:w="1511" w:type="pct"/>
                  <w:tcBorders>
                    <w:top w:val="single" w:sz="4" w:space="0" w:color="auto"/>
                    <w:bottom w:val="nil"/>
                  </w:tcBorders>
                </w:tcPr>
                <w:p w14:paraId="3C62F8E6" w14:textId="19FA8B23" w:rsidR="00A5467F" w:rsidRPr="004A1333" w:rsidRDefault="00A5467F" w:rsidP="00C4708F">
                  <w:pPr>
                    <w:framePr w:hSpace="180" w:wrap="around" w:vAnchor="text" w:hAnchor="text" w:y="1"/>
                    <w:suppressOverlap/>
                    <w:rPr>
                      <w:rFonts w:ascii="Arial Narrow" w:hAnsi="Arial Narrow"/>
                      <w:sz w:val="18"/>
                      <w:szCs w:val="18"/>
                    </w:rPr>
                  </w:pPr>
                  <w:r w:rsidRPr="004A1333">
                    <w:rPr>
                      <w:rFonts w:ascii="Arial Narrow" w:hAnsi="Arial Narrow"/>
                      <w:sz w:val="18"/>
                      <w:szCs w:val="18"/>
                    </w:rPr>
                    <w:t>Market share</w:t>
                  </w:r>
                </w:p>
              </w:tc>
              <w:tc>
                <w:tcPr>
                  <w:tcW w:w="699" w:type="pct"/>
                  <w:tcBorders>
                    <w:top w:val="single" w:sz="4" w:space="0" w:color="auto"/>
                    <w:bottom w:val="nil"/>
                  </w:tcBorders>
                  <w:vAlign w:val="center"/>
                </w:tcPr>
                <w:p w14:paraId="3BF359BC" w14:textId="6B1B8642"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100%</w:t>
                  </w:r>
                </w:p>
              </w:tc>
              <w:tc>
                <w:tcPr>
                  <w:tcW w:w="698" w:type="pct"/>
                  <w:tcBorders>
                    <w:top w:val="single" w:sz="4" w:space="0" w:color="auto"/>
                    <w:bottom w:val="nil"/>
                  </w:tcBorders>
                  <w:vAlign w:val="center"/>
                </w:tcPr>
                <w:p w14:paraId="01C65465" w14:textId="67455D5C"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100%</w:t>
                  </w:r>
                </w:p>
              </w:tc>
              <w:tc>
                <w:tcPr>
                  <w:tcW w:w="698" w:type="pct"/>
                  <w:tcBorders>
                    <w:top w:val="single" w:sz="4" w:space="0" w:color="auto"/>
                    <w:bottom w:val="nil"/>
                  </w:tcBorders>
                  <w:vAlign w:val="center"/>
                </w:tcPr>
                <w:p w14:paraId="30A06B07" w14:textId="1539D8F8"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100%</w:t>
                  </w:r>
                </w:p>
              </w:tc>
              <w:tc>
                <w:tcPr>
                  <w:tcW w:w="698" w:type="pct"/>
                  <w:tcBorders>
                    <w:top w:val="single" w:sz="4" w:space="0" w:color="auto"/>
                    <w:bottom w:val="nil"/>
                  </w:tcBorders>
                  <w:vAlign w:val="center"/>
                </w:tcPr>
                <w:p w14:paraId="1536B833" w14:textId="22544077"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100%</w:t>
                  </w:r>
                </w:p>
              </w:tc>
              <w:tc>
                <w:tcPr>
                  <w:tcW w:w="697" w:type="pct"/>
                  <w:tcBorders>
                    <w:top w:val="single" w:sz="4" w:space="0" w:color="auto"/>
                    <w:bottom w:val="nil"/>
                  </w:tcBorders>
                  <w:vAlign w:val="center"/>
                </w:tcPr>
                <w:p w14:paraId="6F454009" w14:textId="2114497F"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100%</w:t>
                  </w:r>
                </w:p>
              </w:tc>
            </w:tr>
            <w:tr w:rsidR="00FD3AB9" w:rsidRPr="004A1333" w14:paraId="67A29FE1" w14:textId="77777777" w:rsidTr="008D5D8A">
              <w:tc>
                <w:tcPr>
                  <w:tcW w:w="1511" w:type="pct"/>
                  <w:tcBorders>
                    <w:top w:val="nil"/>
                    <w:bottom w:val="nil"/>
                  </w:tcBorders>
                </w:tcPr>
                <w:p w14:paraId="4C337F43" w14:textId="7CC422DD" w:rsidR="00A5467F" w:rsidRPr="004A1333" w:rsidRDefault="00A5467F" w:rsidP="00C4708F">
                  <w:pPr>
                    <w:framePr w:hSpace="180" w:wrap="around" w:vAnchor="text" w:hAnchor="text" w:y="1"/>
                    <w:ind w:left="107"/>
                    <w:suppressOverlap/>
                    <w:rPr>
                      <w:rFonts w:ascii="Arial Narrow" w:hAnsi="Arial Narrow"/>
                      <w:sz w:val="18"/>
                      <w:szCs w:val="18"/>
                    </w:rPr>
                  </w:pPr>
                  <w:r w:rsidRPr="004A1333">
                    <w:rPr>
                      <w:rFonts w:ascii="Arial Narrow" w:hAnsi="Arial Narrow"/>
                      <w:sz w:val="18"/>
                      <w:szCs w:val="18"/>
                    </w:rPr>
                    <w:t>ADA</w:t>
                  </w:r>
                </w:p>
              </w:tc>
              <w:tc>
                <w:tcPr>
                  <w:tcW w:w="699" w:type="pct"/>
                  <w:tcBorders>
                    <w:top w:val="nil"/>
                    <w:bottom w:val="nil"/>
                  </w:tcBorders>
                  <w:vAlign w:val="center"/>
                </w:tcPr>
                <w:p w14:paraId="6EA5FF02" w14:textId="680757E7"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56.2%</w:t>
                  </w:r>
                </w:p>
              </w:tc>
              <w:tc>
                <w:tcPr>
                  <w:tcW w:w="698" w:type="pct"/>
                  <w:tcBorders>
                    <w:top w:val="nil"/>
                    <w:bottom w:val="nil"/>
                  </w:tcBorders>
                  <w:vAlign w:val="center"/>
                </w:tcPr>
                <w:p w14:paraId="7134EF7A" w14:textId="67B363C5"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63.5%</w:t>
                  </w:r>
                </w:p>
              </w:tc>
              <w:tc>
                <w:tcPr>
                  <w:tcW w:w="698" w:type="pct"/>
                  <w:tcBorders>
                    <w:top w:val="nil"/>
                    <w:bottom w:val="nil"/>
                  </w:tcBorders>
                  <w:vAlign w:val="center"/>
                </w:tcPr>
                <w:p w14:paraId="16D40FFD" w14:textId="7670FD54"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60.0%</w:t>
                  </w:r>
                </w:p>
              </w:tc>
              <w:tc>
                <w:tcPr>
                  <w:tcW w:w="698" w:type="pct"/>
                  <w:tcBorders>
                    <w:top w:val="nil"/>
                    <w:bottom w:val="nil"/>
                  </w:tcBorders>
                  <w:vAlign w:val="center"/>
                </w:tcPr>
                <w:p w14:paraId="60760957" w14:textId="31F74724"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59.6%</w:t>
                  </w:r>
                </w:p>
              </w:tc>
              <w:tc>
                <w:tcPr>
                  <w:tcW w:w="697" w:type="pct"/>
                  <w:tcBorders>
                    <w:top w:val="nil"/>
                    <w:bottom w:val="nil"/>
                  </w:tcBorders>
                  <w:vAlign w:val="center"/>
                </w:tcPr>
                <w:p w14:paraId="2B5143CB" w14:textId="3D57986C" w:rsidR="00A5467F" w:rsidRPr="004A1333" w:rsidRDefault="0021551E"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49</w:t>
                  </w:r>
                  <w:r w:rsidR="00A5467F" w:rsidRPr="004A1333">
                    <w:rPr>
                      <w:rFonts w:ascii="Arial Narrow" w:hAnsi="Arial Narrow"/>
                      <w:sz w:val="18"/>
                      <w:szCs w:val="18"/>
                    </w:rPr>
                    <w:t>.0%</w:t>
                  </w:r>
                </w:p>
              </w:tc>
            </w:tr>
            <w:tr w:rsidR="00FD3AB9" w:rsidRPr="004A1333" w14:paraId="404B0854" w14:textId="77777777" w:rsidTr="008D5D8A">
              <w:tc>
                <w:tcPr>
                  <w:tcW w:w="1511" w:type="pct"/>
                  <w:tcBorders>
                    <w:top w:val="nil"/>
                    <w:bottom w:val="nil"/>
                  </w:tcBorders>
                </w:tcPr>
                <w:p w14:paraId="64DC7279" w14:textId="5D6012B1" w:rsidR="00A5467F" w:rsidRPr="004A1333" w:rsidRDefault="00A5467F" w:rsidP="00C4708F">
                  <w:pPr>
                    <w:framePr w:hSpace="180" w:wrap="around" w:vAnchor="text" w:hAnchor="text" w:y="1"/>
                    <w:ind w:left="107"/>
                    <w:suppressOverlap/>
                    <w:rPr>
                      <w:rFonts w:ascii="Arial Narrow" w:hAnsi="Arial Narrow"/>
                      <w:sz w:val="18"/>
                      <w:szCs w:val="18"/>
                    </w:rPr>
                  </w:pPr>
                  <w:r w:rsidRPr="004A1333">
                    <w:rPr>
                      <w:rFonts w:ascii="Arial Narrow" w:hAnsi="Arial Narrow"/>
                      <w:sz w:val="18"/>
                      <w:szCs w:val="18"/>
                    </w:rPr>
                    <w:lastRenderedPageBreak/>
                    <w:t>IFX</w:t>
                  </w:r>
                </w:p>
              </w:tc>
              <w:tc>
                <w:tcPr>
                  <w:tcW w:w="699" w:type="pct"/>
                  <w:tcBorders>
                    <w:top w:val="nil"/>
                    <w:bottom w:val="nil"/>
                  </w:tcBorders>
                  <w:vAlign w:val="center"/>
                </w:tcPr>
                <w:p w14:paraId="78206FD5" w14:textId="660EB5C4"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43.8%</w:t>
                  </w:r>
                </w:p>
              </w:tc>
              <w:tc>
                <w:tcPr>
                  <w:tcW w:w="698" w:type="pct"/>
                  <w:tcBorders>
                    <w:top w:val="nil"/>
                    <w:bottom w:val="nil"/>
                  </w:tcBorders>
                  <w:vAlign w:val="center"/>
                </w:tcPr>
                <w:p w14:paraId="0F6F4374" w14:textId="2FB24BB2"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36.5%</w:t>
                  </w:r>
                </w:p>
              </w:tc>
              <w:tc>
                <w:tcPr>
                  <w:tcW w:w="698" w:type="pct"/>
                  <w:tcBorders>
                    <w:top w:val="nil"/>
                    <w:bottom w:val="nil"/>
                  </w:tcBorders>
                  <w:vAlign w:val="center"/>
                </w:tcPr>
                <w:p w14:paraId="3A7B8365" w14:textId="488EF74E"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40.0%</w:t>
                  </w:r>
                </w:p>
              </w:tc>
              <w:tc>
                <w:tcPr>
                  <w:tcW w:w="698" w:type="pct"/>
                  <w:tcBorders>
                    <w:top w:val="nil"/>
                    <w:bottom w:val="nil"/>
                  </w:tcBorders>
                  <w:vAlign w:val="center"/>
                </w:tcPr>
                <w:p w14:paraId="2F6C93C2" w14:textId="47A964DB"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40.4%</w:t>
                  </w:r>
                </w:p>
              </w:tc>
              <w:tc>
                <w:tcPr>
                  <w:tcW w:w="697" w:type="pct"/>
                  <w:tcBorders>
                    <w:top w:val="nil"/>
                    <w:bottom w:val="nil"/>
                  </w:tcBorders>
                  <w:vAlign w:val="center"/>
                </w:tcPr>
                <w:p w14:paraId="736D39B0" w14:textId="647F2965"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4</w:t>
                  </w:r>
                  <w:r w:rsidR="002A1515" w:rsidRPr="004A1333">
                    <w:rPr>
                      <w:rFonts w:ascii="Arial Narrow" w:hAnsi="Arial Narrow"/>
                      <w:sz w:val="18"/>
                      <w:szCs w:val="18"/>
                    </w:rPr>
                    <w:t>8</w:t>
                  </w:r>
                  <w:r w:rsidRPr="004A1333">
                    <w:rPr>
                      <w:rFonts w:ascii="Arial Narrow" w:hAnsi="Arial Narrow"/>
                      <w:sz w:val="18"/>
                      <w:szCs w:val="18"/>
                    </w:rPr>
                    <w:t>.0%</w:t>
                  </w:r>
                </w:p>
              </w:tc>
            </w:tr>
            <w:tr w:rsidR="00FD3AB9" w:rsidRPr="004A1333" w14:paraId="7E296360" w14:textId="77777777" w:rsidTr="008D5D8A">
              <w:tc>
                <w:tcPr>
                  <w:tcW w:w="1511" w:type="pct"/>
                  <w:tcBorders>
                    <w:top w:val="nil"/>
                  </w:tcBorders>
                </w:tcPr>
                <w:p w14:paraId="198B4DDE" w14:textId="52310B1A" w:rsidR="00A5467F" w:rsidRPr="004A1333" w:rsidRDefault="00A5467F" w:rsidP="00C4708F">
                  <w:pPr>
                    <w:framePr w:hSpace="180" w:wrap="around" w:vAnchor="text" w:hAnchor="text" w:y="1"/>
                    <w:ind w:left="107"/>
                    <w:suppressOverlap/>
                    <w:rPr>
                      <w:rFonts w:ascii="Arial Narrow" w:hAnsi="Arial Narrow"/>
                      <w:sz w:val="18"/>
                      <w:szCs w:val="18"/>
                      <w:vertAlign w:val="superscript"/>
                    </w:rPr>
                  </w:pPr>
                  <w:r w:rsidRPr="004A1333">
                    <w:rPr>
                      <w:rFonts w:ascii="Arial Narrow" w:hAnsi="Arial Narrow"/>
                      <w:sz w:val="18"/>
                      <w:szCs w:val="18"/>
                    </w:rPr>
                    <w:t xml:space="preserve">UST </w:t>
                  </w:r>
                  <w:r w:rsidRPr="004A1333">
                    <w:rPr>
                      <w:rFonts w:ascii="Arial Narrow" w:hAnsi="Arial Narrow"/>
                      <w:sz w:val="18"/>
                      <w:szCs w:val="18"/>
                      <w:vertAlign w:val="superscript"/>
                    </w:rPr>
                    <w:t>a</w:t>
                  </w:r>
                </w:p>
              </w:tc>
              <w:tc>
                <w:tcPr>
                  <w:tcW w:w="699" w:type="pct"/>
                  <w:tcBorders>
                    <w:top w:val="nil"/>
                  </w:tcBorders>
                  <w:vAlign w:val="center"/>
                </w:tcPr>
                <w:p w14:paraId="1036FED7" w14:textId="59E0FA90" w:rsidR="00A5467F" w:rsidRPr="004A1333" w:rsidRDefault="00FC7500" w:rsidP="00C4708F">
                  <w:pPr>
                    <w:framePr w:hSpace="180" w:wrap="around" w:vAnchor="text" w:hAnchor="text" w:y="1"/>
                    <w:suppressOverlap/>
                    <w:jc w:val="center"/>
                    <w:rPr>
                      <w:rFonts w:ascii="Arial Narrow" w:hAnsi="Arial Narrow"/>
                      <w:sz w:val="18"/>
                      <w:szCs w:val="18"/>
                    </w:rPr>
                  </w:pPr>
                  <w:r>
                    <w:rPr>
                      <w:rFonts w:ascii="Arial Narrow" w:hAnsi="Arial Narrow"/>
                      <w:sz w:val="18"/>
                      <w:szCs w:val="18"/>
                    </w:rPr>
                    <w:noBreakHyphen/>
                  </w:r>
                </w:p>
              </w:tc>
              <w:tc>
                <w:tcPr>
                  <w:tcW w:w="698" w:type="pct"/>
                  <w:tcBorders>
                    <w:top w:val="nil"/>
                  </w:tcBorders>
                  <w:vAlign w:val="center"/>
                </w:tcPr>
                <w:p w14:paraId="28DB32A2" w14:textId="4449DC64" w:rsidR="00A5467F" w:rsidRPr="004A1333" w:rsidRDefault="00FC7500" w:rsidP="00C4708F">
                  <w:pPr>
                    <w:framePr w:hSpace="180" w:wrap="around" w:vAnchor="text" w:hAnchor="text" w:y="1"/>
                    <w:suppressOverlap/>
                    <w:jc w:val="center"/>
                    <w:rPr>
                      <w:rFonts w:ascii="Arial Narrow" w:hAnsi="Arial Narrow"/>
                      <w:sz w:val="18"/>
                      <w:szCs w:val="18"/>
                    </w:rPr>
                  </w:pPr>
                  <w:r>
                    <w:rPr>
                      <w:rFonts w:ascii="Arial Narrow" w:hAnsi="Arial Narrow"/>
                      <w:sz w:val="18"/>
                      <w:szCs w:val="18"/>
                    </w:rPr>
                    <w:noBreakHyphen/>
                  </w:r>
                </w:p>
              </w:tc>
              <w:tc>
                <w:tcPr>
                  <w:tcW w:w="698" w:type="pct"/>
                  <w:tcBorders>
                    <w:top w:val="nil"/>
                  </w:tcBorders>
                  <w:vAlign w:val="center"/>
                </w:tcPr>
                <w:p w14:paraId="7C3230FD" w14:textId="5E4F8973" w:rsidR="00A5467F" w:rsidRPr="004A1333" w:rsidRDefault="00FC7500" w:rsidP="00C4708F">
                  <w:pPr>
                    <w:framePr w:hSpace="180" w:wrap="around" w:vAnchor="text" w:hAnchor="text" w:y="1"/>
                    <w:suppressOverlap/>
                    <w:jc w:val="center"/>
                    <w:rPr>
                      <w:rFonts w:ascii="Arial Narrow" w:hAnsi="Arial Narrow"/>
                      <w:sz w:val="18"/>
                      <w:szCs w:val="18"/>
                    </w:rPr>
                  </w:pPr>
                  <w:r>
                    <w:rPr>
                      <w:rFonts w:ascii="Arial Narrow" w:hAnsi="Arial Narrow"/>
                      <w:sz w:val="18"/>
                      <w:szCs w:val="18"/>
                    </w:rPr>
                    <w:noBreakHyphen/>
                  </w:r>
                </w:p>
              </w:tc>
              <w:tc>
                <w:tcPr>
                  <w:tcW w:w="698" w:type="pct"/>
                  <w:tcBorders>
                    <w:top w:val="nil"/>
                  </w:tcBorders>
                  <w:vAlign w:val="center"/>
                </w:tcPr>
                <w:p w14:paraId="2C8E4655" w14:textId="68462B61" w:rsidR="00A5467F" w:rsidRPr="004A1333" w:rsidRDefault="00FC7500" w:rsidP="00C4708F">
                  <w:pPr>
                    <w:framePr w:hSpace="180" w:wrap="around" w:vAnchor="text" w:hAnchor="text" w:y="1"/>
                    <w:suppressOverlap/>
                    <w:jc w:val="center"/>
                    <w:rPr>
                      <w:rFonts w:ascii="Arial Narrow" w:hAnsi="Arial Narrow"/>
                      <w:sz w:val="18"/>
                      <w:szCs w:val="18"/>
                    </w:rPr>
                  </w:pPr>
                  <w:r>
                    <w:rPr>
                      <w:rFonts w:ascii="Arial Narrow" w:hAnsi="Arial Narrow"/>
                      <w:sz w:val="18"/>
                      <w:szCs w:val="18"/>
                    </w:rPr>
                    <w:noBreakHyphen/>
                  </w:r>
                </w:p>
              </w:tc>
              <w:tc>
                <w:tcPr>
                  <w:tcW w:w="697" w:type="pct"/>
                  <w:tcBorders>
                    <w:top w:val="nil"/>
                  </w:tcBorders>
                  <w:vAlign w:val="center"/>
                </w:tcPr>
                <w:p w14:paraId="692CFE6C" w14:textId="7D63F070" w:rsidR="00A5467F" w:rsidRPr="004A1333" w:rsidRDefault="002A1515"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3.</w:t>
                  </w:r>
                  <w:r w:rsidR="00D138DB" w:rsidRPr="004A1333">
                    <w:rPr>
                      <w:rFonts w:ascii="Arial Narrow" w:hAnsi="Arial Narrow"/>
                      <w:sz w:val="18"/>
                      <w:szCs w:val="18"/>
                    </w:rPr>
                    <w:t>0%</w:t>
                  </w:r>
                </w:p>
              </w:tc>
            </w:tr>
          </w:tbl>
          <w:p w14:paraId="14D65A88" w14:textId="6C6296FB" w:rsidR="00A5467F" w:rsidRPr="004A1333" w:rsidRDefault="00A5467F">
            <w:pPr>
              <w:pStyle w:val="TableFigureFooter"/>
            </w:pPr>
            <w:r w:rsidRPr="004A1333">
              <w:t>Source: Tables 4</w:t>
            </w:r>
            <w:r w:rsidR="00FC7500">
              <w:noBreakHyphen/>
            </w:r>
            <w:r w:rsidRPr="004A1333">
              <w:t>4 and 4</w:t>
            </w:r>
            <w:r w:rsidR="00FC7500">
              <w:noBreakHyphen/>
            </w:r>
            <w:r w:rsidRPr="004A1333">
              <w:t>5, pp130</w:t>
            </w:r>
            <w:r w:rsidR="00FC7500">
              <w:noBreakHyphen/>
            </w:r>
            <w:r w:rsidRPr="004A1333">
              <w:t>131 of the submission. Italicised text was added during the evaluation.</w:t>
            </w:r>
          </w:p>
          <w:p w14:paraId="7E5BC23C" w14:textId="77777777" w:rsidR="00A5467F" w:rsidRPr="004A1333" w:rsidRDefault="00A5467F">
            <w:pPr>
              <w:pStyle w:val="TableFigureFooter"/>
            </w:pPr>
            <w:r w:rsidRPr="004A1333">
              <w:t>ADA = adalimumab; FCD = Fistulising Crohn’s disease = IFX, infliximab; UST = ustekinumab.</w:t>
            </w:r>
          </w:p>
          <w:p w14:paraId="213765CB" w14:textId="4D19AA09" w:rsidR="00A5467F" w:rsidRPr="004A1333" w:rsidRDefault="00A5467F">
            <w:pPr>
              <w:pStyle w:val="TableFigureFooter"/>
            </w:pPr>
            <w:r w:rsidRPr="004A1333">
              <w:rPr>
                <w:vertAlign w:val="superscript"/>
              </w:rPr>
              <w:t>a</w:t>
            </w:r>
            <w:r w:rsidRPr="004A1333">
              <w:t xml:space="preserve"> Ustekinumab was PBS</w:t>
            </w:r>
            <w:r w:rsidR="00FC7500">
              <w:noBreakHyphen/>
            </w:r>
            <w:r w:rsidRPr="004A1333">
              <w:t>listed for fistulising Crohn’s disease in January 2024. It was not available for most of the historical period (2020</w:t>
            </w:r>
            <w:r w:rsidR="00FC7500">
              <w:noBreakHyphen/>
            </w:r>
            <w:r w:rsidRPr="004A1333">
              <w:t xml:space="preserve">2023); therefore, the submission did not report ustekinumab scripts. </w:t>
            </w:r>
          </w:p>
        </w:tc>
      </w:tr>
      <w:tr w:rsidR="00A5467F" w:rsidRPr="00634E09" w14:paraId="4538D808" w14:textId="77777777" w:rsidTr="008D5D8A">
        <w:tc>
          <w:tcPr>
            <w:tcW w:w="950" w:type="pct"/>
            <w:vAlign w:val="center"/>
          </w:tcPr>
          <w:p w14:paraId="39234172" w14:textId="77777777" w:rsidR="00A5467F" w:rsidRPr="004A1333" w:rsidRDefault="00A5467F">
            <w:pPr>
              <w:pStyle w:val="TableText0"/>
            </w:pPr>
            <w:r w:rsidRPr="004A1333">
              <w:lastRenderedPageBreak/>
              <w:t>Market growth</w:t>
            </w:r>
          </w:p>
        </w:tc>
        <w:tc>
          <w:tcPr>
            <w:tcW w:w="4050" w:type="pct"/>
            <w:vAlign w:val="center"/>
          </w:tcPr>
          <w:p w14:paraId="1205ACC5" w14:textId="5F4B441F" w:rsidR="00AB437B" w:rsidRPr="004A1333" w:rsidRDefault="00A5467F">
            <w:pPr>
              <w:pStyle w:val="TableText0"/>
              <w:jc w:val="both"/>
            </w:pPr>
            <w:r w:rsidRPr="004A1333">
              <w:t>For market projection of comparator usage, the submission fitted linear trend lines to 2020</w:t>
            </w:r>
            <w:r w:rsidR="00FC7500">
              <w:noBreakHyphen/>
            </w:r>
            <w:r w:rsidRPr="004A1333">
              <w:t xml:space="preserve">2024 PBS script volumes for infliximab (all items combined) and adalimumab (80 mg initiation, 40 mg initiation, and continuing items estimated separately). Ustekinumab was listed for FCD only in 2024; therefore, its projected usage was based on the historical growth pattern observed in severe Crohn’s disease.  </w:t>
            </w:r>
            <w:r w:rsidR="00402130" w:rsidRPr="004A1333">
              <w:t>Discrepancies were identified between the linear trendlines provided in the financial model and those derived from the calculations provided</w:t>
            </w:r>
            <w:r w:rsidR="00F9296B" w:rsidRPr="004A1333">
              <w:t>.</w:t>
            </w:r>
            <w:r w:rsidR="00A53453" w:rsidRPr="004A1333">
              <w:t xml:space="preserve"> This was addressed in the PSCR.</w:t>
            </w:r>
          </w:p>
          <w:p w14:paraId="18927255" w14:textId="391A345D" w:rsidR="00A5467F" w:rsidRPr="004A1333" w:rsidRDefault="00402130">
            <w:pPr>
              <w:pStyle w:val="TableText0"/>
              <w:jc w:val="both"/>
            </w:pPr>
            <w:r w:rsidRPr="004A1333">
              <w:t>Also, t</w:t>
            </w:r>
            <w:r w:rsidR="00A5467F" w:rsidRPr="004A1333">
              <w:t>he submission assumed that the introduction of upadacitinib would not alter underlying market growth. This assumption was uncertain as sequential treatment will likely increase the overall number of scripts dispensed per patient.</w:t>
            </w:r>
          </w:p>
        </w:tc>
      </w:tr>
      <w:tr w:rsidR="00A5467F" w:rsidRPr="00634E09" w14:paraId="393F82F5" w14:textId="77777777" w:rsidTr="008D5D8A">
        <w:tc>
          <w:tcPr>
            <w:tcW w:w="950" w:type="pct"/>
            <w:vAlign w:val="center"/>
          </w:tcPr>
          <w:p w14:paraId="30C48ABE" w14:textId="77777777" w:rsidR="00A5467F" w:rsidRPr="004A1333" w:rsidRDefault="00A5467F">
            <w:pPr>
              <w:pStyle w:val="TableText0"/>
            </w:pPr>
            <w:r w:rsidRPr="004A1333">
              <w:t>Forecast market and market shares, without upadacitinib</w:t>
            </w:r>
          </w:p>
        </w:tc>
        <w:tc>
          <w:tcPr>
            <w:tcW w:w="4050" w:type="pct"/>
            <w:vAlign w:val="center"/>
          </w:tcPr>
          <w:p w14:paraId="7F0B5AB5" w14:textId="7E088058" w:rsidR="00A5467F" w:rsidRPr="004A1333" w:rsidRDefault="00A5467F">
            <w:pPr>
              <w:pStyle w:val="TableText0"/>
              <w:jc w:val="both"/>
            </w:pPr>
            <w:r w:rsidRPr="004A1333">
              <w:t xml:space="preserve">The submission first estimated script volumes for 2025 using the linear model and then extended the trend forward to 2031 (Year 6). Simplifications were applied by grouping multiple PBS item numbers for each comparator, and ustekinumab projections were based on growth trends from severe Crohn’s disease, given recent FCD listing (p130 of the submission). These projected comparator scripts formed the basis for estimating upadacitinib substitution volumes and financial impact. </w:t>
            </w:r>
          </w:p>
          <w:p w14:paraId="71A3E117" w14:textId="77777777" w:rsidR="00A5467F" w:rsidRPr="004A1333" w:rsidRDefault="00A5467F">
            <w:pPr>
              <w:pStyle w:val="TableText0"/>
              <w:jc w:val="both"/>
            </w:pPr>
          </w:p>
          <w:p w14:paraId="36FF1BA1" w14:textId="77777777" w:rsidR="00A5467F" w:rsidRPr="004A1333" w:rsidRDefault="00A5467F">
            <w:pPr>
              <w:pStyle w:val="TableFigureHeading"/>
            </w:pPr>
            <w:r w:rsidRPr="004A1333">
              <w:t xml:space="preserve">Table: Projected usage of comparator treatments, FCD indication without upadacitinib </w:t>
            </w:r>
          </w:p>
          <w:tbl>
            <w:tblPr>
              <w:tblStyle w:val="TableGrid"/>
              <w:tblW w:w="5000" w:type="pct"/>
              <w:tblCellMar>
                <w:left w:w="28" w:type="dxa"/>
                <w:right w:w="28" w:type="dxa"/>
              </w:tblCellMar>
              <w:tblLook w:val="04A0" w:firstRow="1" w:lastRow="0" w:firstColumn="1" w:lastColumn="0" w:noHBand="0" w:noVBand="1"/>
            </w:tblPr>
            <w:tblGrid>
              <w:gridCol w:w="1777"/>
              <w:gridCol w:w="913"/>
              <w:gridCol w:w="911"/>
              <w:gridCol w:w="911"/>
              <w:gridCol w:w="911"/>
              <w:gridCol w:w="909"/>
              <w:gridCol w:w="906"/>
            </w:tblGrid>
            <w:tr w:rsidR="005E5979" w:rsidRPr="004A1333" w14:paraId="172EA5F4" w14:textId="77777777" w:rsidTr="008D5D8A">
              <w:tc>
                <w:tcPr>
                  <w:tcW w:w="1228" w:type="pct"/>
                  <w:tcBorders>
                    <w:bottom w:val="single" w:sz="4" w:space="0" w:color="auto"/>
                  </w:tcBorders>
                </w:tcPr>
                <w:p w14:paraId="73D3B518" w14:textId="77777777" w:rsidR="00A5467F" w:rsidRPr="004A1333" w:rsidRDefault="00A5467F" w:rsidP="00C4708F">
                  <w:pPr>
                    <w:framePr w:hSpace="180" w:wrap="around" w:vAnchor="text" w:hAnchor="text" w:y="1"/>
                    <w:suppressOverlap/>
                    <w:rPr>
                      <w:rFonts w:ascii="Arial Narrow" w:hAnsi="Arial Narrow"/>
                      <w:sz w:val="18"/>
                      <w:szCs w:val="18"/>
                    </w:rPr>
                  </w:pPr>
                </w:p>
              </w:tc>
              <w:tc>
                <w:tcPr>
                  <w:tcW w:w="631" w:type="pct"/>
                  <w:tcBorders>
                    <w:bottom w:val="single" w:sz="4" w:space="0" w:color="auto"/>
                  </w:tcBorders>
                  <w:vAlign w:val="center"/>
                </w:tcPr>
                <w:p w14:paraId="1BD7501C" w14:textId="77777777" w:rsidR="00A5467F" w:rsidRPr="004A1333" w:rsidRDefault="00A5467F" w:rsidP="00C4708F">
                  <w:pPr>
                    <w:framePr w:hSpace="180" w:wrap="around" w:vAnchor="text" w:hAnchor="text" w:y="1"/>
                    <w:suppressOverlap/>
                    <w:jc w:val="center"/>
                    <w:rPr>
                      <w:rFonts w:ascii="Arial Narrow" w:hAnsi="Arial Narrow"/>
                      <w:b/>
                      <w:bCs/>
                      <w:sz w:val="18"/>
                      <w:szCs w:val="18"/>
                    </w:rPr>
                  </w:pPr>
                  <w:r w:rsidRPr="004A1333">
                    <w:rPr>
                      <w:rFonts w:ascii="Arial Narrow" w:hAnsi="Arial Narrow"/>
                      <w:b/>
                      <w:bCs/>
                      <w:sz w:val="18"/>
                      <w:szCs w:val="18"/>
                    </w:rPr>
                    <w:t>2026 (Yr1)</w:t>
                  </w:r>
                </w:p>
              </w:tc>
              <w:tc>
                <w:tcPr>
                  <w:tcW w:w="629" w:type="pct"/>
                  <w:tcBorders>
                    <w:bottom w:val="single" w:sz="4" w:space="0" w:color="auto"/>
                  </w:tcBorders>
                  <w:vAlign w:val="center"/>
                </w:tcPr>
                <w:p w14:paraId="2E28F559" w14:textId="77777777" w:rsidR="00A5467F" w:rsidRPr="004A1333" w:rsidRDefault="00A5467F" w:rsidP="00C4708F">
                  <w:pPr>
                    <w:framePr w:hSpace="180" w:wrap="around" w:vAnchor="text" w:hAnchor="text" w:y="1"/>
                    <w:suppressOverlap/>
                    <w:jc w:val="center"/>
                    <w:rPr>
                      <w:rFonts w:ascii="Arial Narrow" w:hAnsi="Arial Narrow"/>
                      <w:b/>
                      <w:bCs/>
                      <w:sz w:val="18"/>
                      <w:szCs w:val="18"/>
                    </w:rPr>
                  </w:pPr>
                  <w:r w:rsidRPr="004A1333">
                    <w:rPr>
                      <w:rFonts w:ascii="Arial Narrow" w:hAnsi="Arial Narrow"/>
                      <w:b/>
                      <w:bCs/>
                      <w:sz w:val="18"/>
                      <w:szCs w:val="18"/>
                    </w:rPr>
                    <w:t>2027 (Yr2)</w:t>
                  </w:r>
                </w:p>
              </w:tc>
              <w:tc>
                <w:tcPr>
                  <w:tcW w:w="629" w:type="pct"/>
                  <w:tcBorders>
                    <w:bottom w:val="single" w:sz="4" w:space="0" w:color="auto"/>
                  </w:tcBorders>
                  <w:vAlign w:val="center"/>
                </w:tcPr>
                <w:p w14:paraId="7459337E" w14:textId="77777777" w:rsidR="00A5467F" w:rsidRPr="004A1333" w:rsidRDefault="00A5467F" w:rsidP="00C4708F">
                  <w:pPr>
                    <w:framePr w:hSpace="180" w:wrap="around" w:vAnchor="text" w:hAnchor="text" w:y="1"/>
                    <w:suppressOverlap/>
                    <w:jc w:val="center"/>
                    <w:rPr>
                      <w:rFonts w:ascii="Arial Narrow" w:hAnsi="Arial Narrow"/>
                      <w:b/>
                      <w:bCs/>
                      <w:sz w:val="18"/>
                      <w:szCs w:val="18"/>
                    </w:rPr>
                  </w:pPr>
                  <w:r w:rsidRPr="004A1333">
                    <w:rPr>
                      <w:rFonts w:ascii="Arial Narrow" w:hAnsi="Arial Narrow"/>
                      <w:b/>
                      <w:bCs/>
                      <w:sz w:val="18"/>
                      <w:szCs w:val="18"/>
                    </w:rPr>
                    <w:t>2028 (Yr3)</w:t>
                  </w:r>
                </w:p>
              </w:tc>
              <w:tc>
                <w:tcPr>
                  <w:tcW w:w="629" w:type="pct"/>
                  <w:tcBorders>
                    <w:bottom w:val="single" w:sz="4" w:space="0" w:color="auto"/>
                  </w:tcBorders>
                  <w:vAlign w:val="center"/>
                </w:tcPr>
                <w:p w14:paraId="1D1952A6" w14:textId="77777777" w:rsidR="00A5467F" w:rsidRPr="004A1333" w:rsidRDefault="00A5467F" w:rsidP="00C4708F">
                  <w:pPr>
                    <w:framePr w:hSpace="180" w:wrap="around" w:vAnchor="text" w:hAnchor="text" w:y="1"/>
                    <w:suppressOverlap/>
                    <w:jc w:val="center"/>
                    <w:rPr>
                      <w:rFonts w:ascii="Arial Narrow" w:hAnsi="Arial Narrow"/>
                      <w:b/>
                      <w:bCs/>
                      <w:sz w:val="18"/>
                      <w:szCs w:val="18"/>
                    </w:rPr>
                  </w:pPr>
                  <w:r w:rsidRPr="004A1333">
                    <w:rPr>
                      <w:rFonts w:ascii="Arial Narrow" w:hAnsi="Arial Narrow"/>
                      <w:b/>
                      <w:bCs/>
                      <w:sz w:val="18"/>
                      <w:szCs w:val="18"/>
                    </w:rPr>
                    <w:t>2029 (Yr4)</w:t>
                  </w:r>
                </w:p>
              </w:tc>
              <w:tc>
                <w:tcPr>
                  <w:tcW w:w="628" w:type="pct"/>
                  <w:tcBorders>
                    <w:bottom w:val="single" w:sz="4" w:space="0" w:color="auto"/>
                  </w:tcBorders>
                  <w:vAlign w:val="center"/>
                </w:tcPr>
                <w:p w14:paraId="6F84771B" w14:textId="77777777" w:rsidR="00A5467F" w:rsidRPr="004A1333" w:rsidRDefault="00A5467F" w:rsidP="00C4708F">
                  <w:pPr>
                    <w:framePr w:hSpace="180" w:wrap="around" w:vAnchor="text" w:hAnchor="text" w:y="1"/>
                    <w:suppressOverlap/>
                    <w:jc w:val="center"/>
                    <w:rPr>
                      <w:rFonts w:ascii="Arial Narrow" w:hAnsi="Arial Narrow"/>
                      <w:b/>
                      <w:bCs/>
                      <w:sz w:val="18"/>
                      <w:szCs w:val="18"/>
                    </w:rPr>
                  </w:pPr>
                  <w:r w:rsidRPr="004A1333">
                    <w:rPr>
                      <w:rFonts w:ascii="Arial Narrow" w:hAnsi="Arial Narrow"/>
                      <w:b/>
                      <w:bCs/>
                      <w:sz w:val="18"/>
                      <w:szCs w:val="18"/>
                    </w:rPr>
                    <w:t>2030 (Yr5)</w:t>
                  </w:r>
                </w:p>
              </w:tc>
              <w:tc>
                <w:tcPr>
                  <w:tcW w:w="626" w:type="pct"/>
                </w:tcPr>
                <w:p w14:paraId="47DA279E" w14:textId="77777777" w:rsidR="00A5467F" w:rsidRPr="004A1333" w:rsidRDefault="00A5467F" w:rsidP="00C4708F">
                  <w:pPr>
                    <w:framePr w:hSpace="180" w:wrap="around" w:vAnchor="text" w:hAnchor="text" w:y="1"/>
                    <w:suppressOverlap/>
                    <w:jc w:val="center"/>
                    <w:rPr>
                      <w:rFonts w:ascii="Arial Narrow" w:hAnsi="Arial Narrow"/>
                      <w:b/>
                      <w:bCs/>
                      <w:sz w:val="18"/>
                      <w:szCs w:val="18"/>
                    </w:rPr>
                  </w:pPr>
                  <w:r w:rsidRPr="004A1333">
                    <w:rPr>
                      <w:rFonts w:ascii="Arial Narrow" w:hAnsi="Arial Narrow"/>
                      <w:b/>
                      <w:bCs/>
                      <w:sz w:val="18"/>
                      <w:szCs w:val="18"/>
                    </w:rPr>
                    <w:t>2031 (Yr6)</w:t>
                  </w:r>
                </w:p>
              </w:tc>
            </w:tr>
            <w:tr w:rsidR="00732B27" w:rsidRPr="004A1333" w14:paraId="6FE460D9" w14:textId="77777777" w:rsidTr="008D5D8A">
              <w:tc>
                <w:tcPr>
                  <w:tcW w:w="1228" w:type="pct"/>
                  <w:tcBorders>
                    <w:top w:val="single" w:sz="4" w:space="0" w:color="auto"/>
                    <w:bottom w:val="nil"/>
                  </w:tcBorders>
                </w:tcPr>
                <w:p w14:paraId="73A1350A" w14:textId="77777777" w:rsidR="00A5467F" w:rsidRPr="004A1333" w:rsidRDefault="00A5467F" w:rsidP="00C4708F">
                  <w:pPr>
                    <w:framePr w:hSpace="180" w:wrap="around" w:vAnchor="text" w:hAnchor="text" w:y="1"/>
                    <w:suppressOverlap/>
                    <w:rPr>
                      <w:rFonts w:ascii="Arial Narrow" w:hAnsi="Arial Narrow"/>
                      <w:sz w:val="18"/>
                      <w:szCs w:val="18"/>
                    </w:rPr>
                  </w:pPr>
                  <w:r w:rsidRPr="004A1333">
                    <w:rPr>
                      <w:rFonts w:ascii="Arial Narrow" w:hAnsi="Arial Narrow"/>
                      <w:sz w:val="18"/>
                      <w:szCs w:val="18"/>
                    </w:rPr>
                    <w:t>Comparator scripts</w:t>
                  </w:r>
                </w:p>
              </w:tc>
              <w:tc>
                <w:tcPr>
                  <w:tcW w:w="631" w:type="pct"/>
                  <w:tcBorders>
                    <w:top w:val="single" w:sz="4" w:space="0" w:color="auto"/>
                    <w:bottom w:val="nil"/>
                  </w:tcBorders>
                </w:tcPr>
                <w:p w14:paraId="0A7CB1B4" w14:textId="77777777" w:rsidR="00A5467F" w:rsidRPr="004A1333" w:rsidRDefault="00A5467F" w:rsidP="00C4708F">
                  <w:pPr>
                    <w:framePr w:hSpace="180" w:wrap="around" w:vAnchor="text" w:hAnchor="text" w:y="1"/>
                    <w:suppressOverlap/>
                    <w:jc w:val="center"/>
                    <w:rPr>
                      <w:rFonts w:ascii="Arial Narrow" w:hAnsi="Arial Narrow" w:cstheme="minorBidi"/>
                      <w:sz w:val="18"/>
                      <w:szCs w:val="18"/>
                    </w:rPr>
                  </w:pPr>
                  <w:r w:rsidRPr="004A1333">
                    <w:rPr>
                      <w:rFonts w:ascii="Arial Narrow" w:hAnsi="Arial Narrow" w:cstheme="minorBidi"/>
                      <w:sz w:val="18"/>
                      <w:szCs w:val="18"/>
                    </w:rPr>
                    <w:t>44,554</w:t>
                  </w:r>
                </w:p>
              </w:tc>
              <w:tc>
                <w:tcPr>
                  <w:tcW w:w="629" w:type="pct"/>
                  <w:tcBorders>
                    <w:top w:val="single" w:sz="4" w:space="0" w:color="auto"/>
                    <w:bottom w:val="nil"/>
                  </w:tcBorders>
                </w:tcPr>
                <w:p w14:paraId="6CB9FD9C" w14:textId="77777777" w:rsidR="00A5467F" w:rsidRPr="004A1333" w:rsidRDefault="00A5467F" w:rsidP="00C4708F">
                  <w:pPr>
                    <w:framePr w:hSpace="180" w:wrap="around" w:vAnchor="text" w:hAnchor="text" w:y="1"/>
                    <w:suppressOverlap/>
                    <w:jc w:val="center"/>
                    <w:rPr>
                      <w:rFonts w:ascii="Arial Narrow" w:hAnsi="Arial Narrow" w:cstheme="minorBidi"/>
                      <w:sz w:val="18"/>
                      <w:szCs w:val="18"/>
                    </w:rPr>
                  </w:pPr>
                  <w:r w:rsidRPr="004A1333">
                    <w:rPr>
                      <w:rFonts w:ascii="Arial Narrow" w:hAnsi="Arial Narrow" w:cstheme="minorBidi"/>
                      <w:sz w:val="18"/>
                      <w:szCs w:val="18"/>
                    </w:rPr>
                    <w:t>47,696</w:t>
                  </w:r>
                </w:p>
              </w:tc>
              <w:tc>
                <w:tcPr>
                  <w:tcW w:w="629" w:type="pct"/>
                  <w:tcBorders>
                    <w:top w:val="single" w:sz="4" w:space="0" w:color="auto"/>
                    <w:bottom w:val="nil"/>
                  </w:tcBorders>
                </w:tcPr>
                <w:p w14:paraId="364344DB" w14:textId="77777777" w:rsidR="00A5467F" w:rsidRPr="004A1333" w:rsidRDefault="00A5467F" w:rsidP="00C4708F">
                  <w:pPr>
                    <w:framePr w:hSpace="180" w:wrap="around" w:vAnchor="text" w:hAnchor="text" w:y="1"/>
                    <w:suppressOverlap/>
                    <w:jc w:val="center"/>
                    <w:rPr>
                      <w:rFonts w:ascii="Arial Narrow" w:hAnsi="Arial Narrow" w:cstheme="minorBidi"/>
                      <w:sz w:val="18"/>
                      <w:szCs w:val="18"/>
                    </w:rPr>
                  </w:pPr>
                  <w:r w:rsidRPr="004A1333">
                    <w:rPr>
                      <w:rFonts w:ascii="Arial Narrow" w:hAnsi="Arial Narrow" w:cstheme="minorBidi"/>
                      <w:sz w:val="18"/>
                      <w:szCs w:val="18"/>
                    </w:rPr>
                    <w:t>50,838</w:t>
                  </w:r>
                </w:p>
              </w:tc>
              <w:tc>
                <w:tcPr>
                  <w:tcW w:w="629" w:type="pct"/>
                  <w:tcBorders>
                    <w:top w:val="single" w:sz="4" w:space="0" w:color="auto"/>
                    <w:bottom w:val="nil"/>
                  </w:tcBorders>
                </w:tcPr>
                <w:p w14:paraId="4DB550B6" w14:textId="77777777" w:rsidR="00A5467F" w:rsidRPr="004A1333" w:rsidRDefault="00A5467F" w:rsidP="00C4708F">
                  <w:pPr>
                    <w:framePr w:hSpace="180" w:wrap="around" w:vAnchor="text" w:hAnchor="text" w:y="1"/>
                    <w:suppressOverlap/>
                    <w:jc w:val="center"/>
                    <w:rPr>
                      <w:rFonts w:ascii="Arial Narrow" w:hAnsi="Arial Narrow" w:cstheme="minorBidi"/>
                      <w:sz w:val="18"/>
                      <w:szCs w:val="18"/>
                    </w:rPr>
                  </w:pPr>
                  <w:r w:rsidRPr="004A1333">
                    <w:rPr>
                      <w:rFonts w:ascii="Arial Narrow" w:hAnsi="Arial Narrow" w:cstheme="minorBidi"/>
                      <w:sz w:val="18"/>
                      <w:szCs w:val="18"/>
                    </w:rPr>
                    <w:t>53,980</w:t>
                  </w:r>
                </w:p>
              </w:tc>
              <w:tc>
                <w:tcPr>
                  <w:tcW w:w="628" w:type="pct"/>
                  <w:tcBorders>
                    <w:top w:val="single" w:sz="4" w:space="0" w:color="auto"/>
                    <w:bottom w:val="nil"/>
                  </w:tcBorders>
                </w:tcPr>
                <w:p w14:paraId="3FE63713" w14:textId="77777777" w:rsidR="00A5467F" w:rsidRPr="004A1333" w:rsidRDefault="00A5467F" w:rsidP="00C4708F">
                  <w:pPr>
                    <w:framePr w:hSpace="180" w:wrap="around" w:vAnchor="text" w:hAnchor="text" w:y="1"/>
                    <w:suppressOverlap/>
                    <w:jc w:val="center"/>
                    <w:rPr>
                      <w:rFonts w:ascii="Arial Narrow" w:hAnsi="Arial Narrow" w:cstheme="minorBidi"/>
                      <w:sz w:val="18"/>
                      <w:szCs w:val="18"/>
                    </w:rPr>
                  </w:pPr>
                  <w:r w:rsidRPr="004A1333">
                    <w:rPr>
                      <w:rFonts w:ascii="Arial Narrow" w:hAnsi="Arial Narrow" w:cstheme="minorBidi"/>
                      <w:sz w:val="18"/>
                      <w:szCs w:val="18"/>
                    </w:rPr>
                    <w:t>57,122</w:t>
                  </w:r>
                </w:p>
              </w:tc>
              <w:tc>
                <w:tcPr>
                  <w:tcW w:w="626" w:type="pct"/>
                  <w:tcBorders>
                    <w:bottom w:val="nil"/>
                  </w:tcBorders>
                </w:tcPr>
                <w:p w14:paraId="7DDBAF63" w14:textId="77777777" w:rsidR="00A5467F" w:rsidRPr="004A1333" w:rsidRDefault="00A5467F" w:rsidP="00C4708F">
                  <w:pPr>
                    <w:framePr w:hSpace="180" w:wrap="around" w:vAnchor="text" w:hAnchor="text" w:y="1"/>
                    <w:suppressOverlap/>
                    <w:jc w:val="center"/>
                    <w:rPr>
                      <w:rFonts w:ascii="Arial Narrow" w:hAnsi="Arial Narrow" w:cstheme="minorBidi"/>
                      <w:sz w:val="18"/>
                      <w:szCs w:val="18"/>
                    </w:rPr>
                  </w:pPr>
                  <w:r w:rsidRPr="004A1333">
                    <w:rPr>
                      <w:rFonts w:ascii="Arial Narrow" w:hAnsi="Arial Narrow" w:cstheme="minorBidi"/>
                      <w:sz w:val="18"/>
                      <w:szCs w:val="18"/>
                    </w:rPr>
                    <w:t>60,264</w:t>
                  </w:r>
                </w:p>
              </w:tc>
            </w:tr>
            <w:tr w:rsidR="005E5979" w:rsidRPr="004A1333" w14:paraId="352D4D10" w14:textId="77777777" w:rsidTr="008D5D8A">
              <w:tc>
                <w:tcPr>
                  <w:tcW w:w="1228" w:type="pct"/>
                  <w:tcBorders>
                    <w:top w:val="nil"/>
                    <w:bottom w:val="nil"/>
                  </w:tcBorders>
                </w:tcPr>
                <w:p w14:paraId="276456A6" w14:textId="77777777" w:rsidR="00A5467F" w:rsidRPr="004A1333" w:rsidRDefault="00A5467F" w:rsidP="00C4708F">
                  <w:pPr>
                    <w:framePr w:hSpace="180" w:wrap="around" w:vAnchor="text" w:hAnchor="text" w:y="1"/>
                    <w:ind w:left="107"/>
                    <w:suppressOverlap/>
                    <w:rPr>
                      <w:rFonts w:ascii="Arial Narrow" w:hAnsi="Arial Narrow"/>
                      <w:sz w:val="18"/>
                      <w:szCs w:val="18"/>
                    </w:rPr>
                  </w:pPr>
                  <w:r w:rsidRPr="004A1333">
                    <w:rPr>
                      <w:rFonts w:ascii="Arial Narrow" w:hAnsi="Arial Narrow"/>
                      <w:sz w:val="18"/>
                      <w:szCs w:val="18"/>
                    </w:rPr>
                    <w:t>ADA</w:t>
                  </w:r>
                </w:p>
              </w:tc>
              <w:tc>
                <w:tcPr>
                  <w:tcW w:w="631" w:type="pct"/>
                  <w:tcBorders>
                    <w:top w:val="nil"/>
                    <w:bottom w:val="nil"/>
                  </w:tcBorders>
                </w:tcPr>
                <w:p w14:paraId="4F5CF4D9" w14:textId="77777777" w:rsidR="00A5467F" w:rsidRPr="004A1333" w:rsidRDefault="00A5467F" w:rsidP="00C4708F">
                  <w:pPr>
                    <w:framePr w:hSpace="180" w:wrap="around" w:vAnchor="text" w:hAnchor="text" w:y="1"/>
                    <w:suppressOverlap/>
                    <w:jc w:val="center"/>
                    <w:rPr>
                      <w:rFonts w:ascii="Arial Narrow" w:hAnsi="Arial Narrow" w:cstheme="minorBidi"/>
                      <w:sz w:val="18"/>
                      <w:szCs w:val="18"/>
                    </w:rPr>
                  </w:pPr>
                  <w:r w:rsidRPr="004A1333">
                    <w:rPr>
                      <w:rFonts w:ascii="Arial Narrow" w:hAnsi="Arial Narrow" w:cstheme="minorBidi"/>
                      <w:sz w:val="18"/>
                      <w:szCs w:val="18"/>
                    </w:rPr>
                    <w:t>23,133</w:t>
                  </w:r>
                </w:p>
              </w:tc>
              <w:tc>
                <w:tcPr>
                  <w:tcW w:w="629" w:type="pct"/>
                  <w:tcBorders>
                    <w:top w:val="nil"/>
                    <w:bottom w:val="nil"/>
                  </w:tcBorders>
                </w:tcPr>
                <w:p w14:paraId="3C29FACE" w14:textId="77777777" w:rsidR="00A5467F" w:rsidRPr="004A1333" w:rsidRDefault="00A5467F" w:rsidP="00C4708F">
                  <w:pPr>
                    <w:framePr w:hSpace="180" w:wrap="around" w:vAnchor="text" w:hAnchor="text" w:y="1"/>
                    <w:suppressOverlap/>
                    <w:jc w:val="center"/>
                    <w:rPr>
                      <w:rFonts w:ascii="Arial Narrow" w:hAnsi="Arial Narrow" w:cstheme="minorBidi"/>
                      <w:sz w:val="18"/>
                      <w:szCs w:val="18"/>
                    </w:rPr>
                  </w:pPr>
                  <w:r w:rsidRPr="004A1333">
                    <w:rPr>
                      <w:rFonts w:ascii="Arial Narrow" w:hAnsi="Arial Narrow" w:cstheme="minorBidi"/>
                      <w:sz w:val="18"/>
                      <w:szCs w:val="18"/>
                    </w:rPr>
                    <w:t>24,359</w:t>
                  </w:r>
                </w:p>
              </w:tc>
              <w:tc>
                <w:tcPr>
                  <w:tcW w:w="629" w:type="pct"/>
                  <w:tcBorders>
                    <w:top w:val="nil"/>
                    <w:bottom w:val="nil"/>
                  </w:tcBorders>
                </w:tcPr>
                <w:p w14:paraId="31877FBD" w14:textId="77777777" w:rsidR="00A5467F" w:rsidRPr="004A1333" w:rsidRDefault="00A5467F" w:rsidP="00C4708F">
                  <w:pPr>
                    <w:framePr w:hSpace="180" w:wrap="around" w:vAnchor="text" w:hAnchor="text" w:y="1"/>
                    <w:suppressOverlap/>
                    <w:jc w:val="center"/>
                    <w:rPr>
                      <w:rFonts w:ascii="Arial Narrow" w:hAnsi="Arial Narrow" w:cstheme="minorBidi"/>
                      <w:sz w:val="18"/>
                      <w:szCs w:val="18"/>
                    </w:rPr>
                  </w:pPr>
                  <w:r w:rsidRPr="004A1333">
                    <w:rPr>
                      <w:rFonts w:ascii="Arial Narrow" w:hAnsi="Arial Narrow" w:cstheme="minorBidi"/>
                      <w:sz w:val="18"/>
                      <w:szCs w:val="18"/>
                    </w:rPr>
                    <w:t>25,585</w:t>
                  </w:r>
                </w:p>
              </w:tc>
              <w:tc>
                <w:tcPr>
                  <w:tcW w:w="629" w:type="pct"/>
                  <w:tcBorders>
                    <w:top w:val="nil"/>
                    <w:bottom w:val="nil"/>
                  </w:tcBorders>
                </w:tcPr>
                <w:p w14:paraId="363C3367" w14:textId="77777777" w:rsidR="00A5467F" w:rsidRPr="004A1333" w:rsidRDefault="00A5467F" w:rsidP="00C4708F">
                  <w:pPr>
                    <w:framePr w:hSpace="180" w:wrap="around" w:vAnchor="text" w:hAnchor="text" w:y="1"/>
                    <w:suppressOverlap/>
                    <w:jc w:val="center"/>
                    <w:rPr>
                      <w:rFonts w:ascii="Arial Narrow" w:hAnsi="Arial Narrow" w:cstheme="minorBidi"/>
                      <w:sz w:val="18"/>
                      <w:szCs w:val="18"/>
                    </w:rPr>
                  </w:pPr>
                  <w:r w:rsidRPr="004A1333">
                    <w:rPr>
                      <w:rFonts w:ascii="Arial Narrow" w:hAnsi="Arial Narrow" w:cstheme="minorBidi"/>
                      <w:sz w:val="18"/>
                      <w:szCs w:val="18"/>
                    </w:rPr>
                    <w:t>26,811</w:t>
                  </w:r>
                </w:p>
              </w:tc>
              <w:tc>
                <w:tcPr>
                  <w:tcW w:w="628" w:type="pct"/>
                  <w:tcBorders>
                    <w:top w:val="nil"/>
                    <w:bottom w:val="nil"/>
                  </w:tcBorders>
                </w:tcPr>
                <w:p w14:paraId="3E8CC3AB" w14:textId="77777777" w:rsidR="00A5467F" w:rsidRPr="004A1333" w:rsidRDefault="00A5467F" w:rsidP="00C4708F">
                  <w:pPr>
                    <w:framePr w:hSpace="180" w:wrap="around" w:vAnchor="text" w:hAnchor="text" w:y="1"/>
                    <w:suppressOverlap/>
                    <w:jc w:val="center"/>
                    <w:rPr>
                      <w:rFonts w:ascii="Arial Narrow" w:hAnsi="Arial Narrow" w:cstheme="minorBidi"/>
                      <w:sz w:val="18"/>
                      <w:szCs w:val="18"/>
                    </w:rPr>
                  </w:pPr>
                  <w:r w:rsidRPr="004A1333">
                    <w:rPr>
                      <w:rFonts w:ascii="Arial Narrow" w:hAnsi="Arial Narrow" w:cstheme="minorBidi"/>
                      <w:sz w:val="18"/>
                      <w:szCs w:val="18"/>
                    </w:rPr>
                    <w:t>28,037</w:t>
                  </w:r>
                </w:p>
              </w:tc>
              <w:tc>
                <w:tcPr>
                  <w:tcW w:w="626" w:type="pct"/>
                  <w:tcBorders>
                    <w:top w:val="nil"/>
                    <w:bottom w:val="nil"/>
                  </w:tcBorders>
                </w:tcPr>
                <w:p w14:paraId="393B5B60" w14:textId="77777777" w:rsidR="00A5467F" w:rsidRPr="004A1333" w:rsidRDefault="00A5467F" w:rsidP="00C4708F">
                  <w:pPr>
                    <w:framePr w:hSpace="180" w:wrap="around" w:vAnchor="text" w:hAnchor="text" w:y="1"/>
                    <w:suppressOverlap/>
                    <w:jc w:val="center"/>
                    <w:rPr>
                      <w:rFonts w:ascii="Arial Narrow" w:hAnsi="Arial Narrow" w:cstheme="minorBidi"/>
                      <w:sz w:val="18"/>
                      <w:szCs w:val="18"/>
                    </w:rPr>
                  </w:pPr>
                  <w:r w:rsidRPr="004A1333">
                    <w:rPr>
                      <w:rFonts w:ascii="Arial Narrow" w:hAnsi="Arial Narrow" w:cstheme="minorBidi"/>
                      <w:sz w:val="18"/>
                      <w:szCs w:val="18"/>
                    </w:rPr>
                    <w:t>29,263</w:t>
                  </w:r>
                </w:p>
              </w:tc>
            </w:tr>
            <w:tr w:rsidR="005E5979" w:rsidRPr="004A1333" w14:paraId="4CDD4327" w14:textId="77777777" w:rsidTr="008D5D8A">
              <w:tc>
                <w:tcPr>
                  <w:tcW w:w="1228" w:type="pct"/>
                  <w:tcBorders>
                    <w:top w:val="nil"/>
                    <w:bottom w:val="nil"/>
                  </w:tcBorders>
                </w:tcPr>
                <w:p w14:paraId="25F23AD4" w14:textId="77777777" w:rsidR="00A5467F" w:rsidRPr="004A1333" w:rsidRDefault="00A5467F" w:rsidP="00C4708F">
                  <w:pPr>
                    <w:framePr w:hSpace="180" w:wrap="around" w:vAnchor="text" w:hAnchor="text" w:y="1"/>
                    <w:ind w:left="107"/>
                    <w:suppressOverlap/>
                    <w:rPr>
                      <w:rFonts w:ascii="Arial Narrow" w:hAnsi="Arial Narrow"/>
                      <w:sz w:val="18"/>
                      <w:szCs w:val="18"/>
                    </w:rPr>
                  </w:pPr>
                  <w:r w:rsidRPr="004A1333">
                    <w:rPr>
                      <w:rFonts w:ascii="Arial Narrow" w:hAnsi="Arial Narrow"/>
                      <w:sz w:val="18"/>
                      <w:szCs w:val="18"/>
                    </w:rPr>
                    <w:t>IFX</w:t>
                  </w:r>
                </w:p>
              </w:tc>
              <w:tc>
                <w:tcPr>
                  <w:tcW w:w="631" w:type="pct"/>
                  <w:tcBorders>
                    <w:top w:val="nil"/>
                    <w:bottom w:val="nil"/>
                  </w:tcBorders>
                </w:tcPr>
                <w:p w14:paraId="58C78C97" w14:textId="77777777" w:rsidR="00A5467F" w:rsidRPr="004A1333" w:rsidRDefault="00A5467F" w:rsidP="00C4708F">
                  <w:pPr>
                    <w:framePr w:hSpace="180" w:wrap="around" w:vAnchor="text" w:hAnchor="text" w:y="1"/>
                    <w:suppressOverlap/>
                    <w:jc w:val="center"/>
                    <w:rPr>
                      <w:rFonts w:ascii="Arial Narrow" w:hAnsi="Arial Narrow" w:cstheme="minorBidi"/>
                      <w:sz w:val="18"/>
                      <w:szCs w:val="18"/>
                    </w:rPr>
                  </w:pPr>
                  <w:r w:rsidRPr="004A1333">
                    <w:rPr>
                      <w:rFonts w:ascii="Arial Narrow" w:hAnsi="Arial Narrow" w:cstheme="minorBidi"/>
                      <w:sz w:val="18"/>
                      <w:szCs w:val="18"/>
                    </w:rPr>
                    <w:t>20,065</w:t>
                  </w:r>
                </w:p>
              </w:tc>
              <w:tc>
                <w:tcPr>
                  <w:tcW w:w="629" w:type="pct"/>
                  <w:tcBorders>
                    <w:top w:val="nil"/>
                    <w:bottom w:val="nil"/>
                  </w:tcBorders>
                </w:tcPr>
                <w:p w14:paraId="7A6951D2" w14:textId="77777777" w:rsidR="00A5467F" w:rsidRPr="004A1333" w:rsidRDefault="00A5467F" w:rsidP="00C4708F">
                  <w:pPr>
                    <w:framePr w:hSpace="180" w:wrap="around" w:vAnchor="text" w:hAnchor="text" w:y="1"/>
                    <w:suppressOverlap/>
                    <w:jc w:val="center"/>
                    <w:rPr>
                      <w:rFonts w:ascii="Arial Narrow" w:hAnsi="Arial Narrow" w:cstheme="minorBidi"/>
                      <w:sz w:val="18"/>
                      <w:szCs w:val="18"/>
                    </w:rPr>
                  </w:pPr>
                  <w:r w:rsidRPr="004A1333">
                    <w:rPr>
                      <w:rFonts w:ascii="Arial Narrow" w:hAnsi="Arial Narrow" w:cstheme="minorBidi"/>
                      <w:sz w:val="18"/>
                      <w:szCs w:val="18"/>
                    </w:rPr>
                    <w:t>21,840</w:t>
                  </w:r>
                </w:p>
              </w:tc>
              <w:tc>
                <w:tcPr>
                  <w:tcW w:w="629" w:type="pct"/>
                  <w:tcBorders>
                    <w:top w:val="nil"/>
                    <w:bottom w:val="nil"/>
                  </w:tcBorders>
                </w:tcPr>
                <w:p w14:paraId="3574E4BE" w14:textId="77777777" w:rsidR="00A5467F" w:rsidRPr="004A1333" w:rsidRDefault="00A5467F" w:rsidP="00C4708F">
                  <w:pPr>
                    <w:framePr w:hSpace="180" w:wrap="around" w:vAnchor="text" w:hAnchor="text" w:y="1"/>
                    <w:suppressOverlap/>
                    <w:jc w:val="center"/>
                    <w:rPr>
                      <w:rFonts w:ascii="Arial Narrow" w:hAnsi="Arial Narrow" w:cstheme="minorBidi"/>
                      <w:sz w:val="18"/>
                      <w:szCs w:val="18"/>
                    </w:rPr>
                  </w:pPr>
                  <w:r w:rsidRPr="004A1333">
                    <w:rPr>
                      <w:rFonts w:ascii="Arial Narrow" w:hAnsi="Arial Narrow" w:cstheme="minorBidi"/>
                      <w:sz w:val="18"/>
                      <w:szCs w:val="18"/>
                    </w:rPr>
                    <w:t>23,616</w:t>
                  </w:r>
                </w:p>
              </w:tc>
              <w:tc>
                <w:tcPr>
                  <w:tcW w:w="629" w:type="pct"/>
                  <w:tcBorders>
                    <w:top w:val="nil"/>
                    <w:bottom w:val="nil"/>
                  </w:tcBorders>
                </w:tcPr>
                <w:p w14:paraId="607825D0" w14:textId="77777777" w:rsidR="00A5467F" w:rsidRPr="004A1333" w:rsidRDefault="00A5467F" w:rsidP="00C4708F">
                  <w:pPr>
                    <w:framePr w:hSpace="180" w:wrap="around" w:vAnchor="text" w:hAnchor="text" w:y="1"/>
                    <w:suppressOverlap/>
                    <w:jc w:val="center"/>
                    <w:rPr>
                      <w:rFonts w:ascii="Arial Narrow" w:hAnsi="Arial Narrow" w:cstheme="minorBidi"/>
                      <w:sz w:val="18"/>
                      <w:szCs w:val="18"/>
                    </w:rPr>
                  </w:pPr>
                  <w:r w:rsidRPr="004A1333">
                    <w:rPr>
                      <w:rFonts w:ascii="Arial Narrow" w:hAnsi="Arial Narrow" w:cstheme="minorBidi"/>
                      <w:sz w:val="18"/>
                      <w:szCs w:val="18"/>
                    </w:rPr>
                    <w:t>25,391</w:t>
                  </w:r>
                </w:p>
              </w:tc>
              <w:tc>
                <w:tcPr>
                  <w:tcW w:w="628" w:type="pct"/>
                  <w:tcBorders>
                    <w:top w:val="nil"/>
                    <w:bottom w:val="nil"/>
                  </w:tcBorders>
                </w:tcPr>
                <w:p w14:paraId="7C4F7FC4" w14:textId="77777777" w:rsidR="00A5467F" w:rsidRPr="004A1333" w:rsidRDefault="00A5467F" w:rsidP="00C4708F">
                  <w:pPr>
                    <w:framePr w:hSpace="180" w:wrap="around" w:vAnchor="text" w:hAnchor="text" w:y="1"/>
                    <w:suppressOverlap/>
                    <w:jc w:val="center"/>
                    <w:rPr>
                      <w:rFonts w:ascii="Arial Narrow" w:hAnsi="Arial Narrow" w:cstheme="minorBidi"/>
                      <w:sz w:val="18"/>
                      <w:szCs w:val="18"/>
                    </w:rPr>
                  </w:pPr>
                  <w:r w:rsidRPr="004A1333">
                    <w:rPr>
                      <w:rFonts w:ascii="Arial Narrow" w:hAnsi="Arial Narrow" w:cstheme="minorBidi"/>
                      <w:sz w:val="18"/>
                      <w:szCs w:val="18"/>
                    </w:rPr>
                    <w:t>27,166</w:t>
                  </w:r>
                </w:p>
              </w:tc>
              <w:tc>
                <w:tcPr>
                  <w:tcW w:w="626" w:type="pct"/>
                  <w:tcBorders>
                    <w:top w:val="nil"/>
                    <w:bottom w:val="nil"/>
                  </w:tcBorders>
                </w:tcPr>
                <w:p w14:paraId="10E56EED" w14:textId="77777777" w:rsidR="00A5467F" w:rsidRPr="004A1333" w:rsidRDefault="00A5467F" w:rsidP="00C4708F">
                  <w:pPr>
                    <w:framePr w:hSpace="180" w:wrap="around" w:vAnchor="text" w:hAnchor="text" w:y="1"/>
                    <w:suppressOverlap/>
                    <w:jc w:val="center"/>
                    <w:rPr>
                      <w:rFonts w:ascii="Arial Narrow" w:hAnsi="Arial Narrow" w:cstheme="minorBidi"/>
                      <w:sz w:val="18"/>
                      <w:szCs w:val="18"/>
                    </w:rPr>
                  </w:pPr>
                  <w:r w:rsidRPr="004A1333">
                    <w:rPr>
                      <w:rFonts w:ascii="Arial Narrow" w:hAnsi="Arial Narrow" w:cstheme="minorBidi"/>
                      <w:sz w:val="18"/>
                      <w:szCs w:val="18"/>
                    </w:rPr>
                    <w:t>28,942</w:t>
                  </w:r>
                </w:p>
              </w:tc>
            </w:tr>
            <w:tr w:rsidR="005E5979" w:rsidRPr="004A1333" w14:paraId="7135FBA5" w14:textId="77777777" w:rsidTr="008D5D8A">
              <w:tc>
                <w:tcPr>
                  <w:tcW w:w="1228" w:type="pct"/>
                  <w:tcBorders>
                    <w:top w:val="nil"/>
                    <w:bottom w:val="nil"/>
                  </w:tcBorders>
                </w:tcPr>
                <w:p w14:paraId="5F660CD4" w14:textId="77777777" w:rsidR="00A5467F" w:rsidRPr="004A1333" w:rsidRDefault="00A5467F" w:rsidP="00C4708F">
                  <w:pPr>
                    <w:framePr w:hSpace="180" w:wrap="around" w:vAnchor="text" w:hAnchor="text" w:y="1"/>
                    <w:ind w:left="107"/>
                    <w:suppressOverlap/>
                    <w:rPr>
                      <w:rFonts w:ascii="Arial Narrow" w:hAnsi="Arial Narrow"/>
                      <w:sz w:val="18"/>
                      <w:szCs w:val="18"/>
                    </w:rPr>
                  </w:pPr>
                  <w:r w:rsidRPr="004A1333">
                    <w:rPr>
                      <w:rFonts w:ascii="Arial Narrow" w:hAnsi="Arial Narrow"/>
                      <w:sz w:val="18"/>
                      <w:szCs w:val="18"/>
                    </w:rPr>
                    <w:t>UST</w:t>
                  </w:r>
                </w:p>
              </w:tc>
              <w:tc>
                <w:tcPr>
                  <w:tcW w:w="631" w:type="pct"/>
                  <w:tcBorders>
                    <w:top w:val="nil"/>
                    <w:bottom w:val="nil"/>
                  </w:tcBorders>
                </w:tcPr>
                <w:p w14:paraId="6906FCCD" w14:textId="77777777" w:rsidR="00A5467F" w:rsidRPr="004A1333" w:rsidRDefault="00A5467F" w:rsidP="00C4708F">
                  <w:pPr>
                    <w:framePr w:hSpace="180" w:wrap="around" w:vAnchor="text" w:hAnchor="text" w:y="1"/>
                    <w:suppressOverlap/>
                    <w:jc w:val="center"/>
                    <w:rPr>
                      <w:rFonts w:ascii="Arial Narrow" w:hAnsi="Arial Narrow" w:cstheme="minorBidi"/>
                      <w:sz w:val="18"/>
                      <w:szCs w:val="18"/>
                    </w:rPr>
                  </w:pPr>
                  <w:r w:rsidRPr="004A1333">
                    <w:rPr>
                      <w:rFonts w:ascii="Arial Narrow" w:hAnsi="Arial Narrow" w:cstheme="minorBidi"/>
                      <w:sz w:val="18"/>
                      <w:szCs w:val="18"/>
                    </w:rPr>
                    <w:t>1,356</w:t>
                  </w:r>
                </w:p>
              </w:tc>
              <w:tc>
                <w:tcPr>
                  <w:tcW w:w="629" w:type="pct"/>
                  <w:tcBorders>
                    <w:top w:val="nil"/>
                    <w:bottom w:val="nil"/>
                  </w:tcBorders>
                </w:tcPr>
                <w:p w14:paraId="4C1D31DE" w14:textId="77777777" w:rsidR="00A5467F" w:rsidRPr="004A1333" w:rsidRDefault="00A5467F" w:rsidP="00C4708F">
                  <w:pPr>
                    <w:framePr w:hSpace="180" w:wrap="around" w:vAnchor="text" w:hAnchor="text" w:y="1"/>
                    <w:suppressOverlap/>
                    <w:jc w:val="center"/>
                    <w:rPr>
                      <w:rFonts w:ascii="Arial Narrow" w:hAnsi="Arial Narrow" w:cstheme="minorBidi"/>
                      <w:sz w:val="18"/>
                      <w:szCs w:val="18"/>
                    </w:rPr>
                  </w:pPr>
                  <w:r w:rsidRPr="004A1333">
                    <w:rPr>
                      <w:rFonts w:ascii="Arial Narrow" w:hAnsi="Arial Narrow" w:cstheme="minorBidi"/>
                      <w:sz w:val="18"/>
                      <w:szCs w:val="18"/>
                    </w:rPr>
                    <w:t>1,497</w:t>
                  </w:r>
                </w:p>
              </w:tc>
              <w:tc>
                <w:tcPr>
                  <w:tcW w:w="629" w:type="pct"/>
                  <w:tcBorders>
                    <w:top w:val="nil"/>
                    <w:bottom w:val="nil"/>
                  </w:tcBorders>
                </w:tcPr>
                <w:p w14:paraId="170EF2FC" w14:textId="77777777" w:rsidR="00A5467F" w:rsidRPr="004A1333" w:rsidRDefault="00A5467F" w:rsidP="00C4708F">
                  <w:pPr>
                    <w:framePr w:hSpace="180" w:wrap="around" w:vAnchor="text" w:hAnchor="text" w:y="1"/>
                    <w:suppressOverlap/>
                    <w:jc w:val="center"/>
                    <w:rPr>
                      <w:rFonts w:ascii="Arial Narrow" w:hAnsi="Arial Narrow" w:cstheme="minorBidi"/>
                      <w:sz w:val="18"/>
                      <w:szCs w:val="18"/>
                    </w:rPr>
                  </w:pPr>
                  <w:r w:rsidRPr="004A1333">
                    <w:rPr>
                      <w:rFonts w:ascii="Arial Narrow" w:hAnsi="Arial Narrow" w:cstheme="minorBidi"/>
                      <w:sz w:val="18"/>
                      <w:szCs w:val="18"/>
                    </w:rPr>
                    <w:t>1,637</w:t>
                  </w:r>
                </w:p>
              </w:tc>
              <w:tc>
                <w:tcPr>
                  <w:tcW w:w="629" w:type="pct"/>
                  <w:tcBorders>
                    <w:top w:val="nil"/>
                    <w:bottom w:val="nil"/>
                  </w:tcBorders>
                </w:tcPr>
                <w:p w14:paraId="338C5F27" w14:textId="77777777" w:rsidR="00A5467F" w:rsidRPr="004A1333" w:rsidRDefault="00A5467F" w:rsidP="00C4708F">
                  <w:pPr>
                    <w:framePr w:hSpace="180" w:wrap="around" w:vAnchor="text" w:hAnchor="text" w:y="1"/>
                    <w:suppressOverlap/>
                    <w:jc w:val="center"/>
                    <w:rPr>
                      <w:rFonts w:ascii="Arial Narrow" w:hAnsi="Arial Narrow" w:cstheme="minorBidi"/>
                      <w:sz w:val="18"/>
                      <w:szCs w:val="18"/>
                    </w:rPr>
                  </w:pPr>
                  <w:r w:rsidRPr="004A1333">
                    <w:rPr>
                      <w:rFonts w:ascii="Arial Narrow" w:hAnsi="Arial Narrow" w:cstheme="minorBidi"/>
                      <w:sz w:val="18"/>
                      <w:szCs w:val="18"/>
                    </w:rPr>
                    <w:t>1,778</w:t>
                  </w:r>
                </w:p>
              </w:tc>
              <w:tc>
                <w:tcPr>
                  <w:tcW w:w="628" w:type="pct"/>
                  <w:tcBorders>
                    <w:top w:val="nil"/>
                    <w:bottom w:val="nil"/>
                  </w:tcBorders>
                </w:tcPr>
                <w:p w14:paraId="2B2B1816" w14:textId="77777777" w:rsidR="00A5467F" w:rsidRPr="004A1333" w:rsidRDefault="00A5467F" w:rsidP="00C4708F">
                  <w:pPr>
                    <w:framePr w:hSpace="180" w:wrap="around" w:vAnchor="text" w:hAnchor="text" w:y="1"/>
                    <w:suppressOverlap/>
                    <w:jc w:val="center"/>
                    <w:rPr>
                      <w:rFonts w:ascii="Arial Narrow" w:hAnsi="Arial Narrow" w:cstheme="minorBidi"/>
                      <w:sz w:val="18"/>
                      <w:szCs w:val="18"/>
                    </w:rPr>
                  </w:pPr>
                  <w:r w:rsidRPr="004A1333">
                    <w:rPr>
                      <w:rFonts w:ascii="Arial Narrow" w:hAnsi="Arial Narrow" w:cstheme="minorBidi"/>
                      <w:sz w:val="18"/>
                      <w:szCs w:val="18"/>
                    </w:rPr>
                    <w:t>1,918</w:t>
                  </w:r>
                </w:p>
              </w:tc>
              <w:tc>
                <w:tcPr>
                  <w:tcW w:w="626" w:type="pct"/>
                  <w:tcBorders>
                    <w:top w:val="nil"/>
                    <w:bottom w:val="nil"/>
                  </w:tcBorders>
                </w:tcPr>
                <w:p w14:paraId="2F47D152" w14:textId="77777777" w:rsidR="00A5467F" w:rsidRPr="004A1333" w:rsidRDefault="00A5467F" w:rsidP="00C4708F">
                  <w:pPr>
                    <w:framePr w:hSpace="180" w:wrap="around" w:vAnchor="text" w:hAnchor="text" w:y="1"/>
                    <w:suppressOverlap/>
                    <w:jc w:val="center"/>
                    <w:rPr>
                      <w:rFonts w:ascii="Arial Narrow" w:hAnsi="Arial Narrow" w:cstheme="minorBidi"/>
                      <w:sz w:val="18"/>
                      <w:szCs w:val="18"/>
                    </w:rPr>
                  </w:pPr>
                  <w:r w:rsidRPr="004A1333">
                    <w:rPr>
                      <w:rFonts w:ascii="Arial Narrow" w:hAnsi="Arial Narrow" w:cstheme="minorBidi"/>
                      <w:sz w:val="18"/>
                      <w:szCs w:val="18"/>
                    </w:rPr>
                    <w:t>2,059</w:t>
                  </w:r>
                </w:p>
              </w:tc>
            </w:tr>
            <w:tr w:rsidR="005E5979" w:rsidRPr="004A1333" w14:paraId="59E68ACC" w14:textId="77777777" w:rsidTr="008D5D8A">
              <w:tc>
                <w:tcPr>
                  <w:tcW w:w="1228" w:type="pct"/>
                  <w:tcBorders>
                    <w:bottom w:val="nil"/>
                  </w:tcBorders>
                </w:tcPr>
                <w:p w14:paraId="3F03E65F" w14:textId="0825FBE0" w:rsidR="00A5467F" w:rsidRPr="004A1333" w:rsidRDefault="00A5467F" w:rsidP="00C4708F">
                  <w:pPr>
                    <w:framePr w:hSpace="180" w:wrap="around" w:vAnchor="text" w:hAnchor="text" w:y="1"/>
                    <w:suppressOverlap/>
                    <w:rPr>
                      <w:rFonts w:ascii="Arial Narrow" w:hAnsi="Arial Narrow"/>
                      <w:sz w:val="18"/>
                      <w:szCs w:val="18"/>
                    </w:rPr>
                  </w:pPr>
                </w:p>
              </w:tc>
              <w:tc>
                <w:tcPr>
                  <w:tcW w:w="631" w:type="pct"/>
                  <w:tcBorders>
                    <w:bottom w:val="nil"/>
                  </w:tcBorders>
                  <w:vAlign w:val="center"/>
                </w:tcPr>
                <w:p w14:paraId="13A9A70D" w14:textId="4B4CD52F"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100%</w:t>
                  </w:r>
                </w:p>
              </w:tc>
              <w:tc>
                <w:tcPr>
                  <w:tcW w:w="629" w:type="pct"/>
                  <w:tcBorders>
                    <w:bottom w:val="nil"/>
                  </w:tcBorders>
                  <w:vAlign w:val="center"/>
                </w:tcPr>
                <w:p w14:paraId="6E7A5DB5" w14:textId="281BBDCB"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100%</w:t>
                  </w:r>
                </w:p>
              </w:tc>
              <w:tc>
                <w:tcPr>
                  <w:tcW w:w="629" w:type="pct"/>
                  <w:tcBorders>
                    <w:bottom w:val="nil"/>
                  </w:tcBorders>
                  <w:vAlign w:val="center"/>
                </w:tcPr>
                <w:p w14:paraId="6769ED9A" w14:textId="37CF55CF"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100%</w:t>
                  </w:r>
                </w:p>
              </w:tc>
              <w:tc>
                <w:tcPr>
                  <w:tcW w:w="629" w:type="pct"/>
                  <w:tcBorders>
                    <w:bottom w:val="nil"/>
                  </w:tcBorders>
                  <w:vAlign w:val="center"/>
                </w:tcPr>
                <w:p w14:paraId="65CD08BB" w14:textId="220F1618"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100%</w:t>
                  </w:r>
                </w:p>
              </w:tc>
              <w:tc>
                <w:tcPr>
                  <w:tcW w:w="628" w:type="pct"/>
                  <w:tcBorders>
                    <w:bottom w:val="nil"/>
                  </w:tcBorders>
                  <w:vAlign w:val="center"/>
                </w:tcPr>
                <w:p w14:paraId="05D4DB55" w14:textId="1AA75FB3"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100%</w:t>
                  </w:r>
                </w:p>
              </w:tc>
              <w:tc>
                <w:tcPr>
                  <w:tcW w:w="626" w:type="pct"/>
                  <w:tcBorders>
                    <w:bottom w:val="nil"/>
                  </w:tcBorders>
                </w:tcPr>
                <w:p w14:paraId="51EF06D9" w14:textId="374CDC2C"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100%</w:t>
                  </w:r>
                </w:p>
              </w:tc>
            </w:tr>
            <w:tr w:rsidR="005E5979" w:rsidRPr="004A1333" w14:paraId="5973EBA6" w14:textId="77777777" w:rsidTr="008D5D8A">
              <w:tc>
                <w:tcPr>
                  <w:tcW w:w="1228" w:type="pct"/>
                  <w:tcBorders>
                    <w:top w:val="nil"/>
                    <w:bottom w:val="nil"/>
                  </w:tcBorders>
                </w:tcPr>
                <w:p w14:paraId="7C679763" w14:textId="7A265D0E" w:rsidR="00A5467F" w:rsidRPr="004A1333" w:rsidRDefault="00A5467F" w:rsidP="00C4708F">
                  <w:pPr>
                    <w:framePr w:hSpace="180" w:wrap="around" w:vAnchor="text" w:hAnchor="text" w:y="1"/>
                    <w:ind w:left="107"/>
                    <w:suppressOverlap/>
                    <w:rPr>
                      <w:rFonts w:ascii="Arial Narrow" w:hAnsi="Arial Narrow"/>
                      <w:sz w:val="18"/>
                      <w:szCs w:val="18"/>
                    </w:rPr>
                  </w:pPr>
                  <w:r w:rsidRPr="004A1333">
                    <w:rPr>
                      <w:rFonts w:ascii="Arial Narrow" w:hAnsi="Arial Narrow"/>
                      <w:sz w:val="18"/>
                      <w:szCs w:val="18"/>
                    </w:rPr>
                    <w:t xml:space="preserve">ADA </w:t>
                  </w:r>
                </w:p>
              </w:tc>
              <w:tc>
                <w:tcPr>
                  <w:tcW w:w="631" w:type="pct"/>
                  <w:tcBorders>
                    <w:top w:val="nil"/>
                    <w:bottom w:val="nil"/>
                  </w:tcBorders>
                </w:tcPr>
                <w:p w14:paraId="2D27A4A8" w14:textId="3020ECBA"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52%</w:t>
                  </w:r>
                </w:p>
              </w:tc>
              <w:tc>
                <w:tcPr>
                  <w:tcW w:w="629" w:type="pct"/>
                  <w:tcBorders>
                    <w:top w:val="nil"/>
                    <w:bottom w:val="nil"/>
                  </w:tcBorders>
                </w:tcPr>
                <w:p w14:paraId="64E485E3" w14:textId="07A3C09D"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51%</w:t>
                  </w:r>
                </w:p>
              </w:tc>
              <w:tc>
                <w:tcPr>
                  <w:tcW w:w="629" w:type="pct"/>
                  <w:tcBorders>
                    <w:top w:val="nil"/>
                    <w:bottom w:val="nil"/>
                  </w:tcBorders>
                </w:tcPr>
                <w:p w14:paraId="2DF152E5" w14:textId="73546496"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50%</w:t>
                  </w:r>
                </w:p>
              </w:tc>
              <w:tc>
                <w:tcPr>
                  <w:tcW w:w="629" w:type="pct"/>
                  <w:tcBorders>
                    <w:top w:val="nil"/>
                    <w:bottom w:val="nil"/>
                  </w:tcBorders>
                </w:tcPr>
                <w:p w14:paraId="1E05F795" w14:textId="74E43F11"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50%</w:t>
                  </w:r>
                </w:p>
              </w:tc>
              <w:tc>
                <w:tcPr>
                  <w:tcW w:w="628" w:type="pct"/>
                  <w:tcBorders>
                    <w:top w:val="nil"/>
                    <w:bottom w:val="nil"/>
                  </w:tcBorders>
                </w:tcPr>
                <w:p w14:paraId="65F7C12E" w14:textId="38A6DFCB"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49%</w:t>
                  </w:r>
                </w:p>
              </w:tc>
              <w:tc>
                <w:tcPr>
                  <w:tcW w:w="626" w:type="pct"/>
                  <w:tcBorders>
                    <w:top w:val="nil"/>
                    <w:bottom w:val="nil"/>
                  </w:tcBorders>
                </w:tcPr>
                <w:p w14:paraId="6CBAE86F" w14:textId="2A0C65B7"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49%</w:t>
                  </w:r>
                </w:p>
              </w:tc>
            </w:tr>
            <w:tr w:rsidR="005E5979" w:rsidRPr="004A1333" w14:paraId="51996608" w14:textId="77777777" w:rsidTr="008D5D8A">
              <w:tc>
                <w:tcPr>
                  <w:tcW w:w="1228" w:type="pct"/>
                  <w:tcBorders>
                    <w:top w:val="nil"/>
                    <w:bottom w:val="nil"/>
                  </w:tcBorders>
                </w:tcPr>
                <w:p w14:paraId="4F242CED" w14:textId="4052F0EB" w:rsidR="00A5467F" w:rsidRPr="004A1333" w:rsidRDefault="00A5467F" w:rsidP="00C4708F">
                  <w:pPr>
                    <w:framePr w:hSpace="180" w:wrap="around" w:vAnchor="text" w:hAnchor="text" w:y="1"/>
                    <w:ind w:left="107"/>
                    <w:suppressOverlap/>
                    <w:rPr>
                      <w:rFonts w:ascii="Arial Narrow" w:hAnsi="Arial Narrow"/>
                      <w:sz w:val="18"/>
                      <w:szCs w:val="18"/>
                    </w:rPr>
                  </w:pPr>
                  <w:r w:rsidRPr="004A1333">
                    <w:rPr>
                      <w:rFonts w:ascii="Arial Narrow" w:hAnsi="Arial Narrow"/>
                      <w:sz w:val="18"/>
                      <w:szCs w:val="18"/>
                    </w:rPr>
                    <w:t xml:space="preserve">IFX </w:t>
                  </w:r>
                </w:p>
              </w:tc>
              <w:tc>
                <w:tcPr>
                  <w:tcW w:w="631" w:type="pct"/>
                  <w:tcBorders>
                    <w:top w:val="nil"/>
                    <w:bottom w:val="nil"/>
                  </w:tcBorders>
                </w:tcPr>
                <w:p w14:paraId="39DC4FF9" w14:textId="49CFB4AB"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45%</w:t>
                  </w:r>
                </w:p>
              </w:tc>
              <w:tc>
                <w:tcPr>
                  <w:tcW w:w="629" w:type="pct"/>
                  <w:tcBorders>
                    <w:top w:val="nil"/>
                    <w:bottom w:val="nil"/>
                  </w:tcBorders>
                </w:tcPr>
                <w:p w14:paraId="53F4CF0F" w14:textId="410722D2"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46%</w:t>
                  </w:r>
                </w:p>
              </w:tc>
              <w:tc>
                <w:tcPr>
                  <w:tcW w:w="629" w:type="pct"/>
                  <w:tcBorders>
                    <w:top w:val="nil"/>
                    <w:bottom w:val="nil"/>
                  </w:tcBorders>
                </w:tcPr>
                <w:p w14:paraId="71B856DA" w14:textId="10AC6764"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46%</w:t>
                  </w:r>
                </w:p>
              </w:tc>
              <w:tc>
                <w:tcPr>
                  <w:tcW w:w="629" w:type="pct"/>
                  <w:tcBorders>
                    <w:top w:val="nil"/>
                    <w:bottom w:val="nil"/>
                  </w:tcBorders>
                </w:tcPr>
                <w:p w14:paraId="47E8D252" w14:textId="46539C9F"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47%</w:t>
                  </w:r>
                </w:p>
              </w:tc>
              <w:tc>
                <w:tcPr>
                  <w:tcW w:w="628" w:type="pct"/>
                  <w:tcBorders>
                    <w:top w:val="nil"/>
                    <w:bottom w:val="nil"/>
                  </w:tcBorders>
                </w:tcPr>
                <w:p w14:paraId="49D967A2" w14:textId="49A7D2ED"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48%</w:t>
                  </w:r>
                </w:p>
              </w:tc>
              <w:tc>
                <w:tcPr>
                  <w:tcW w:w="626" w:type="pct"/>
                  <w:tcBorders>
                    <w:top w:val="nil"/>
                    <w:bottom w:val="nil"/>
                  </w:tcBorders>
                </w:tcPr>
                <w:p w14:paraId="34699582" w14:textId="2CCCD8D9"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48%</w:t>
                  </w:r>
                </w:p>
              </w:tc>
            </w:tr>
            <w:tr w:rsidR="00732B27" w:rsidRPr="004A1333" w14:paraId="05AEF31F" w14:textId="77777777" w:rsidTr="008D5D8A">
              <w:tc>
                <w:tcPr>
                  <w:tcW w:w="1228" w:type="pct"/>
                  <w:tcBorders>
                    <w:top w:val="nil"/>
                    <w:bottom w:val="single" w:sz="4" w:space="0" w:color="auto"/>
                  </w:tcBorders>
                </w:tcPr>
                <w:p w14:paraId="04EC1787" w14:textId="55C506FC" w:rsidR="00A5467F" w:rsidRPr="004A1333" w:rsidRDefault="00A5467F" w:rsidP="00C4708F">
                  <w:pPr>
                    <w:framePr w:hSpace="180" w:wrap="around" w:vAnchor="text" w:hAnchor="text" w:y="1"/>
                    <w:ind w:left="107"/>
                    <w:suppressOverlap/>
                    <w:rPr>
                      <w:rFonts w:ascii="Arial Narrow" w:hAnsi="Arial Narrow"/>
                      <w:sz w:val="18"/>
                      <w:szCs w:val="18"/>
                    </w:rPr>
                  </w:pPr>
                  <w:r w:rsidRPr="004A1333">
                    <w:rPr>
                      <w:rFonts w:ascii="Arial Narrow" w:hAnsi="Arial Narrow"/>
                      <w:sz w:val="18"/>
                      <w:szCs w:val="18"/>
                    </w:rPr>
                    <w:t>UST</w:t>
                  </w:r>
                </w:p>
              </w:tc>
              <w:tc>
                <w:tcPr>
                  <w:tcW w:w="631" w:type="pct"/>
                  <w:tcBorders>
                    <w:top w:val="nil"/>
                    <w:bottom w:val="single" w:sz="4" w:space="0" w:color="auto"/>
                  </w:tcBorders>
                </w:tcPr>
                <w:p w14:paraId="704F489E" w14:textId="42B93221"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3%</w:t>
                  </w:r>
                </w:p>
              </w:tc>
              <w:tc>
                <w:tcPr>
                  <w:tcW w:w="629" w:type="pct"/>
                  <w:tcBorders>
                    <w:top w:val="nil"/>
                    <w:bottom w:val="single" w:sz="4" w:space="0" w:color="auto"/>
                  </w:tcBorders>
                </w:tcPr>
                <w:p w14:paraId="2CA1C68B" w14:textId="44927C59"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3%</w:t>
                  </w:r>
                </w:p>
              </w:tc>
              <w:tc>
                <w:tcPr>
                  <w:tcW w:w="629" w:type="pct"/>
                  <w:tcBorders>
                    <w:top w:val="nil"/>
                    <w:bottom w:val="single" w:sz="4" w:space="0" w:color="auto"/>
                  </w:tcBorders>
                </w:tcPr>
                <w:p w14:paraId="554A80C3" w14:textId="25583914"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3%</w:t>
                  </w:r>
                </w:p>
              </w:tc>
              <w:tc>
                <w:tcPr>
                  <w:tcW w:w="629" w:type="pct"/>
                  <w:tcBorders>
                    <w:top w:val="nil"/>
                    <w:bottom w:val="single" w:sz="4" w:space="0" w:color="auto"/>
                  </w:tcBorders>
                </w:tcPr>
                <w:p w14:paraId="263A9082" w14:textId="51FE56E4"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3%</w:t>
                  </w:r>
                </w:p>
              </w:tc>
              <w:tc>
                <w:tcPr>
                  <w:tcW w:w="628" w:type="pct"/>
                  <w:tcBorders>
                    <w:top w:val="nil"/>
                    <w:bottom w:val="single" w:sz="4" w:space="0" w:color="auto"/>
                  </w:tcBorders>
                </w:tcPr>
                <w:p w14:paraId="2FC692A2" w14:textId="116104B5"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3%</w:t>
                  </w:r>
                </w:p>
              </w:tc>
              <w:tc>
                <w:tcPr>
                  <w:tcW w:w="626" w:type="pct"/>
                  <w:tcBorders>
                    <w:top w:val="nil"/>
                  </w:tcBorders>
                </w:tcPr>
                <w:p w14:paraId="6FF42EA9" w14:textId="68E4175C" w:rsidR="00A5467F" w:rsidRPr="004A1333" w:rsidRDefault="00A5467F" w:rsidP="00C4708F">
                  <w:pPr>
                    <w:framePr w:hSpace="180" w:wrap="around" w:vAnchor="text" w:hAnchor="text" w:y="1"/>
                    <w:suppressOverlap/>
                    <w:jc w:val="center"/>
                    <w:rPr>
                      <w:rFonts w:ascii="Arial Narrow" w:hAnsi="Arial Narrow"/>
                      <w:sz w:val="18"/>
                      <w:szCs w:val="18"/>
                    </w:rPr>
                  </w:pPr>
                  <w:r w:rsidRPr="004A1333">
                    <w:rPr>
                      <w:rFonts w:ascii="Arial Narrow" w:hAnsi="Arial Narrow"/>
                      <w:sz w:val="18"/>
                      <w:szCs w:val="18"/>
                    </w:rPr>
                    <w:t>3%</w:t>
                  </w:r>
                </w:p>
              </w:tc>
            </w:tr>
          </w:tbl>
          <w:p w14:paraId="23B1AB21" w14:textId="2D3E0852" w:rsidR="00A5467F" w:rsidRPr="004A1333" w:rsidRDefault="00A5467F">
            <w:pPr>
              <w:pStyle w:val="TableFigureFooter"/>
            </w:pPr>
            <w:r w:rsidRPr="004A1333">
              <w:t>Source: Table 4</w:t>
            </w:r>
            <w:r w:rsidR="00FC7500">
              <w:noBreakHyphen/>
            </w:r>
            <w:r w:rsidRPr="004A1333">
              <w:t>7, p132 of the submission; Attachment 4 worksheet titled ‘data for graphs’. Text in italics was added during the evaluation.</w:t>
            </w:r>
          </w:p>
          <w:p w14:paraId="71FED3AC" w14:textId="77777777" w:rsidR="00A5467F" w:rsidRPr="004A1333" w:rsidRDefault="00A5467F">
            <w:pPr>
              <w:pStyle w:val="TableFigureFooter"/>
            </w:pPr>
            <w:r w:rsidRPr="004A1333">
              <w:t>ADA = adalimumab; FCD = Fistulising Crohn’s disease; IFX = infliximab; UST = ustekinumab.</w:t>
            </w:r>
          </w:p>
          <w:p w14:paraId="4787A130" w14:textId="7E03104F" w:rsidR="00A5467F" w:rsidRPr="004A1333" w:rsidRDefault="00A5467F" w:rsidP="002D7FCD">
            <w:pPr>
              <w:pStyle w:val="TableText0"/>
              <w:jc w:val="both"/>
            </w:pPr>
            <w:r w:rsidRPr="004A1333">
              <w:t xml:space="preserve">The market share estimates applied </w:t>
            </w:r>
            <w:r w:rsidR="007848B1" w:rsidRPr="004A1333">
              <w:t>the financial estimates</w:t>
            </w:r>
            <w:r w:rsidRPr="004A1333">
              <w:t xml:space="preserve"> differed from those used to calculate the weighted AEMP in </w:t>
            </w:r>
            <w:r w:rsidR="007848B1" w:rsidRPr="004A1333">
              <w:t>the CMA</w:t>
            </w:r>
            <w:r w:rsidRPr="004A1333">
              <w:t xml:space="preserve"> (adalimumab =</w:t>
            </w:r>
            <w:r w:rsidR="00953A66" w:rsidRPr="004A1333">
              <w:t xml:space="preserve"> </w:t>
            </w:r>
            <w:r w:rsidRPr="004A1333">
              <w:t>39.9%, infliximab = 37.9%, ustekinumab = 22.2%).</w:t>
            </w:r>
            <w:r w:rsidR="00E63ECC">
              <w:t xml:space="preserve"> </w:t>
            </w:r>
            <w:r w:rsidR="00C53830" w:rsidRPr="004A1333">
              <w:t>In particular, the financial</w:t>
            </w:r>
            <w:r w:rsidR="00904E0E" w:rsidRPr="004A1333">
              <w:t xml:space="preserve"> model</w:t>
            </w:r>
            <w:r w:rsidR="00C53830" w:rsidRPr="004A1333">
              <w:t xml:space="preserve"> forecasts assume</w:t>
            </w:r>
            <w:r w:rsidR="00904E0E" w:rsidRPr="004A1333">
              <w:t>d</w:t>
            </w:r>
            <w:r w:rsidR="00C53830" w:rsidRPr="004A1333">
              <w:t xml:space="preserve"> substantially higher shares for adalimumab and infliximab, and a </w:t>
            </w:r>
            <w:r w:rsidR="00904E0E" w:rsidRPr="004A1333">
              <w:t xml:space="preserve">much </w:t>
            </w:r>
            <w:r w:rsidR="00C53830" w:rsidRPr="004A1333">
              <w:t xml:space="preserve">lower share for ustekinumab (approximately 3% across all years), which </w:t>
            </w:r>
            <w:r w:rsidR="00904E0E" w:rsidRPr="004A1333">
              <w:t>was</w:t>
            </w:r>
            <w:r w:rsidR="00C53830" w:rsidRPr="004A1333">
              <w:t xml:space="preserve"> inconsistent with the weighting applied in the </w:t>
            </w:r>
            <w:r w:rsidR="00904E0E" w:rsidRPr="004A1333">
              <w:t>CMA</w:t>
            </w:r>
            <w:r w:rsidR="00C53830" w:rsidRPr="004A1333">
              <w:t xml:space="preserve">. </w:t>
            </w:r>
          </w:p>
        </w:tc>
      </w:tr>
      <w:tr w:rsidR="00A5467F" w:rsidRPr="00634E09" w14:paraId="1826B461" w14:textId="77777777" w:rsidTr="008D5D8A">
        <w:tc>
          <w:tcPr>
            <w:tcW w:w="950" w:type="pct"/>
            <w:vAlign w:val="center"/>
          </w:tcPr>
          <w:p w14:paraId="548FC6A5" w14:textId="77777777" w:rsidR="00A5467F" w:rsidRPr="004A1333" w:rsidRDefault="00A5467F" w:rsidP="008D5D8A">
            <w:pPr>
              <w:pStyle w:val="TableText0"/>
            </w:pPr>
            <w:r w:rsidRPr="004A1333">
              <w:t>Uptake rate</w:t>
            </w:r>
          </w:p>
        </w:tc>
        <w:tc>
          <w:tcPr>
            <w:tcW w:w="4050" w:type="pct"/>
            <w:vAlign w:val="center"/>
          </w:tcPr>
          <w:p w14:paraId="2AC49962" w14:textId="412C8D0C" w:rsidR="00A5467F" w:rsidRPr="004A1333" w:rsidRDefault="00A5467F">
            <w:pPr>
              <w:pStyle w:val="TableText0"/>
            </w:pPr>
            <w:r w:rsidRPr="004A1333">
              <w:t xml:space="preserve">The submission assumed that upadacitinib uptake would be modest and gradual, with substitution rates increasing </w:t>
            </w:r>
            <w:r w:rsidR="00953A66" w:rsidRPr="004A1333">
              <w:t xml:space="preserve">uniformly </w:t>
            </w:r>
            <w:r w:rsidRPr="004A1333">
              <w:t xml:space="preserve">from </w:t>
            </w:r>
            <w:r w:rsidR="00443A05" w:rsidRPr="00443A05">
              <w:rPr>
                <w:sz w:val="2"/>
                <w:highlight w:val="black"/>
              </w:rPr>
              <w:t>redacted content</w:t>
            </w:r>
            <w:r w:rsidRPr="004A1333">
              <w:t xml:space="preserve">% in Year 1 to </w:t>
            </w:r>
            <w:r w:rsidR="00443A05" w:rsidRPr="00443A05">
              <w:rPr>
                <w:sz w:val="2"/>
                <w:highlight w:val="black"/>
              </w:rPr>
              <w:t>redacted content</w:t>
            </w:r>
            <w:r w:rsidRPr="004A1333">
              <w:t xml:space="preserve">% in Year 6, applied equally across ustekinumab, adalimumab and infliximab. This does not seem reasonable because this simplifying assumption treated all comparators as equally likely to be displaced, regardless of their current market shares. Because adalimumab and infliximab accounted for </w:t>
            </w:r>
            <w:proofErr w:type="gramStart"/>
            <w:r w:rsidRPr="004A1333">
              <w:t>the majority of</w:t>
            </w:r>
            <w:proofErr w:type="gramEnd"/>
            <w:r w:rsidRPr="004A1333">
              <w:t xml:space="preserve"> biologic use in FCD, applying equal substitution proportions effectively resulted in a disproportionate shift away from these agents relative to ustekinumab. Also, no clinical rationale was provided for why all 3 comparators would be displaced at the same rate, and the resulting projections may either over</w:t>
            </w:r>
            <w:r w:rsidR="00FC7500">
              <w:noBreakHyphen/>
            </w:r>
            <w:r w:rsidRPr="004A1333">
              <w:t xml:space="preserve"> or under</w:t>
            </w:r>
            <w:r w:rsidR="00FC7500">
              <w:noBreakHyphen/>
            </w:r>
            <w:r w:rsidRPr="004A1333">
              <w:t xml:space="preserve">estimate upadacitinib uptake depending on how clinicians </w:t>
            </w:r>
            <w:proofErr w:type="gramStart"/>
            <w:r w:rsidRPr="004A1333">
              <w:t>actually sequence</w:t>
            </w:r>
            <w:proofErr w:type="gramEnd"/>
            <w:r w:rsidRPr="004A1333">
              <w:t xml:space="preserve"> therapies over time.</w:t>
            </w:r>
          </w:p>
          <w:p w14:paraId="533D1E97" w14:textId="77777777" w:rsidR="00A5467F" w:rsidRPr="004A1333" w:rsidRDefault="00A5467F">
            <w:pPr>
              <w:pStyle w:val="TableText0"/>
            </w:pPr>
          </w:p>
          <w:p w14:paraId="6ACB6676" w14:textId="17F1D787" w:rsidR="00A5467F" w:rsidRPr="004A1333" w:rsidRDefault="00A5467F">
            <w:pPr>
              <w:pStyle w:val="TableText0"/>
            </w:pPr>
            <w:r w:rsidRPr="004A1333">
              <w:t>For instance, the 2023 ustekinumab submission assumed that the majority of ustekinumab scripts would be sourced from substituting adalimumab (30% in Year 1, increasing to 50% in Year 6) compared to infliximab (10% in Year 1, increasing to 15% in Year 6), arguing that ustekinumab would be more likely to replace adalimumab as a second</w:t>
            </w:r>
            <w:r w:rsidR="00FC7500">
              <w:noBreakHyphen/>
            </w:r>
            <w:r w:rsidRPr="004A1333">
              <w:t>line treatment after infliximab (paragraph 6.42, ustekinumab, PSD, July 2023 PBAC meeting).</w:t>
            </w:r>
            <w:r w:rsidR="00310ADC" w:rsidRPr="004A1333">
              <w:t xml:space="preserve"> The PSCR argued the uptake of</w:t>
            </w:r>
            <w:r w:rsidR="00E63ECC">
              <w:t xml:space="preserve"> </w:t>
            </w:r>
            <w:r w:rsidR="006D7D97" w:rsidRPr="004A1333">
              <w:t>upadacitinib</w:t>
            </w:r>
            <w:r w:rsidR="00310ADC" w:rsidRPr="004A1333">
              <w:t xml:space="preserve"> </w:t>
            </w:r>
            <w:r w:rsidR="00310ADC" w:rsidRPr="004A1333">
              <w:lastRenderedPageBreak/>
              <w:t xml:space="preserve">was expected to be modest and gradual, reflecting the established nature of the FCD </w:t>
            </w:r>
            <w:r w:rsidR="00792AEE" w:rsidRPr="004A1333">
              <w:t xml:space="preserve">biologic market. </w:t>
            </w:r>
          </w:p>
        </w:tc>
      </w:tr>
      <w:tr w:rsidR="00A5467F" w:rsidRPr="00634E09" w14:paraId="3BAE0FB3" w14:textId="77777777" w:rsidTr="008D5D8A">
        <w:tc>
          <w:tcPr>
            <w:tcW w:w="950" w:type="pct"/>
            <w:vAlign w:val="center"/>
          </w:tcPr>
          <w:p w14:paraId="1FE2BC4A" w14:textId="77777777" w:rsidR="00A5467F" w:rsidRPr="004A1333" w:rsidRDefault="00A5467F" w:rsidP="008D5D8A">
            <w:pPr>
              <w:pStyle w:val="TableText0"/>
            </w:pPr>
            <w:r w:rsidRPr="004A1333">
              <w:lastRenderedPageBreak/>
              <w:t>Script equivalence</w:t>
            </w:r>
          </w:p>
        </w:tc>
        <w:tc>
          <w:tcPr>
            <w:tcW w:w="4050" w:type="pct"/>
            <w:vAlign w:val="center"/>
          </w:tcPr>
          <w:p w14:paraId="585E2E8F" w14:textId="7F4C9C01" w:rsidR="00A5467F" w:rsidRPr="004A1333" w:rsidRDefault="00A5467F">
            <w:pPr>
              <w:pStyle w:val="TableText0"/>
              <w:jc w:val="both"/>
            </w:pPr>
            <w:r w:rsidRPr="004A1333">
              <w:t>The submission derived script</w:t>
            </w:r>
            <w:r w:rsidR="00FC7500">
              <w:noBreakHyphen/>
            </w:r>
            <w:r w:rsidRPr="004A1333">
              <w:t>equivalence ratios by mapping the PBS</w:t>
            </w:r>
            <w:r w:rsidR="00FC7500">
              <w:noBreakHyphen/>
            </w:r>
            <w:r w:rsidRPr="004A1333">
              <w:t>funded dosing intervals and maximum</w:t>
            </w:r>
            <w:r w:rsidR="00FC7500">
              <w:noBreakHyphen/>
            </w:r>
            <w:r w:rsidRPr="004A1333">
              <w:t>quantity rules for each comparator to upadacitinib’s PBS scripting pattern (3 scripts over 12</w:t>
            </w:r>
            <w:r w:rsidR="00FC7500">
              <w:noBreakHyphen/>
            </w:r>
            <w:r w:rsidRPr="004A1333">
              <w:t>week initiation and 13 scripts per 12</w:t>
            </w:r>
            <w:r w:rsidR="00FC7500">
              <w:noBreakHyphen/>
            </w:r>
            <w:r w:rsidRPr="004A1333">
              <w:t>month maintenance period). For each comparator, the number of PBS scripts required to cover the induction and continuation dosing schedules was calculated directly from the PBS pack sizes, maximum quantities, repeats and dosing frequency specified in the current listings and Product Information. For ustekinumab, the submission applied the 88% Q8W and 12% Q12W maintenance split; for infliximab, separate IV</w:t>
            </w:r>
            <w:r w:rsidR="00FC7500">
              <w:noBreakHyphen/>
            </w:r>
            <w:r w:rsidRPr="004A1333">
              <w:t>only and IV+SC regimens were modelled using the utilisation</w:t>
            </w:r>
            <w:r w:rsidR="00FC7500">
              <w:noBreakHyphen/>
            </w:r>
            <w:r w:rsidRPr="004A1333">
              <w:t>based proportions (94% and 6%). These script counts were then expressed relative to the corresponding number of upadacitinib scripts to produce the script</w:t>
            </w:r>
            <w:r w:rsidR="00FC7500">
              <w:noBreakHyphen/>
            </w:r>
            <w:r w:rsidRPr="004A1333">
              <w:t xml:space="preserve">equivalence ratios shown in the Table. </w:t>
            </w:r>
          </w:p>
          <w:p w14:paraId="1E34C454" w14:textId="77777777" w:rsidR="007C4C6B" w:rsidRPr="004A1333" w:rsidRDefault="007C4C6B">
            <w:pPr>
              <w:pStyle w:val="TableText0"/>
              <w:jc w:val="both"/>
            </w:pPr>
          </w:p>
          <w:p w14:paraId="302D0F53" w14:textId="77777777" w:rsidR="00A5467F" w:rsidRPr="004A1333" w:rsidRDefault="00A5467F">
            <w:pPr>
              <w:pStyle w:val="TableFigureHeading"/>
            </w:pPr>
            <w:r w:rsidRPr="004A1333">
              <w:t>Table: Estimated script equivalence between upadacitinib and comparators</w:t>
            </w:r>
          </w:p>
          <w:tbl>
            <w:tblPr>
              <w:tblStyle w:val="TableGrid"/>
              <w:tblW w:w="5000" w:type="pct"/>
              <w:tblCellMar>
                <w:left w:w="28" w:type="dxa"/>
                <w:right w:w="28" w:type="dxa"/>
              </w:tblCellMar>
              <w:tblLook w:val="04A0" w:firstRow="1" w:lastRow="0" w:firstColumn="1" w:lastColumn="0" w:noHBand="0" w:noVBand="1"/>
            </w:tblPr>
            <w:tblGrid>
              <w:gridCol w:w="1055"/>
              <w:gridCol w:w="2942"/>
              <w:gridCol w:w="3241"/>
            </w:tblGrid>
            <w:tr w:rsidR="00A5467F" w:rsidRPr="004A1333" w14:paraId="2C70A31C" w14:textId="77777777" w:rsidTr="00140C9A">
              <w:tc>
                <w:tcPr>
                  <w:tcW w:w="729" w:type="pct"/>
                </w:tcPr>
                <w:p w14:paraId="4BB1A1CB" w14:textId="77777777" w:rsidR="00A5467F" w:rsidRPr="004A1333" w:rsidRDefault="00A5467F" w:rsidP="00C4708F">
                  <w:pPr>
                    <w:pStyle w:val="TableText0"/>
                    <w:framePr w:hSpace="180" w:wrap="around" w:vAnchor="text" w:hAnchor="text" w:y="1"/>
                    <w:suppressOverlap/>
                    <w:jc w:val="center"/>
                    <w:rPr>
                      <w:b/>
                      <w:bCs w:val="0"/>
                    </w:rPr>
                  </w:pPr>
                  <w:r w:rsidRPr="004A1333">
                    <w:rPr>
                      <w:b/>
                      <w:bCs w:val="0"/>
                    </w:rPr>
                    <w:t>Comparator</w:t>
                  </w:r>
                </w:p>
              </w:tc>
              <w:tc>
                <w:tcPr>
                  <w:tcW w:w="2032" w:type="pct"/>
                  <w:vAlign w:val="center"/>
                </w:tcPr>
                <w:p w14:paraId="7898BCE3" w14:textId="77777777" w:rsidR="00A5467F" w:rsidRPr="004A1333" w:rsidRDefault="00A5467F" w:rsidP="00C4708F">
                  <w:pPr>
                    <w:pStyle w:val="TableText0"/>
                    <w:framePr w:hSpace="180" w:wrap="around" w:vAnchor="text" w:hAnchor="text" w:y="1"/>
                    <w:suppressOverlap/>
                    <w:jc w:val="center"/>
                    <w:rPr>
                      <w:b/>
                    </w:rPr>
                  </w:pPr>
                  <w:r w:rsidRPr="004A1333">
                    <w:rPr>
                      <w:b/>
                    </w:rPr>
                    <w:t>Script equivalence to UPA, initial</w:t>
                  </w:r>
                </w:p>
              </w:tc>
              <w:tc>
                <w:tcPr>
                  <w:tcW w:w="2239" w:type="pct"/>
                  <w:vAlign w:val="center"/>
                </w:tcPr>
                <w:p w14:paraId="16934FFF" w14:textId="77777777" w:rsidR="00A5467F" w:rsidRPr="004A1333" w:rsidRDefault="00A5467F" w:rsidP="00C4708F">
                  <w:pPr>
                    <w:pStyle w:val="TableText0"/>
                    <w:framePr w:hSpace="180" w:wrap="around" w:vAnchor="text" w:hAnchor="text" w:y="1"/>
                    <w:suppressOverlap/>
                    <w:jc w:val="center"/>
                    <w:rPr>
                      <w:b/>
                    </w:rPr>
                  </w:pPr>
                  <w:r w:rsidRPr="004A1333">
                    <w:rPr>
                      <w:b/>
                    </w:rPr>
                    <w:t>Script equivalence to UPA, continuing</w:t>
                  </w:r>
                </w:p>
              </w:tc>
            </w:tr>
            <w:tr w:rsidR="00A5467F" w:rsidRPr="004A1333" w14:paraId="33E16BC4" w14:textId="77777777" w:rsidTr="00140C9A">
              <w:tc>
                <w:tcPr>
                  <w:tcW w:w="729" w:type="pct"/>
                  <w:tcBorders>
                    <w:bottom w:val="nil"/>
                  </w:tcBorders>
                </w:tcPr>
                <w:p w14:paraId="782E28DC" w14:textId="77777777" w:rsidR="00A5467F" w:rsidRPr="004A1333" w:rsidRDefault="00A5467F" w:rsidP="00C4708F">
                  <w:pPr>
                    <w:pStyle w:val="TableText0"/>
                    <w:framePr w:hSpace="180" w:wrap="around" w:vAnchor="text" w:hAnchor="text" w:y="1"/>
                    <w:suppressOverlap/>
                  </w:pPr>
                  <w:r w:rsidRPr="004A1333">
                    <w:t>ADA</w:t>
                  </w:r>
                </w:p>
              </w:tc>
              <w:tc>
                <w:tcPr>
                  <w:tcW w:w="2032" w:type="pct"/>
                  <w:tcBorders>
                    <w:bottom w:val="nil"/>
                  </w:tcBorders>
                  <w:vAlign w:val="center"/>
                </w:tcPr>
                <w:p w14:paraId="1DE268E6" w14:textId="77777777" w:rsidR="00A5467F" w:rsidRPr="004A1333" w:rsidRDefault="00A5467F" w:rsidP="00C4708F">
                  <w:pPr>
                    <w:pStyle w:val="TableText0"/>
                    <w:framePr w:hSpace="180" w:wrap="around" w:vAnchor="text" w:hAnchor="text" w:y="1"/>
                    <w:suppressOverlap/>
                    <w:jc w:val="center"/>
                  </w:pPr>
                  <w:r w:rsidRPr="004A1333">
                    <w:t>1:1 – 80mg ADA script vs UPA 45mg</w:t>
                  </w:r>
                </w:p>
              </w:tc>
              <w:tc>
                <w:tcPr>
                  <w:tcW w:w="2239" w:type="pct"/>
                  <w:tcBorders>
                    <w:bottom w:val="nil"/>
                  </w:tcBorders>
                  <w:vAlign w:val="center"/>
                </w:tcPr>
                <w:p w14:paraId="11DF0577" w14:textId="06065192" w:rsidR="00A5467F" w:rsidRPr="004A1333" w:rsidRDefault="00A5467F" w:rsidP="00C4708F">
                  <w:pPr>
                    <w:pStyle w:val="TableText0"/>
                    <w:framePr w:hSpace="180" w:wrap="around" w:vAnchor="text" w:hAnchor="text" w:y="1"/>
                    <w:suppressOverlap/>
                    <w:jc w:val="center"/>
                  </w:pPr>
                  <w:r w:rsidRPr="004A1333">
                    <w:t>13:13</w:t>
                  </w:r>
                </w:p>
              </w:tc>
            </w:tr>
            <w:tr w:rsidR="00A5467F" w:rsidRPr="004A1333" w14:paraId="6CF11E65" w14:textId="77777777" w:rsidTr="00140C9A">
              <w:tc>
                <w:tcPr>
                  <w:tcW w:w="729" w:type="pct"/>
                  <w:tcBorders>
                    <w:top w:val="nil"/>
                  </w:tcBorders>
                </w:tcPr>
                <w:p w14:paraId="69F00742" w14:textId="77777777" w:rsidR="00A5467F" w:rsidRPr="004A1333" w:rsidRDefault="00A5467F" w:rsidP="00C4708F">
                  <w:pPr>
                    <w:pStyle w:val="TableText0"/>
                    <w:framePr w:hSpace="180" w:wrap="around" w:vAnchor="text" w:hAnchor="text" w:y="1"/>
                    <w:suppressOverlap/>
                  </w:pPr>
                </w:p>
              </w:tc>
              <w:tc>
                <w:tcPr>
                  <w:tcW w:w="2032" w:type="pct"/>
                  <w:tcBorders>
                    <w:top w:val="nil"/>
                  </w:tcBorders>
                  <w:vAlign w:val="center"/>
                </w:tcPr>
                <w:p w14:paraId="38534CA3" w14:textId="2C4CFE25" w:rsidR="00366299" w:rsidRPr="004A1333" w:rsidRDefault="00341A99" w:rsidP="00C4708F">
                  <w:pPr>
                    <w:pStyle w:val="TableText0"/>
                    <w:framePr w:hSpace="180" w:wrap="around" w:vAnchor="text" w:hAnchor="text" w:y="1"/>
                    <w:suppressOverlap/>
                    <w:jc w:val="center"/>
                  </w:pPr>
                  <w:r w:rsidRPr="004A1333">
                    <w:t>1:1</w:t>
                  </w:r>
                  <w:r w:rsidR="00A5467F" w:rsidRPr="004A1333">
                    <w:t xml:space="preserve"> – 40mg ADA script vs UPA 45mg</w:t>
                  </w:r>
                  <w:r w:rsidRPr="004A1333">
                    <w:t xml:space="preserve"> (PSCR </w:t>
                  </w:r>
                  <w:r w:rsidR="000236A7" w:rsidRPr="004A1333">
                    <w:t>adjusted</w:t>
                  </w:r>
                  <w:r w:rsidRPr="004A1333">
                    <w:t>)</w:t>
                  </w:r>
                </w:p>
              </w:tc>
              <w:tc>
                <w:tcPr>
                  <w:tcW w:w="2239" w:type="pct"/>
                  <w:tcBorders>
                    <w:top w:val="nil"/>
                  </w:tcBorders>
                  <w:vAlign w:val="center"/>
                </w:tcPr>
                <w:p w14:paraId="6EAFE500" w14:textId="77777777" w:rsidR="00A5467F" w:rsidRPr="004A1333" w:rsidRDefault="00A5467F" w:rsidP="00C4708F">
                  <w:pPr>
                    <w:pStyle w:val="TableText0"/>
                    <w:framePr w:hSpace="180" w:wrap="around" w:vAnchor="text" w:hAnchor="text" w:y="1"/>
                    <w:suppressOverlap/>
                    <w:jc w:val="center"/>
                  </w:pPr>
                </w:p>
              </w:tc>
            </w:tr>
            <w:tr w:rsidR="00A5467F" w:rsidRPr="004A1333" w14:paraId="2B1F864C" w14:textId="77777777" w:rsidTr="00363F94">
              <w:tc>
                <w:tcPr>
                  <w:tcW w:w="729" w:type="pct"/>
                  <w:tcBorders>
                    <w:bottom w:val="nil"/>
                  </w:tcBorders>
                </w:tcPr>
                <w:p w14:paraId="7927EA05" w14:textId="77777777" w:rsidR="00A5467F" w:rsidRPr="004A1333" w:rsidRDefault="00A5467F" w:rsidP="00C4708F">
                  <w:pPr>
                    <w:pStyle w:val="TableText0"/>
                    <w:framePr w:hSpace="180" w:wrap="around" w:vAnchor="text" w:hAnchor="text" w:y="1"/>
                    <w:suppressOverlap/>
                  </w:pPr>
                  <w:r w:rsidRPr="004A1333">
                    <w:t>IFX IV</w:t>
                  </w:r>
                </w:p>
              </w:tc>
              <w:tc>
                <w:tcPr>
                  <w:tcW w:w="2032" w:type="pct"/>
                  <w:tcBorders>
                    <w:bottom w:val="nil"/>
                  </w:tcBorders>
                  <w:vAlign w:val="center"/>
                </w:tcPr>
                <w:p w14:paraId="0B49C039" w14:textId="77777777" w:rsidR="00A5467F" w:rsidRPr="004A1333" w:rsidRDefault="00A5467F" w:rsidP="00C4708F">
                  <w:pPr>
                    <w:pStyle w:val="TableText0"/>
                    <w:framePr w:hSpace="180" w:wrap="around" w:vAnchor="text" w:hAnchor="text" w:y="1"/>
                    <w:suppressOverlap/>
                    <w:jc w:val="center"/>
                  </w:pPr>
                  <w:r w:rsidRPr="004A1333">
                    <w:t xml:space="preserve">2.94:2.89 </w:t>
                  </w:r>
                  <w:r w:rsidRPr="004A1333">
                    <w:rPr>
                      <w:vertAlign w:val="superscript"/>
                    </w:rPr>
                    <w:t>a</w:t>
                  </w:r>
                </w:p>
              </w:tc>
              <w:tc>
                <w:tcPr>
                  <w:tcW w:w="2239" w:type="pct"/>
                  <w:tcBorders>
                    <w:bottom w:val="nil"/>
                  </w:tcBorders>
                  <w:vAlign w:val="center"/>
                </w:tcPr>
                <w:p w14:paraId="27600EAB" w14:textId="3B73FF0B" w:rsidR="00A5467F" w:rsidRPr="004A1333" w:rsidRDefault="00A5467F" w:rsidP="00C4708F">
                  <w:pPr>
                    <w:pStyle w:val="TableText0"/>
                    <w:framePr w:hSpace="180" w:wrap="around" w:vAnchor="text" w:hAnchor="text" w:y="1"/>
                    <w:suppressOverlap/>
                    <w:jc w:val="center"/>
                  </w:pPr>
                  <w:r w:rsidRPr="004A1333">
                    <w:t>6.5:13</w:t>
                  </w:r>
                </w:p>
              </w:tc>
            </w:tr>
            <w:tr w:rsidR="00140C9A" w:rsidRPr="004A1333" w14:paraId="470FEA29" w14:textId="77777777" w:rsidTr="00363F94">
              <w:tc>
                <w:tcPr>
                  <w:tcW w:w="729" w:type="pct"/>
                  <w:tcBorders>
                    <w:top w:val="nil"/>
                  </w:tcBorders>
                </w:tcPr>
                <w:p w14:paraId="2FC989F6" w14:textId="77777777" w:rsidR="00140C9A" w:rsidRPr="004A1333" w:rsidRDefault="00140C9A" w:rsidP="00C4708F">
                  <w:pPr>
                    <w:pStyle w:val="TableText0"/>
                    <w:framePr w:hSpace="180" w:wrap="around" w:vAnchor="text" w:hAnchor="text" w:y="1"/>
                    <w:suppressOverlap/>
                  </w:pPr>
                </w:p>
              </w:tc>
              <w:tc>
                <w:tcPr>
                  <w:tcW w:w="2032" w:type="pct"/>
                  <w:tcBorders>
                    <w:top w:val="nil"/>
                  </w:tcBorders>
                  <w:vAlign w:val="center"/>
                </w:tcPr>
                <w:p w14:paraId="61BE813A" w14:textId="77777777" w:rsidR="00140C9A" w:rsidRPr="004A1333" w:rsidRDefault="00140C9A" w:rsidP="00C4708F">
                  <w:pPr>
                    <w:pStyle w:val="TableText0"/>
                    <w:framePr w:hSpace="180" w:wrap="around" w:vAnchor="text" w:hAnchor="text" w:y="1"/>
                    <w:suppressOverlap/>
                    <w:jc w:val="center"/>
                  </w:pPr>
                </w:p>
              </w:tc>
              <w:tc>
                <w:tcPr>
                  <w:tcW w:w="2239" w:type="pct"/>
                  <w:tcBorders>
                    <w:top w:val="nil"/>
                  </w:tcBorders>
                  <w:vAlign w:val="center"/>
                </w:tcPr>
                <w:p w14:paraId="64706642" w14:textId="43B80F1E" w:rsidR="00140C9A" w:rsidRPr="004A1333" w:rsidRDefault="00363F94" w:rsidP="00C4708F">
                  <w:pPr>
                    <w:pStyle w:val="TableText0"/>
                    <w:framePr w:hSpace="180" w:wrap="around" w:vAnchor="text" w:hAnchor="text" w:y="1"/>
                    <w:suppressOverlap/>
                    <w:jc w:val="center"/>
                  </w:pPr>
                  <w:r w:rsidRPr="004A1333">
                    <w:t>1:</w:t>
                  </w:r>
                  <w:r w:rsidR="00803203" w:rsidRPr="004A1333">
                    <w:t>2</w:t>
                  </w:r>
                  <w:r w:rsidR="00140C9A" w:rsidRPr="004A1333">
                    <w:t xml:space="preserve"> (1</w:t>
                  </w:r>
                  <w:r w:rsidR="00140C9A" w:rsidRPr="004A1333">
                    <w:rPr>
                      <w:vertAlign w:val="superscript"/>
                    </w:rPr>
                    <w:t>st</w:t>
                  </w:r>
                  <w:r w:rsidR="00140C9A" w:rsidRPr="004A1333">
                    <w:t xml:space="preserve"> cont.</w:t>
                  </w:r>
                  <w:r w:rsidR="00803203" w:rsidRPr="004A1333">
                    <w:t>, PSCR adjusted</w:t>
                  </w:r>
                  <w:r w:rsidR="00140C9A" w:rsidRPr="004A1333">
                    <w:t>)</w:t>
                  </w:r>
                </w:p>
              </w:tc>
            </w:tr>
            <w:tr w:rsidR="00A5467F" w:rsidRPr="004A1333" w14:paraId="3AB849EF" w14:textId="77777777" w:rsidTr="00140C9A">
              <w:tc>
                <w:tcPr>
                  <w:tcW w:w="729" w:type="pct"/>
                </w:tcPr>
                <w:p w14:paraId="736FD2B8" w14:textId="77777777" w:rsidR="00A5467F" w:rsidRPr="004A1333" w:rsidRDefault="00A5467F" w:rsidP="00C4708F">
                  <w:pPr>
                    <w:pStyle w:val="TableText0"/>
                    <w:framePr w:hSpace="180" w:wrap="around" w:vAnchor="text" w:hAnchor="text" w:y="1"/>
                    <w:suppressOverlap/>
                  </w:pPr>
                  <w:r w:rsidRPr="004A1333">
                    <w:t>IFX SC</w:t>
                  </w:r>
                </w:p>
              </w:tc>
              <w:tc>
                <w:tcPr>
                  <w:tcW w:w="2032" w:type="pct"/>
                  <w:vAlign w:val="center"/>
                </w:tcPr>
                <w:p w14:paraId="23F3D721" w14:textId="45E618C5" w:rsidR="00A5467F" w:rsidRPr="004A1333" w:rsidRDefault="00A5467F" w:rsidP="00C4708F">
                  <w:pPr>
                    <w:pStyle w:val="TableText0"/>
                    <w:framePr w:hSpace="180" w:wrap="around" w:vAnchor="text" w:hAnchor="text" w:y="1"/>
                    <w:suppressOverlap/>
                    <w:jc w:val="center"/>
                  </w:pPr>
                  <w:r w:rsidRPr="004A1333">
                    <w:t xml:space="preserve">2: 2 </w:t>
                  </w:r>
                  <w:r w:rsidR="00FC7500">
                    <w:noBreakHyphen/>
                  </w:r>
                  <w:r w:rsidRPr="004A1333">
                    <w:t xml:space="preserve"> 120mg SC IFX vs UPA 45mg</w:t>
                  </w:r>
                </w:p>
              </w:tc>
              <w:tc>
                <w:tcPr>
                  <w:tcW w:w="2239" w:type="pct"/>
                  <w:vAlign w:val="center"/>
                </w:tcPr>
                <w:p w14:paraId="5C90D13F" w14:textId="77777777" w:rsidR="00A5467F" w:rsidRPr="004A1333" w:rsidRDefault="00A5467F" w:rsidP="00C4708F">
                  <w:pPr>
                    <w:pStyle w:val="TableText0"/>
                    <w:framePr w:hSpace="180" w:wrap="around" w:vAnchor="text" w:hAnchor="text" w:y="1"/>
                    <w:suppressOverlap/>
                    <w:jc w:val="center"/>
                  </w:pPr>
                  <w:r w:rsidRPr="004A1333">
                    <w:t>13:13</w:t>
                  </w:r>
                </w:p>
              </w:tc>
            </w:tr>
            <w:tr w:rsidR="00A5467F" w:rsidRPr="004A1333" w14:paraId="3E121237" w14:textId="77777777" w:rsidTr="00140C9A">
              <w:tc>
                <w:tcPr>
                  <w:tcW w:w="729" w:type="pct"/>
                  <w:tcBorders>
                    <w:bottom w:val="nil"/>
                  </w:tcBorders>
                </w:tcPr>
                <w:p w14:paraId="4AF92CD1" w14:textId="77777777" w:rsidR="00A5467F" w:rsidRPr="004A1333" w:rsidRDefault="00A5467F" w:rsidP="00C4708F">
                  <w:pPr>
                    <w:pStyle w:val="TableText0"/>
                    <w:framePr w:hSpace="180" w:wrap="around" w:vAnchor="text" w:hAnchor="text" w:y="1"/>
                    <w:suppressOverlap/>
                  </w:pPr>
                  <w:r w:rsidRPr="004A1333">
                    <w:t>UST</w:t>
                  </w:r>
                </w:p>
              </w:tc>
              <w:tc>
                <w:tcPr>
                  <w:tcW w:w="2032" w:type="pct"/>
                  <w:tcBorders>
                    <w:bottom w:val="nil"/>
                  </w:tcBorders>
                  <w:vAlign w:val="center"/>
                </w:tcPr>
                <w:p w14:paraId="54392358" w14:textId="77777777" w:rsidR="00A5467F" w:rsidRPr="004A1333" w:rsidRDefault="00A5467F" w:rsidP="00C4708F">
                  <w:pPr>
                    <w:pStyle w:val="TableText0"/>
                    <w:framePr w:hSpace="180" w:wrap="around" w:vAnchor="text" w:hAnchor="text" w:y="1"/>
                    <w:suppressOverlap/>
                    <w:jc w:val="center"/>
                  </w:pPr>
                  <w:r w:rsidRPr="004A1333">
                    <w:t>1:2 – UST IV vs UPA 45mg</w:t>
                  </w:r>
                </w:p>
              </w:tc>
              <w:tc>
                <w:tcPr>
                  <w:tcW w:w="2239" w:type="pct"/>
                  <w:tcBorders>
                    <w:bottom w:val="nil"/>
                  </w:tcBorders>
                  <w:vAlign w:val="center"/>
                </w:tcPr>
                <w:p w14:paraId="2F0DC382" w14:textId="77777777" w:rsidR="00A5467F" w:rsidRPr="004A1333" w:rsidRDefault="00A5467F" w:rsidP="00C4708F">
                  <w:pPr>
                    <w:pStyle w:val="TableText0"/>
                    <w:framePr w:hSpace="180" w:wrap="around" w:vAnchor="text" w:hAnchor="text" w:y="1"/>
                    <w:suppressOverlap/>
                    <w:jc w:val="center"/>
                  </w:pPr>
                  <w:r w:rsidRPr="004A1333">
                    <w:t>6.24:13</w:t>
                  </w:r>
                </w:p>
              </w:tc>
            </w:tr>
            <w:tr w:rsidR="00A5467F" w:rsidRPr="004A1333" w14:paraId="50C2E146" w14:textId="77777777" w:rsidTr="00140C9A">
              <w:tc>
                <w:tcPr>
                  <w:tcW w:w="729" w:type="pct"/>
                  <w:tcBorders>
                    <w:top w:val="nil"/>
                  </w:tcBorders>
                </w:tcPr>
                <w:p w14:paraId="5651A677" w14:textId="77777777" w:rsidR="00A5467F" w:rsidRPr="004A1333" w:rsidRDefault="00A5467F" w:rsidP="00C4708F">
                  <w:pPr>
                    <w:pStyle w:val="TableText0"/>
                    <w:framePr w:hSpace="180" w:wrap="around" w:vAnchor="text" w:hAnchor="text" w:y="1"/>
                    <w:suppressOverlap/>
                  </w:pPr>
                </w:p>
              </w:tc>
              <w:tc>
                <w:tcPr>
                  <w:tcW w:w="2032" w:type="pct"/>
                  <w:tcBorders>
                    <w:top w:val="nil"/>
                  </w:tcBorders>
                  <w:vAlign w:val="center"/>
                </w:tcPr>
                <w:p w14:paraId="156BFEF2" w14:textId="77777777" w:rsidR="00A5467F" w:rsidRPr="004A1333" w:rsidRDefault="00A5467F" w:rsidP="00C4708F">
                  <w:pPr>
                    <w:pStyle w:val="TableText0"/>
                    <w:framePr w:hSpace="180" w:wrap="around" w:vAnchor="text" w:hAnchor="text" w:y="1"/>
                    <w:suppressOverlap/>
                    <w:jc w:val="center"/>
                  </w:pPr>
                  <w:r w:rsidRPr="004A1333">
                    <w:t>1:1 – UST SC vs UPA 45mg</w:t>
                  </w:r>
                </w:p>
              </w:tc>
              <w:tc>
                <w:tcPr>
                  <w:tcW w:w="2239" w:type="pct"/>
                  <w:tcBorders>
                    <w:top w:val="nil"/>
                  </w:tcBorders>
                  <w:vAlign w:val="center"/>
                </w:tcPr>
                <w:p w14:paraId="6B2049FA" w14:textId="77777777" w:rsidR="00A5467F" w:rsidRPr="004A1333" w:rsidRDefault="00A5467F" w:rsidP="00C4708F">
                  <w:pPr>
                    <w:pStyle w:val="TableText0"/>
                    <w:framePr w:hSpace="180" w:wrap="around" w:vAnchor="text" w:hAnchor="text" w:y="1"/>
                    <w:suppressOverlap/>
                    <w:jc w:val="center"/>
                  </w:pPr>
                </w:p>
              </w:tc>
            </w:tr>
          </w:tbl>
          <w:p w14:paraId="5F49122B" w14:textId="5428C910" w:rsidR="00A5467F" w:rsidRPr="004A1333" w:rsidRDefault="00A5467F">
            <w:pPr>
              <w:pStyle w:val="TableFigureFooter"/>
            </w:pPr>
            <w:r w:rsidRPr="004A1333">
              <w:t>Source: Tables 4</w:t>
            </w:r>
            <w:r w:rsidR="00FC7500">
              <w:noBreakHyphen/>
            </w:r>
            <w:r w:rsidRPr="004A1333">
              <w:t>12 and 4</w:t>
            </w:r>
            <w:r w:rsidR="00FC7500">
              <w:noBreakHyphen/>
            </w:r>
            <w:r w:rsidRPr="004A1333">
              <w:t>13, pp138</w:t>
            </w:r>
            <w:r w:rsidR="00FC7500">
              <w:noBreakHyphen/>
            </w:r>
            <w:r w:rsidRPr="004A1333">
              <w:t xml:space="preserve">139 of the submission. </w:t>
            </w:r>
            <w:r w:rsidR="00366299" w:rsidRPr="004A1333">
              <w:t>Changes in PSCR estimates noted where relevant.</w:t>
            </w:r>
          </w:p>
          <w:p w14:paraId="114AF05D" w14:textId="395739B0" w:rsidR="00A5467F" w:rsidRPr="004A1333" w:rsidRDefault="00A5467F">
            <w:pPr>
              <w:pStyle w:val="TableFigureFooter"/>
            </w:pPr>
            <w:r w:rsidRPr="004A1333">
              <w:t xml:space="preserve">ADA = adalimumab; </w:t>
            </w:r>
            <w:r w:rsidR="00363F94" w:rsidRPr="004A1333">
              <w:t xml:space="preserve">Cont. = continuing; </w:t>
            </w:r>
            <w:r w:rsidRPr="004A1333">
              <w:t>FCD = Fistulising Crohn’s Disease; IFX = infliximab; IV = intravenous; SC = subcutaneous; UPA = upadacitinib; UST = ustekinumab; vs = versus.</w:t>
            </w:r>
          </w:p>
          <w:p w14:paraId="02F3D31D" w14:textId="2C9D2E78" w:rsidR="00A5467F" w:rsidRPr="004A1333" w:rsidRDefault="00A5467F">
            <w:pPr>
              <w:pStyle w:val="TableFigureFooter"/>
            </w:pPr>
            <w:r w:rsidRPr="004A1333">
              <w:t>Note: The submission assumed (p138) a split of 30mg vs 15mg UPA to be 77.5%:22.5%.</w:t>
            </w:r>
          </w:p>
          <w:p w14:paraId="090A7B16" w14:textId="77777777" w:rsidR="00A5467F" w:rsidRPr="004A1333" w:rsidRDefault="00A5467F" w:rsidP="00DB018B">
            <w:pPr>
              <w:pStyle w:val="TableFigureFooter"/>
            </w:pPr>
            <w:r w:rsidRPr="004A1333">
              <w:rPr>
                <w:vertAlign w:val="superscript"/>
              </w:rPr>
              <w:t>a</w:t>
            </w:r>
            <w:r w:rsidRPr="004A1333">
              <w:t xml:space="preserve"> 100mg IV IFX vs UPA 45mg (weighting 94% ‘IV only’ regimen and 6% ‘IV &amp; SC’ regimen).</w:t>
            </w:r>
          </w:p>
          <w:p w14:paraId="67093732" w14:textId="1741D7B4" w:rsidR="00A90EE1" w:rsidRPr="004A1333" w:rsidRDefault="00EC064C" w:rsidP="00275781">
            <w:pPr>
              <w:pStyle w:val="Tabletext"/>
            </w:pPr>
            <w:r w:rsidRPr="004A1333">
              <w:t xml:space="preserve">For </w:t>
            </w:r>
            <w:r w:rsidR="00EF4F10" w:rsidRPr="004A1333">
              <w:t>initial dosing</w:t>
            </w:r>
            <w:r w:rsidRPr="004A1333">
              <w:t>, t</w:t>
            </w:r>
            <w:r w:rsidR="009D1128" w:rsidRPr="004A1333">
              <w:t xml:space="preserve">he submission assumed a </w:t>
            </w:r>
            <w:r w:rsidRPr="004A1333">
              <w:t xml:space="preserve">single </w:t>
            </w:r>
            <w:r w:rsidR="009D1128" w:rsidRPr="004A1333">
              <w:t xml:space="preserve">script equivalence </w:t>
            </w:r>
            <w:r w:rsidR="002912A3" w:rsidRPr="004A1333">
              <w:t xml:space="preserve">ratio of 1:0.67 </w:t>
            </w:r>
            <w:r w:rsidR="009D1128" w:rsidRPr="004A1333">
              <w:t>between adalimumab 40 mg and upadacitinib 45 mg</w:t>
            </w:r>
            <w:r w:rsidR="00464799" w:rsidRPr="004A1333">
              <w:t xml:space="preserve"> by</w:t>
            </w:r>
            <w:r w:rsidR="00E84900" w:rsidRPr="004A1333">
              <w:t xml:space="preserve"> group</w:t>
            </w:r>
            <w:r w:rsidR="00464799" w:rsidRPr="004A1333">
              <w:t>ing</w:t>
            </w:r>
            <w:r w:rsidR="00E84900" w:rsidRPr="004A1333">
              <w:t xml:space="preserve"> all adalimumab 40 mg initiating items together including items with different quantities (quantity 6 and quantity 2)</w:t>
            </w:r>
            <w:r w:rsidR="00BD303F" w:rsidRPr="004A1333">
              <w:t>.</w:t>
            </w:r>
            <w:r w:rsidR="00464799" w:rsidRPr="004A1333">
              <w:t xml:space="preserve"> </w:t>
            </w:r>
            <w:r w:rsidR="00A57154" w:rsidRPr="004A1333">
              <w:t>However,</w:t>
            </w:r>
            <w:r w:rsidR="00BD303F" w:rsidRPr="004A1333">
              <w:t xml:space="preserve"> </w:t>
            </w:r>
            <w:r w:rsidR="008207F0" w:rsidRPr="004A1333">
              <w:t xml:space="preserve">in the financial estimates, </w:t>
            </w:r>
            <w:r w:rsidR="00DE2E1A" w:rsidRPr="004A1333">
              <w:t>quantity 6 items ha</w:t>
            </w:r>
            <w:r w:rsidR="001F153C" w:rsidRPr="004A1333">
              <w:t>d</w:t>
            </w:r>
            <w:r w:rsidR="00DE2E1A" w:rsidRPr="004A1333">
              <w:t xml:space="preserve"> a script equivalence of 1:1, whereas the quantity 2 item</w:t>
            </w:r>
            <w:r w:rsidR="00B92091" w:rsidRPr="004A1333">
              <w:t>s</w:t>
            </w:r>
            <w:r w:rsidR="00DE2E1A" w:rsidRPr="004A1333">
              <w:t xml:space="preserve"> ha</w:t>
            </w:r>
            <w:r w:rsidR="001F153C" w:rsidRPr="004A1333">
              <w:t>d</w:t>
            </w:r>
            <w:r w:rsidR="00DE2E1A" w:rsidRPr="004A1333">
              <w:t xml:space="preserve"> a script equivalence of 1:0.67. </w:t>
            </w:r>
            <w:r w:rsidR="007F6F13" w:rsidRPr="004A1333">
              <w:t xml:space="preserve">Grouping these items therefore applied an inappropriate equivalence to </w:t>
            </w:r>
            <w:r w:rsidR="001A27D5" w:rsidRPr="004A1333">
              <w:t>initial</w:t>
            </w:r>
            <w:r w:rsidR="007F6F13" w:rsidRPr="004A1333">
              <w:t xml:space="preserve"> dosing.</w:t>
            </w:r>
            <w:r w:rsidR="006055FF" w:rsidRPr="004A1333">
              <w:t xml:space="preserve"> The PSCR </w:t>
            </w:r>
            <w:r w:rsidR="001C426A" w:rsidRPr="004A1333">
              <w:t>calculated</w:t>
            </w:r>
            <w:r w:rsidR="006055FF" w:rsidRPr="004A1333">
              <w:t xml:space="preserve"> </w:t>
            </w:r>
            <w:r w:rsidR="00AE6D04" w:rsidRPr="004A1333">
              <w:t>adalimumab</w:t>
            </w:r>
            <w:r w:rsidR="00E63ECC">
              <w:t xml:space="preserve"> </w:t>
            </w:r>
            <w:r w:rsidR="006055FF" w:rsidRPr="004A1333">
              <w:t xml:space="preserve">forms with a different pack quantity </w:t>
            </w:r>
            <w:r w:rsidR="001C426A" w:rsidRPr="004A1333">
              <w:t>separately</w:t>
            </w:r>
            <w:r w:rsidR="00BC4713" w:rsidRPr="004A1333">
              <w:t>.</w:t>
            </w:r>
          </w:p>
          <w:p w14:paraId="5EF6C345" w14:textId="436B85E8" w:rsidR="00275781" w:rsidRPr="004A1333" w:rsidRDefault="00D1607B" w:rsidP="00275781">
            <w:pPr>
              <w:pStyle w:val="Tabletext"/>
            </w:pPr>
            <w:r w:rsidRPr="004A1333">
              <w:t xml:space="preserve">For continuing dosing, the </w:t>
            </w:r>
            <w:r w:rsidR="000C15BC" w:rsidRPr="004A1333">
              <w:t xml:space="preserve">financial </w:t>
            </w:r>
            <w:r w:rsidRPr="004A1333">
              <w:t>model assumed a script equivalence ratio of 1:1 between infliximab 100 mg (first continuing) and upadacitinib 30/15 mg</w:t>
            </w:r>
            <w:r w:rsidR="009A4CBB" w:rsidRPr="004A1333">
              <w:t xml:space="preserve">, however </w:t>
            </w:r>
            <w:r w:rsidR="00CA67F0" w:rsidRPr="004A1333">
              <w:t xml:space="preserve">a single infliximab IV script lasts for 8 weeks, implying a script equivalence of 1:2. This was addressed in the PSCR. </w:t>
            </w:r>
          </w:p>
        </w:tc>
      </w:tr>
      <w:tr w:rsidR="00A5467F" w:rsidRPr="0098262F" w14:paraId="18485F46" w14:textId="77777777" w:rsidTr="008D5D8A">
        <w:tc>
          <w:tcPr>
            <w:tcW w:w="950" w:type="pct"/>
            <w:vAlign w:val="center"/>
          </w:tcPr>
          <w:p w14:paraId="3572C7CE" w14:textId="77777777" w:rsidR="00A5467F" w:rsidRPr="004A1333" w:rsidRDefault="00A5467F" w:rsidP="008D5D8A">
            <w:pPr>
              <w:pStyle w:val="TableText0"/>
            </w:pPr>
            <w:r w:rsidRPr="004A1333">
              <w:t>MBS costs</w:t>
            </w:r>
          </w:p>
        </w:tc>
        <w:tc>
          <w:tcPr>
            <w:tcW w:w="4050" w:type="pct"/>
            <w:vAlign w:val="center"/>
          </w:tcPr>
          <w:p w14:paraId="28247AA5" w14:textId="0F0FE685" w:rsidR="008C1AB2" w:rsidRPr="004A1333" w:rsidRDefault="00A5467F">
            <w:pPr>
              <w:pStyle w:val="TableText0"/>
              <w:jc w:val="both"/>
            </w:pPr>
            <w:r w:rsidRPr="004A1333">
              <w:t xml:space="preserve">The submission applied MBS item 14245 ($114.30; IV infusion ≥2 hours) for all IV administrations of infliximab and ustekinumab. For SC biologics, the submission assumed that 10% of administrations require professional assistance </w:t>
            </w:r>
            <w:proofErr w:type="gramStart"/>
            <w:r w:rsidRPr="004A1333">
              <w:t>and also</w:t>
            </w:r>
            <w:proofErr w:type="gramEnd"/>
            <w:r w:rsidRPr="004A1333">
              <w:t xml:space="preserve"> costed these using MBS item 14245. Applying MBS item 14245 to SC administrations was not appropriate, as item 14245 is specific to IV infusions of ≥2 hours’ duration. Assisted SC injections would ordinarily attract a standard GP or nurse attendance (e.g., MBS item 3 or 23), not an IV infusion item. </w:t>
            </w:r>
            <w:r w:rsidR="00B50B86" w:rsidRPr="004A1333">
              <w:t xml:space="preserve">The PSCR </w:t>
            </w:r>
            <w:r w:rsidR="00FA1C28" w:rsidRPr="004A1333">
              <w:t xml:space="preserve">amended </w:t>
            </w:r>
            <w:r w:rsidR="008914F2" w:rsidRPr="004A1333">
              <w:t xml:space="preserve">MBS costs for SC items to MBS item 23 (standard GP consult) </w:t>
            </w:r>
            <w:r w:rsidR="007B60BB" w:rsidRPr="004A1333">
              <w:t xml:space="preserve">for 10% of these injections. </w:t>
            </w:r>
          </w:p>
          <w:p w14:paraId="4FBC469F" w14:textId="77777777" w:rsidR="008C1AB2" w:rsidRPr="004A1333" w:rsidRDefault="008C1AB2">
            <w:pPr>
              <w:pStyle w:val="TableText0"/>
              <w:jc w:val="both"/>
            </w:pPr>
          </w:p>
          <w:p w14:paraId="0F67FB49" w14:textId="700B2D3E" w:rsidR="00A5467F" w:rsidRPr="007D4116" w:rsidRDefault="007B60BB">
            <w:pPr>
              <w:pStyle w:val="TableText0"/>
              <w:jc w:val="both"/>
              <w:rPr>
                <w:i/>
                <w:iCs/>
              </w:rPr>
            </w:pPr>
            <w:r w:rsidRPr="004A1333">
              <w:t xml:space="preserve">The ESC noted </w:t>
            </w:r>
            <w:r w:rsidR="00EA48CA" w:rsidRPr="004A1333">
              <w:t>that MBS items for general practice</w:t>
            </w:r>
            <w:r w:rsidR="008C1AB2" w:rsidRPr="004A1333">
              <w:t xml:space="preserve"> </w:t>
            </w:r>
            <w:r w:rsidR="00EA48CA" w:rsidRPr="004A1333">
              <w:t xml:space="preserve">are typically not accepted in </w:t>
            </w:r>
            <w:r w:rsidR="00AD7B21" w:rsidRPr="004A1333">
              <w:t>estimated financial implications as these costs/savings to Government will not be realised in clinical practice (</w:t>
            </w:r>
            <w:r w:rsidR="008C1AB2" w:rsidRPr="004A1333">
              <w:t xml:space="preserve">paragraph 6.63, cabotegravir + rilpivirine PSD, November 2021 PBAC meeting). </w:t>
            </w:r>
            <w:r w:rsidR="007D4116" w:rsidRPr="009E5B09">
              <w:t>The Pre</w:t>
            </w:r>
            <w:r w:rsidR="00FC7500">
              <w:noBreakHyphen/>
            </w:r>
            <w:r w:rsidR="007D4116" w:rsidRPr="009E5B09">
              <w:t xml:space="preserve">PBAC Response  argued </w:t>
            </w:r>
            <w:r w:rsidR="000D35B8" w:rsidRPr="009E5B09">
              <w:t>the supporting documentation for the Department</w:t>
            </w:r>
            <w:r w:rsidR="00FC7500">
              <w:noBreakHyphen/>
            </w:r>
            <w:r w:rsidR="000D35B8" w:rsidRPr="009E5B09">
              <w:t xml:space="preserve">provided utilisation and cost model (UCM) </w:t>
            </w:r>
            <w:r w:rsidR="009E5B09" w:rsidRPr="009E5B09">
              <w:t>require the estimation and inclusion of all net changes in MBS items and related financial impacts over a 6 year period.</w:t>
            </w:r>
          </w:p>
          <w:p w14:paraId="231FE402" w14:textId="77777777" w:rsidR="00A5467F" w:rsidRPr="004A1333" w:rsidRDefault="00A5467F">
            <w:pPr>
              <w:pStyle w:val="TableText0"/>
              <w:jc w:val="both"/>
            </w:pPr>
          </w:p>
          <w:p w14:paraId="197AD4F4" w14:textId="2656EC3C" w:rsidR="00A5467F" w:rsidRPr="004A1333" w:rsidRDefault="00A5467F">
            <w:pPr>
              <w:pStyle w:val="TableText0"/>
            </w:pPr>
            <w:r w:rsidRPr="004A1333">
              <w:lastRenderedPageBreak/>
              <w:t xml:space="preserve">No differential monitoring or AE management costs between treatments were presented in the financial analysis of the submission. </w:t>
            </w:r>
            <w:r w:rsidR="00AA5409" w:rsidRPr="004A1333">
              <w:t xml:space="preserve">This was consistent with previous CMAs considered by the PBAC for this indication (see paragraph </w:t>
            </w:r>
            <w:r w:rsidR="00AA5409" w:rsidRPr="004A1333">
              <w:fldChar w:fldCharType="begin"/>
            </w:r>
            <w:r w:rsidR="00AA5409" w:rsidRPr="004A1333">
              <w:instrText xml:space="preserve"> REF _Ref216646189 \r \h </w:instrText>
            </w:r>
            <w:r w:rsidR="008D5D8A" w:rsidRPr="004A1333">
              <w:instrText xml:space="preserve"> \* MERGEFORMAT </w:instrText>
            </w:r>
            <w:r w:rsidR="00AA5409" w:rsidRPr="004A1333">
              <w:fldChar w:fldCharType="separate"/>
            </w:r>
            <w:r w:rsidR="00AA5409" w:rsidRPr="004A1333">
              <w:t>6.</w:t>
            </w:r>
            <w:bookmarkStart w:id="93" w:name="_Hlt218858920"/>
            <w:bookmarkStart w:id="94" w:name="_Hlt218858921"/>
            <w:r w:rsidR="00AA5409" w:rsidRPr="004A1333">
              <w:t>3</w:t>
            </w:r>
            <w:bookmarkEnd w:id="93"/>
            <w:bookmarkEnd w:id="94"/>
            <w:r w:rsidR="00AA5409" w:rsidRPr="004A1333">
              <w:t>0</w:t>
            </w:r>
            <w:r w:rsidR="00AA5409" w:rsidRPr="004A1333">
              <w:fldChar w:fldCharType="end"/>
            </w:r>
            <w:r w:rsidR="00AA5409" w:rsidRPr="004A1333">
              <w:t xml:space="preserve"> for discussion).</w:t>
            </w:r>
          </w:p>
        </w:tc>
      </w:tr>
    </w:tbl>
    <w:p w14:paraId="2B7BB09C" w14:textId="20296FF8" w:rsidR="00A5467F" w:rsidRPr="00780242" w:rsidRDefault="00A5467F" w:rsidP="00A5467F">
      <w:pPr>
        <w:pStyle w:val="TableFigureFooter"/>
      </w:pPr>
      <w:r w:rsidRPr="00780242">
        <w:lastRenderedPageBreak/>
        <w:t>Source: Table</w:t>
      </w:r>
      <w:r>
        <w:t>s 4</w:t>
      </w:r>
      <w:r w:rsidR="00FC7500">
        <w:noBreakHyphen/>
      </w:r>
      <w:r>
        <w:t>1 to 4</w:t>
      </w:r>
      <w:r w:rsidR="00FC7500">
        <w:noBreakHyphen/>
      </w:r>
      <w:r>
        <w:t>18</w:t>
      </w:r>
      <w:r w:rsidRPr="00780242">
        <w:t xml:space="preserve">, </w:t>
      </w:r>
      <w:r>
        <w:t>pp126</w:t>
      </w:r>
      <w:r w:rsidR="00FC7500">
        <w:noBreakHyphen/>
      </w:r>
      <w:r>
        <w:t>141</w:t>
      </w:r>
      <w:r w:rsidRPr="00780242">
        <w:t xml:space="preserve"> of the submission</w:t>
      </w:r>
      <w:r>
        <w:t xml:space="preserve">. </w:t>
      </w:r>
      <w:r w:rsidRPr="002F3A05">
        <w:rPr>
          <w:i/>
          <w:iCs/>
        </w:rPr>
        <w:t>Text in italics was added during the evaluation</w:t>
      </w:r>
      <w:r>
        <w:t xml:space="preserve">. </w:t>
      </w:r>
    </w:p>
    <w:p w14:paraId="433322A5" w14:textId="0BEADE51" w:rsidR="00A5467F" w:rsidRPr="0098262F" w:rsidRDefault="00A5467F" w:rsidP="00A5467F">
      <w:pPr>
        <w:pStyle w:val="TableFigureFooter"/>
        <w:rPr>
          <w:color w:val="3366FF"/>
        </w:rPr>
      </w:pPr>
      <w:r w:rsidRPr="00780242">
        <w:t>ADA</w:t>
      </w:r>
      <w:r>
        <w:t xml:space="preserve"> =</w:t>
      </w:r>
      <w:r w:rsidRPr="00780242">
        <w:t xml:space="preserve"> adalimumab;</w:t>
      </w:r>
      <w:r w:rsidR="003A38C3">
        <w:t xml:space="preserve"> </w:t>
      </w:r>
      <w:r w:rsidR="008D5D8A">
        <w:t xml:space="preserve">AE = adverse event; </w:t>
      </w:r>
      <w:r w:rsidR="003A38C3">
        <w:t>AEMP = Approved Ex</w:t>
      </w:r>
      <w:r w:rsidR="00FC7500">
        <w:noBreakHyphen/>
      </w:r>
      <w:r w:rsidR="003A38C3">
        <w:t>Manufacturer Price;</w:t>
      </w:r>
      <w:r w:rsidRPr="00780242">
        <w:t xml:space="preserve"> </w:t>
      </w:r>
      <w:r>
        <w:t xml:space="preserve">CMA = cost minimisation approach; DPMQ = </w:t>
      </w:r>
      <w:r w:rsidRPr="005618EE">
        <w:t>Dispense</w:t>
      </w:r>
      <w:r>
        <w:t>d</w:t>
      </w:r>
      <w:r w:rsidRPr="005618EE">
        <w:t xml:space="preserve"> Price for Maximum Quantity</w:t>
      </w:r>
      <w:r>
        <w:t xml:space="preserve">; </w:t>
      </w:r>
      <w:r w:rsidRPr="00780242">
        <w:t>FCD</w:t>
      </w:r>
      <w:r>
        <w:t xml:space="preserve"> =</w:t>
      </w:r>
      <w:r w:rsidRPr="00780242">
        <w:t xml:space="preserve"> Fistulising Crohn’s disease; IFX</w:t>
      </w:r>
      <w:r>
        <w:t xml:space="preserve"> =</w:t>
      </w:r>
      <w:r w:rsidRPr="00780242">
        <w:t xml:space="preserve"> infliximab; </w:t>
      </w:r>
      <w:r w:rsidR="003A38C3">
        <w:t xml:space="preserve">IV = intravenous; </w:t>
      </w:r>
      <w:r w:rsidRPr="0024304D">
        <w:t>MBS</w:t>
      </w:r>
      <w:r>
        <w:t xml:space="preserve"> =</w:t>
      </w:r>
      <w:r w:rsidRPr="0024304D">
        <w:t xml:space="preserve"> Medicare Benefits Scheme</w:t>
      </w:r>
      <w:r>
        <w:t xml:space="preserve">; </w:t>
      </w:r>
      <w:r w:rsidRPr="00B90D48">
        <w:t>PBS</w:t>
      </w:r>
      <w:r>
        <w:t xml:space="preserve"> =</w:t>
      </w:r>
      <w:r w:rsidRPr="00B90D48">
        <w:t xml:space="preserve"> Pharmaceutical Benefits Scheme</w:t>
      </w:r>
      <w:r>
        <w:t xml:space="preserve">; PI = Product Information; PBAC = Pharmaceutical Benefits Advisory Committee; PSD = Public Summary Document; </w:t>
      </w:r>
      <w:r w:rsidR="003A38C3">
        <w:t xml:space="preserve">Q8W = every 8 weeks; Q12W = every 12 weeks; </w:t>
      </w:r>
      <w:r>
        <w:t xml:space="preserve">RPBS = </w:t>
      </w:r>
      <w:r w:rsidRPr="005F4C64">
        <w:t>Repatriation</w:t>
      </w:r>
      <w:r>
        <w:t xml:space="preserve"> </w:t>
      </w:r>
      <w:r w:rsidRPr="00B90D48">
        <w:t>Pharmaceutical Benefits Scheme</w:t>
      </w:r>
      <w:r>
        <w:t>;</w:t>
      </w:r>
      <w:r w:rsidR="003A38C3">
        <w:t xml:space="preserve"> SC = subcutaneous;</w:t>
      </w:r>
      <w:r>
        <w:t xml:space="preserve"> </w:t>
      </w:r>
      <w:r w:rsidRPr="00780242">
        <w:t>UST</w:t>
      </w:r>
      <w:r>
        <w:t xml:space="preserve"> =</w:t>
      </w:r>
      <w:r w:rsidRPr="00780242">
        <w:t xml:space="preserve"> ustekinumab</w:t>
      </w:r>
      <w:r>
        <w:t>.</w:t>
      </w:r>
    </w:p>
    <w:p w14:paraId="1BC4E2D8" w14:textId="74CA0435" w:rsidR="00A5467F" w:rsidRPr="004A1333" w:rsidRDefault="00A5467F" w:rsidP="00A5467F">
      <w:pPr>
        <w:pStyle w:val="3-BodyText"/>
      </w:pPr>
      <w:r w:rsidRPr="004A1333">
        <w:fldChar w:fldCharType="begin"/>
      </w:r>
      <w:r w:rsidRPr="004A1333">
        <w:instrText xml:space="preserve"> REF _Ref104805295 \h  \* MERGEFORMAT </w:instrText>
      </w:r>
      <w:r w:rsidRPr="004A1333">
        <w:fldChar w:fldCharType="separate"/>
      </w:r>
      <w:r w:rsidR="00AA5409" w:rsidRPr="004A1333">
        <w:t>Table 9</w:t>
      </w:r>
      <w:r w:rsidRPr="004A1333">
        <w:fldChar w:fldCharType="end"/>
      </w:r>
      <w:r w:rsidRPr="004A1333">
        <w:t xml:space="preserve"> presents the estimated net financial implications to the PBS/RPBS</w:t>
      </w:r>
      <w:r w:rsidR="005F55BC" w:rsidRPr="004A1333">
        <w:t>, updated based on revised figures in the PSCR,</w:t>
      </w:r>
      <w:r w:rsidRPr="004A1333">
        <w:t xml:space="preserve"> for the proposed listing of upadacitinib in complex refractory FCD over the first 6 years. </w:t>
      </w:r>
    </w:p>
    <w:p w14:paraId="6B3F3635" w14:textId="5C19DAFF" w:rsidR="00A5467F" w:rsidRPr="004A1333" w:rsidRDefault="00A5467F" w:rsidP="00A5467F">
      <w:pPr>
        <w:pStyle w:val="Caption"/>
      </w:pPr>
      <w:bookmarkStart w:id="95" w:name="_Ref104805295"/>
      <w:r w:rsidRPr="004A1333">
        <w:t xml:space="preserve">Table </w:t>
      </w:r>
      <w:fldSimple w:instr=" SEQ Table \* ARABIC ">
        <w:r w:rsidR="000C3F10" w:rsidRPr="004A1333">
          <w:rPr>
            <w:noProof/>
          </w:rPr>
          <w:t>9</w:t>
        </w:r>
      </w:fldSimple>
      <w:bookmarkEnd w:id="95"/>
      <w:r w:rsidRPr="004A1333">
        <w:t>:</w:t>
      </w:r>
      <w:r w:rsidRPr="004A1333">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Estimated use and financial implications"/>
      </w:tblPr>
      <w:tblGrid>
        <w:gridCol w:w="2301"/>
        <w:gridCol w:w="1118"/>
        <w:gridCol w:w="1118"/>
        <w:gridCol w:w="1120"/>
        <w:gridCol w:w="1118"/>
        <w:gridCol w:w="1118"/>
        <w:gridCol w:w="1124"/>
      </w:tblGrid>
      <w:tr w:rsidR="00A5467F" w:rsidRPr="004A1333" w14:paraId="102D94FC" w14:textId="77777777" w:rsidTr="00552D88">
        <w:trPr>
          <w:tblHeader/>
        </w:trPr>
        <w:tc>
          <w:tcPr>
            <w:tcW w:w="1276" w:type="pct"/>
            <w:vAlign w:val="center"/>
          </w:tcPr>
          <w:p w14:paraId="730F82DE" w14:textId="77777777" w:rsidR="00A5467F" w:rsidRPr="004A1333" w:rsidRDefault="00A5467F">
            <w:pPr>
              <w:pStyle w:val="In-tableHeading"/>
              <w:jc w:val="center"/>
              <w:rPr>
                <w:lang w:val="en-AU"/>
              </w:rPr>
            </w:pPr>
          </w:p>
        </w:tc>
        <w:tc>
          <w:tcPr>
            <w:tcW w:w="620" w:type="pct"/>
            <w:vAlign w:val="center"/>
          </w:tcPr>
          <w:p w14:paraId="351C62FA" w14:textId="77777777" w:rsidR="00A5467F" w:rsidRPr="004A1333" w:rsidRDefault="00A5467F">
            <w:pPr>
              <w:pStyle w:val="In-tableHeading"/>
              <w:jc w:val="center"/>
              <w:rPr>
                <w:lang w:val="en-AU"/>
              </w:rPr>
            </w:pPr>
            <w:r w:rsidRPr="004A1333">
              <w:rPr>
                <w:lang w:val="en-AU"/>
              </w:rPr>
              <w:t>Year 1</w:t>
            </w:r>
          </w:p>
        </w:tc>
        <w:tc>
          <w:tcPr>
            <w:tcW w:w="620" w:type="pct"/>
            <w:vAlign w:val="center"/>
          </w:tcPr>
          <w:p w14:paraId="1D0DF30E" w14:textId="77777777" w:rsidR="00A5467F" w:rsidRPr="004A1333" w:rsidRDefault="00A5467F">
            <w:pPr>
              <w:pStyle w:val="In-tableHeading"/>
              <w:jc w:val="center"/>
              <w:rPr>
                <w:lang w:val="en-AU"/>
              </w:rPr>
            </w:pPr>
            <w:r w:rsidRPr="004A1333">
              <w:rPr>
                <w:lang w:val="en-AU"/>
              </w:rPr>
              <w:t>Year 2</w:t>
            </w:r>
          </w:p>
        </w:tc>
        <w:tc>
          <w:tcPr>
            <w:tcW w:w="621" w:type="pct"/>
            <w:vAlign w:val="center"/>
          </w:tcPr>
          <w:p w14:paraId="3B321895" w14:textId="77777777" w:rsidR="00A5467F" w:rsidRPr="004A1333" w:rsidRDefault="00A5467F">
            <w:pPr>
              <w:pStyle w:val="In-tableHeading"/>
              <w:jc w:val="center"/>
              <w:rPr>
                <w:lang w:val="en-AU"/>
              </w:rPr>
            </w:pPr>
            <w:r w:rsidRPr="004A1333">
              <w:rPr>
                <w:lang w:val="en-AU"/>
              </w:rPr>
              <w:t>Year 3</w:t>
            </w:r>
          </w:p>
        </w:tc>
        <w:tc>
          <w:tcPr>
            <w:tcW w:w="620" w:type="pct"/>
            <w:vAlign w:val="center"/>
          </w:tcPr>
          <w:p w14:paraId="0BE5E453" w14:textId="77777777" w:rsidR="00A5467F" w:rsidRPr="004A1333" w:rsidRDefault="00A5467F">
            <w:pPr>
              <w:pStyle w:val="In-tableHeading"/>
              <w:jc w:val="center"/>
              <w:rPr>
                <w:lang w:val="en-AU"/>
              </w:rPr>
            </w:pPr>
            <w:r w:rsidRPr="004A1333">
              <w:rPr>
                <w:lang w:val="en-AU"/>
              </w:rPr>
              <w:t>Year 4</w:t>
            </w:r>
          </w:p>
        </w:tc>
        <w:tc>
          <w:tcPr>
            <w:tcW w:w="620" w:type="pct"/>
            <w:vAlign w:val="center"/>
          </w:tcPr>
          <w:p w14:paraId="0D74EF9D" w14:textId="77777777" w:rsidR="00A5467F" w:rsidRPr="004A1333" w:rsidRDefault="00A5467F">
            <w:pPr>
              <w:pStyle w:val="In-tableHeading"/>
              <w:jc w:val="center"/>
              <w:rPr>
                <w:lang w:val="en-AU"/>
              </w:rPr>
            </w:pPr>
            <w:r w:rsidRPr="004A1333">
              <w:rPr>
                <w:lang w:val="en-AU"/>
              </w:rPr>
              <w:t>Year 5</w:t>
            </w:r>
          </w:p>
        </w:tc>
        <w:tc>
          <w:tcPr>
            <w:tcW w:w="621" w:type="pct"/>
          </w:tcPr>
          <w:p w14:paraId="5A191AFF" w14:textId="77777777" w:rsidR="00A5467F" w:rsidRPr="004A1333" w:rsidRDefault="00A5467F">
            <w:pPr>
              <w:pStyle w:val="In-tableHeading"/>
              <w:jc w:val="center"/>
              <w:rPr>
                <w:lang w:val="en-AU"/>
              </w:rPr>
            </w:pPr>
            <w:r w:rsidRPr="004A1333">
              <w:rPr>
                <w:lang w:val="en-AU"/>
              </w:rPr>
              <w:t>Year 6</w:t>
            </w:r>
          </w:p>
        </w:tc>
      </w:tr>
      <w:tr w:rsidR="00A5467F" w:rsidRPr="004A1333" w14:paraId="43DA3BA8" w14:textId="77777777" w:rsidTr="00552D88">
        <w:tc>
          <w:tcPr>
            <w:tcW w:w="5000" w:type="pct"/>
            <w:gridSpan w:val="7"/>
            <w:vAlign w:val="center"/>
          </w:tcPr>
          <w:p w14:paraId="3FB9540D" w14:textId="77777777" w:rsidR="00A5467F" w:rsidRPr="004A1333" w:rsidRDefault="00A5467F">
            <w:pPr>
              <w:pStyle w:val="In-tableHeading"/>
              <w:rPr>
                <w:bCs/>
                <w:color w:val="000000"/>
                <w:lang w:val="en-AU"/>
              </w:rPr>
            </w:pPr>
            <w:r w:rsidRPr="004A1333">
              <w:rPr>
                <w:bCs/>
                <w:color w:val="000000"/>
                <w:lang w:val="en-AU"/>
              </w:rPr>
              <w:t>Estimated extent of use</w:t>
            </w:r>
          </w:p>
        </w:tc>
      </w:tr>
      <w:tr w:rsidR="00A5467F" w:rsidRPr="004A1333" w14:paraId="216BC728" w14:textId="77777777" w:rsidTr="00552D88">
        <w:tc>
          <w:tcPr>
            <w:tcW w:w="1276" w:type="pct"/>
            <w:vAlign w:val="center"/>
          </w:tcPr>
          <w:p w14:paraId="262F7A11" w14:textId="77777777" w:rsidR="00A5467F" w:rsidRPr="004A1333" w:rsidRDefault="00A5467F">
            <w:pPr>
              <w:pStyle w:val="TableText0"/>
              <w:rPr>
                <w:rFonts w:ascii="Times" w:hAnsi="Times"/>
              </w:rPr>
            </w:pPr>
            <w:r w:rsidRPr="004A1333">
              <w:t>Number of scripts dispensed</w:t>
            </w:r>
          </w:p>
        </w:tc>
        <w:tc>
          <w:tcPr>
            <w:tcW w:w="620" w:type="pct"/>
            <w:vAlign w:val="center"/>
          </w:tcPr>
          <w:p w14:paraId="066AB672" w14:textId="5C7817B8" w:rsidR="00A5467F" w:rsidRPr="00D238D9" w:rsidRDefault="00443A05">
            <w:pPr>
              <w:pStyle w:val="TableText0"/>
              <w:jc w:val="center"/>
              <w:rPr>
                <w:bCs w:val="0"/>
                <w:color w:val="000000"/>
                <w:vertAlign w:val="superscript"/>
              </w:rPr>
            </w:pPr>
            <w:r w:rsidRPr="00443A05">
              <w:rPr>
                <w:bCs w:val="0"/>
                <w:color w:val="000000"/>
                <w:sz w:val="2"/>
                <w:szCs w:val="20"/>
                <w:highlight w:val="black"/>
              </w:rPr>
              <w:t>redacted content</w:t>
            </w:r>
            <w:r w:rsidR="00D238D9">
              <w:rPr>
                <w:bCs w:val="0"/>
                <w:color w:val="000000"/>
                <w:szCs w:val="20"/>
                <w:vertAlign w:val="superscript"/>
              </w:rPr>
              <w:t>1</w:t>
            </w:r>
          </w:p>
        </w:tc>
        <w:tc>
          <w:tcPr>
            <w:tcW w:w="620" w:type="pct"/>
            <w:vAlign w:val="center"/>
          </w:tcPr>
          <w:p w14:paraId="46E5E5D7" w14:textId="67177FBE" w:rsidR="00A5467F" w:rsidRPr="00D238D9" w:rsidRDefault="00443A05">
            <w:pPr>
              <w:pStyle w:val="TableText0"/>
              <w:jc w:val="center"/>
              <w:rPr>
                <w:bCs w:val="0"/>
                <w:color w:val="000000"/>
                <w:vertAlign w:val="superscript"/>
              </w:rPr>
            </w:pPr>
            <w:r w:rsidRPr="00443A05">
              <w:rPr>
                <w:bCs w:val="0"/>
                <w:color w:val="000000"/>
                <w:sz w:val="2"/>
                <w:szCs w:val="20"/>
                <w:highlight w:val="black"/>
              </w:rPr>
              <w:t>redacted content</w:t>
            </w:r>
            <w:r w:rsidR="00D238D9">
              <w:rPr>
                <w:bCs w:val="0"/>
                <w:color w:val="000000"/>
                <w:szCs w:val="20"/>
                <w:vertAlign w:val="superscript"/>
              </w:rPr>
              <w:t>1</w:t>
            </w:r>
          </w:p>
        </w:tc>
        <w:tc>
          <w:tcPr>
            <w:tcW w:w="621" w:type="pct"/>
            <w:vAlign w:val="center"/>
          </w:tcPr>
          <w:p w14:paraId="7CAF4C4F" w14:textId="28475D4D" w:rsidR="00A5467F" w:rsidRPr="00D238D9" w:rsidRDefault="00443A05">
            <w:pPr>
              <w:pStyle w:val="TableText0"/>
              <w:jc w:val="center"/>
              <w:rPr>
                <w:bCs w:val="0"/>
                <w:color w:val="000000"/>
                <w:vertAlign w:val="superscript"/>
              </w:rPr>
            </w:pPr>
            <w:r w:rsidRPr="00443A05">
              <w:rPr>
                <w:bCs w:val="0"/>
                <w:color w:val="000000"/>
                <w:sz w:val="2"/>
                <w:szCs w:val="20"/>
                <w:highlight w:val="black"/>
              </w:rPr>
              <w:t>redacted content</w:t>
            </w:r>
            <w:r w:rsidR="00D238D9">
              <w:rPr>
                <w:bCs w:val="0"/>
                <w:color w:val="000000"/>
                <w:szCs w:val="20"/>
                <w:vertAlign w:val="superscript"/>
              </w:rPr>
              <w:t>1</w:t>
            </w:r>
          </w:p>
        </w:tc>
        <w:tc>
          <w:tcPr>
            <w:tcW w:w="620" w:type="pct"/>
            <w:vAlign w:val="center"/>
          </w:tcPr>
          <w:p w14:paraId="6C0F5F6B" w14:textId="4276CFBD" w:rsidR="00A5467F" w:rsidRPr="002B7B22" w:rsidRDefault="00443A05">
            <w:pPr>
              <w:pStyle w:val="TableText0"/>
              <w:jc w:val="center"/>
              <w:rPr>
                <w:bCs w:val="0"/>
                <w:color w:val="000000"/>
                <w:vertAlign w:val="superscript"/>
              </w:rPr>
            </w:pPr>
            <w:r w:rsidRPr="00443A05">
              <w:rPr>
                <w:bCs w:val="0"/>
                <w:color w:val="000000"/>
                <w:sz w:val="2"/>
                <w:szCs w:val="20"/>
                <w:highlight w:val="black"/>
              </w:rPr>
              <w:t>redacted content</w:t>
            </w:r>
            <w:r w:rsidR="002B7B22">
              <w:rPr>
                <w:bCs w:val="0"/>
                <w:color w:val="000000"/>
                <w:szCs w:val="20"/>
                <w:vertAlign w:val="superscript"/>
              </w:rPr>
              <w:t>2</w:t>
            </w:r>
          </w:p>
        </w:tc>
        <w:tc>
          <w:tcPr>
            <w:tcW w:w="620" w:type="pct"/>
            <w:vAlign w:val="center"/>
          </w:tcPr>
          <w:p w14:paraId="24CC7B4B" w14:textId="6AE11861" w:rsidR="00A5467F" w:rsidRPr="002B7B22" w:rsidRDefault="00443A05">
            <w:pPr>
              <w:pStyle w:val="TableText0"/>
              <w:jc w:val="center"/>
              <w:rPr>
                <w:bCs w:val="0"/>
                <w:color w:val="000000"/>
                <w:vertAlign w:val="superscript"/>
              </w:rPr>
            </w:pPr>
            <w:r w:rsidRPr="00443A05">
              <w:rPr>
                <w:bCs w:val="0"/>
                <w:color w:val="000000"/>
                <w:sz w:val="2"/>
                <w:szCs w:val="20"/>
                <w:highlight w:val="black"/>
              </w:rPr>
              <w:t>redacted content</w:t>
            </w:r>
            <w:r w:rsidR="002B7B22">
              <w:rPr>
                <w:bCs w:val="0"/>
                <w:color w:val="000000"/>
                <w:szCs w:val="20"/>
                <w:vertAlign w:val="superscript"/>
              </w:rPr>
              <w:t>2</w:t>
            </w:r>
          </w:p>
        </w:tc>
        <w:tc>
          <w:tcPr>
            <w:tcW w:w="621" w:type="pct"/>
            <w:vAlign w:val="center"/>
          </w:tcPr>
          <w:p w14:paraId="53A2A39E" w14:textId="09A3B7ED" w:rsidR="00A5467F" w:rsidRPr="002B7B22" w:rsidRDefault="00443A05">
            <w:pPr>
              <w:pStyle w:val="TableText0"/>
              <w:jc w:val="center"/>
              <w:rPr>
                <w:bCs w:val="0"/>
                <w:color w:val="000000"/>
                <w:vertAlign w:val="superscript"/>
              </w:rPr>
            </w:pPr>
            <w:r w:rsidRPr="00443A05">
              <w:rPr>
                <w:bCs w:val="0"/>
                <w:color w:val="000000"/>
                <w:sz w:val="2"/>
                <w:szCs w:val="20"/>
                <w:highlight w:val="black"/>
              </w:rPr>
              <w:t>redacted content</w:t>
            </w:r>
            <w:r w:rsidR="002B7B22">
              <w:rPr>
                <w:bCs w:val="0"/>
                <w:color w:val="000000"/>
                <w:szCs w:val="20"/>
                <w:vertAlign w:val="superscript"/>
              </w:rPr>
              <w:t>2</w:t>
            </w:r>
          </w:p>
        </w:tc>
      </w:tr>
      <w:tr w:rsidR="00A5467F" w:rsidRPr="004A1333" w14:paraId="021E2CC3" w14:textId="77777777" w:rsidTr="00552D88">
        <w:tc>
          <w:tcPr>
            <w:tcW w:w="5000" w:type="pct"/>
            <w:gridSpan w:val="7"/>
            <w:vAlign w:val="center"/>
          </w:tcPr>
          <w:p w14:paraId="3EC40C71" w14:textId="77777777" w:rsidR="00A5467F" w:rsidRPr="004A1333" w:rsidRDefault="00A5467F">
            <w:pPr>
              <w:pStyle w:val="In-tableHeading"/>
              <w:rPr>
                <w:lang w:val="en-AU"/>
              </w:rPr>
            </w:pPr>
            <w:r w:rsidRPr="004A1333">
              <w:rPr>
                <w:lang w:val="en-AU"/>
              </w:rPr>
              <w:t>Estimated financial implications of upadacitinib</w:t>
            </w:r>
          </w:p>
        </w:tc>
      </w:tr>
      <w:tr w:rsidR="007622DB" w:rsidRPr="004A1333" w14:paraId="7220D4DD" w14:textId="77777777" w:rsidTr="00552D88">
        <w:tc>
          <w:tcPr>
            <w:tcW w:w="1276" w:type="pct"/>
            <w:vAlign w:val="center"/>
          </w:tcPr>
          <w:p w14:paraId="5AA7E2EB" w14:textId="77777777" w:rsidR="007622DB" w:rsidRPr="004A1333" w:rsidRDefault="007622DB" w:rsidP="007622DB">
            <w:pPr>
              <w:pStyle w:val="TableText0"/>
              <w:rPr>
                <w:szCs w:val="20"/>
              </w:rPr>
            </w:pPr>
            <w:r w:rsidRPr="004A1333">
              <w:rPr>
                <w:szCs w:val="20"/>
              </w:rPr>
              <w:t>Cost to PBS/RPBS less copayments</w:t>
            </w:r>
          </w:p>
        </w:tc>
        <w:tc>
          <w:tcPr>
            <w:tcW w:w="620" w:type="pct"/>
            <w:vAlign w:val="center"/>
          </w:tcPr>
          <w:p w14:paraId="75B94669" w14:textId="1BB5EBBE" w:rsidR="007622DB" w:rsidRPr="00755D4C" w:rsidRDefault="007622DB" w:rsidP="007622DB">
            <w:pPr>
              <w:pStyle w:val="TableText0"/>
              <w:jc w:val="center"/>
              <w:rPr>
                <w:bCs w:val="0"/>
                <w:vertAlign w:val="superscript"/>
              </w:rPr>
            </w:pPr>
            <w:r w:rsidRPr="004A1333">
              <w:t>$</w:t>
            </w:r>
            <w:r w:rsidR="00443A05" w:rsidRPr="00443A05">
              <w:rPr>
                <w:sz w:val="2"/>
                <w:highlight w:val="black"/>
              </w:rPr>
              <w:t>redacted content</w:t>
            </w:r>
            <w:r w:rsidR="00755D4C">
              <w:rPr>
                <w:vertAlign w:val="superscript"/>
              </w:rPr>
              <w:t>3</w:t>
            </w:r>
          </w:p>
        </w:tc>
        <w:tc>
          <w:tcPr>
            <w:tcW w:w="620" w:type="pct"/>
            <w:vAlign w:val="center"/>
          </w:tcPr>
          <w:p w14:paraId="5FCF1058" w14:textId="7C0292E2" w:rsidR="007622DB" w:rsidRPr="00755D4C" w:rsidRDefault="007622DB" w:rsidP="007622DB">
            <w:pPr>
              <w:pStyle w:val="TableText0"/>
              <w:jc w:val="center"/>
              <w:rPr>
                <w:bCs w:val="0"/>
                <w:vertAlign w:val="superscript"/>
              </w:rPr>
            </w:pPr>
            <w:r w:rsidRPr="004A1333">
              <w:t>$</w:t>
            </w:r>
            <w:r w:rsidR="00443A05" w:rsidRPr="00443A05">
              <w:rPr>
                <w:sz w:val="2"/>
                <w:highlight w:val="black"/>
              </w:rPr>
              <w:t>redacted content</w:t>
            </w:r>
            <w:r w:rsidR="00755D4C">
              <w:rPr>
                <w:vertAlign w:val="superscript"/>
              </w:rPr>
              <w:t>3</w:t>
            </w:r>
          </w:p>
        </w:tc>
        <w:tc>
          <w:tcPr>
            <w:tcW w:w="621" w:type="pct"/>
            <w:vAlign w:val="center"/>
          </w:tcPr>
          <w:p w14:paraId="25B2F6E2" w14:textId="20A2B85D" w:rsidR="007622DB" w:rsidRPr="00755D4C" w:rsidRDefault="007622DB" w:rsidP="007622DB">
            <w:pPr>
              <w:pStyle w:val="TableText0"/>
              <w:jc w:val="center"/>
              <w:rPr>
                <w:bCs w:val="0"/>
                <w:vertAlign w:val="superscript"/>
              </w:rPr>
            </w:pPr>
            <w:r w:rsidRPr="004A1333">
              <w:t>$</w:t>
            </w:r>
            <w:r w:rsidR="00443A05" w:rsidRPr="00443A05">
              <w:rPr>
                <w:sz w:val="2"/>
                <w:highlight w:val="black"/>
              </w:rPr>
              <w:t>redacted content</w:t>
            </w:r>
            <w:r w:rsidR="00755D4C">
              <w:rPr>
                <w:vertAlign w:val="superscript"/>
              </w:rPr>
              <w:t>3</w:t>
            </w:r>
          </w:p>
        </w:tc>
        <w:tc>
          <w:tcPr>
            <w:tcW w:w="620" w:type="pct"/>
            <w:vAlign w:val="center"/>
          </w:tcPr>
          <w:p w14:paraId="5DB5F9B1" w14:textId="76CEEE9D" w:rsidR="007622DB" w:rsidRPr="00755D4C" w:rsidRDefault="007622DB" w:rsidP="007622DB">
            <w:pPr>
              <w:pStyle w:val="TableText0"/>
              <w:jc w:val="center"/>
              <w:rPr>
                <w:bCs w:val="0"/>
                <w:vertAlign w:val="superscript"/>
              </w:rPr>
            </w:pPr>
            <w:r w:rsidRPr="004A1333">
              <w:t>$</w:t>
            </w:r>
            <w:r w:rsidR="00443A05" w:rsidRPr="00443A05">
              <w:rPr>
                <w:sz w:val="2"/>
                <w:highlight w:val="black"/>
              </w:rPr>
              <w:t>redacted content</w:t>
            </w:r>
            <w:r w:rsidR="00755D4C">
              <w:rPr>
                <w:vertAlign w:val="superscript"/>
              </w:rPr>
              <w:t>3</w:t>
            </w:r>
          </w:p>
        </w:tc>
        <w:tc>
          <w:tcPr>
            <w:tcW w:w="620" w:type="pct"/>
            <w:vAlign w:val="center"/>
          </w:tcPr>
          <w:p w14:paraId="2938E0FB" w14:textId="028E4A9B" w:rsidR="007622DB" w:rsidRPr="00755D4C" w:rsidRDefault="007622DB" w:rsidP="007622DB">
            <w:pPr>
              <w:pStyle w:val="TableText0"/>
              <w:jc w:val="center"/>
              <w:rPr>
                <w:bCs w:val="0"/>
                <w:vertAlign w:val="superscript"/>
              </w:rPr>
            </w:pPr>
            <w:r w:rsidRPr="004A1333">
              <w:t>$</w:t>
            </w:r>
            <w:r w:rsidR="00443A05" w:rsidRPr="00443A05">
              <w:rPr>
                <w:sz w:val="2"/>
                <w:highlight w:val="black"/>
              </w:rPr>
              <w:t>redacted content</w:t>
            </w:r>
            <w:r w:rsidR="00755D4C">
              <w:rPr>
                <w:vertAlign w:val="superscript"/>
              </w:rPr>
              <w:t>3</w:t>
            </w:r>
          </w:p>
        </w:tc>
        <w:tc>
          <w:tcPr>
            <w:tcW w:w="621" w:type="pct"/>
            <w:vAlign w:val="center"/>
          </w:tcPr>
          <w:p w14:paraId="061BC352" w14:textId="0F673337" w:rsidR="007622DB" w:rsidRPr="00755D4C" w:rsidRDefault="007622DB" w:rsidP="007622DB">
            <w:pPr>
              <w:pStyle w:val="TableText0"/>
              <w:jc w:val="center"/>
              <w:rPr>
                <w:bCs w:val="0"/>
                <w:vertAlign w:val="superscript"/>
              </w:rPr>
            </w:pPr>
            <w:r w:rsidRPr="004A1333">
              <w:t>$</w:t>
            </w:r>
            <w:r w:rsidR="00443A05" w:rsidRPr="00443A05">
              <w:rPr>
                <w:sz w:val="2"/>
                <w:highlight w:val="black"/>
              </w:rPr>
              <w:t>redacted content</w:t>
            </w:r>
            <w:r w:rsidR="00755D4C">
              <w:rPr>
                <w:vertAlign w:val="superscript"/>
              </w:rPr>
              <w:t>3</w:t>
            </w:r>
          </w:p>
        </w:tc>
      </w:tr>
      <w:tr w:rsidR="00A5467F" w:rsidRPr="004A1333" w14:paraId="5340B98A" w14:textId="77777777" w:rsidTr="00552D88">
        <w:tc>
          <w:tcPr>
            <w:tcW w:w="5000" w:type="pct"/>
            <w:gridSpan w:val="7"/>
            <w:vAlign w:val="center"/>
          </w:tcPr>
          <w:p w14:paraId="70930556" w14:textId="77777777" w:rsidR="00A5467F" w:rsidRPr="004A1333" w:rsidRDefault="00A5467F">
            <w:pPr>
              <w:pStyle w:val="TableText0"/>
              <w:rPr>
                <w:b/>
                <w:bCs w:val="0"/>
              </w:rPr>
            </w:pPr>
            <w:r w:rsidRPr="004A1333">
              <w:rPr>
                <w:b/>
                <w:bCs w:val="0"/>
              </w:rPr>
              <w:t>Estimated financial implications for comparators</w:t>
            </w:r>
          </w:p>
        </w:tc>
      </w:tr>
      <w:tr w:rsidR="00AB3DF1" w:rsidRPr="004A1333" w14:paraId="4027AD2F" w14:textId="77777777" w:rsidTr="00552D88">
        <w:tc>
          <w:tcPr>
            <w:tcW w:w="1276" w:type="pct"/>
            <w:vAlign w:val="center"/>
          </w:tcPr>
          <w:p w14:paraId="751AC25D" w14:textId="77777777" w:rsidR="00AB3DF1" w:rsidRPr="004A1333" w:rsidRDefault="00AB3DF1" w:rsidP="00AB3DF1">
            <w:pPr>
              <w:pStyle w:val="TableText0"/>
              <w:rPr>
                <w:szCs w:val="20"/>
              </w:rPr>
            </w:pPr>
            <w:r w:rsidRPr="004A1333">
              <w:rPr>
                <w:szCs w:val="20"/>
              </w:rPr>
              <w:t>Cost to PBS/RPBS less copayments</w:t>
            </w:r>
          </w:p>
        </w:tc>
        <w:tc>
          <w:tcPr>
            <w:tcW w:w="620" w:type="pct"/>
            <w:vAlign w:val="center"/>
          </w:tcPr>
          <w:p w14:paraId="1E9F64D2" w14:textId="65EE327D" w:rsidR="00AB3DF1" w:rsidRPr="0003662E" w:rsidRDefault="00FC7500" w:rsidP="00AB3DF1">
            <w:pPr>
              <w:pStyle w:val="TableText0"/>
              <w:jc w:val="center"/>
              <w:rPr>
                <w:bCs w:val="0"/>
                <w:vertAlign w:val="superscript"/>
              </w:rPr>
            </w:pPr>
            <w:r>
              <w:noBreakHyphen/>
            </w:r>
            <w:r w:rsidR="00AB3DF1" w:rsidRPr="004A1333">
              <w:t>$</w:t>
            </w:r>
            <w:r w:rsidR="00443A05" w:rsidRPr="00443A05">
              <w:rPr>
                <w:sz w:val="2"/>
                <w:highlight w:val="black"/>
              </w:rPr>
              <w:t>redacted content</w:t>
            </w:r>
            <w:r w:rsidR="0003662E">
              <w:rPr>
                <w:vertAlign w:val="superscript"/>
              </w:rPr>
              <w:t>4</w:t>
            </w:r>
          </w:p>
        </w:tc>
        <w:tc>
          <w:tcPr>
            <w:tcW w:w="620" w:type="pct"/>
            <w:vAlign w:val="center"/>
          </w:tcPr>
          <w:p w14:paraId="63EB89A7" w14:textId="5A76BF90" w:rsidR="00AB3DF1" w:rsidRPr="0003662E" w:rsidRDefault="00FC7500" w:rsidP="00AB3DF1">
            <w:pPr>
              <w:pStyle w:val="TableText0"/>
              <w:jc w:val="center"/>
              <w:rPr>
                <w:bCs w:val="0"/>
                <w:vertAlign w:val="superscript"/>
              </w:rPr>
            </w:pPr>
            <w:r>
              <w:noBreakHyphen/>
            </w:r>
            <w:r w:rsidR="00AB3DF1" w:rsidRPr="004A1333">
              <w:t>$</w:t>
            </w:r>
            <w:r w:rsidR="00443A05" w:rsidRPr="00443A05">
              <w:rPr>
                <w:sz w:val="2"/>
                <w:highlight w:val="black"/>
              </w:rPr>
              <w:t>redacted content</w:t>
            </w:r>
            <w:r w:rsidR="0003662E">
              <w:rPr>
                <w:vertAlign w:val="superscript"/>
              </w:rPr>
              <w:t>4</w:t>
            </w:r>
          </w:p>
        </w:tc>
        <w:tc>
          <w:tcPr>
            <w:tcW w:w="621" w:type="pct"/>
            <w:vAlign w:val="center"/>
          </w:tcPr>
          <w:p w14:paraId="5E0CC2CD" w14:textId="46FC4D45" w:rsidR="00AB3DF1" w:rsidRPr="0003662E" w:rsidRDefault="00FC7500" w:rsidP="00AB3DF1">
            <w:pPr>
              <w:pStyle w:val="TableText0"/>
              <w:jc w:val="center"/>
              <w:rPr>
                <w:bCs w:val="0"/>
                <w:vertAlign w:val="superscript"/>
              </w:rPr>
            </w:pPr>
            <w:r>
              <w:noBreakHyphen/>
            </w:r>
            <w:r w:rsidR="00AB3DF1" w:rsidRPr="004A1333">
              <w:t>$</w:t>
            </w:r>
            <w:r w:rsidR="00443A05" w:rsidRPr="00443A05">
              <w:rPr>
                <w:sz w:val="2"/>
                <w:highlight w:val="black"/>
              </w:rPr>
              <w:t>redacted content</w:t>
            </w:r>
            <w:r w:rsidR="0003662E">
              <w:rPr>
                <w:vertAlign w:val="superscript"/>
              </w:rPr>
              <w:t>4</w:t>
            </w:r>
          </w:p>
        </w:tc>
        <w:tc>
          <w:tcPr>
            <w:tcW w:w="620" w:type="pct"/>
            <w:vAlign w:val="center"/>
          </w:tcPr>
          <w:p w14:paraId="2A9A2B55" w14:textId="57E6F85E" w:rsidR="00AB3DF1" w:rsidRPr="0003662E" w:rsidRDefault="00FC7500" w:rsidP="00AB3DF1">
            <w:pPr>
              <w:pStyle w:val="TableText0"/>
              <w:jc w:val="center"/>
              <w:rPr>
                <w:bCs w:val="0"/>
                <w:vertAlign w:val="superscript"/>
              </w:rPr>
            </w:pPr>
            <w:r>
              <w:noBreakHyphen/>
            </w:r>
            <w:r w:rsidR="00AB3DF1" w:rsidRPr="004A1333">
              <w:t>$</w:t>
            </w:r>
            <w:r w:rsidR="00443A05" w:rsidRPr="00443A05">
              <w:rPr>
                <w:sz w:val="2"/>
                <w:highlight w:val="black"/>
              </w:rPr>
              <w:t>redacted content</w:t>
            </w:r>
            <w:r w:rsidR="0003662E">
              <w:rPr>
                <w:vertAlign w:val="superscript"/>
              </w:rPr>
              <w:t>4</w:t>
            </w:r>
          </w:p>
        </w:tc>
        <w:tc>
          <w:tcPr>
            <w:tcW w:w="620" w:type="pct"/>
            <w:vAlign w:val="center"/>
          </w:tcPr>
          <w:p w14:paraId="777D3531" w14:textId="03FA9131" w:rsidR="00AB3DF1" w:rsidRPr="0003662E" w:rsidRDefault="00FC7500" w:rsidP="00AB3DF1">
            <w:pPr>
              <w:pStyle w:val="TableText0"/>
              <w:jc w:val="center"/>
              <w:rPr>
                <w:bCs w:val="0"/>
                <w:vertAlign w:val="superscript"/>
              </w:rPr>
            </w:pPr>
            <w:r>
              <w:noBreakHyphen/>
            </w:r>
            <w:r w:rsidR="00AB3DF1" w:rsidRPr="004A1333">
              <w:t>$</w:t>
            </w:r>
            <w:r w:rsidR="00443A05" w:rsidRPr="00443A05">
              <w:rPr>
                <w:sz w:val="2"/>
                <w:highlight w:val="black"/>
              </w:rPr>
              <w:t>redacted content</w:t>
            </w:r>
            <w:r w:rsidR="0003662E">
              <w:rPr>
                <w:vertAlign w:val="superscript"/>
              </w:rPr>
              <w:t>4</w:t>
            </w:r>
          </w:p>
        </w:tc>
        <w:tc>
          <w:tcPr>
            <w:tcW w:w="623" w:type="pct"/>
            <w:vAlign w:val="center"/>
          </w:tcPr>
          <w:p w14:paraId="196E866C" w14:textId="359F5AEA" w:rsidR="00AB3DF1" w:rsidRPr="0003662E" w:rsidRDefault="00FC7500" w:rsidP="00AB3DF1">
            <w:pPr>
              <w:pStyle w:val="TableText0"/>
              <w:jc w:val="center"/>
              <w:rPr>
                <w:bCs w:val="0"/>
                <w:vertAlign w:val="superscript"/>
              </w:rPr>
            </w:pPr>
            <w:r>
              <w:noBreakHyphen/>
            </w:r>
            <w:r w:rsidR="00AB3DF1" w:rsidRPr="004A1333">
              <w:t>$</w:t>
            </w:r>
            <w:r w:rsidR="00443A05" w:rsidRPr="00443A05">
              <w:rPr>
                <w:sz w:val="2"/>
                <w:highlight w:val="black"/>
              </w:rPr>
              <w:t>redacted content</w:t>
            </w:r>
            <w:r w:rsidR="0003662E">
              <w:rPr>
                <w:vertAlign w:val="superscript"/>
              </w:rPr>
              <w:t>4</w:t>
            </w:r>
          </w:p>
        </w:tc>
      </w:tr>
      <w:tr w:rsidR="00A5467F" w:rsidRPr="004A1333" w14:paraId="23274688" w14:textId="77777777" w:rsidTr="00552D88">
        <w:tc>
          <w:tcPr>
            <w:tcW w:w="5000" w:type="pct"/>
            <w:gridSpan w:val="7"/>
            <w:vAlign w:val="center"/>
          </w:tcPr>
          <w:p w14:paraId="59F83C1F" w14:textId="77777777" w:rsidR="00A5467F" w:rsidRPr="004A1333" w:rsidRDefault="00A5467F">
            <w:pPr>
              <w:pStyle w:val="In-tableHeading"/>
              <w:rPr>
                <w:lang w:val="en-AU"/>
              </w:rPr>
            </w:pPr>
            <w:r w:rsidRPr="004A1333">
              <w:rPr>
                <w:lang w:val="en-AU"/>
              </w:rPr>
              <w:t>Net financial implications</w:t>
            </w:r>
          </w:p>
        </w:tc>
      </w:tr>
      <w:tr w:rsidR="00D5462D" w:rsidRPr="004A1333" w14:paraId="134C9801" w14:textId="77777777" w:rsidTr="00552D88">
        <w:tc>
          <w:tcPr>
            <w:tcW w:w="1276" w:type="pct"/>
            <w:vAlign w:val="center"/>
          </w:tcPr>
          <w:p w14:paraId="34C99E02" w14:textId="77777777" w:rsidR="00D5462D" w:rsidRPr="004A1333" w:rsidRDefault="00D5462D" w:rsidP="00D5462D">
            <w:pPr>
              <w:pStyle w:val="TableText0"/>
              <w:rPr>
                <w:szCs w:val="20"/>
              </w:rPr>
            </w:pPr>
            <w:r w:rsidRPr="004A1333">
              <w:rPr>
                <w:szCs w:val="20"/>
              </w:rPr>
              <w:t>Net cost to PBS/RPBS</w:t>
            </w:r>
          </w:p>
        </w:tc>
        <w:tc>
          <w:tcPr>
            <w:tcW w:w="620" w:type="pct"/>
          </w:tcPr>
          <w:p w14:paraId="35BF7AF5" w14:textId="7ECCB7E5" w:rsidR="00D5462D" w:rsidRPr="00A575E2" w:rsidRDefault="00D5462D" w:rsidP="00D5462D">
            <w:pPr>
              <w:pStyle w:val="TableText0"/>
              <w:jc w:val="center"/>
              <w:rPr>
                <w:vertAlign w:val="superscript"/>
              </w:rPr>
            </w:pPr>
            <w:r w:rsidRPr="004A1333">
              <w:t>$</w:t>
            </w:r>
            <w:r w:rsidR="00443A05" w:rsidRPr="00443A05">
              <w:rPr>
                <w:sz w:val="2"/>
                <w:highlight w:val="black"/>
              </w:rPr>
              <w:t>redacted content</w:t>
            </w:r>
            <w:r w:rsidR="00A575E2">
              <w:rPr>
                <w:vertAlign w:val="superscript"/>
              </w:rPr>
              <w:t>3</w:t>
            </w:r>
          </w:p>
        </w:tc>
        <w:tc>
          <w:tcPr>
            <w:tcW w:w="620" w:type="pct"/>
          </w:tcPr>
          <w:p w14:paraId="0DDCE6BE" w14:textId="3D31848A" w:rsidR="00D5462D" w:rsidRPr="00A575E2" w:rsidRDefault="00D5462D" w:rsidP="00D5462D">
            <w:pPr>
              <w:pStyle w:val="TableText0"/>
              <w:jc w:val="center"/>
              <w:rPr>
                <w:vertAlign w:val="superscript"/>
              </w:rPr>
            </w:pPr>
            <w:r w:rsidRPr="004A1333">
              <w:t>$</w:t>
            </w:r>
            <w:r w:rsidR="00443A05" w:rsidRPr="00443A05">
              <w:rPr>
                <w:sz w:val="2"/>
                <w:highlight w:val="black"/>
              </w:rPr>
              <w:t>redacted content</w:t>
            </w:r>
            <w:r w:rsidR="00A575E2">
              <w:rPr>
                <w:vertAlign w:val="superscript"/>
              </w:rPr>
              <w:t>3</w:t>
            </w:r>
          </w:p>
        </w:tc>
        <w:tc>
          <w:tcPr>
            <w:tcW w:w="621" w:type="pct"/>
          </w:tcPr>
          <w:p w14:paraId="6E8CC36A" w14:textId="08655E1F" w:rsidR="00D5462D" w:rsidRPr="00A575E2" w:rsidRDefault="00D5462D" w:rsidP="00D5462D">
            <w:pPr>
              <w:pStyle w:val="TableText0"/>
              <w:jc w:val="center"/>
              <w:rPr>
                <w:vertAlign w:val="superscript"/>
              </w:rPr>
            </w:pPr>
            <w:r w:rsidRPr="004A1333">
              <w:t>$</w:t>
            </w:r>
            <w:r w:rsidR="00443A05" w:rsidRPr="00443A05">
              <w:rPr>
                <w:sz w:val="2"/>
                <w:highlight w:val="black"/>
              </w:rPr>
              <w:t>redacted content</w:t>
            </w:r>
            <w:r w:rsidR="00A575E2">
              <w:rPr>
                <w:vertAlign w:val="superscript"/>
              </w:rPr>
              <w:t>3</w:t>
            </w:r>
          </w:p>
        </w:tc>
        <w:tc>
          <w:tcPr>
            <w:tcW w:w="620" w:type="pct"/>
          </w:tcPr>
          <w:p w14:paraId="2931A2C9" w14:textId="14A53D46" w:rsidR="00D5462D" w:rsidRPr="00A575E2" w:rsidRDefault="00D5462D" w:rsidP="00D5462D">
            <w:pPr>
              <w:pStyle w:val="TableText0"/>
              <w:jc w:val="center"/>
              <w:rPr>
                <w:vertAlign w:val="superscript"/>
              </w:rPr>
            </w:pPr>
            <w:r w:rsidRPr="004A1333">
              <w:t>$</w:t>
            </w:r>
            <w:r w:rsidR="00443A05" w:rsidRPr="00443A05">
              <w:rPr>
                <w:sz w:val="2"/>
                <w:highlight w:val="black"/>
              </w:rPr>
              <w:t>redacted content</w:t>
            </w:r>
            <w:r w:rsidR="00A575E2">
              <w:rPr>
                <w:vertAlign w:val="superscript"/>
              </w:rPr>
              <w:t>3</w:t>
            </w:r>
          </w:p>
        </w:tc>
        <w:tc>
          <w:tcPr>
            <w:tcW w:w="620" w:type="pct"/>
          </w:tcPr>
          <w:p w14:paraId="703EB46F" w14:textId="1B4E01C6" w:rsidR="00D5462D" w:rsidRPr="00A575E2" w:rsidRDefault="00D5462D" w:rsidP="00D5462D">
            <w:pPr>
              <w:pStyle w:val="TableText0"/>
              <w:jc w:val="center"/>
              <w:rPr>
                <w:vertAlign w:val="superscript"/>
              </w:rPr>
            </w:pPr>
            <w:r w:rsidRPr="004A1333">
              <w:t>$</w:t>
            </w:r>
            <w:r w:rsidR="00443A05" w:rsidRPr="00443A05">
              <w:rPr>
                <w:sz w:val="2"/>
                <w:highlight w:val="black"/>
              </w:rPr>
              <w:t>redacted content</w:t>
            </w:r>
            <w:r w:rsidR="00A575E2">
              <w:rPr>
                <w:vertAlign w:val="superscript"/>
              </w:rPr>
              <w:t>3</w:t>
            </w:r>
          </w:p>
        </w:tc>
        <w:tc>
          <w:tcPr>
            <w:tcW w:w="623" w:type="pct"/>
          </w:tcPr>
          <w:p w14:paraId="309D081A" w14:textId="0BAA7B88" w:rsidR="00D5462D" w:rsidRPr="00A575E2" w:rsidRDefault="00D5462D" w:rsidP="00D5462D">
            <w:pPr>
              <w:pStyle w:val="TableText0"/>
              <w:jc w:val="center"/>
              <w:rPr>
                <w:vertAlign w:val="superscript"/>
              </w:rPr>
            </w:pPr>
            <w:r w:rsidRPr="004A1333">
              <w:t>$</w:t>
            </w:r>
            <w:r w:rsidR="00443A05" w:rsidRPr="00443A05">
              <w:rPr>
                <w:sz w:val="2"/>
                <w:highlight w:val="black"/>
              </w:rPr>
              <w:t>redacted content</w:t>
            </w:r>
            <w:r w:rsidR="00A575E2">
              <w:rPr>
                <w:vertAlign w:val="superscript"/>
              </w:rPr>
              <w:t>3</w:t>
            </w:r>
          </w:p>
        </w:tc>
      </w:tr>
      <w:tr w:rsidR="001B2C43" w:rsidRPr="004A1333" w14:paraId="22C96CBA" w14:textId="77777777" w:rsidTr="00552D88">
        <w:tc>
          <w:tcPr>
            <w:tcW w:w="1276" w:type="pct"/>
            <w:vAlign w:val="center"/>
          </w:tcPr>
          <w:p w14:paraId="7C700792" w14:textId="77777777" w:rsidR="001B2C43" w:rsidRPr="004A1333" w:rsidRDefault="001B2C43" w:rsidP="001B2C43">
            <w:pPr>
              <w:pStyle w:val="TableText0"/>
              <w:rPr>
                <w:rFonts w:ascii="Times" w:hAnsi="Times"/>
                <w:szCs w:val="20"/>
              </w:rPr>
            </w:pPr>
            <w:r w:rsidRPr="004A1333">
              <w:rPr>
                <w:szCs w:val="20"/>
              </w:rPr>
              <w:t>Net cost to MBS</w:t>
            </w:r>
          </w:p>
        </w:tc>
        <w:tc>
          <w:tcPr>
            <w:tcW w:w="620" w:type="pct"/>
          </w:tcPr>
          <w:p w14:paraId="70DF687E" w14:textId="2A7E1F25" w:rsidR="001B2C43" w:rsidRPr="00D66B6F" w:rsidRDefault="00FC7500" w:rsidP="001B2C43">
            <w:pPr>
              <w:pStyle w:val="TableText0"/>
              <w:jc w:val="center"/>
              <w:rPr>
                <w:vertAlign w:val="superscript"/>
              </w:rPr>
            </w:pPr>
            <w:r>
              <w:noBreakHyphen/>
            </w:r>
            <w:r w:rsidR="001B2C43" w:rsidRPr="004A1333">
              <w:t>$</w:t>
            </w:r>
            <w:r w:rsidR="00443A05" w:rsidRPr="00443A05">
              <w:rPr>
                <w:sz w:val="2"/>
                <w:highlight w:val="black"/>
              </w:rPr>
              <w:t>redacted content</w:t>
            </w:r>
            <w:r w:rsidR="00D66B6F">
              <w:rPr>
                <w:vertAlign w:val="superscript"/>
              </w:rPr>
              <w:t>4</w:t>
            </w:r>
          </w:p>
        </w:tc>
        <w:tc>
          <w:tcPr>
            <w:tcW w:w="620" w:type="pct"/>
          </w:tcPr>
          <w:p w14:paraId="45B89EBD" w14:textId="44AB1AFA" w:rsidR="001B2C43" w:rsidRPr="00D66B6F" w:rsidRDefault="00FC7500" w:rsidP="001B2C43">
            <w:pPr>
              <w:pStyle w:val="TableText0"/>
              <w:jc w:val="center"/>
              <w:rPr>
                <w:vertAlign w:val="superscript"/>
              </w:rPr>
            </w:pPr>
            <w:r>
              <w:noBreakHyphen/>
            </w:r>
            <w:r w:rsidR="001B2C43" w:rsidRPr="004A1333">
              <w:t>$</w:t>
            </w:r>
            <w:r w:rsidR="00443A05" w:rsidRPr="00443A05">
              <w:rPr>
                <w:sz w:val="2"/>
                <w:highlight w:val="black"/>
              </w:rPr>
              <w:t>redacted content</w:t>
            </w:r>
            <w:r w:rsidR="00D66B6F">
              <w:rPr>
                <w:vertAlign w:val="superscript"/>
              </w:rPr>
              <w:t>4</w:t>
            </w:r>
          </w:p>
        </w:tc>
        <w:tc>
          <w:tcPr>
            <w:tcW w:w="621" w:type="pct"/>
          </w:tcPr>
          <w:p w14:paraId="56AE80F7" w14:textId="1815B0B7" w:rsidR="001B2C43" w:rsidRPr="00D66B6F" w:rsidRDefault="00FC7500" w:rsidP="001B2C43">
            <w:pPr>
              <w:pStyle w:val="TableText0"/>
              <w:jc w:val="center"/>
              <w:rPr>
                <w:vertAlign w:val="superscript"/>
              </w:rPr>
            </w:pPr>
            <w:r>
              <w:noBreakHyphen/>
            </w:r>
            <w:r w:rsidR="001B2C43" w:rsidRPr="004A1333">
              <w:t>$</w:t>
            </w:r>
            <w:r w:rsidR="00443A05" w:rsidRPr="00443A05">
              <w:rPr>
                <w:sz w:val="2"/>
                <w:highlight w:val="black"/>
              </w:rPr>
              <w:t>redacted content</w:t>
            </w:r>
            <w:r w:rsidR="00D66B6F">
              <w:rPr>
                <w:vertAlign w:val="superscript"/>
              </w:rPr>
              <w:t>4</w:t>
            </w:r>
          </w:p>
        </w:tc>
        <w:tc>
          <w:tcPr>
            <w:tcW w:w="620" w:type="pct"/>
          </w:tcPr>
          <w:p w14:paraId="7F96686E" w14:textId="29B7B748" w:rsidR="001B2C43" w:rsidRPr="00D66B6F" w:rsidRDefault="00FC7500" w:rsidP="001B2C43">
            <w:pPr>
              <w:pStyle w:val="TableText0"/>
              <w:jc w:val="center"/>
              <w:rPr>
                <w:vertAlign w:val="superscript"/>
              </w:rPr>
            </w:pPr>
            <w:r>
              <w:noBreakHyphen/>
            </w:r>
            <w:r w:rsidR="001B2C43" w:rsidRPr="004A1333">
              <w:t>$</w:t>
            </w:r>
            <w:r w:rsidR="00443A05" w:rsidRPr="00443A05">
              <w:rPr>
                <w:sz w:val="2"/>
                <w:highlight w:val="black"/>
              </w:rPr>
              <w:t>redacted content</w:t>
            </w:r>
            <w:r w:rsidR="00D66B6F">
              <w:rPr>
                <w:vertAlign w:val="superscript"/>
              </w:rPr>
              <w:t>4</w:t>
            </w:r>
          </w:p>
        </w:tc>
        <w:tc>
          <w:tcPr>
            <w:tcW w:w="620" w:type="pct"/>
          </w:tcPr>
          <w:p w14:paraId="483148F5" w14:textId="5D839A47" w:rsidR="001B2C43" w:rsidRPr="00D66B6F" w:rsidRDefault="00FC7500" w:rsidP="001B2C43">
            <w:pPr>
              <w:pStyle w:val="TableText0"/>
              <w:jc w:val="center"/>
              <w:rPr>
                <w:vertAlign w:val="superscript"/>
              </w:rPr>
            </w:pPr>
            <w:r>
              <w:noBreakHyphen/>
            </w:r>
            <w:r w:rsidR="001B2C43" w:rsidRPr="004A1333">
              <w:t>$</w:t>
            </w:r>
            <w:r w:rsidR="00443A05" w:rsidRPr="00443A05">
              <w:rPr>
                <w:sz w:val="2"/>
                <w:highlight w:val="black"/>
              </w:rPr>
              <w:t>redacted content</w:t>
            </w:r>
            <w:r w:rsidR="00D66B6F">
              <w:rPr>
                <w:vertAlign w:val="superscript"/>
              </w:rPr>
              <w:t>4</w:t>
            </w:r>
          </w:p>
        </w:tc>
        <w:tc>
          <w:tcPr>
            <w:tcW w:w="623" w:type="pct"/>
          </w:tcPr>
          <w:p w14:paraId="25C8C8BB" w14:textId="6D3289A3" w:rsidR="001B2C43" w:rsidRPr="00D66B6F" w:rsidRDefault="00FC7500" w:rsidP="001B2C43">
            <w:pPr>
              <w:pStyle w:val="TableText0"/>
              <w:jc w:val="center"/>
              <w:rPr>
                <w:vertAlign w:val="superscript"/>
              </w:rPr>
            </w:pPr>
            <w:r>
              <w:noBreakHyphen/>
            </w:r>
            <w:r w:rsidR="001B2C43" w:rsidRPr="004A1333">
              <w:t>$</w:t>
            </w:r>
            <w:r w:rsidR="00443A05" w:rsidRPr="00443A05">
              <w:rPr>
                <w:sz w:val="2"/>
                <w:highlight w:val="black"/>
              </w:rPr>
              <w:t>redacted content</w:t>
            </w:r>
            <w:r w:rsidR="00D66B6F">
              <w:rPr>
                <w:vertAlign w:val="superscript"/>
              </w:rPr>
              <w:t>4</w:t>
            </w:r>
          </w:p>
        </w:tc>
      </w:tr>
      <w:tr w:rsidR="0063395D" w:rsidRPr="004A1333" w14:paraId="32C6CB57" w14:textId="77777777" w:rsidTr="00552D88">
        <w:tc>
          <w:tcPr>
            <w:tcW w:w="1276" w:type="pct"/>
            <w:vAlign w:val="center"/>
          </w:tcPr>
          <w:p w14:paraId="245CD74A" w14:textId="0707A580" w:rsidR="0063395D" w:rsidRPr="004A1333" w:rsidRDefault="0063395D" w:rsidP="0063395D">
            <w:pPr>
              <w:pStyle w:val="TableText0"/>
              <w:rPr>
                <w:szCs w:val="20"/>
              </w:rPr>
            </w:pPr>
            <w:r w:rsidRPr="004A1333">
              <w:rPr>
                <w:szCs w:val="20"/>
              </w:rPr>
              <w:t>Net cost to Australian Govt.</w:t>
            </w:r>
          </w:p>
        </w:tc>
        <w:tc>
          <w:tcPr>
            <w:tcW w:w="620" w:type="pct"/>
          </w:tcPr>
          <w:p w14:paraId="18BC02CF" w14:textId="47D00EF7" w:rsidR="0063395D" w:rsidRPr="00755D4C" w:rsidRDefault="0063395D" w:rsidP="0063395D">
            <w:pPr>
              <w:pStyle w:val="TableText0"/>
              <w:jc w:val="center"/>
              <w:rPr>
                <w:b/>
                <w:bCs w:val="0"/>
                <w:vertAlign w:val="superscript"/>
              </w:rPr>
            </w:pPr>
            <w:r w:rsidRPr="004A1333">
              <w:rPr>
                <w:b/>
                <w:bCs w:val="0"/>
              </w:rPr>
              <w:t>$</w:t>
            </w:r>
            <w:r w:rsidR="00443A05" w:rsidRPr="00443A05">
              <w:rPr>
                <w:b/>
                <w:bCs w:val="0"/>
                <w:sz w:val="2"/>
                <w:highlight w:val="black"/>
              </w:rPr>
              <w:t>redacted content</w:t>
            </w:r>
            <w:r w:rsidR="00755D4C">
              <w:rPr>
                <w:b/>
                <w:bCs w:val="0"/>
                <w:vertAlign w:val="superscript"/>
              </w:rPr>
              <w:t>3</w:t>
            </w:r>
          </w:p>
        </w:tc>
        <w:tc>
          <w:tcPr>
            <w:tcW w:w="620" w:type="pct"/>
          </w:tcPr>
          <w:p w14:paraId="7FC47944" w14:textId="5063295C" w:rsidR="0063395D" w:rsidRPr="00755D4C" w:rsidRDefault="0063395D" w:rsidP="0063395D">
            <w:pPr>
              <w:pStyle w:val="TableText0"/>
              <w:jc w:val="center"/>
              <w:rPr>
                <w:b/>
                <w:bCs w:val="0"/>
                <w:vertAlign w:val="superscript"/>
              </w:rPr>
            </w:pPr>
            <w:r w:rsidRPr="004A1333">
              <w:rPr>
                <w:b/>
                <w:bCs w:val="0"/>
              </w:rPr>
              <w:t>$</w:t>
            </w:r>
            <w:r w:rsidR="00443A05" w:rsidRPr="00443A05">
              <w:rPr>
                <w:b/>
                <w:bCs w:val="0"/>
                <w:sz w:val="2"/>
                <w:highlight w:val="black"/>
              </w:rPr>
              <w:t>redacted content</w:t>
            </w:r>
            <w:r w:rsidR="00755D4C">
              <w:rPr>
                <w:b/>
                <w:bCs w:val="0"/>
                <w:vertAlign w:val="superscript"/>
              </w:rPr>
              <w:t>3</w:t>
            </w:r>
          </w:p>
        </w:tc>
        <w:tc>
          <w:tcPr>
            <w:tcW w:w="621" w:type="pct"/>
          </w:tcPr>
          <w:p w14:paraId="2F6D1D24" w14:textId="520224EB" w:rsidR="0063395D" w:rsidRPr="00755D4C" w:rsidRDefault="0063395D" w:rsidP="0063395D">
            <w:pPr>
              <w:pStyle w:val="TableText0"/>
              <w:jc w:val="center"/>
              <w:rPr>
                <w:b/>
                <w:bCs w:val="0"/>
                <w:vertAlign w:val="superscript"/>
              </w:rPr>
            </w:pPr>
            <w:r w:rsidRPr="004A1333">
              <w:rPr>
                <w:b/>
                <w:bCs w:val="0"/>
              </w:rPr>
              <w:t>$</w:t>
            </w:r>
            <w:r w:rsidR="00443A05" w:rsidRPr="00443A05">
              <w:rPr>
                <w:b/>
                <w:bCs w:val="0"/>
                <w:sz w:val="2"/>
                <w:highlight w:val="black"/>
              </w:rPr>
              <w:t>redacted content</w:t>
            </w:r>
            <w:r w:rsidR="00755D4C">
              <w:rPr>
                <w:b/>
                <w:bCs w:val="0"/>
                <w:vertAlign w:val="superscript"/>
              </w:rPr>
              <w:t>3</w:t>
            </w:r>
          </w:p>
        </w:tc>
        <w:tc>
          <w:tcPr>
            <w:tcW w:w="620" w:type="pct"/>
          </w:tcPr>
          <w:p w14:paraId="0803B63D" w14:textId="70D50B7D" w:rsidR="0063395D" w:rsidRPr="00755D4C" w:rsidRDefault="0063395D" w:rsidP="0063395D">
            <w:pPr>
              <w:pStyle w:val="TableText0"/>
              <w:jc w:val="center"/>
              <w:rPr>
                <w:b/>
                <w:bCs w:val="0"/>
                <w:vertAlign w:val="superscript"/>
              </w:rPr>
            </w:pPr>
            <w:r w:rsidRPr="004A1333">
              <w:rPr>
                <w:b/>
                <w:bCs w:val="0"/>
              </w:rPr>
              <w:t>$</w:t>
            </w:r>
            <w:r w:rsidR="00443A05" w:rsidRPr="00443A05">
              <w:rPr>
                <w:b/>
                <w:bCs w:val="0"/>
                <w:sz w:val="2"/>
                <w:highlight w:val="black"/>
              </w:rPr>
              <w:t>redacted content</w:t>
            </w:r>
            <w:r w:rsidR="00755D4C">
              <w:rPr>
                <w:b/>
                <w:bCs w:val="0"/>
                <w:vertAlign w:val="superscript"/>
              </w:rPr>
              <w:t>3</w:t>
            </w:r>
          </w:p>
        </w:tc>
        <w:tc>
          <w:tcPr>
            <w:tcW w:w="620" w:type="pct"/>
          </w:tcPr>
          <w:p w14:paraId="1172F291" w14:textId="3CA77AB0" w:rsidR="0063395D" w:rsidRPr="00755D4C" w:rsidRDefault="0063395D" w:rsidP="0063395D">
            <w:pPr>
              <w:pStyle w:val="TableText0"/>
              <w:jc w:val="center"/>
              <w:rPr>
                <w:b/>
                <w:bCs w:val="0"/>
                <w:vertAlign w:val="superscript"/>
              </w:rPr>
            </w:pPr>
            <w:r w:rsidRPr="004A1333">
              <w:rPr>
                <w:b/>
                <w:bCs w:val="0"/>
              </w:rPr>
              <w:t>$</w:t>
            </w:r>
            <w:r w:rsidR="00443A05" w:rsidRPr="00443A05">
              <w:rPr>
                <w:b/>
                <w:bCs w:val="0"/>
                <w:sz w:val="2"/>
                <w:highlight w:val="black"/>
              </w:rPr>
              <w:t>redacted content</w:t>
            </w:r>
            <w:r w:rsidR="00755D4C">
              <w:rPr>
                <w:b/>
                <w:bCs w:val="0"/>
                <w:vertAlign w:val="superscript"/>
              </w:rPr>
              <w:t>3</w:t>
            </w:r>
          </w:p>
        </w:tc>
        <w:tc>
          <w:tcPr>
            <w:tcW w:w="623" w:type="pct"/>
          </w:tcPr>
          <w:p w14:paraId="01D06531" w14:textId="14884D71" w:rsidR="0063395D" w:rsidRPr="00755D4C" w:rsidRDefault="0063395D" w:rsidP="0063395D">
            <w:pPr>
              <w:pStyle w:val="TableText0"/>
              <w:jc w:val="center"/>
              <w:rPr>
                <w:b/>
                <w:bCs w:val="0"/>
                <w:vertAlign w:val="superscript"/>
              </w:rPr>
            </w:pPr>
            <w:r w:rsidRPr="004A1333">
              <w:rPr>
                <w:b/>
                <w:bCs w:val="0"/>
              </w:rPr>
              <w:t>$</w:t>
            </w:r>
            <w:r w:rsidR="00443A05" w:rsidRPr="00443A05">
              <w:rPr>
                <w:b/>
                <w:bCs w:val="0"/>
                <w:sz w:val="2"/>
                <w:highlight w:val="black"/>
              </w:rPr>
              <w:t>redacted content</w:t>
            </w:r>
            <w:r w:rsidR="00755D4C">
              <w:rPr>
                <w:b/>
                <w:bCs w:val="0"/>
                <w:vertAlign w:val="superscript"/>
              </w:rPr>
              <w:t>3</w:t>
            </w:r>
          </w:p>
        </w:tc>
      </w:tr>
    </w:tbl>
    <w:p w14:paraId="0F73877A" w14:textId="3FAD689B" w:rsidR="00A5467F" w:rsidRPr="004A1333" w:rsidRDefault="00A5467F" w:rsidP="00A5467F">
      <w:pPr>
        <w:pStyle w:val="FooterTableFigure"/>
        <w:rPr>
          <w:rStyle w:val="CommentReference"/>
        </w:rPr>
      </w:pPr>
      <w:r w:rsidRPr="004A1333">
        <w:t>Source: Tables 4</w:t>
      </w:r>
      <w:r w:rsidR="00FC7500">
        <w:noBreakHyphen/>
      </w:r>
      <w:r w:rsidRPr="004A1333">
        <w:t>19 to 4</w:t>
      </w:r>
      <w:r w:rsidR="00FC7500">
        <w:noBreakHyphen/>
      </w:r>
      <w:r w:rsidRPr="004A1333">
        <w:t>26, pp142</w:t>
      </w:r>
      <w:r w:rsidR="00FC7500">
        <w:noBreakHyphen/>
      </w:r>
      <w:r w:rsidRPr="004A1333">
        <w:t>145 of the submission</w:t>
      </w:r>
      <w:r w:rsidR="004A1333" w:rsidRPr="004A1333">
        <w:t xml:space="preserve"> and </w:t>
      </w:r>
      <w:r w:rsidR="008E3E93" w:rsidRPr="004A1333">
        <w:t>financial table submitted alongside PSCR (</w:t>
      </w:r>
      <w:r w:rsidR="00F557D6" w:rsidRPr="004A1333">
        <w:t>Impact – net)</w:t>
      </w:r>
      <w:r w:rsidRPr="004A1333">
        <w:t>.</w:t>
      </w:r>
      <w:r w:rsidR="00F557D6" w:rsidRPr="004A1333">
        <w:t xml:space="preserve"> </w:t>
      </w:r>
    </w:p>
    <w:p w14:paraId="5E2106A5" w14:textId="4B64DA8B" w:rsidR="00A5467F" w:rsidRDefault="00A5467F" w:rsidP="00A5467F">
      <w:pPr>
        <w:pStyle w:val="FooterTableFigure"/>
      </w:pPr>
      <w:r w:rsidRPr="004A1333">
        <w:rPr>
          <w:lang w:val="pt-BR"/>
        </w:rPr>
        <w:t>ADA = adalimumab;</w:t>
      </w:r>
      <w:r w:rsidR="00347465" w:rsidRPr="004A1333">
        <w:rPr>
          <w:lang w:val="pt-BR"/>
        </w:rPr>
        <w:t xml:space="preserve"> </w:t>
      </w:r>
      <w:r w:rsidRPr="004A1333">
        <w:rPr>
          <w:lang w:val="pt-BR"/>
        </w:rPr>
        <w:t xml:space="preserve">IFX = infliximab; </w:t>
      </w:r>
      <w:r w:rsidR="00347465" w:rsidRPr="004A1333">
        <w:rPr>
          <w:lang w:val="pt-BR"/>
        </w:rPr>
        <w:t xml:space="preserve">Govt. </w:t>
      </w:r>
      <w:r w:rsidR="00347465" w:rsidRPr="004A1333">
        <w:t xml:space="preserve">= Government; </w:t>
      </w:r>
      <w:r w:rsidRPr="004A1333">
        <w:t>PBS = Pharmaceutical Benefits Scheme; RPBS = Repatriations Pharmaceutical Benefits Scheme; MBS = Medicare Benefits Scheme; UST</w:t>
      </w:r>
      <w:r w:rsidR="008D5D8A" w:rsidRPr="004A1333">
        <w:t xml:space="preserve"> = </w:t>
      </w:r>
      <w:r w:rsidRPr="004A1333">
        <w:t>ustekinumab.</w:t>
      </w:r>
    </w:p>
    <w:p w14:paraId="7E0951D9" w14:textId="77777777" w:rsidR="00244B9E" w:rsidRPr="00244B9E" w:rsidRDefault="00244B9E" w:rsidP="00244B9E">
      <w:pPr>
        <w:pStyle w:val="FooterTableFigure"/>
        <w:rPr>
          <w:bCs/>
          <w:i/>
          <w:iCs/>
        </w:rPr>
      </w:pPr>
      <w:r w:rsidRPr="00244B9E">
        <w:rPr>
          <w:bCs/>
          <w:i/>
          <w:iCs/>
        </w:rPr>
        <w:t xml:space="preserve">The redacted values correspond to the following ranges: </w:t>
      </w:r>
    </w:p>
    <w:p w14:paraId="4695DB7B" w14:textId="40BD4E8B" w:rsidR="00244B9E" w:rsidRPr="00244B9E" w:rsidRDefault="00244B9E" w:rsidP="00244B9E">
      <w:pPr>
        <w:pStyle w:val="FooterTableFigure"/>
        <w:rPr>
          <w:i/>
        </w:rPr>
      </w:pPr>
      <w:r w:rsidRPr="00244B9E">
        <w:rPr>
          <w:i/>
          <w:vertAlign w:val="superscript"/>
        </w:rPr>
        <w:t>1</w:t>
      </w:r>
      <w:r w:rsidRPr="00244B9E">
        <w:rPr>
          <w:i/>
        </w:rPr>
        <w:t xml:space="preserve"> </w:t>
      </w:r>
      <w:r w:rsidR="00D238D9" w:rsidRPr="00D238D9">
        <w:rPr>
          <w:i/>
        </w:rPr>
        <w:t>5,000 to &lt; 10,000</w:t>
      </w:r>
    </w:p>
    <w:p w14:paraId="7E11DC04" w14:textId="4A7F2DB8" w:rsidR="00244B9E" w:rsidRPr="00244B9E" w:rsidRDefault="00244B9E" w:rsidP="00244B9E">
      <w:pPr>
        <w:pStyle w:val="FooterTableFigure"/>
        <w:rPr>
          <w:i/>
        </w:rPr>
      </w:pPr>
      <w:r w:rsidRPr="00244B9E">
        <w:rPr>
          <w:i/>
          <w:vertAlign w:val="superscript"/>
        </w:rPr>
        <w:t>2</w:t>
      </w:r>
      <w:r w:rsidRPr="00244B9E">
        <w:rPr>
          <w:i/>
        </w:rPr>
        <w:t xml:space="preserve"> </w:t>
      </w:r>
      <w:r w:rsidR="002B7B22" w:rsidRPr="002B7B22">
        <w:rPr>
          <w:i/>
        </w:rPr>
        <w:t>10,000 to &lt; 20,000</w:t>
      </w:r>
    </w:p>
    <w:p w14:paraId="0E327998" w14:textId="4EE1E8A3" w:rsidR="00244B9E" w:rsidRPr="00244B9E" w:rsidRDefault="00244B9E" w:rsidP="00244B9E">
      <w:pPr>
        <w:pStyle w:val="FooterTableFigure"/>
        <w:rPr>
          <w:i/>
        </w:rPr>
      </w:pPr>
      <w:r w:rsidRPr="00244B9E">
        <w:rPr>
          <w:i/>
          <w:vertAlign w:val="superscript"/>
        </w:rPr>
        <w:t>3</w:t>
      </w:r>
      <w:r w:rsidRPr="00244B9E">
        <w:rPr>
          <w:i/>
        </w:rPr>
        <w:t xml:space="preserve"> </w:t>
      </w:r>
      <w:r w:rsidR="00755D4C" w:rsidRPr="00755D4C">
        <w:rPr>
          <w:i/>
        </w:rPr>
        <w:t>$0 to &lt; $10 million</w:t>
      </w:r>
    </w:p>
    <w:p w14:paraId="24FE972F" w14:textId="352E3B23" w:rsidR="00244B9E" w:rsidRPr="004A1333" w:rsidRDefault="00244B9E" w:rsidP="00A5467F">
      <w:pPr>
        <w:pStyle w:val="FooterTableFigure"/>
      </w:pPr>
      <w:r w:rsidRPr="00244B9E">
        <w:rPr>
          <w:i/>
          <w:vertAlign w:val="superscript"/>
        </w:rPr>
        <w:t>4</w:t>
      </w:r>
      <w:r w:rsidRPr="00244B9E">
        <w:rPr>
          <w:i/>
        </w:rPr>
        <w:t xml:space="preserve"> </w:t>
      </w:r>
      <w:r w:rsidR="00D66B6F" w:rsidRPr="00D66B6F">
        <w:rPr>
          <w:i/>
        </w:rPr>
        <w:t>net cost saving</w:t>
      </w:r>
    </w:p>
    <w:p w14:paraId="3408D20A" w14:textId="2339F80F" w:rsidR="00A5467F" w:rsidRPr="004A1333" w:rsidRDefault="006A4900" w:rsidP="00A5467F">
      <w:pPr>
        <w:pStyle w:val="3-BodyText"/>
      </w:pPr>
      <w:r w:rsidRPr="004A1333">
        <w:t>Based on updated figures in the PSCR, t</w:t>
      </w:r>
      <w:r w:rsidR="00A5467F" w:rsidRPr="004A1333">
        <w:t xml:space="preserve">he total cost to the PBS/RPBS of listing upadacitinib was estimated to be </w:t>
      </w:r>
      <w:r w:rsidR="00360DB6" w:rsidRPr="00360DB6">
        <w:t>$0 to &lt; $10 million</w:t>
      </w:r>
      <w:r w:rsidR="00A5467F" w:rsidRPr="004A1333">
        <w:t xml:space="preserve"> in Year 6, and the net cost to </w:t>
      </w:r>
      <w:r w:rsidR="0042318B" w:rsidRPr="004A1333">
        <w:t xml:space="preserve">the </w:t>
      </w:r>
      <w:r w:rsidR="00347465" w:rsidRPr="004A1333">
        <w:t>Australian Government</w:t>
      </w:r>
      <w:r w:rsidR="00A5467F" w:rsidRPr="004A1333">
        <w:t xml:space="preserve"> in the first 6 years of listing was</w:t>
      </w:r>
      <w:r w:rsidRPr="004A1333">
        <w:t xml:space="preserve"> approximately</w:t>
      </w:r>
      <w:r w:rsidR="00A5467F" w:rsidRPr="004A1333">
        <w:t xml:space="preserve"> </w:t>
      </w:r>
      <w:r w:rsidR="00663D95" w:rsidRPr="00663D95">
        <w:t>$0 to &lt; $10 million</w:t>
      </w:r>
      <w:r w:rsidR="00A5467F" w:rsidRPr="004A1333">
        <w:t>.</w:t>
      </w:r>
    </w:p>
    <w:p w14:paraId="516EAB43" w14:textId="620A9F12" w:rsidR="00A5467F" w:rsidRPr="004A1333" w:rsidRDefault="006A4900" w:rsidP="00A5467F">
      <w:pPr>
        <w:pStyle w:val="3-BodyText"/>
      </w:pPr>
      <w:r w:rsidRPr="004A1333">
        <w:t>Whil</w:t>
      </w:r>
      <w:r w:rsidR="00AD272E" w:rsidRPr="004A1333">
        <w:t>st</w:t>
      </w:r>
      <w:r w:rsidRPr="004A1333">
        <w:t xml:space="preserve"> </w:t>
      </w:r>
      <w:r w:rsidR="00AD272E" w:rsidRPr="004A1333">
        <w:t>most issues specific to the financial estimates were addressed in the PSCR, t</w:t>
      </w:r>
      <w:r w:rsidR="00A5467F" w:rsidRPr="004A1333">
        <w:t xml:space="preserve">he net cost estimates presented in the submission </w:t>
      </w:r>
      <w:r w:rsidRPr="004A1333">
        <w:t>remained</w:t>
      </w:r>
      <w:r w:rsidR="00A5467F" w:rsidRPr="004A1333">
        <w:t xml:space="preserve"> uncertain because they relied on the utilisation</w:t>
      </w:r>
      <w:r w:rsidR="00FC7500">
        <w:noBreakHyphen/>
      </w:r>
      <w:r w:rsidR="00A5467F" w:rsidRPr="004A1333">
        <w:t>weighted approach used to estimate the proposed upadacitinib price, which may have led to an over</w:t>
      </w:r>
      <w:r w:rsidR="00FC7500">
        <w:noBreakHyphen/>
      </w:r>
      <w:r w:rsidR="00A5467F" w:rsidRPr="004A1333">
        <w:t xml:space="preserve">estimation of cost offsets and a higher proposed price for upadacitinib. </w:t>
      </w:r>
      <w:r w:rsidR="00C85D35" w:rsidRPr="004A1333">
        <w:t>Overall, if listed on a cost</w:t>
      </w:r>
      <w:r w:rsidR="00FC7500">
        <w:noBreakHyphen/>
      </w:r>
      <w:r w:rsidR="00C85D35" w:rsidRPr="004A1333">
        <w:t>minimisation to the least costly alternative therapy, upadacitinib would be expected to be approximately cost</w:t>
      </w:r>
      <w:r w:rsidR="00FC7500">
        <w:noBreakHyphen/>
      </w:r>
      <w:r w:rsidR="00C85D35" w:rsidRPr="004A1333">
        <w:t>neutral to the health budget, or potentially cost saving, as substitution would occur from therapies of equivalent or higher cost and upadacitinib does not incur administration costs.</w:t>
      </w:r>
      <w:r w:rsidR="002B04D1">
        <w:t xml:space="preserve"> The Pre</w:t>
      </w:r>
      <w:r w:rsidR="00FC7500">
        <w:noBreakHyphen/>
      </w:r>
      <w:r w:rsidR="002B04D1">
        <w:t xml:space="preserve">PBAC Response </w:t>
      </w:r>
      <w:r w:rsidR="00613BBA">
        <w:t xml:space="preserve">argued the incremental cost associated with upadacitinib based on the weighted CMA approach proposed in the submission </w:t>
      </w:r>
      <w:r w:rsidR="00613BBA">
        <w:lastRenderedPageBreak/>
        <w:t xml:space="preserve">does not result in a substantial financial </w:t>
      </w:r>
      <w:r w:rsidR="0067248E">
        <w:t>impact to the health system and reiterated its propos</w:t>
      </w:r>
      <w:r w:rsidR="00164BFF">
        <w:t>ed approach was reasonable.</w:t>
      </w:r>
    </w:p>
    <w:p w14:paraId="1DAD1D2E" w14:textId="76A76848" w:rsidR="00A5467F" w:rsidRPr="004A1333" w:rsidRDefault="00A5467F" w:rsidP="00A5467F">
      <w:pPr>
        <w:pStyle w:val="3-BodyText"/>
      </w:pPr>
      <w:r w:rsidRPr="004A1333">
        <w:t>Additional sources of uncertainty included comparator utilisation and uptake. The submission assumed equal substitution across ustekinumab, infliximab and adalimumab despite differing current market usage and sequencing, and the market</w:t>
      </w:r>
      <w:r w:rsidR="00FC7500">
        <w:noBreakHyphen/>
      </w:r>
      <w:r w:rsidRPr="004A1333">
        <w:t>share proportions in the financial analysis differed from those used in the economic analysis to derive the weighted AEMP. Also, linear extrapolation of 2020</w:t>
      </w:r>
      <w:r w:rsidR="00FC7500">
        <w:noBreakHyphen/>
      </w:r>
      <w:r w:rsidRPr="004A1333">
        <w:t>2024 script data may not reflect future biologic utilisation patterns, given ustekinumab’s recent listing for FCD and evolving clinical practice.</w:t>
      </w:r>
    </w:p>
    <w:p w14:paraId="15454082" w14:textId="723F0181" w:rsidR="00A5467F" w:rsidRPr="004A1333" w:rsidRDefault="00A5467F" w:rsidP="00A5467F">
      <w:pPr>
        <w:pStyle w:val="4-SubsectionHeading"/>
        <w:rPr>
          <w:i w:val="0"/>
          <w:color w:val="auto"/>
        </w:rPr>
      </w:pPr>
      <w:bookmarkStart w:id="96" w:name="_Toc22897648"/>
      <w:bookmarkStart w:id="97" w:name="_Toc219709226"/>
      <w:r w:rsidRPr="004A1333">
        <w:rPr>
          <w:i w:val="0"/>
          <w:color w:val="auto"/>
        </w:rPr>
        <w:t>Quality Use of Medicines</w:t>
      </w:r>
      <w:bookmarkEnd w:id="96"/>
      <w:bookmarkEnd w:id="97"/>
    </w:p>
    <w:p w14:paraId="1CC88A0E" w14:textId="4FC14DA1" w:rsidR="00A5467F" w:rsidRDefault="00A5467F" w:rsidP="00A5467F">
      <w:pPr>
        <w:pStyle w:val="3-BodyText"/>
      </w:pPr>
      <w:r w:rsidRPr="004A1333">
        <w:t xml:space="preserve">The submission indicated that an Australian risk management plan </w:t>
      </w:r>
      <w:r w:rsidR="00794477" w:rsidRPr="004A1333">
        <w:t>was</w:t>
      </w:r>
      <w:r w:rsidRPr="004A1333">
        <w:t xml:space="preserve"> provided to the TGA and that a patient support program will be available; no other quality use of medicines initiatives were described. Although upadacitinib is already PBS</w:t>
      </w:r>
      <w:r w:rsidR="00FC7500">
        <w:noBreakHyphen/>
      </w:r>
      <w:r w:rsidRPr="004A1333">
        <w:t>listed for Crohn’s disease, its use in complex refractory FCD involves a clinically high</w:t>
      </w:r>
      <w:r w:rsidR="00FC7500">
        <w:noBreakHyphen/>
      </w:r>
      <w:r w:rsidRPr="004A1333">
        <w:t>risk population, and the recognised risk of serious infection remains an important consideration. No information was presented on vaccination guidance, which may be relevant in this group, and the potential for drug interactions due to CYP3A4 (and CYP2D6) metabolism also warrants prescriber attention. Clear education for prescribers and patients would support safe and appropriate use in the requested indication.</w:t>
      </w:r>
    </w:p>
    <w:bookmarkEnd w:id="91"/>
    <w:p w14:paraId="3AFCFCFC" w14:textId="77777777" w:rsidR="008272C4" w:rsidRDefault="008272C4" w:rsidP="008272C4">
      <w:pPr>
        <w:pStyle w:val="3-BodyText"/>
      </w:pPr>
      <w:r w:rsidRPr="008272C4">
        <w:t xml:space="preserve">The PBAC noted upadacitinib is classified as Pregnancy Category D with the Product information (page 20) advising that contraception should be used whilst on treatment and for four weeks following the final dose. </w:t>
      </w:r>
    </w:p>
    <w:p w14:paraId="32CD2986" w14:textId="38FF7374" w:rsidR="00054C41" w:rsidRDefault="00936479" w:rsidP="00993732">
      <w:pPr>
        <w:ind w:firstLine="720"/>
        <w:jc w:val="left"/>
        <w:rPr>
          <w:rFonts w:asciiTheme="minorHAnsi" w:hAnsiTheme="minorHAnsi"/>
          <w:i/>
        </w:rPr>
      </w:pPr>
      <w:r w:rsidRPr="00C33D30">
        <w:rPr>
          <w:rFonts w:asciiTheme="minorHAnsi" w:hAnsiTheme="minorHAnsi"/>
          <w:i/>
        </w:rPr>
        <w:t>For more detail on PBAC’s view, see section 7 PBAC outcome.</w:t>
      </w:r>
      <w:r w:rsidR="00054C41">
        <w:rPr>
          <w:rFonts w:asciiTheme="minorHAnsi" w:hAnsiTheme="minorHAnsi"/>
          <w:i/>
        </w:rPr>
        <w:t xml:space="preserve"> </w:t>
      </w:r>
    </w:p>
    <w:p w14:paraId="46E8937A" w14:textId="77777777" w:rsidR="00054C41" w:rsidRDefault="00054C41">
      <w:pPr>
        <w:jc w:val="left"/>
        <w:rPr>
          <w:rFonts w:asciiTheme="minorHAnsi" w:hAnsiTheme="minorHAnsi"/>
          <w:i/>
        </w:rPr>
      </w:pPr>
    </w:p>
    <w:p w14:paraId="636E86E9" w14:textId="77777777" w:rsidR="00054C41" w:rsidRPr="0090150D" w:rsidRDefault="00054C41" w:rsidP="00054C41">
      <w:pPr>
        <w:pStyle w:val="2-SectionHeading"/>
        <w:numPr>
          <w:ilvl w:val="0"/>
          <w:numId w:val="1"/>
        </w:numPr>
      </w:pPr>
      <w:bookmarkStart w:id="98" w:name="_Hlk76381249"/>
      <w:r w:rsidRPr="0090150D">
        <w:t>PBAC Outcome</w:t>
      </w:r>
    </w:p>
    <w:p w14:paraId="6880406D" w14:textId="6EE58C3D" w:rsidR="00AB048C" w:rsidRDefault="00CF445F" w:rsidP="00054C41">
      <w:pPr>
        <w:widowControl w:val="0"/>
        <w:numPr>
          <w:ilvl w:val="1"/>
          <w:numId w:val="1"/>
        </w:numPr>
        <w:spacing w:after="120"/>
        <w:rPr>
          <w:rFonts w:asciiTheme="minorHAnsi" w:hAnsiTheme="minorHAnsi"/>
          <w:snapToGrid w:val="0"/>
          <w:lang w:val="en-GB"/>
        </w:rPr>
      </w:pPr>
      <w:bookmarkStart w:id="99" w:name="_Hlk111543188"/>
      <w:r w:rsidRPr="00CF445F">
        <w:rPr>
          <w:rFonts w:asciiTheme="minorHAnsi" w:hAnsiTheme="minorHAnsi"/>
          <w:snapToGrid w:val="0"/>
          <w:lang w:val="en-GB"/>
        </w:rPr>
        <w:t>The PBAC recommended the listing of upadacitinib for the treatment of complex refractory fistulising Crohn's disease (FCD). The PBAC's recommendation was based on, among other matters, its assessment that the cost effectiveness of upadacitinib would be acceptable if it were cost minimised to the least costly alternative therapy of infliximab, adalimumab or ustekinumab.</w:t>
      </w:r>
    </w:p>
    <w:p w14:paraId="61FC130A" w14:textId="495E9024" w:rsidR="00053F22" w:rsidRDefault="00CF445F" w:rsidP="0075189D">
      <w:pPr>
        <w:widowControl w:val="0"/>
        <w:numPr>
          <w:ilvl w:val="1"/>
          <w:numId w:val="1"/>
        </w:numPr>
        <w:spacing w:after="120"/>
        <w:rPr>
          <w:rFonts w:asciiTheme="minorHAnsi" w:hAnsiTheme="minorHAnsi"/>
          <w:snapToGrid w:val="0"/>
          <w:lang w:val="en-GB"/>
        </w:rPr>
      </w:pPr>
      <w:r w:rsidRPr="00CF445F">
        <w:rPr>
          <w:rFonts w:asciiTheme="minorHAnsi" w:hAnsiTheme="minorHAnsi"/>
          <w:snapToGrid w:val="0"/>
          <w:lang w:val="en-GB"/>
        </w:rPr>
        <w:t>The PBAC considered the equi</w:t>
      </w:r>
      <w:r w:rsidR="00FC7500">
        <w:rPr>
          <w:rFonts w:asciiTheme="minorHAnsi" w:hAnsiTheme="minorHAnsi"/>
          <w:snapToGrid w:val="0"/>
          <w:lang w:val="en-GB"/>
        </w:rPr>
        <w:noBreakHyphen/>
      </w:r>
      <w:r w:rsidRPr="00CF445F">
        <w:rPr>
          <w:rFonts w:asciiTheme="minorHAnsi" w:hAnsiTheme="minorHAnsi"/>
          <w:snapToGrid w:val="0"/>
          <w:lang w:val="en-GB"/>
        </w:rPr>
        <w:t xml:space="preserve">effective doses </w:t>
      </w:r>
      <w:r w:rsidR="004F5EA3">
        <w:rPr>
          <w:rFonts w:asciiTheme="minorHAnsi" w:hAnsiTheme="minorHAnsi"/>
          <w:snapToGrid w:val="0"/>
          <w:lang w:val="en-GB"/>
        </w:rPr>
        <w:t>of upadacitinib and the alternative therapies</w:t>
      </w:r>
      <w:r w:rsidR="00053F22">
        <w:rPr>
          <w:rFonts w:asciiTheme="minorHAnsi" w:hAnsiTheme="minorHAnsi"/>
          <w:snapToGrid w:val="0"/>
          <w:lang w:val="en-GB"/>
        </w:rPr>
        <w:t xml:space="preserve"> are:</w:t>
      </w:r>
    </w:p>
    <w:p w14:paraId="7A9D3455" w14:textId="77777777" w:rsidR="00640B23" w:rsidRDefault="00640B23" w:rsidP="00640B23">
      <w:pPr>
        <w:pStyle w:val="ListParagraph"/>
        <w:widowControl w:val="0"/>
        <w:numPr>
          <w:ilvl w:val="0"/>
          <w:numId w:val="19"/>
        </w:numPr>
        <w:rPr>
          <w:lang w:val="en-GB"/>
        </w:rPr>
      </w:pPr>
      <w:r w:rsidRPr="00640B23">
        <w:rPr>
          <w:lang w:val="en-GB"/>
        </w:rPr>
        <w:t>U</w:t>
      </w:r>
      <w:r w:rsidR="0075189D" w:rsidRPr="00640B23">
        <w:rPr>
          <w:lang w:val="en-GB"/>
        </w:rPr>
        <w:t xml:space="preserve">padacitinib </w:t>
      </w:r>
      <w:r w:rsidR="00306654" w:rsidRPr="00640B23">
        <w:rPr>
          <w:lang w:val="en-GB"/>
        </w:rPr>
        <w:t xml:space="preserve">45 mg once daily for 12 weeks, followed by upadacitinib 15 mg or 30 mg once daily for </w:t>
      </w:r>
      <w:r w:rsidR="0029067F" w:rsidRPr="00640B23">
        <w:rPr>
          <w:lang w:val="en-GB"/>
        </w:rPr>
        <w:t>maintenance therapy</w:t>
      </w:r>
      <w:r>
        <w:rPr>
          <w:lang w:val="en-GB"/>
        </w:rPr>
        <w:t>;</w:t>
      </w:r>
    </w:p>
    <w:p w14:paraId="0FFE9F90" w14:textId="02DB504E" w:rsidR="00640B23" w:rsidRPr="00B552FE" w:rsidRDefault="00640B23" w:rsidP="00640B23">
      <w:pPr>
        <w:pStyle w:val="ListParagraph"/>
        <w:ind w:left="1080"/>
        <w:jc w:val="both"/>
        <w:rPr>
          <w:lang w:eastAsia="en-US"/>
        </w:rPr>
      </w:pPr>
      <w:r w:rsidRPr="00B552FE">
        <w:rPr>
          <w:lang w:eastAsia="en-US"/>
        </w:rPr>
        <w:t>Infliximab (IV): 5 mg/kg at Weeks 0, 2 and 6, then every 8 weeks thereafter, with an average of 4.36 × 100 mg vials per infusion based on the 2024</w:t>
      </w:r>
      <w:r w:rsidR="00FC7500">
        <w:rPr>
          <w:lang w:eastAsia="en-US"/>
        </w:rPr>
        <w:noBreakHyphen/>
      </w:r>
      <w:r w:rsidRPr="00B552FE">
        <w:rPr>
          <w:lang w:eastAsia="en-US"/>
        </w:rPr>
        <w:t>2025 PBS/RPBS utilisation</w:t>
      </w:r>
      <w:r w:rsidR="00EB5E47">
        <w:rPr>
          <w:lang w:eastAsia="en-US"/>
        </w:rPr>
        <w:t>;</w:t>
      </w:r>
    </w:p>
    <w:p w14:paraId="363C119C" w14:textId="765709D3" w:rsidR="00640B23" w:rsidRDefault="00640B23" w:rsidP="00640B23">
      <w:pPr>
        <w:pStyle w:val="ListParagraph"/>
        <w:ind w:left="1080"/>
        <w:jc w:val="both"/>
        <w:rPr>
          <w:lang w:eastAsia="en-US"/>
        </w:rPr>
      </w:pPr>
      <w:r w:rsidRPr="00B552FE">
        <w:rPr>
          <w:lang w:eastAsia="en-US"/>
        </w:rPr>
        <w:lastRenderedPageBreak/>
        <w:t>Infliximab (IV + SC): 5 mg/kg IV at Weeks 0 and 2, followed by 120 mg SC every 2 weeks from Week 6</w:t>
      </w:r>
      <w:r w:rsidR="00EB5E47">
        <w:rPr>
          <w:lang w:eastAsia="en-US"/>
        </w:rPr>
        <w:t>;</w:t>
      </w:r>
    </w:p>
    <w:p w14:paraId="431CEC9F" w14:textId="385917AB" w:rsidR="00640B23" w:rsidRPr="00B552FE" w:rsidRDefault="00640B23" w:rsidP="00640B23">
      <w:pPr>
        <w:pStyle w:val="ListParagraph"/>
        <w:ind w:left="1080"/>
        <w:jc w:val="both"/>
        <w:rPr>
          <w:lang w:eastAsia="en-US"/>
        </w:rPr>
      </w:pPr>
      <w:r w:rsidRPr="00B552FE">
        <w:rPr>
          <w:lang w:eastAsia="en-US"/>
        </w:rPr>
        <w:t>Adalimumab: 160 mg at Week 0, 80 mg at Week 2, then 40 mg every 2 weeks</w:t>
      </w:r>
      <w:r>
        <w:rPr>
          <w:lang w:eastAsia="en-US"/>
        </w:rPr>
        <w:t>; and</w:t>
      </w:r>
    </w:p>
    <w:p w14:paraId="4350DAFF" w14:textId="6880554E" w:rsidR="00640B23" w:rsidRPr="00B552FE" w:rsidRDefault="00EB5E47" w:rsidP="00EB5E47">
      <w:pPr>
        <w:pStyle w:val="ListParagraph"/>
        <w:ind w:left="1080"/>
        <w:jc w:val="both"/>
        <w:rPr>
          <w:lang w:eastAsia="en-US"/>
        </w:rPr>
      </w:pPr>
      <w:r w:rsidRPr="00B552FE">
        <w:rPr>
          <w:lang w:eastAsia="en-US"/>
        </w:rPr>
        <w:t>Ustekinumab: weight based intravenous (IV) dose at Week 0 (estimated at 3.3 × 130 mg vials based on 2024</w:t>
      </w:r>
      <w:r w:rsidR="00FC7500">
        <w:rPr>
          <w:lang w:eastAsia="en-US"/>
        </w:rPr>
        <w:noBreakHyphen/>
      </w:r>
      <w:r w:rsidRPr="00B552FE">
        <w:rPr>
          <w:lang w:eastAsia="en-US"/>
        </w:rPr>
        <w:t>2025 PBS/RPBS utilisation), followed by 90 mg subcutaneous (SC) at Week 8, then 90 mg SC every 8 weeks (88%) or 12 weeks (12%) thereafter.</w:t>
      </w:r>
    </w:p>
    <w:p w14:paraId="54A299C6" w14:textId="66EE1E7F" w:rsidR="00CF445F" w:rsidRDefault="00D73F90" w:rsidP="00054C41">
      <w:pPr>
        <w:widowControl w:val="0"/>
        <w:numPr>
          <w:ilvl w:val="1"/>
          <w:numId w:val="1"/>
        </w:numPr>
        <w:spacing w:after="120"/>
        <w:rPr>
          <w:rFonts w:asciiTheme="minorHAnsi" w:hAnsiTheme="minorHAnsi"/>
          <w:snapToGrid w:val="0"/>
          <w:lang w:val="en-GB"/>
        </w:rPr>
      </w:pPr>
      <w:r w:rsidRPr="00D73F90">
        <w:rPr>
          <w:rFonts w:asciiTheme="minorHAnsi" w:hAnsiTheme="minorHAnsi"/>
          <w:snapToGrid w:val="0"/>
          <w:lang w:val="en-GB"/>
        </w:rPr>
        <w:t>The PBAC acknowledged FCD is a severe and debilitating complication of Crohn's disease caused by the formation of abscesses and fistulas that drain either internally or externally, often requiring surgery</w:t>
      </w:r>
      <w:r>
        <w:rPr>
          <w:rFonts w:asciiTheme="minorHAnsi" w:hAnsiTheme="minorHAnsi"/>
          <w:snapToGrid w:val="0"/>
          <w:lang w:val="en-GB"/>
        </w:rPr>
        <w:t xml:space="preserve"> if untreated</w:t>
      </w:r>
      <w:r w:rsidRPr="00D73F90">
        <w:rPr>
          <w:rFonts w:asciiTheme="minorHAnsi" w:hAnsiTheme="minorHAnsi"/>
          <w:snapToGrid w:val="0"/>
          <w:lang w:val="en-GB"/>
        </w:rPr>
        <w:t>. The Committee</w:t>
      </w:r>
      <w:r w:rsidR="00CA7F87">
        <w:rPr>
          <w:rFonts w:asciiTheme="minorHAnsi" w:hAnsiTheme="minorHAnsi"/>
          <w:snapToGrid w:val="0"/>
          <w:lang w:val="en-GB"/>
        </w:rPr>
        <w:t xml:space="preserve"> acknowledged the </w:t>
      </w:r>
      <w:r w:rsidR="00322DC0">
        <w:rPr>
          <w:rFonts w:asciiTheme="minorHAnsi" w:hAnsiTheme="minorHAnsi"/>
          <w:snapToGrid w:val="0"/>
          <w:lang w:val="en-GB"/>
        </w:rPr>
        <w:t>consumer</w:t>
      </w:r>
      <w:r w:rsidR="003957EF">
        <w:rPr>
          <w:rFonts w:asciiTheme="minorHAnsi" w:hAnsiTheme="minorHAnsi"/>
          <w:snapToGrid w:val="0"/>
          <w:lang w:val="en-GB"/>
        </w:rPr>
        <w:t xml:space="preserve"> input</w:t>
      </w:r>
      <w:r w:rsidR="00322DC0">
        <w:rPr>
          <w:rFonts w:asciiTheme="minorHAnsi" w:hAnsiTheme="minorHAnsi"/>
          <w:snapToGrid w:val="0"/>
          <w:lang w:val="en-GB"/>
        </w:rPr>
        <w:t xml:space="preserve"> supported the listing and</w:t>
      </w:r>
      <w:r w:rsidRPr="00D73F90">
        <w:rPr>
          <w:rFonts w:asciiTheme="minorHAnsi" w:hAnsiTheme="minorHAnsi"/>
          <w:snapToGrid w:val="0"/>
          <w:lang w:val="en-GB"/>
        </w:rPr>
        <w:t xml:space="preserve"> considered there was a clinical need for</w:t>
      </w:r>
      <w:r w:rsidR="00322DC0">
        <w:rPr>
          <w:rFonts w:asciiTheme="minorHAnsi" w:hAnsiTheme="minorHAnsi"/>
          <w:snapToGrid w:val="0"/>
          <w:lang w:val="en-GB"/>
        </w:rPr>
        <w:t xml:space="preserve"> additional</w:t>
      </w:r>
      <w:r w:rsidRPr="00D73F90">
        <w:rPr>
          <w:rFonts w:asciiTheme="minorHAnsi" w:hAnsiTheme="minorHAnsi"/>
          <w:snapToGrid w:val="0"/>
          <w:lang w:val="en-GB"/>
        </w:rPr>
        <w:t xml:space="preserve"> effective therapies for FCD, particularly options with different mechanisms of action, with upadacitinib being the first Janus kinase (JAK) inhibitor for this indication</w:t>
      </w:r>
      <w:r>
        <w:rPr>
          <w:rFonts w:asciiTheme="minorHAnsi" w:hAnsiTheme="minorHAnsi"/>
          <w:snapToGrid w:val="0"/>
          <w:lang w:val="en-GB"/>
        </w:rPr>
        <w:t xml:space="preserve">. The PBAC also </w:t>
      </w:r>
      <w:r w:rsidRPr="00D73F90">
        <w:rPr>
          <w:rFonts w:asciiTheme="minorHAnsi" w:hAnsiTheme="minorHAnsi"/>
          <w:snapToGrid w:val="0"/>
          <w:lang w:val="en-GB"/>
        </w:rPr>
        <w:t>noted that while FCD is a manifestation of Crohn's disease, the nature of the Crohn's disease activity index (CDAI) scale means patients with severe and debilitating disease due to fistula impacts may otherwise not be eligible for treatment under the severe Crohn's disease listings on the PBS, thus necessitating the separate listings.</w:t>
      </w:r>
    </w:p>
    <w:p w14:paraId="4A6270CD" w14:textId="478E0972" w:rsidR="00B76023" w:rsidRDefault="00BA2D0B" w:rsidP="00054C41">
      <w:pPr>
        <w:widowControl w:val="0"/>
        <w:numPr>
          <w:ilvl w:val="1"/>
          <w:numId w:val="1"/>
        </w:numPr>
        <w:spacing w:after="120"/>
        <w:rPr>
          <w:rFonts w:asciiTheme="minorHAnsi" w:hAnsiTheme="minorHAnsi"/>
          <w:snapToGrid w:val="0"/>
          <w:lang w:val="en-GB"/>
        </w:rPr>
      </w:pPr>
      <w:r w:rsidRPr="00BA2D0B">
        <w:rPr>
          <w:rFonts w:asciiTheme="minorHAnsi" w:hAnsiTheme="minorHAnsi"/>
          <w:snapToGrid w:val="0"/>
          <w:lang w:val="en-GB"/>
        </w:rPr>
        <w:t xml:space="preserve">With respect to the requested restriction, the PBAC considered the listing should be aligned with that of the other therapies listed for FCD in terms of the criteria, but </w:t>
      </w:r>
      <w:r w:rsidR="00DB0BC0">
        <w:rPr>
          <w:rFonts w:asciiTheme="minorHAnsi" w:hAnsiTheme="minorHAnsi"/>
          <w:snapToGrid w:val="0"/>
          <w:lang w:val="en-GB"/>
        </w:rPr>
        <w:t xml:space="preserve">also </w:t>
      </w:r>
      <w:r w:rsidRPr="00BA2D0B">
        <w:rPr>
          <w:rFonts w:asciiTheme="minorHAnsi" w:hAnsiTheme="minorHAnsi"/>
          <w:snapToGrid w:val="0"/>
          <w:lang w:val="en-GB"/>
        </w:rPr>
        <w:t xml:space="preserve">recommended </w:t>
      </w:r>
      <w:r w:rsidR="00D31F57">
        <w:rPr>
          <w:rFonts w:asciiTheme="minorHAnsi" w:hAnsiTheme="minorHAnsi"/>
          <w:snapToGrid w:val="0"/>
          <w:lang w:val="en-GB"/>
        </w:rPr>
        <w:t>the following</w:t>
      </w:r>
      <w:r w:rsidRPr="00BA2D0B">
        <w:rPr>
          <w:rFonts w:asciiTheme="minorHAnsi" w:hAnsiTheme="minorHAnsi"/>
          <w:snapToGrid w:val="0"/>
          <w:lang w:val="en-GB"/>
        </w:rPr>
        <w:t xml:space="preserve"> changes, including:</w:t>
      </w:r>
    </w:p>
    <w:p w14:paraId="1B4C885F" w14:textId="343BA5CD" w:rsidR="0069324B" w:rsidRDefault="00AA573E" w:rsidP="00EB69AD">
      <w:pPr>
        <w:pStyle w:val="ListParagraph"/>
        <w:widowControl w:val="0"/>
        <w:numPr>
          <w:ilvl w:val="0"/>
          <w:numId w:val="10"/>
        </w:numPr>
        <w:jc w:val="both"/>
        <w:rPr>
          <w:lang w:val="en-GB"/>
        </w:rPr>
      </w:pPr>
      <w:r w:rsidRPr="00AA573E">
        <w:rPr>
          <w:lang w:val="en-GB"/>
        </w:rPr>
        <w:t xml:space="preserve">That the authority level for </w:t>
      </w:r>
      <w:r w:rsidR="004A53C7">
        <w:rPr>
          <w:lang w:val="en-GB"/>
        </w:rPr>
        <w:t xml:space="preserve">initial and </w:t>
      </w:r>
      <w:r w:rsidRPr="00AA573E">
        <w:rPr>
          <w:lang w:val="en-GB"/>
        </w:rPr>
        <w:t>continuing therapy for upadacitinib for FCD should be Authority Required (telephone/</w:t>
      </w:r>
      <w:r w:rsidR="004A53C7">
        <w:rPr>
          <w:lang w:val="en-GB"/>
        </w:rPr>
        <w:t xml:space="preserve">Online </w:t>
      </w:r>
      <w:r w:rsidR="00A7727D">
        <w:rPr>
          <w:lang w:val="en-GB"/>
        </w:rPr>
        <w:t>Immediate</w:t>
      </w:r>
      <w:r w:rsidR="004A53C7">
        <w:rPr>
          <w:lang w:val="en-GB"/>
        </w:rPr>
        <w:t xml:space="preserve"> </w:t>
      </w:r>
      <w:r w:rsidR="00A7727D">
        <w:rPr>
          <w:lang w:val="en-GB"/>
        </w:rPr>
        <w:t>A</w:t>
      </w:r>
      <w:r w:rsidR="004A53C7">
        <w:rPr>
          <w:lang w:val="en-GB"/>
        </w:rPr>
        <w:t>ssessment</w:t>
      </w:r>
      <w:r w:rsidR="00B77C78" w:rsidRPr="00AA573E">
        <w:rPr>
          <w:lang w:val="en-GB"/>
        </w:rPr>
        <w:t>)</w:t>
      </w:r>
      <w:r w:rsidRPr="00AA573E">
        <w:rPr>
          <w:lang w:val="en-GB"/>
        </w:rPr>
        <w:t xml:space="preserve">. The PBAC noted this change would align the authority levels </w:t>
      </w:r>
      <w:r w:rsidR="0059555A">
        <w:rPr>
          <w:lang w:val="en-GB"/>
        </w:rPr>
        <w:t>recommended as part of the</w:t>
      </w:r>
      <w:r w:rsidR="00452454">
        <w:rPr>
          <w:lang w:val="en-GB"/>
        </w:rPr>
        <w:t xml:space="preserve"> administrative restriction amendments</w:t>
      </w:r>
      <w:r w:rsidR="0059555A">
        <w:rPr>
          <w:lang w:val="en-GB"/>
        </w:rPr>
        <w:t xml:space="preserve"> </w:t>
      </w:r>
      <w:r w:rsidR="001E5D63">
        <w:rPr>
          <w:lang w:val="en-GB"/>
        </w:rPr>
        <w:t xml:space="preserve">for inflammatory bowel diseases </w:t>
      </w:r>
      <w:r w:rsidR="00A7727D">
        <w:rPr>
          <w:lang w:val="en-GB"/>
        </w:rPr>
        <w:t>that was discussed</w:t>
      </w:r>
      <w:r w:rsidR="00452454">
        <w:rPr>
          <w:lang w:val="en-GB"/>
        </w:rPr>
        <w:t xml:space="preserve"> at the same meeting</w:t>
      </w:r>
      <w:r w:rsidRPr="00AA573E">
        <w:rPr>
          <w:lang w:val="en-GB"/>
        </w:rPr>
        <w:t>.</w:t>
      </w:r>
    </w:p>
    <w:p w14:paraId="6695928B" w14:textId="26EDA992" w:rsidR="000C1E8A" w:rsidRDefault="000C1E8A" w:rsidP="00EB69AD">
      <w:pPr>
        <w:pStyle w:val="ListParagraph"/>
        <w:widowControl w:val="0"/>
        <w:numPr>
          <w:ilvl w:val="0"/>
          <w:numId w:val="10"/>
        </w:numPr>
        <w:jc w:val="both"/>
        <w:rPr>
          <w:lang w:val="en-GB"/>
        </w:rPr>
      </w:pPr>
      <w:r>
        <w:rPr>
          <w:lang w:val="en-GB"/>
        </w:rPr>
        <w:t xml:space="preserve">The listing should be age agnostic, consistent with </w:t>
      </w:r>
      <w:r w:rsidR="00996E8B">
        <w:rPr>
          <w:lang w:val="en-GB"/>
        </w:rPr>
        <w:t xml:space="preserve">current </w:t>
      </w:r>
      <w:r>
        <w:rPr>
          <w:lang w:val="en-GB"/>
        </w:rPr>
        <w:t>listings for FCD.</w:t>
      </w:r>
    </w:p>
    <w:p w14:paraId="1B46E489" w14:textId="4CDE882D" w:rsidR="00AA573E" w:rsidRDefault="00AA573E" w:rsidP="00EB69AD">
      <w:pPr>
        <w:pStyle w:val="ListParagraph"/>
        <w:widowControl w:val="0"/>
        <w:numPr>
          <w:ilvl w:val="0"/>
          <w:numId w:val="10"/>
        </w:numPr>
        <w:jc w:val="both"/>
        <w:rPr>
          <w:lang w:val="en-GB"/>
        </w:rPr>
      </w:pPr>
      <w:r w:rsidRPr="00AA573E">
        <w:rPr>
          <w:lang w:val="en-GB"/>
        </w:rPr>
        <w:t>A</w:t>
      </w:r>
      <w:r w:rsidR="00460007">
        <w:rPr>
          <w:lang w:val="en-GB"/>
        </w:rPr>
        <w:t>n additional</w:t>
      </w:r>
      <w:r w:rsidRPr="00AA573E">
        <w:rPr>
          <w:lang w:val="en-GB"/>
        </w:rPr>
        <w:t xml:space="preserve"> listing for upadacitinib 30 mg should be added for induction therapy for patients with</w:t>
      </w:r>
      <w:r w:rsidR="00C02C03">
        <w:rPr>
          <w:lang w:val="en-GB"/>
        </w:rPr>
        <w:t xml:space="preserve"> Stage 4</w:t>
      </w:r>
      <w:r w:rsidRPr="00AA573E">
        <w:rPr>
          <w:lang w:val="en-GB"/>
        </w:rPr>
        <w:t xml:space="preserve"> renal impairment (</w:t>
      </w:r>
      <w:r w:rsidR="00E024BA">
        <w:rPr>
          <w:lang w:val="en-GB"/>
        </w:rPr>
        <w:t xml:space="preserve">as </w:t>
      </w:r>
      <w:r w:rsidR="006E6304">
        <w:rPr>
          <w:lang w:val="en-GB"/>
        </w:rPr>
        <w:t xml:space="preserve">the 45 mg dose is not suitable for </w:t>
      </w:r>
      <w:r w:rsidR="00B77C78">
        <w:rPr>
          <w:lang w:val="en-GB"/>
        </w:rPr>
        <w:t>these patients</w:t>
      </w:r>
      <w:r w:rsidRPr="00AA573E">
        <w:rPr>
          <w:lang w:val="en-GB"/>
        </w:rPr>
        <w:t xml:space="preserve">), which should also be added for the other </w:t>
      </w:r>
      <w:r w:rsidR="006E0A81">
        <w:rPr>
          <w:lang w:val="en-GB"/>
        </w:rPr>
        <w:t xml:space="preserve">inflammatory bowel disease </w:t>
      </w:r>
      <w:r w:rsidRPr="00AA573E">
        <w:rPr>
          <w:lang w:val="en-GB"/>
        </w:rPr>
        <w:t>indications</w:t>
      </w:r>
      <w:r w:rsidR="00A067DF">
        <w:rPr>
          <w:lang w:val="en-GB"/>
        </w:rPr>
        <w:t xml:space="preserve"> (including </w:t>
      </w:r>
      <w:r w:rsidR="002943CB">
        <w:rPr>
          <w:lang w:val="en-GB"/>
        </w:rPr>
        <w:t>s</w:t>
      </w:r>
      <w:r w:rsidR="006E0A81">
        <w:rPr>
          <w:lang w:val="en-GB"/>
        </w:rPr>
        <w:t>evere Crohn</w:t>
      </w:r>
      <w:r w:rsidR="002943CB">
        <w:rPr>
          <w:lang w:val="en-GB"/>
        </w:rPr>
        <w:t>’s</w:t>
      </w:r>
      <w:r w:rsidR="006E0A81">
        <w:rPr>
          <w:lang w:val="en-GB"/>
        </w:rPr>
        <w:t xml:space="preserve"> disease and </w:t>
      </w:r>
      <w:r w:rsidR="002943CB">
        <w:rPr>
          <w:lang w:val="en-GB"/>
        </w:rPr>
        <w:t>u</w:t>
      </w:r>
      <w:r w:rsidR="006E0A81">
        <w:rPr>
          <w:lang w:val="en-GB"/>
        </w:rPr>
        <w:t xml:space="preserve">lcerative </w:t>
      </w:r>
      <w:r w:rsidR="002943CB">
        <w:rPr>
          <w:lang w:val="en-GB"/>
        </w:rPr>
        <w:t>c</w:t>
      </w:r>
      <w:r w:rsidR="006E0A81">
        <w:rPr>
          <w:lang w:val="en-GB"/>
        </w:rPr>
        <w:t>olitis)</w:t>
      </w:r>
      <w:r w:rsidRPr="00AA573E">
        <w:rPr>
          <w:lang w:val="en-GB"/>
        </w:rPr>
        <w:t xml:space="preserve"> for which upadacitinib 45 mg is the standard induction dose.</w:t>
      </w:r>
    </w:p>
    <w:p w14:paraId="647CCC65" w14:textId="23D84BBD" w:rsidR="00AA573E" w:rsidRPr="003F3371" w:rsidRDefault="00AA573E" w:rsidP="003F3371">
      <w:pPr>
        <w:pStyle w:val="ListParagraph"/>
        <w:widowControl w:val="0"/>
        <w:numPr>
          <w:ilvl w:val="0"/>
          <w:numId w:val="10"/>
        </w:numPr>
        <w:jc w:val="both"/>
        <w:rPr>
          <w:lang w:val="en-GB"/>
        </w:rPr>
      </w:pPr>
      <w:r w:rsidRPr="00AA573E">
        <w:rPr>
          <w:lang w:val="en-GB"/>
        </w:rPr>
        <w:t>The restriction should allow for an extended induction period for an additional 12 weeks</w:t>
      </w:r>
      <w:r w:rsidR="00E47676">
        <w:rPr>
          <w:lang w:val="en-GB"/>
        </w:rPr>
        <w:t xml:space="preserve"> at the 30 mg dose</w:t>
      </w:r>
      <w:r w:rsidRPr="00AA573E">
        <w:rPr>
          <w:lang w:val="en-GB"/>
        </w:rPr>
        <w:t xml:space="preserve"> for patients who do not demonstrate an adequate response within the first 12 weeks of treatment.</w:t>
      </w:r>
    </w:p>
    <w:p w14:paraId="2148DEF7" w14:textId="52671C32" w:rsidR="004B40EC" w:rsidRDefault="004B40EC" w:rsidP="00054C4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w:t>
      </w:r>
      <w:r w:rsidR="00886033">
        <w:rPr>
          <w:rFonts w:asciiTheme="minorHAnsi" w:hAnsiTheme="minorHAnsi"/>
          <w:snapToGrid w:val="0"/>
          <w:lang w:val="en-GB"/>
        </w:rPr>
        <w:t xml:space="preserve"> </w:t>
      </w:r>
      <w:r>
        <w:rPr>
          <w:rFonts w:asciiTheme="minorHAnsi" w:hAnsiTheme="minorHAnsi"/>
          <w:snapToGrid w:val="0"/>
          <w:lang w:val="en-GB"/>
        </w:rPr>
        <w:t>noted a grandfather restriction was requested in the Pre</w:t>
      </w:r>
      <w:r w:rsidR="00FC7500">
        <w:rPr>
          <w:rFonts w:asciiTheme="minorHAnsi" w:hAnsiTheme="minorHAnsi"/>
          <w:snapToGrid w:val="0"/>
          <w:lang w:val="en-GB"/>
        </w:rPr>
        <w:noBreakHyphen/>
      </w:r>
      <w:r>
        <w:rPr>
          <w:rFonts w:asciiTheme="minorHAnsi" w:hAnsiTheme="minorHAnsi"/>
          <w:snapToGrid w:val="0"/>
          <w:lang w:val="en-GB"/>
        </w:rPr>
        <w:t xml:space="preserve">PBAC Response and considered </w:t>
      </w:r>
      <w:r w:rsidR="008C778E">
        <w:rPr>
          <w:rFonts w:asciiTheme="minorHAnsi" w:hAnsiTheme="minorHAnsi"/>
          <w:snapToGrid w:val="0"/>
          <w:lang w:val="en-GB"/>
        </w:rPr>
        <w:t xml:space="preserve">that </w:t>
      </w:r>
      <w:r>
        <w:rPr>
          <w:rFonts w:asciiTheme="minorHAnsi" w:hAnsiTheme="minorHAnsi"/>
          <w:snapToGrid w:val="0"/>
          <w:lang w:val="en-GB"/>
        </w:rPr>
        <w:t xml:space="preserve">this was </w:t>
      </w:r>
      <w:r w:rsidR="00AA2CFA">
        <w:rPr>
          <w:rFonts w:asciiTheme="minorHAnsi" w:hAnsiTheme="minorHAnsi"/>
          <w:snapToGrid w:val="0"/>
          <w:lang w:val="en-GB"/>
        </w:rPr>
        <w:t>reasonable and</w:t>
      </w:r>
      <w:r w:rsidR="00886033">
        <w:rPr>
          <w:rFonts w:asciiTheme="minorHAnsi" w:hAnsiTheme="minorHAnsi"/>
          <w:snapToGrid w:val="0"/>
          <w:lang w:val="en-GB"/>
        </w:rPr>
        <w:t xml:space="preserve"> should remain in place for 12 months from the date of listing, per standard policy.</w:t>
      </w:r>
    </w:p>
    <w:p w14:paraId="44E29230" w14:textId="36AC1126" w:rsidR="00675B9D" w:rsidRDefault="00675B9D" w:rsidP="00054C41">
      <w:pPr>
        <w:widowControl w:val="0"/>
        <w:numPr>
          <w:ilvl w:val="1"/>
          <w:numId w:val="1"/>
        </w:numPr>
        <w:spacing w:after="120"/>
        <w:rPr>
          <w:rFonts w:asciiTheme="minorHAnsi" w:hAnsiTheme="minorHAnsi"/>
          <w:snapToGrid w:val="0"/>
          <w:lang w:val="en-GB"/>
        </w:rPr>
      </w:pPr>
      <w:r w:rsidRPr="00675B9D">
        <w:rPr>
          <w:rFonts w:asciiTheme="minorHAnsi" w:hAnsiTheme="minorHAnsi"/>
          <w:snapToGrid w:val="0"/>
          <w:lang w:val="en-GB"/>
        </w:rPr>
        <w:t xml:space="preserve">The PBAC noted the submission nominated infliximab as the main comparator and </w:t>
      </w:r>
      <w:r w:rsidRPr="00675B9D">
        <w:rPr>
          <w:rFonts w:asciiTheme="minorHAnsi" w:hAnsiTheme="minorHAnsi"/>
          <w:snapToGrid w:val="0"/>
          <w:lang w:val="en-GB"/>
        </w:rPr>
        <w:lastRenderedPageBreak/>
        <w:t xml:space="preserve">adalimumab and ustekinumab as additional comparators and considered this was reasonable. The Committee </w:t>
      </w:r>
      <w:r w:rsidR="00344699">
        <w:rPr>
          <w:rFonts w:asciiTheme="minorHAnsi" w:hAnsiTheme="minorHAnsi"/>
          <w:snapToGrid w:val="0"/>
          <w:lang w:val="en-GB"/>
        </w:rPr>
        <w:t>considered</w:t>
      </w:r>
      <w:r w:rsidR="00F265F0">
        <w:rPr>
          <w:rFonts w:asciiTheme="minorHAnsi" w:hAnsiTheme="minorHAnsi"/>
          <w:snapToGrid w:val="0"/>
          <w:lang w:val="en-GB"/>
        </w:rPr>
        <w:t xml:space="preserve"> all of these</w:t>
      </w:r>
      <w:r w:rsidR="00344699">
        <w:rPr>
          <w:rFonts w:asciiTheme="minorHAnsi" w:hAnsiTheme="minorHAnsi"/>
          <w:snapToGrid w:val="0"/>
          <w:lang w:val="en-GB"/>
        </w:rPr>
        <w:t xml:space="preserve"> are alternative therapies for FCD.</w:t>
      </w:r>
      <w:r w:rsidRPr="00675B9D">
        <w:rPr>
          <w:rFonts w:asciiTheme="minorHAnsi" w:hAnsiTheme="minorHAnsi"/>
          <w:snapToGrid w:val="0"/>
          <w:lang w:val="en-GB"/>
        </w:rPr>
        <w:t xml:space="preserve"> </w:t>
      </w:r>
    </w:p>
    <w:bookmarkEnd w:id="99"/>
    <w:p w14:paraId="50707AA1" w14:textId="17B7EFE6" w:rsidR="001F1D42" w:rsidRDefault="001F1D42" w:rsidP="00054C41">
      <w:pPr>
        <w:widowControl w:val="0"/>
        <w:numPr>
          <w:ilvl w:val="1"/>
          <w:numId w:val="1"/>
        </w:numPr>
        <w:spacing w:after="120"/>
        <w:rPr>
          <w:rFonts w:asciiTheme="minorHAnsi" w:hAnsiTheme="minorHAnsi"/>
          <w:snapToGrid w:val="0"/>
          <w:lang w:val="en-GB"/>
        </w:rPr>
      </w:pPr>
      <w:r w:rsidRPr="001F1D42">
        <w:rPr>
          <w:rFonts w:asciiTheme="minorHAnsi" w:hAnsiTheme="minorHAnsi"/>
          <w:snapToGrid w:val="0"/>
          <w:lang w:val="en-GB"/>
        </w:rPr>
        <w:t>The PBAC noted no head</w:t>
      </w:r>
      <w:r w:rsidR="00FC7500">
        <w:rPr>
          <w:rFonts w:asciiTheme="minorHAnsi" w:hAnsiTheme="minorHAnsi"/>
          <w:snapToGrid w:val="0"/>
          <w:lang w:val="en-GB"/>
        </w:rPr>
        <w:noBreakHyphen/>
      </w:r>
      <w:r w:rsidRPr="001F1D42">
        <w:rPr>
          <w:rFonts w:asciiTheme="minorHAnsi" w:hAnsiTheme="minorHAnsi"/>
          <w:snapToGrid w:val="0"/>
          <w:lang w:val="en-GB"/>
        </w:rPr>
        <w:t>to</w:t>
      </w:r>
      <w:r w:rsidR="00FC7500">
        <w:rPr>
          <w:rFonts w:asciiTheme="minorHAnsi" w:hAnsiTheme="minorHAnsi"/>
          <w:snapToGrid w:val="0"/>
          <w:lang w:val="en-GB"/>
        </w:rPr>
        <w:noBreakHyphen/>
      </w:r>
      <w:r w:rsidRPr="001F1D42">
        <w:rPr>
          <w:rFonts w:asciiTheme="minorHAnsi" w:hAnsiTheme="minorHAnsi"/>
          <w:snapToGrid w:val="0"/>
          <w:lang w:val="en-GB"/>
        </w:rPr>
        <w:t>head trials were available comparing upadacitinib and any of the comparators and the submission relied on indirect treatment comparisons (ITCs) from pooled evidence from multiple trials</w:t>
      </w:r>
      <w:r w:rsidR="00493E21">
        <w:rPr>
          <w:rFonts w:asciiTheme="minorHAnsi" w:hAnsiTheme="minorHAnsi"/>
          <w:snapToGrid w:val="0"/>
          <w:lang w:val="en-GB"/>
        </w:rPr>
        <w:t xml:space="preserve">, all of which it had previously considered in support of </w:t>
      </w:r>
      <w:r w:rsidR="00B005C1">
        <w:rPr>
          <w:rFonts w:asciiTheme="minorHAnsi" w:hAnsiTheme="minorHAnsi"/>
          <w:snapToGrid w:val="0"/>
          <w:lang w:val="en-GB"/>
        </w:rPr>
        <w:t>either the upadacitinib submission for severe Crohn’s disease or the comparator trials for FCD</w:t>
      </w:r>
      <w:r w:rsidRPr="001F1D42">
        <w:rPr>
          <w:rFonts w:asciiTheme="minorHAnsi" w:hAnsiTheme="minorHAnsi"/>
          <w:snapToGrid w:val="0"/>
          <w:lang w:val="en-GB"/>
        </w:rPr>
        <w:t>. The Committee noted the evidence for upadacitinib and the comparators were largely based on small subgroup analyses from larger Crohn's disease trials</w:t>
      </w:r>
      <w:r w:rsidR="006C47AA">
        <w:rPr>
          <w:rFonts w:asciiTheme="minorHAnsi" w:hAnsiTheme="minorHAnsi"/>
          <w:snapToGrid w:val="0"/>
          <w:lang w:val="en-GB"/>
        </w:rPr>
        <w:t xml:space="preserve"> (except infliximab)</w:t>
      </w:r>
      <w:r w:rsidRPr="001F1D42">
        <w:rPr>
          <w:rFonts w:asciiTheme="minorHAnsi" w:hAnsiTheme="minorHAnsi"/>
          <w:snapToGrid w:val="0"/>
          <w:lang w:val="en-GB"/>
        </w:rPr>
        <w:t xml:space="preserve"> and there were notable differences between the trials including variations in baseline characteristics, disease severity</w:t>
      </w:r>
      <w:r w:rsidR="00D61A95">
        <w:rPr>
          <w:rFonts w:asciiTheme="minorHAnsi" w:hAnsiTheme="minorHAnsi"/>
          <w:snapToGrid w:val="0"/>
          <w:lang w:val="en-GB"/>
        </w:rPr>
        <w:t>,</w:t>
      </w:r>
      <w:r w:rsidRPr="001F1D42">
        <w:rPr>
          <w:rFonts w:asciiTheme="minorHAnsi" w:hAnsiTheme="minorHAnsi"/>
          <w:snapToGrid w:val="0"/>
          <w:lang w:val="en-GB"/>
        </w:rPr>
        <w:t xml:space="preserve"> prior exposure to biologic agents and timing of response measurements.</w:t>
      </w:r>
      <w:r w:rsidR="00B92B83">
        <w:rPr>
          <w:rFonts w:asciiTheme="minorHAnsi" w:hAnsiTheme="minorHAnsi"/>
          <w:snapToGrid w:val="0"/>
          <w:lang w:val="en-GB"/>
        </w:rPr>
        <w:t xml:space="preserve"> T</w:t>
      </w:r>
      <w:r w:rsidRPr="001F1D42">
        <w:rPr>
          <w:rFonts w:asciiTheme="minorHAnsi" w:hAnsiTheme="minorHAnsi"/>
          <w:snapToGrid w:val="0"/>
          <w:lang w:val="en-GB"/>
        </w:rPr>
        <w:t>he PBAC considered the evidence base to be inherently uncertain, however acknowledged it had relied upon similarly limited evidence to inform the claims for the comparator submissions</w:t>
      </w:r>
      <w:r w:rsidR="00B92B83">
        <w:rPr>
          <w:rFonts w:asciiTheme="minorHAnsi" w:hAnsiTheme="minorHAnsi"/>
          <w:snapToGrid w:val="0"/>
          <w:lang w:val="en-GB"/>
        </w:rPr>
        <w:t>. Overall, the PBAC</w:t>
      </w:r>
      <w:r w:rsidRPr="001F1D42">
        <w:rPr>
          <w:rFonts w:asciiTheme="minorHAnsi" w:hAnsiTheme="minorHAnsi"/>
          <w:snapToGrid w:val="0"/>
          <w:lang w:val="en-GB"/>
        </w:rPr>
        <w:t xml:space="preserve"> considered the evidence presented was adequate for informing the clinical claims. </w:t>
      </w:r>
    </w:p>
    <w:p w14:paraId="4A11AD9D" w14:textId="79889636" w:rsidR="001F1D42" w:rsidRDefault="001F1D42" w:rsidP="00054C41">
      <w:pPr>
        <w:widowControl w:val="0"/>
        <w:numPr>
          <w:ilvl w:val="1"/>
          <w:numId w:val="1"/>
        </w:numPr>
        <w:spacing w:after="120"/>
        <w:rPr>
          <w:rFonts w:asciiTheme="minorHAnsi" w:hAnsiTheme="minorHAnsi"/>
          <w:snapToGrid w:val="0"/>
          <w:lang w:val="en-GB"/>
        </w:rPr>
      </w:pPr>
      <w:r w:rsidRPr="001F1D42">
        <w:rPr>
          <w:rFonts w:asciiTheme="minorHAnsi" w:hAnsiTheme="minorHAnsi"/>
          <w:snapToGrid w:val="0"/>
          <w:lang w:val="en-GB"/>
        </w:rPr>
        <w:t xml:space="preserve">The Committee noted the results of the upadacitinib FCD subgroup analyses versus placebo </w:t>
      </w:r>
      <w:r w:rsidR="00D138AA">
        <w:rPr>
          <w:rFonts w:asciiTheme="minorHAnsi" w:hAnsiTheme="minorHAnsi"/>
          <w:snapToGrid w:val="0"/>
          <w:lang w:val="en-GB"/>
        </w:rPr>
        <w:t xml:space="preserve">were </w:t>
      </w:r>
      <w:r w:rsidRPr="001F1D42">
        <w:rPr>
          <w:rFonts w:asciiTheme="minorHAnsi" w:hAnsiTheme="minorHAnsi"/>
          <w:snapToGrid w:val="0"/>
          <w:lang w:val="en-GB"/>
        </w:rPr>
        <w:t>statistically significant favouring upadacitinib for the outcomes of induction fistula response</w:t>
      </w:r>
      <w:r w:rsidR="001E6748">
        <w:rPr>
          <w:rFonts w:asciiTheme="minorHAnsi" w:hAnsiTheme="minorHAnsi"/>
          <w:snapToGrid w:val="0"/>
          <w:lang w:val="en-GB"/>
        </w:rPr>
        <w:t xml:space="preserve"> (OR 6.33, 95%CI 1.64, 24.52)</w:t>
      </w:r>
      <w:r w:rsidRPr="001F1D42">
        <w:rPr>
          <w:rFonts w:asciiTheme="minorHAnsi" w:hAnsiTheme="minorHAnsi"/>
          <w:snapToGrid w:val="0"/>
          <w:lang w:val="en-GB"/>
        </w:rPr>
        <w:t xml:space="preserve"> and fistula remission</w:t>
      </w:r>
      <w:r w:rsidR="00966A8A">
        <w:rPr>
          <w:rFonts w:asciiTheme="minorHAnsi" w:hAnsiTheme="minorHAnsi"/>
          <w:snapToGrid w:val="0"/>
          <w:lang w:val="en-GB"/>
        </w:rPr>
        <w:t xml:space="preserve"> (OR 9.13, 95%CI</w:t>
      </w:r>
      <w:r w:rsidR="00E268D4">
        <w:rPr>
          <w:rFonts w:asciiTheme="minorHAnsi" w:hAnsiTheme="minorHAnsi"/>
          <w:snapToGrid w:val="0"/>
          <w:lang w:val="en-GB"/>
        </w:rPr>
        <w:t xml:space="preserve"> 1.90, 43.86)</w:t>
      </w:r>
      <w:r w:rsidRPr="001F1D42">
        <w:rPr>
          <w:rFonts w:asciiTheme="minorHAnsi" w:hAnsiTheme="minorHAnsi"/>
          <w:snapToGrid w:val="0"/>
          <w:lang w:val="en-GB"/>
        </w:rPr>
        <w:t xml:space="preserve"> at 12 weeks (</w:t>
      </w:r>
      <w:r w:rsidR="001161B2">
        <w:rPr>
          <w:rFonts w:asciiTheme="minorHAnsi" w:hAnsiTheme="minorHAnsi"/>
          <w:snapToGrid w:val="0"/>
          <w:lang w:val="en-GB"/>
        </w:rPr>
        <w:fldChar w:fldCharType="begin"/>
      </w:r>
      <w:r w:rsidR="001161B2">
        <w:rPr>
          <w:rFonts w:asciiTheme="minorHAnsi" w:hAnsiTheme="minorHAnsi"/>
          <w:snapToGrid w:val="0"/>
          <w:lang w:val="en-GB"/>
        </w:rPr>
        <w:instrText xml:space="preserve"> REF _Ref216540955 \h </w:instrText>
      </w:r>
      <w:r w:rsidR="001161B2">
        <w:rPr>
          <w:rFonts w:asciiTheme="minorHAnsi" w:hAnsiTheme="minorHAnsi"/>
          <w:snapToGrid w:val="0"/>
          <w:lang w:val="en-GB"/>
        </w:rPr>
      </w:r>
      <w:r w:rsidR="001161B2">
        <w:rPr>
          <w:rFonts w:asciiTheme="minorHAnsi" w:hAnsiTheme="minorHAnsi"/>
          <w:snapToGrid w:val="0"/>
          <w:lang w:val="en-GB"/>
        </w:rPr>
        <w:fldChar w:fldCharType="separate"/>
      </w:r>
      <w:r w:rsidR="001161B2">
        <w:t xml:space="preserve">Table </w:t>
      </w:r>
      <w:r w:rsidR="001161B2">
        <w:rPr>
          <w:noProof/>
        </w:rPr>
        <w:t>4</w:t>
      </w:r>
      <w:r w:rsidR="001161B2">
        <w:rPr>
          <w:rFonts w:asciiTheme="minorHAnsi" w:hAnsiTheme="minorHAnsi"/>
          <w:snapToGrid w:val="0"/>
          <w:lang w:val="en-GB"/>
        </w:rPr>
        <w:fldChar w:fldCharType="end"/>
      </w:r>
      <w:r w:rsidRPr="001F1D42">
        <w:rPr>
          <w:rFonts w:asciiTheme="minorHAnsi" w:hAnsiTheme="minorHAnsi"/>
          <w:snapToGrid w:val="0"/>
          <w:lang w:val="en-GB"/>
        </w:rPr>
        <w:t>), but not for the same outcomes in maintenance therapy</w:t>
      </w:r>
      <w:r w:rsidR="00E268D4">
        <w:rPr>
          <w:rFonts w:asciiTheme="minorHAnsi" w:hAnsiTheme="minorHAnsi"/>
          <w:snapToGrid w:val="0"/>
          <w:lang w:val="en-GB"/>
        </w:rPr>
        <w:t xml:space="preserve"> (OR 3.12, 95%CI 0.15, 64.25 for both outcomes)</w:t>
      </w:r>
      <w:r w:rsidRPr="001F1D42">
        <w:rPr>
          <w:rFonts w:asciiTheme="minorHAnsi" w:hAnsiTheme="minorHAnsi"/>
          <w:snapToGrid w:val="0"/>
          <w:lang w:val="en-GB"/>
        </w:rPr>
        <w:t xml:space="preserve"> at 52 weeks (</w:t>
      </w:r>
      <w:r w:rsidR="001161B2">
        <w:rPr>
          <w:rFonts w:asciiTheme="minorHAnsi" w:hAnsiTheme="minorHAnsi"/>
          <w:snapToGrid w:val="0"/>
          <w:lang w:val="en-GB"/>
        </w:rPr>
        <w:fldChar w:fldCharType="begin"/>
      </w:r>
      <w:r w:rsidR="001161B2">
        <w:rPr>
          <w:rFonts w:asciiTheme="minorHAnsi" w:hAnsiTheme="minorHAnsi"/>
          <w:snapToGrid w:val="0"/>
          <w:lang w:val="en-GB"/>
        </w:rPr>
        <w:instrText xml:space="preserve"> REF _Ref216540978 \h </w:instrText>
      </w:r>
      <w:r w:rsidR="001161B2">
        <w:rPr>
          <w:rFonts w:asciiTheme="minorHAnsi" w:hAnsiTheme="minorHAnsi"/>
          <w:snapToGrid w:val="0"/>
          <w:lang w:val="en-GB"/>
        </w:rPr>
      </w:r>
      <w:r w:rsidR="001161B2">
        <w:rPr>
          <w:rFonts w:asciiTheme="minorHAnsi" w:hAnsiTheme="minorHAnsi"/>
          <w:snapToGrid w:val="0"/>
          <w:lang w:val="en-GB"/>
        </w:rPr>
        <w:fldChar w:fldCharType="separate"/>
      </w:r>
      <w:r w:rsidR="001161B2">
        <w:t xml:space="preserve">Table </w:t>
      </w:r>
      <w:r w:rsidR="001161B2">
        <w:rPr>
          <w:noProof/>
        </w:rPr>
        <w:t>5</w:t>
      </w:r>
      <w:r w:rsidR="001161B2">
        <w:rPr>
          <w:rFonts w:asciiTheme="minorHAnsi" w:hAnsiTheme="minorHAnsi"/>
          <w:snapToGrid w:val="0"/>
          <w:lang w:val="en-GB"/>
        </w:rPr>
        <w:fldChar w:fldCharType="end"/>
      </w:r>
      <w:r w:rsidRPr="001F1D42">
        <w:rPr>
          <w:rFonts w:asciiTheme="minorHAnsi" w:hAnsiTheme="minorHAnsi"/>
          <w:snapToGrid w:val="0"/>
          <w:lang w:val="en-GB"/>
        </w:rPr>
        <w:t xml:space="preserve">), </w:t>
      </w:r>
      <w:r w:rsidR="00D92769">
        <w:rPr>
          <w:rFonts w:asciiTheme="minorHAnsi" w:hAnsiTheme="minorHAnsi"/>
          <w:snapToGrid w:val="0"/>
          <w:lang w:val="en-GB"/>
        </w:rPr>
        <w:t>although</w:t>
      </w:r>
      <w:r w:rsidR="00D92769" w:rsidRPr="001F1D42">
        <w:rPr>
          <w:rFonts w:asciiTheme="minorHAnsi" w:hAnsiTheme="minorHAnsi"/>
          <w:snapToGrid w:val="0"/>
          <w:lang w:val="en-GB"/>
        </w:rPr>
        <w:t xml:space="preserve"> </w:t>
      </w:r>
      <w:r w:rsidRPr="001F1D42">
        <w:rPr>
          <w:rFonts w:asciiTheme="minorHAnsi" w:hAnsiTheme="minorHAnsi"/>
          <w:snapToGrid w:val="0"/>
          <w:lang w:val="en-GB"/>
        </w:rPr>
        <w:t xml:space="preserve">acknowledged interpretation of the results was </w:t>
      </w:r>
      <w:r w:rsidR="00A03D83">
        <w:rPr>
          <w:rFonts w:asciiTheme="minorHAnsi" w:hAnsiTheme="minorHAnsi"/>
          <w:snapToGrid w:val="0"/>
          <w:lang w:val="en-GB"/>
        </w:rPr>
        <w:t>difficult</w:t>
      </w:r>
      <w:r w:rsidRPr="001F1D42">
        <w:rPr>
          <w:rFonts w:asciiTheme="minorHAnsi" w:hAnsiTheme="minorHAnsi"/>
          <w:snapToGrid w:val="0"/>
          <w:lang w:val="en-GB"/>
        </w:rPr>
        <w:t xml:space="preserve"> as 0/8 patients in the placebo arm achieved the maintenance therapy </w:t>
      </w:r>
      <w:r w:rsidR="00306378">
        <w:rPr>
          <w:rFonts w:asciiTheme="minorHAnsi" w:hAnsiTheme="minorHAnsi"/>
          <w:snapToGrid w:val="0"/>
          <w:lang w:val="en-GB"/>
        </w:rPr>
        <w:t>outcomes</w:t>
      </w:r>
      <w:r w:rsidRPr="001F1D42">
        <w:rPr>
          <w:rFonts w:asciiTheme="minorHAnsi" w:hAnsiTheme="minorHAnsi"/>
          <w:snapToGrid w:val="0"/>
          <w:lang w:val="en-GB"/>
        </w:rPr>
        <w:t>.</w:t>
      </w:r>
      <w:r>
        <w:rPr>
          <w:rFonts w:asciiTheme="minorHAnsi" w:hAnsiTheme="minorHAnsi"/>
          <w:snapToGrid w:val="0"/>
          <w:lang w:val="en-GB"/>
        </w:rPr>
        <w:t xml:space="preserve"> </w:t>
      </w:r>
    </w:p>
    <w:p w14:paraId="31F5721B" w14:textId="4392487C" w:rsidR="001F1D42" w:rsidRDefault="001F1D42" w:rsidP="00054C41">
      <w:pPr>
        <w:widowControl w:val="0"/>
        <w:numPr>
          <w:ilvl w:val="1"/>
          <w:numId w:val="1"/>
        </w:numPr>
        <w:spacing w:after="120"/>
        <w:rPr>
          <w:rFonts w:asciiTheme="minorHAnsi" w:hAnsiTheme="minorHAnsi"/>
          <w:snapToGrid w:val="0"/>
          <w:lang w:val="en-GB"/>
        </w:rPr>
      </w:pPr>
      <w:r w:rsidRPr="001F1D42">
        <w:rPr>
          <w:rFonts w:asciiTheme="minorHAnsi" w:hAnsiTheme="minorHAnsi"/>
          <w:snapToGrid w:val="0"/>
          <w:lang w:val="en-GB"/>
        </w:rPr>
        <w:t xml:space="preserve">The PBAC noted the results of the ITCs versus the comparators </w:t>
      </w:r>
      <w:r w:rsidR="002D0CA9">
        <w:rPr>
          <w:rFonts w:asciiTheme="minorHAnsi" w:hAnsiTheme="minorHAnsi"/>
          <w:snapToGrid w:val="0"/>
          <w:lang w:val="en-GB"/>
        </w:rPr>
        <w:t xml:space="preserve">were </w:t>
      </w:r>
      <w:r w:rsidR="008915DA">
        <w:rPr>
          <w:rFonts w:asciiTheme="minorHAnsi" w:hAnsiTheme="minorHAnsi"/>
          <w:snapToGrid w:val="0"/>
          <w:lang w:val="en-GB"/>
        </w:rPr>
        <w:t>variable</w:t>
      </w:r>
      <w:r w:rsidRPr="001F1D42">
        <w:rPr>
          <w:rFonts w:asciiTheme="minorHAnsi" w:hAnsiTheme="minorHAnsi"/>
          <w:snapToGrid w:val="0"/>
          <w:lang w:val="en-GB"/>
        </w:rPr>
        <w:t>, with induction comparisons favouring upadacitinib over adalimumab for fistula response</w:t>
      </w:r>
      <w:r w:rsidR="008915DA">
        <w:rPr>
          <w:rFonts w:asciiTheme="minorHAnsi" w:hAnsiTheme="minorHAnsi"/>
          <w:snapToGrid w:val="0"/>
          <w:lang w:val="en-GB"/>
        </w:rPr>
        <w:t xml:space="preserve"> (OR </w:t>
      </w:r>
      <w:r w:rsidR="004B2FBD">
        <w:rPr>
          <w:rFonts w:asciiTheme="minorHAnsi" w:hAnsiTheme="minorHAnsi"/>
          <w:snapToGrid w:val="0"/>
          <w:lang w:val="en-GB"/>
        </w:rPr>
        <w:t>12.74, 95%CI 1.88, 86.34)</w:t>
      </w:r>
      <w:r w:rsidRPr="001F1D42">
        <w:rPr>
          <w:rFonts w:asciiTheme="minorHAnsi" w:hAnsiTheme="minorHAnsi"/>
          <w:snapToGrid w:val="0"/>
          <w:lang w:val="en-GB"/>
        </w:rPr>
        <w:t xml:space="preserve"> and remission</w:t>
      </w:r>
      <w:r w:rsidR="004B2FBD">
        <w:rPr>
          <w:rFonts w:asciiTheme="minorHAnsi" w:hAnsiTheme="minorHAnsi"/>
          <w:snapToGrid w:val="0"/>
          <w:lang w:val="en-GB"/>
        </w:rPr>
        <w:t xml:space="preserve"> (OR 24.87, 95%CI 1.97, 314.11)</w:t>
      </w:r>
      <w:r w:rsidRPr="001F1D42">
        <w:rPr>
          <w:rFonts w:asciiTheme="minorHAnsi" w:hAnsiTheme="minorHAnsi"/>
          <w:snapToGrid w:val="0"/>
          <w:lang w:val="en-GB"/>
        </w:rPr>
        <w:t>, and over ustekinumab for fistula response</w:t>
      </w:r>
      <w:r w:rsidR="004B2FBD">
        <w:rPr>
          <w:rFonts w:asciiTheme="minorHAnsi" w:hAnsiTheme="minorHAnsi"/>
          <w:snapToGrid w:val="0"/>
          <w:lang w:val="en-GB"/>
        </w:rPr>
        <w:t xml:space="preserve"> (</w:t>
      </w:r>
      <w:r w:rsidR="00DD23AD">
        <w:rPr>
          <w:rFonts w:asciiTheme="minorHAnsi" w:hAnsiTheme="minorHAnsi"/>
          <w:snapToGrid w:val="0"/>
          <w:lang w:val="en-GB"/>
        </w:rPr>
        <w:t>OR 3.88, 95%CI 0.70, 21.32)</w:t>
      </w:r>
      <w:r w:rsidRPr="001F1D42">
        <w:rPr>
          <w:rFonts w:asciiTheme="minorHAnsi" w:hAnsiTheme="minorHAnsi"/>
          <w:snapToGrid w:val="0"/>
          <w:lang w:val="en-GB"/>
        </w:rPr>
        <w:t>, but found no difference versus infliximab (</w:t>
      </w:r>
      <w:r w:rsidR="001161B2">
        <w:rPr>
          <w:rFonts w:asciiTheme="minorHAnsi" w:hAnsiTheme="minorHAnsi"/>
          <w:snapToGrid w:val="0"/>
          <w:lang w:val="en-GB"/>
        </w:rPr>
        <w:fldChar w:fldCharType="begin"/>
      </w:r>
      <w:r w:rsidR="001161B2">
        <w:rPr>
          <w:rFonts w:asciiTheme="minorHAnsi" w:hAnsiTheme="minorHAnsi"/>
          <w:snapToGrid w:val="0"/>
          <w:lang w:val="en-GB"/>
        </w:rPr>
        <w:instrText xml:space="preserve"> REF _Ref216540955 \h </w:instrText>
      </w:r>
      <w:r w:rsidR="001161B2">
        <w:rPr>
          <w:rFonts w:asciiTheme="minorHAnsi" w:hAnsiTheme="minorHAnsi"/>
          <w:snapToGrid w:val="0"/>
          <w:lang w:val="en-GB"/>
        </w:rPr>
      </w:r>
      <w:r w:rsidR="001161B2">
        <w:rPr>
          <w:rFonts w:asciiTheme="minorHAnsi" w:hAnsiTheme="minorHAnsi"/>
          <w:snapToGrid w:val="0"/>
          <w:lang w:val="en-GB"/>
        </w:rPr>
        <w:fldChar w:fldCharType="separate"/>
      </w:r>
      <w:r w:rsidR="001161B2">
        <w:t xml:space="preserve">Table </w:t>
      </w:r>
      <w:r w:rsidR="001161B2">
        <w:rPr>
          <w:noProof/>
        </w:rPr>
        <w:t>4</w:t>
      </w:r>
      <w:r w:rsidR="001161B2">
        <w:rPr>
          <w:rFonts w:asciiTheme="minorHAnsi" w:hAnsiTheme="minorHAnsi"/>
          <w:snapToGrid w:val="0"/>
          <w:lang w:val="en-GB"/>
        </w:rPr>
        <w:fldChar w:fldCharType="end"/>
      </w:r>
      <w:r w:rsidRPr="001F1D42">
        <w:rPr>
          <w:rFonts w:asciiTheme="minorHAnsi" w:hAnsiTheme="minorHAnsi"/>
          <w:snapToGrid w:val="0"/>
          <w:lang w:val="en-GB"/>
        </w:rPr>
        <w:t xml:space="preserve">). The Committee also noted the results of the ITCs in maintenance therapy tended to numerically favour the comparators, but the confidence intervals were </w:t>
      </w:r>
      <w:proofErr w:type="gramStart"/>
      <w:r w:rsidRPr="001F1D42">
        <w:rPr>
          <w:rFonts w:asciiTheme="minorHAnsi" w:hAnsiTheme="minorHAnsi"/>
          <w:snapToGrid w:val="0"/>
          <w:lang w:val="en-GB"/>
        </w:rPr>
        <w:t>wide</w:t>
      </w:r>
      <w:proofErr w:type="gramEnd"/>
      <w:r w:rsidRPr="001F1D42">
        <w:rPr>
          <w:rFonts w:asciiTheme="minorHAnsi" w:hAnsiTheme="minorHAnsi"/>
          <w:snapToGrid w:val="0"/>
          <w:lang w:val="en-GB"/>
        </w:rPr>
        <w:t xml:space="preserve"> and it was difficult to draw </w:t>
      </w:r>
      <w:r w:rsidR="009059E9">
        <w:rPr>
          <w:rFonts w:asciiTheme="minorHAnsi" w:hAnsiTheme="minorHAnsi"/>
          <w:snapToGrid w:val="0"/>
          <w:lang w:val="en-GB"/>
        </w:rPr>
        <w:t>meaningful</w:t>
      </w:r>
      <w:r w:rsidRPr="001F1D42">
        <w:rPr>
          <w:rFonts w:asciiTheme="minorHAnsi" w:hAnsiTheme="minorHAnsi"/>
          <w:snapToGrid w:val="0"/>
          <w:lang w:val="en-GB"/>
        </w:rPr>
        <w:t xml:space="preserve"> conclusions (</w:t>
      </w:r>
      <w:r w:rsidR="001161B2">
        <w:rPr>
          <w:rFonts w:asciiTheme="minorHAnsi" w:hAnsiTheme="minorHAnsi"/>
          <w:snapToGrid w:val="0"/>
          <w:lang w:val="en-GB"/>
        </w:rPr>
        <w:fldChar w:fldCharType="begin"/>
      </w:r>
      <w:r w:rsidR="001161B2">
        <w:rPr>
          <w:rFonts w:asciiTheme="minorHAnsi" w:hAnsiTheme="minorHAnsi"/>
          <w:snapToGrid w:val="0"/>
          <w:lang w:val="en-GB"/>
        </w:rPr>
        <w:instrText xml:space="preserve"> REF _Ref216540978 \h </w:instrText>
      </w:r>
      <w:r w:rsidR="001161B2">
        <w:rPr>
          <w:rFonts w:asciiTheme="minorHAnsi" w:hAnsiTheme="minorHAnsi"/>
          <w:snapToGrid w:val="0"/>
          <w:lang w:val="en-GB"/>
        </w:rPr>
      </w:r>
      <w:r w:rsidR="001161B2">
        <w:rPr>
          <w:rFonts w:asciiTheme="minorHAnsi" w:hAnsiTheme="minorHAnsi"/>
          <w:snapToGrid w:val="0"/>
          <w:lang w:val="en-GB"/>
        </w:rPr>
        <w:fldChar w:fldCharType="separate"/>
      </w:r>
      <w:r w:rsidR="001161B2">
        <w:t xml:space="preserve">Table </w:t>
      </w:r>
      <w:r w:rsidR="001161B2">
        <w:rPr>
          <w:noProof/>
        </w:rPr>
        <w:t>5</w:t>
      </w:r>
      <w:r w:rsidR="001161B2">
        <w:rPr>
          <w:rFonts w:asciiTheme="minorHAnsi" w:hAnsiTheme="minorHAnsi"/>
          <w:snapToGrid w:val="0"/>
          <w:lang w:val="en-GB"/>
        </w:rPr>
        <w:fldChar w:fldCharType="end"/>
      </w:r>
      <w:r w:rsidRPr="001F1D42">
        <w:rPr>
          <w:rFonts w:asciiTheme="minorHAnsi" w:hAnsiTheme="minorHAnsi"/>
          <w:snapToGrid w:val="0"/>
          <w:lang w:val="en-GB"/>
        </w:rPr>
        <w:t xml:space="preserve">). </w:t>
      </w:r>
      <w:r w:rsidR="00044041" w:rsidRPr="001F1D42">
        <w:rPr>
          <w:rFonts w:asciiTheme="minorHAnsi" w:hAnsiTheme="minorHAnsi"/>
          <w:snapToGrid w:val="0"/>
          <w:lang w:val="en-GB"/>
        </w:rPr>
        <w:t>Overall,</w:t>
      </w:r>
      <w:r w:rsidRPr="001F1D42">
        <w:rPr>
          <w:rFonts w:asciiTheme="minorHAnsi" w:hAnsiTheme="minorHAnsi"/>
          <w:snapToGrid w:val="0"/>
          <w:lang w:val="en-GB"/>
        </w:rPr>
        <w:t xml:space="preserve"> the PBAC considered the evidence presented suggested upadacitinib was</w:t>
      </w:r>
      <w:r w:rsidR="00F213BA">
        <w:rPr>
          <w:rFonts w:asciiTheme="minorHAnsi" w:hAnsiTheme="minorHAnsi"/>
          <w:snapToGrid w:val="0"/>
          <w:lang w:val="en-GB"/>
        </w:rPr>
        <w:t xml:space="preserve"> likely to be</w:t>
      </w:r>
      <w:r w:rsidRPr="001F1D42">
        <w:rPr>
          <w:rFonts w:asciiTheme="minorHAnsi" w:hAnsiTheme="minorHAnsi"/>
          <w:snapToGrid w:val="0"/>
          <w:lang w:val="en-GB"/>
        </w:rPr>
        <w:t xml:space="preserve"> non</w:t>
      </w:r>
      <w:r w:rsidR="00FC7500">
        <w:rPr>
          <w:rFonts w:asciiTheme="minorHAnsi" w:hAnsiTheme="minorHAnsi"/>
          <w:snapToGrid w:val="0"/>
          <w:lang w:val="en-GB"/>
        </w:rPr>
        <w:noBreakHyphen/>
      </w:r>
      <w:r w:rsidRPr="001F1D42">
        <w:rPr>
          <w:rFonts w:asciiTheme="minorHAnsi" w:hAnsiTheme="minorHAnsi"/>
          <w:snapToGrid w:val="0"/>
          <w:lang w:val="en-GB"/>
        </w:rPr>
        <w:t>inferior to the comparators for comparative effectiveness for induction, and further considered that whilst uncertain, on balance it may be reasonable to accept a claim of non</w:t>
      </w:r>
      <w:r w:rsidR="00FC7500">
        <w:rPr>
          <w:rFonts w:asciiTheme="minorHAnsi" w:hAnsiTheme="minorHAnsi"/>
          <w:snapToGrid w:val="0"/>
          <w:lang w:val="en-GB"/>
        </w:rPr>
        <w:noBreakHyphen/>
      </w:r>
      <w:r w:rsidRPr="001F1D42">
        <w:rPr>
          <w:rFonts w:asciiTheme="minorHAnsi" w:hAnsiTheme="minorHAnsi"/>
          <w:snapToGrid w:val="0"/>
          <w:lang w:val="en-GB"/>
        </w:rPr>
        <w:t>inferior comparative effectiveness in maintenance therapy.</w:t>
      </w:r>
    </w:p>
    <w:p w14:paraId="47146B97" w14:textId="06D88D46" w:rsidR="00044041" w:rsidRDefault="00044041" w:rsidP="00054C41">
      <w:pPr>
        <w:widowControl w:val="0"/>
        <w:numPr>
          <w:ilvl w:val="1"/>
          <w:numId w:val="1"/>
        </w:numPr>
        <w:spacing w:after="120"/>
        <w:rPr>
          <w:rFonts w:asciiTheme="minorHAnsi" w:hAnsiTheme="minorHAnsi"/>
          <w:snapToGrid w:val="0"/>
          <w:lang w:val="en-GB"/>
        </w:rPr>
      </w:pPr>
      <w:r w:rsidRPr="00044041">
        <w:rPr>
          <w:rFonts w:asciiTheme="minorHAnsi" w:hAnsiTheme="minorHAnsi"/>
          <w:snapToGrid w:val="0"/>
          <w:lang w:val="en-GB"/>
        </w:rPr>
        <w:t>With respect to comparative safety, the PBAC noted the available evidence suggested a higher incidence of adverse events for upadacitinib over adalimumab, but no consistent differences versus ustekinumab</w:t>
      </w:r>
      <w:r w:rsidR="00AC00D7">
        <w:rPr>
          <w:rFonts w:asciiTheme="minorHAnsi" w:hAnsiTheme="minorHAnsi"/>
          <w:snapToGrid w:val="0"/>
          <w:lang w:val="en-GB"/>
        </w:rPr>
        <w:t xml:space="preserve"> (</w:t>
      </w:r>
      <w:r w:rsidR="001161B2">
        <w:rPr>
          <w:rFonts w:asciiTheme="minorHAnsi" w:hAnsiTheme="minorHAnsi"/>
          <w:snapToGrid w:val="0"/>
          <w:lang w:val="en-GB"/>
        </w:rPr>
        <w:fldChar w:fldCharType="begin"/>
      </w:r>
      <w:r w:rsidR="001161B2">
        <w:rPr>
          <w:rFonts w:asciiTheme="minorHAnsi" w:hAnsiTheme="minorHAnsi"/>
          <w:snapToGrid w:val="0"/>
          <w:lang w:val="en-GB"/>
        </w:rPr>
        <w:instrText xml:space="preserve"> REF _Ref216541015 \h </w:instrText>
      </w:r>
      <w:r w:rsidR="001161B2">
        <w:rPr>
          <w:rFonts w:asciiTheme="minorHAnsi" w:hAnsiTheme="minorHAnsi"/>
          <w:snapToGrid w:val="0"/>
          <w:lang w:val="en-GB"/>
        </w:rPr>
      </w:r>
      <w:r w:rsidR="001161B2">
        <w:rPr>
          <w:rFonts w:asciiTheme="minorHAnsi" w:hAnsiTheme="minorHAnsi"/>
          <w:snapToGrid w:val="0"/>
          <w:lang w:val="en-GB"/>
        </w:rPr>
        <w:fldChar w:fldCharType="separate"/>
      </w:r>
      <w:r w:rsidR="00DE5F4E">
        <w:t xml:space="preserve">Table </w:t>
      </w:r>
      <w:r w:rsidR="00DE5F4E">
        <w:rPr>
          <w:noProof/>
        </w:rPr>
        <w:t>6</w:t>
      </w:r>
      <w:r w:rsidR="001161B2">
        <w:rPr>
          <w:rFonts w:asciiTheme="minorHAnsi" w:hAnsiTheme="minorHAnsi"/>
          <w:snapToGrid w:val="0"/>
          <w:lang w:val="en-GB"/>
        </w:rPr>
        <w:fldChar w:fldCharType="end"/>
      </w:r>
      <w:r w:rsidR="00AC00D7">
        <w:rPr>
          <w:rFonts w:asciiTheme="minorHAnsi" w:hAnsiTheme="minorHAnsi"/>
          <w:snapToGrid w:val="0"/>
          <w:lang w:val="en-GB"/>
        </w:rPr>
        <w:t>)</w:t>
      </w:r>
      <w:r w:rsidRPr="00044041">
        <w:rPr>
          <w:rFonts w:asciiTheme="minorHAnsi" w:hAnsiTheme="minorHAnsi"/>
          <w:snapToGrid w:val="0"/>
          <w:lang w:val="en-GB"/>
        </w:rPr>
        <w:t xml:space="preserve">. </w:t>
      </w:r>
      <w:r w:rsidR="00BF0B25">
        <w:rPr>
          <w:rFonts w:asciiTheme="minorHAnsi" w:hAnsiTheme="minorHAnsi"/>
          <w:snapToGrid w:val="0"/>
          <w:lang w:val="en-GB"/>
        </w:rPr>
        <w:t>In addition</w:t>
      </w:r>
      <w:r w:rsidRPr="00044041">
        <w:rPr>
          <w:rFonts w:asciiTheme="minorHAnsi" w:hAnsiTheme="minorHAnsi"/>
          <w:snapToGrid w:val="0"/>
          <w:lang w:val="en-GB"/>
        </w:rPr>
        <w:t xml:space="preserve">, the PBAC also noted </w:t>
      </w:r>
      <w:r w:rsidR="001A1393">
        <w:rPr>
          <w:rFonts w:asciiTheme="minorHAnsi" w:hAnsiTheme="minorHAnsi"/>
          <w:snapToGrid w:val="0"/>
          <w:lang w:val="en-GB"/>
        </w:rPr>
        <w:t xml:space="preserve">the </w:t>
      </w:r>
      <w:r w:rsidRPr="00044041">
        <w:rPr>
          <w:rFonts w:asciiTheme="minorHAnsi" w:hAnsiTheme="minorHAnsi"/>
          <w:snapToGrid w:val="0"/>
          <w:lang w:val="en-GB"/>
        </w:rPr>
        <w:t>adverse event rates for upadacitinib appeared to be consistent over time</w:t>
      </w:r>
      <w:r w:rsidR="00737010">
        <w:rPr>
          <w:rFonts w:asciiTheme="minorHAnsi" w:hAnsiTheme="minorHAnsi"/>
          <w:snapToGrid w:val="0"/>
          <w:lang w:val="en-GB"/>
        </w:rPr>
        <w:t>,</w:t>
      </w:r>
      <w:r w:rsidRPr="00044041">
        <w:rPr>
          <w:rFonts w:asciiTheme="minorHAnsi" w:hAnsiTheme="minorHAnsi"/>
          <w:snapToGrid w:val="0"/>
          <w:lang w:val="en-GB"/>
        </w:rPr>
        <w:t xml:space="preserve"> and recalled in its consideration of ustekinumab for FCD that </w:t>
      </w:r>
      <w:r w:rsidR="003F4D3E">
        <w:rPr>
          <w:rFonts w:asciiTheme="minorHAnsi" w:hAnsiTheme="minorHAnsi"/>
          <w:snapToGrid w:val="0"/>
          <w:lang w:val="en-GB"/>
        </w:rPr>
        <w:t xml:space="preserve">it was concluded </w:t>
      </w:r>
      <w:r w:rsidR="00331712">
        <w:rPr>
          <w:rFonts w:asciiTheme="minorHAnsi" w:hAnsiTheme="minorHAnsi"/>
          <w:snapToGrid w:val="0"/>
          <w:lang w:val="en-GB"/>
        </w:rPr>
        <w:t xml:space="preserve">that </w:t>
      </w:r>
      <w:r w:rsidRPr="00044041">
        <w:rPr>
          <w:rFonts w:asciiTheme="minorHAnsi" w:hAnsiTheme="minorHAnsi"/>
          <w:snapToGrid w:val="0"/>
          <w:lang w:val="en-GB"/>
        </w:rPr>
        <w:t xml:space="preserve">there </w:t>
      </w:r>
      <w:r w:rsidR="00331712">
        <w:rPr>
          <w:rFonts w:asciiTheme="minorHAnsi" w:hAnsiTheme="minorHAnsi"/>
          <w:snapToGrid w:val="0"/>
          <w:lang w:val="en-GB"/>
        </w:rPr>
        <w:t>i</w:t>
      </w:r>
      <w:r w:rsidRPr="00044041">
        <w:rPr>
          <w:rFonts w:asciiTheme="minorHAnsi" w:hAnsiTheme="minorHAnsi"/>
          <w:snapToGrid w:val="0"/>
          <w:lang w:val="en-GB"/>
        </w:rPr>
        <w:t xml:space="preserve">s no reason to expect a difference in safety between severe Crohn's disease and FCD (paragraph 7.10, ustekinumab PSD, July 2023 PBAC meeting) and considered a similar </w:t>
      </w:r>
      <w:r w:rsidR="00A03D83">
        <w:rPr>
          <w:rFonts w:asciiTheme="minorHAnsi" w:hAnsiTheme="minorHAnsi"/>
          <w:snapToGrid w:val="0"/>
          <w:lang w:val="en-GB"/>
        </w:rPr>
        <w:t>conclusion</w:t>
      </w:r>
      <w:r w:rsidRPr="00044041">
        <w:rPr>
          <w:rFonts w:asciiTheme="minorHAnsi" w:hAnsiTheme="minorHAnsi"/>
          <w:snapToGrid w:val="0"/>
          <w:lang w:val="en-GB"/>
        </w:rPr>
        <w:t xml:space="preserve"> should be applied to upadacitinib. On that basis, </w:t>
      </w:r>
      <w:r w:rsidR="003C1587">
        <w:rPr>
          <w:rFonts w:asciiTheme="minorHAnsi" w:hAnsiTheme="minorHAnsi"/>
          <w:snapToGrid w:val="0"/>
          <w:lang w:val="en-GB"/>
        </w:rPr>
        <w:t>noting</w:t>
      </w:r>
      <w:r w:rsidRPr="00044041">
        <w:rPr>
          <w:rFonts w:asciiTheme="minorHAnsi" w:hAnsiTheme="minorHAnsi"/>
          <w:snapToGrid w:val="0"/>
          <w:lang w:val="en-GB"/>
        </w:rPr>
        <w:t xml:space="preserve"> the available </w:t>
      </w:r>
      <w:r w:rsidRPr="00044041">
        <w:rPr>
          <w:rFonts w:asciiTheme="minorHAnsi" w:hAnsiTheme="minorHAnsi"/>
          <w:snapToGrid w:val="0"/>
          <w:lang w:val="en-GB"/>
        </w:rPr>
        <w:lastRenderedPageBreak/>
        <w:t>evidence and its previously established view that upadacitinib was likely of non</w:t>
      </w:r>
      <w:r w:rsidR="00FC7500">
        <w:rPr>
          <w:rFonts w:asciiTheme="minorHAnsi" w:hAnsiTheme="minorHAnsi"/>
          <w:snapToGrid w:val="0"/>
          <w:lang w:val="en-GB"/>
        </w:rPr>
        <w:noBreakHyphen/>
      </w:r>
      <w:r w:rsidRPr="00044041">
        <w:rPr>
          <w:rFonts w:asciiTheme="minorHAnsi" w:hAnsiTheme="minorHAnsi"/>
          <w:snapToGrid w:val="0"/>
          <w:lang w:val="en-GB"/>
        </w:rPr>
        <w:t xml:space="preserve">inferior safety to the comparators in severe Crohn's disease (Paragraph 7.6, upadacitinib PSD, July 2023 PBAC meeting) the PBAC considered </w:t>
      </w:r>
      <w:r w:rsidR="006573DE">
        <w:rPr>
          <w:rFonts w:asciiTheme="minorHAnsi" w:hAnsiTheme="minorHAnsi"/>
          <w:snapToGrid w:val="0"/>
          <w:lang w:val="en-GB"/>
        </w:rPr>
        <w:t xml:space="preserve">the </w:t>
      </w:r>
      <w:r w:rsidRPr="00044041">
        <w:rPr>
          <w:rFonts w:asciiTheme="minorHAnsi" w:hAnsiTheme="minorHAnsi"/>
          <w:snapToGrid w:val="0"/>
          <w:lang w:val="en-GB"/>
        </w:rPr>
        <w:t>claim of non</w:t>
      </w:r>
      <w:r w:rsidR="00FC7500">
        <w:rPr>
          <w:rFonts w:asciiTheme="minorHAnsi" w:hAnsiTheme="minorHAnsi"/>
          <w:snapToGrid w:val="0"/>
          <w:lang w:val="en-GB"/>
        </w:rPr>
        <w:noBreakHyphen/>
      </w:r>
      <w:r w:rsidRPr="00044041">
        <w:rPr>
          <w:rFonts w:asciiTheme="minorHAnsi" w:hAnsiTheme="minorHAnsi"/>
          <w:snapToGrid w:val="0"/>
          <w:lang w:val="en-GB"/>
        </w:rPr>
        <w:t>inferior comparative safety to the comparators was likely to be reasonable.</w:t>
      </w:r>
      <w:r>
        <w:rPr>
          <w:rFonts w:asciiTheme="minorHAnsi" w:hAnsiTheme="minorHAnsi"/>
          <w:snapToGrid w:val="0"/>
          <w:lang w:val="en-GB"/>
        </w:rPr>
        <w:t xml:space="preserve"> </w:t>
      </w:r>
    </w:p>
    <w:p w14:paraId="4E02C7DD" w14:textId="28A78788" w:rsidR="00200596" w:rsidRDefault="00200596" w:rsidP="00054C41">
      <w:pPr>
        <w:widowControl w:val="0"/>
        <w:numPr>
          <w:ilvl w:val="1"/>
          <w:numId w:val="1"/>
        </w:numPr>
        <w:spacing w:after="120"/>
        <w:rPr>
          <w:rFonts w:asciiTheme="minorHAnsi" w:hAnsiTheme="minorHAnsi"/>
          <w:snapToGrid w:val="0"/>
          <w:lang w:val="en-GB"/>
        </w:rPr>
      </w:pPr>
      <w:r w:rsidRPr="00200596">
        <w:rPr>
          <w:rFonts w:asciiTheme="minorHAnsi" w:hAnsiTheme="minorHAnsi"/>
          <w:snapToGrid w:val="0"/>
          <w:lang w:val="en-GB"/>
        </w:rPr>
        <w:t xml:space="preserve">Given its view </w:t>
      </w:r>
      <w:r w:rsidR="0005113A">
        <w:rPr>
          <w:rFonts w:asciiTheme="minorHAnsi" w:hAnsiTheme="minorHAnsi"/>
          <w:snapToGrid w:val="0"/>
          <w:lang w:val="en-GB"/>
        </w:rPr>
        <w:t>that upadacitinib does not provide a significant improvement in effectiveness or reduction in toxicity compared</w:t>
      </w:r>
      <w:r w:rsidRPr="00200596">
        <w:rPr>
          <w:rFonts w:asciiTheme="minorHAnsi" w:hAnsiTheme="minorHAnsi"/>
          <w:snapToGrid w:val="0"/>
          <w:lang w:val="en-GB"/>
        </w:rPr>
        <w:t xml:space="preserve"> to the </w:t>
      </w:r>
      <w:r w:rsidR="0005113A">
        <w:rPr>
          <w:rFonts w:asciiTheme="minorHAnsi" w:hAnsiTheme="minorHAnsi"/>
          <w:snapToGrid w:val="0"/>
          <w:lang w:val="en-GB"/>
        </w:rPr>
        <w:t>alternative therapies,</w:t>
      </w:r>
      <w:r w:rsidRPr="00200596">
        <w:rPr>
          <w:rFonts w:asciiTheme="minorHAnsi" w:hAnsiTheme="minorHAnsi"/>
          <w:snapToGrid w:val="0"/>
          <w:lang w:val="en-GB"/>
        </w:rPr>
        <w:t xml:space="preserve"> the PBAC considered that a listing based on a cost minimisation approach </w:t>
      </w:r>
      <w:r w:rsidR="00C153CE">
        <w:rPr>
          <w:rFonts w:asciiTheme="minorHAnsi" w:hAnsiTheme="minorHAnsi"/>
          <w:snapToGrid w:val="0"/>
          <w:lang w:val="en-GB"/>
        </w:rPr>
        <w:t xml:space="preserve">(CMA) </w:t>
      </w:r>
      <w:r w:rsidRPr="00200596">
        <w:rPr>
          <w:rFonts w:asciiTheme="minorHAnsi" w:hAnsiTheme="minorHAnsi"/>
          <w:snapToGrid w:val="0"/>
          <w:lang w:val="en-GB"/>
        </w:rPr>
        <w:t>with costs over two years</w:t>
      </w:r>
      <w:r w:rsidR="00C948CA">
        <w:rPr>
          <w:rFonts w:asciiTheme="minorHAnsi" w:hAnsiTheme="minorHAnsi"/>
          <w:snapToGrid w:val="0"/>
          <w:lang w:val="en-GB"/>
        </w:rPr>
        <w:t xml:space="preserve"> to the least costly alternative</w:t>
      </w:r>
      <w:r w:rsidRPr="00200596">
        <w:rPr>
          <w:rFonts w:asciiTheme="minorHAnsi" w:hAnsiTheme="minorHAnsi"/>
          <w:snapToGrid w:val="0"/>
          <w:lang w:val="en-GB"/>
        </w:rPr>
        <w:t>, consistent with the approach previously used for ustekinumab for FCD, was appropriate to determine the cost minimised price of upadacitinib. The PBAC considered the CMA proposed in the submission, which was based on weighted proportions of the three nominated comparators, was inconsistent with recent recommendations for FCD and severe Crohn's disease</w:t>
      </w:r>
      <w:r w:rsidR="004144D7">
        <w:rPr>
          <w:rFonts w:asciiTheme="minorHAnsi" w:hAnsiTheme="minorHAnsi"/>
          <w:snapToGrid w:val="0"/>
          <w:lang w:val="en-GB"/>
        </w:rPr>
        <w:t>.</w:t>
      </w:r>
      <w:r w:rsidR="00E76030">
        <w:rPr>
          <w:rFonts w:asciiTheme="minorHAnsi" w:hAnsiTheme="minorHAnsi"/>
          <w:snapToGrid w:val="0"/>
          <w:lang w:val="en-GB"/>
        </w:rPr>
        <w:t xml:space="preserve"> </w:t>
      </w:r>
      <w:r w:rsidR="00D46002">
        <w:rPr>
          <w:rFonts w:asciiTheme="minorHAnsi" w:hAnsiTheme="minorHAnsi"/>
          <w:snapToGrid w:val="0"/>
          <w:lang w:val="en-GB"/>
        </w:rPr>
        <w:t>T</w:t>
      </w:r>
      <w:r w:rsidRPr="00200596">
        <w:rPr>
          <w:rFonts w:asciiTheme="minorHAnsi" w:hAnsiTheme="minorHAnsi"/>
          <w:snapToGrid w:val="0"/>
          <w:lang w:val="en-GB"/>
        </w:rPr>
        <w:t>he</w:t>
      </w:r>
      <w:r w:rsidR="00252056">
        <w:rPr>
          <w:rFonts w:asciiTheme="minorHAnsi" w:hAnsiTheme="minorHAnsi"/>
          <w:snapToGrid w:val="0"/>
          <w:lang w:val="en-GB"/>
        </w:rPr>
        <w:t xml:space="preserve"> PBAC also</w:t>
      </w:r>
      <w:r w:rsidRPr="00200596">
        <w:rPr>
          <w:rFonts w:asciiTheme="minorHAnsi" w:hAnsiTheme="minorHAnsi"/>
          <w:snapToGrid w:val="0"/>
          <w:lang w:val="en-GB"/>
        </w:rPr>
        <w:t xml:space="preserve"> </w:t>
      </w:r>
      <w:r w:rsidR="00AF0FFE">
        <w:rPr>
          <w:rFonts w:asciiTheme="minorHAnsi" w:hAnsiTheme="minorHAnsi"/>
          <w:snapToGrid w:val="0"/>
          <w:lang w:val="en-GB"/>
        </w:rPr>
        <w:t>considered</w:t>
      </w:r>
      <w:r w:rsidRPr="00200596">
        <w:rPr>
          <w:rFonts w:asciiTheme="minorHAnsi" w:hAnsiTheme="minorHAnsi"/>
          <w:snapToGrid w:val="0"/>
          <w:lang w:val="en-GB"/>
        </w:rPr>
        <w:t xml:space="preserve"> the claimed offsets for MBS costs for 10% of the population receiving a subcutaneous injection to be administered by a clinician was unlikely to be reflective of how these treatments are </w:t>
      </w:r>
      <w:r w:rsidR="001B28D7">
        <w:rPr>
          <w:rFonts w:asciiTheme="minorHAnsi" w:hAnsiTheme="minorHAnsi"/>
          <w:snapToGrid w:val="0"/>
          <w:lang w:val="en-GB"/>
        </w:rPr>
        <w:t>administered</w:t>
      </w:r>
      <w:r w:rsidRPr="00200596">
        <w:rPr>
          <w:rFonts w:asciiTheme="minorHAnsi" w:hAnsiTheme="minorHAnsi"/>
          <w:snapToGrid w:val="0"/>
          <w:lang w:val="en-GB"/>
        </w:rPr>
        <w:t xml:space="preserve"> in practice and was therefore not reasonable.</w:t>
      </w:r>
    </w:p>
    <w:p w14:paraId="46F23968" w14:textId="2EE052E0" w:rsidR="00C87AD4" w:rsidRDefault="00C87AD4" w:rsidP="00054C41">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the financial estimates were based on</w:t>
      </w:r>
      <w:r w:rsidR="00BF061E">
        <w:rPr>
          <w:rFonts w:asciiTheme="minorHAnsi" w:hAnsiTheme="minorHAnsi"/>
          <w:snapToGrid w:val="0"/>
          <w:lang w:val="en-GB"/>
        </w:rPr>
        <w:t xml:space="preserve"> a price for upadacitinib derived from the weighted CMA proposed in the submission </w:t>
      </w:r>
      <w:r w:rsidR="00BF4956">
        <w:rPr>
          <w:rFonts w:asciiTheme="minorHAnsi" w:hAnsiTheme="minorHAnsi"/>
          <w:snapToGrid w:val="0"/>
          <w:lang w:val="en-GB"/>
        </w:rPr>
        <w:t>and considered that, if listed on a cost minimisation basis with the least costly alternative, the listing would likely be cost neutral or modestly cost saving to the PBS as it will only replace therapies that are either of equivalent cost or more expensive.</w:t>
      </w:r>
      <w:r w:rsidR="00F226B5">
        <w:rPr>
          <w:rFonts w:asciiTheme="minorHAnsi" w:hAnsiTheme="minorHAnsi"/>
          <w:snapToGrid w:val="0"/>
          <w:lang w:val="en-GB"/>
        </w:rPr>
        <w:t xml:space="preserve"> </w:t>
      </w:r>
    </w:p>
    <w:p w14:paraId="5BB784CA" w14:textId="58598D41" w:rsidR="0046767C" w:rsidRPr="0046767C" w:rsidRDefault="00054C41" w:rsidP="0046767C">
      <w:pPr>
        <w:widowControl w:val="0"/>
        <w:numPr>
          <w:ilvl w:val="1"/>
          <w:numId w:val="1"/>
        </w:numPr>
        <w:spacing w:after="120"/>
        <w:rPr>
          <w:rFonts w:asciiTheme="minorHAnsi" w:hAnsiTheme="minorHAnsi" w:cstheme="minorHAnsi"/>
          <w:u w:val="single"/>
          <w:lang w:val="en-GB"/>
        </w:rPr>
      </w:pPr>
      <w:r w:rsidRPr="002A2BA3">
        <w:rPr>
          <w:rFonts w:asciiTheme="minorHAnsi" w:hAnsiTheme="minorHAnsi" w:cstheme="minorHAnsi"/>
          <w:lang w:val="en-GB"/>
        </w:rPr>
        <w:t>The PBAC noted that its recommendation was on a cost</w:t>
      </w:r>
      <w:r w:rsidR="00FC7500">
        <w:rPr>
          <w:rFonts w:asciiTheme="minorHAnsi" w:hAnsiTheme="minorHAnsi" w:cstheme="minorHAnsi"/>
          <w:lang w:val="en-GB"/>
        </w:rPr>
        <w:noBreakHyphen/>
      </w:r>
      <w:r w:rsidRPr="002A2BA3">
        <w:rPr>
          <w:rFonts w:asciiTheme="minorHAnsi" w:hAnsiTheme="minorHAnsi" w:cstheme="minorHAnsi"/>
          <w:lang w:val="en-GB"/>
        </w:rPr>
        <w:t xml:space="preserve">minimisation basis and advised that, because </w:t>
      </w:r>
      <w:r w:rsidR="00E60A01">
        <w:rPr>
          <w:rFonts w:asciiTheme="minorHAnsi" w:hAnsiTheme="minorHAnsi" w:cstheme="minorHAnsi"/>
          <w:lang w:val="en-GB"/>
        </w:rPr>
        <w:t>upadacitinib</w:t>
      </w:r>
      <w:r w:rsidRPr="002A2BA3">
        <w:rPr>
          <w:rFonts w:asciiTheme="minorHAnsi" w:hAnsiTheme="minorHAnsi" w:cstheme="minorHAnsi"/>
          <w:lang w:val="en-GB"/>
        </w:rPr>
        <w:t xml:space="preserve"> is not expected to provide a substantial</w:t>
      </w:r>
      <w:r w:rsidRPr="002A2BA3">
        <w:rPr>
          <w:rFonts w:asciiTheme="minorHAnsi" w:hAnsiTheme="minorHAnsi"/>
          <w:bCs/>
          <w:lang w:val="en-GB"/>
        </w:rPr>
        <w:t xml:space="preserve"> and clinically relevant improvement in efficacy, or reduction of toxicity, over </w:t>
      </w:r>
      <w:r w:rsidR="00E60A01">
        <w:rPr>
          <w:rFonts w:asciiTheme="minorHAnsi" w:hAnsiTheme="minorHAnsi"/>
          <w:bCs/>
          <w:lang w:val="en-GB"/>
        </w:rPr>
        <w:t>the alternative therapies</w:t>
      </w:r>
      <w:r w:rsidRPr="002A2BA3">
        <w:rPr>
          <w:rFonts w:asciiTheme="minorHAnsi" w:hAnsiTheme="minorHAnsi"/>
          <w:bCs/>
          <w:lang w:val="en-GB"/>
        </w:rPr>
        <w:t xml:space="preserve">, or not expected to address a high and urgent unmet clinical need given the presence of an alternative therapy, the criteria prescribed by the </w:t>
      </w:r>
      <w:r w:rsidRPr="002A2BA3">
        <w:rPr>
          <w:rFonts w:asciiTheme="minorHAnsi" w:hAnsiTheme="minorHAnsi"/>
          <w:bCs/>
          <w:i/>
          <w:lang w:val="en-GB"/>
        </w:rPr>
        <w:t>National Health (Pharmaceuticals and Vaccines – Cost Recovery) Regulations 2022</w:t>
      </w:r>
      <w:r w:rsidRPr="002A2BA3">
        <w:rPr>
          <w:rFonts w:asciiTheme="minorHAnsi" w:hAnsiTheme="minorHAnsi"/>
          <w:bCs/>
          <w:lang w:val="en-GB"/>
        </w:rPr>
        <w:t xml:space="preserve"> for Pricing Pathway A were not met.</w:t>
      </w:r>
    </w:p>
    <w:p w14:paraId="56FAD043" w14:textId="46E626BE" w:rsidR="00054C41" w:rsidRPr="00605B04" w:rsidRDefault="00054C41" w:rsidP="00054C41">
      <w:pPr>
        <w:widowControl w:val="0"/>
        <w:numPr>
          <w:ilvl w:val="1"/>
          <w:numId w:val="1"/>
        </w:numPr>
        <w:spacing w:after="120"/>
        <w:rPr>
          <w:rFonts w:asciiTheme="minorHAnsi" w:hAnsiTheme="minorHAnsi"/>
          <w:bCs/>
          <w:i/>
          <w:snapToGrid w:val="0"/>
          <w:lang w:val="en-GB"/>
        </w:rPr>
      </w:pPr>
      <w:r w:rsidRPr="00525B39">
        <w:rPr>
          <w:rFonts w:asciiTheme="minorHAnsi" w:hAnsiTheme="minorHAnsi"/>
          <w:bCs/>
          <w:snapToGrid w:val="0"/>
          <w:lang w:val="en-GB"/>
        </w:rPr>
        <w:t>The PBAC noted that this submission is not eligible for an Independent Review</w:t>
      </w:r>
      <w:r w:rsidR="0046767C">
        <w:rPr>
          <w:rFonts w:asciiTheme="minorHAnsi" w:hAnsiTheme="minorHAnsi"/>
          <w:bCs/>
          <w:snapToGrid w:val="0"/>
          <w:lang w:val="en-GB"/>
        </w:rPr>
        <w:t xml:space="preserve"> as it received a positive recommen</w:t>
      </w:r>
      <w:r w:rsidR="000301E2">
        <w:rPr>
          <w:rFonts w:asciiTheme="minorHAnsi" w:hAnsiTheme="minorHAnsi"/>
          <w:bCs/>
          <w:snapToGrid w:val="0"/>
          <w:lang w:val="en-GB"/>
        </w:rPr>
        <w:t>dation</w:t>
      </w:r>
      <w:r w:rsidRPr="00525B39">
        <w:rPr>
          <w:rFonts w:asciiTheme="minorHAnsi" w:hAnsiTheme="minorHAnsi"/>
          <w:bCs/>
          <w:snapToGrid w:val="0"/>
          <w:lang w:val="en-GB"/>
        </w:rPr>
        <w:t xml:space="preserve">. </w:t>
      </w:r>
    </w:p>
    <w:p w14:paraId="6F148004" w14:textId="77777777" w:rsidR="00054C41" w:rsidRPr="00525B39" w:rsidRDefault="00054C41" w:rsidP="00054C41">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39B11F0A" w14:textId="0154FA5E" w:rsidR="007639D0" w:rsidRPr="00605B04" w:rsidRDefault="00054C41" w:rsidP="00605B04">
      <w:pPr>
        <w:rPr>
          <w:rFonts w:asciiTheme="minorHAnsi" w:hAnsiTheme="minorHAnsi"/>
          <w:bCs/>
          <w:snapToGrid w:val="0"/>
          <w:lang w:val="en-GB"/>
        </w:rPr>
      </w:pPr>
      <w:r w:rsidRPr="00525B39">
        <w:rPr>
          <w:rFonts w:asciiTheme="minorHAnsi" w:hAnsiTheme="minorHAnsi"/>
          <w:bCs/>
          <w:snapToGrid w:val="0"/>
          <w:lang w:val="en-GB"/>
        </w:rPr>
        <w:t xml:space="preserve">Recommended </w:t>
      </w:r>
    </w:p>
    <w:bookmarkEnd w:id="98"/>
    <w:p w14:paraId="2DCD9812" w14:textId="225B1F2C" w:rsidR="000F4062" w:rsidRPr="008B46E9" w:rsidRDefault="00054C41" w:rsidP="000F4062">
      <w:pPr>
        <w:pStyle w:val="2-SectionHeading"/>
        <w:numPr>
          <w:ilvl w:val="0"/>
          <w:numId w:val="1"/>
        </w:numPr>
      </w:pPr>
      <w:r w:rsidRPr="00907671">
        <w:t>Recommended listing</w:t>
      </w:r>
    </w:p>
    <w:p w14:paraId="4E7A166F" w14:textId="77777777" w:rsidR="00905B19" w:rsidRPr="006C06BE" w:rsidRDefault="00905B19" w:rsidP="00905B19">
      <w:pPr>
        <w:widowControl w:val="0"/>
        <w:numPr>
          <w:ilvl w:val="1"/>
          <w:numId w:val="1"/>
        </w:numPr>
        <w:spacing w:after="120"/>
        <w:contextualSpacing/>
        <w:rPr>
          <w:rFonts w:asciiTheme="minorHAnsi" w:hAnsiTheme="minorHAnsi"/>
          <w:b/>
          <w:bCs/>
          <w:snapToGrid w:val="0"/>
        </w:rPr>
      </w:pPr>
      <w:r w:rsidRPr="006C06BE">
        <w:rPr>
          <w:rFonts w:asciiTheme="minorHAnsi" w:hAnsiTheme="minorHAnsi"/>
          <w:bCs/>
          <w:snapToGrid w:val="0"/>
        </w:rPr>
        <w:t>Add new item:</w:t>
      </w:r>
    </w:p>
    <w:p w14:paraId="48048F1B" w14:textId="77777777" w:rsidR="00832C22" w:rsidRDefault="00832C22" w:rsidP="00832C22">
      <w:pPr>
        <w:pStyle w:val="Heading2"/>
        <w:rPr>
          <w:b w:val="0"/>
          <w:bCs/>
          <w:sz w:val="24"/>
        </w:rPr>
      </w:pPr>
      <w:r w:rsidRPr="00E60708">
        <w:rPr>
          <w:bCs/>
          <w:sz w:val="24"/>
        </w:rPr>
        <w:t>Initial</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Initial"/>
      </w:tblPr>
      <w:tblGrid>
        <w:gridCol w:w="422"/>
        <w:gridCol w:w="849"/>
        <w:gridCol w:w="2268"/>
        <w:gridCol w:w="1276"/>
        <w:gridCol w:w="992"/>
        <w:gridCol w:w="851"/>
        <w:gridCol w:w="708"/>
        <w:gridCol w:w="1701"/>
      </w:tblGrid>
      <w:tr w:rsidR="00832C22" w14:paraId="61F17CC4" w14:textId="77777777" w:rsidTr="00AB4984">
        <w:trPr>
          <w:cantSplit/>
          <w:trHeight w:val="20"/>
        </w:trPr>
        <w:tc>
          <w:tcPr>
            <w:tcW w:w="3539" w:type="dxa"/>
            <w:gridSpan w:val="3"/>
            <w:tcBorders>
              <w:top w:val="single" w:sz="4" w:space="0" w:color="auto"/>
              <w:left w:val="single" w:sz="4" w:space="0" w:color="auto"/>
              <w:bottom w:val="single" w:sz="4" w:space="0" w:color="auto"/>
              <w:right w:val="single" w:sz="4" w:space="0" w:color="auto"/>
            </w:tcBorders>
            <w:vAlign w:val="center"/>
            <w:hideMark/>
          </w:tcPr>
          <w:p w14:paraId="71F2E6CE" w14:textId="77777777" w:rsidR="00832C22" w:rsidRDefault="00832C22">
            <w:pPr>
              <w:keepLines/>
              <w:rPr>
                <w:rFonts w:ascii="Arial Narrow" w:hAnsi="Arial Narrow"/>
                <w:b/>
                <w:bCs/>
                <w:kern w:val="2"/>
                <w:sz w:val="20"/>
                <w:szCs w:val="20"/>
              </w:rPr>
            </w:pPr>
            <w:r>
              <w:rPr>
                <w:rFonts w:ascii="Arial Narrow" w:hAnsi="Arial Narrow"/>
                <w:b/>
                <w:bCs/>
                <w:kern w:val="2"/>
                <w:sz w:val="20"/>
                <w:szCs w:val="20"/>
              </w:rPr>
              <w:t>MEDICINAL PRODUCT</w:t>
            </w:r>
          </w:p>
          <w:p w14:paraId="0E8D718A" w14:textId="77777777" w:rsidR="00832C22" w:rsidRDefault="00832C22">
            <w:pPr>
              <w:keepLines/>
              <w:rPr>
                <w:rFonts w:ascii="Arial Narrow" w:hAnsi="Arial Narrow"/>
                <w:b/>
                <w:kern w:val="2"/>
                <w:sz w:val="20"/>
                <w:szCs w:val="20"/>
              </w:rPr>
            </w:pPr>
            <w:r>
              <w:rPr>
                <w:rFonts w:ascii="Arial Narrow" w:hAnsi="Arial Narrow"/>
                <w:b/>
                <w:bCs/>
                <w:kern w:val="2"/>
                <w:sz w:val="20"/>
                <w:szCs w:val="20"/>
              </w:rPr>
              <w:t>medicinal product pack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49629E" w14:textId="77777777" w:rsidR="00832C22" w:rsidRDefault="00832C22">
            <w:pPr>
              <w:keepLines/>
              <w:jc w:val="center"/>
              <w:rPr>
                <w:rFonts w:ascii="Arial Narrow" w:hAnsi="Arial Narrow"/>
                <w:b/>
                <w:kern w:val="2"/>
                <w:sz w:val="20"/>
                <w:szCs w:val="20"/>
              </w:rPr>
            </w:pPr>
            <w:r>
              <w:rPr>
                <w:rFonts w:ascii="Arial Narrow" w:hAnsi="Arial Narrow"/>
                <w:b/>
                <w:kern w:val="2"/>
                <w:sz w:val="20"/>
                <w:szCs w:val="20"/>
              </w:rPr>
              <w:t>PBS item code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593D0A" w14:textId="77777777" w:rsidR="00832C22" w:rsidRDefault="00832C22">
            <w:pPr>
              <w:keepLines/>
              <w:jc w:val="center"/>
              <w:rPr>
                <w:rFonts w:ascii="Arial Narrow" w:hAnsi="Arial Narrow"/>
                <w:b/>
                <w:kern w:val="2"/>
                <w:sz w:val="20"/>
                <w:szCs w:val="20"/>
              </w:rPr>
            </w:pPr>
            <w:r>
              <w:rPr>
                <w:rFonts w:ascii="Arial Narrow" w:hAnsi="Arial Narrow"/>
                <w:b/>
                <w:kern w:val="2"/>
                <w:sz w:val="20"/>
                <w:szCs w:val="20"/>
              </w:rPr>
              <w:t>Max. qty packs</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8762DB" w14:textId="77777777" w:rsidR="00832C22" w:rsidRDefault="00832C22">
            <w:pPr>
              <w:keepLines/>
              <w:jc w:val="center"/>
              <w:rPr>
                <w:rFonts w:ascii="Arial Narrow" w:hAnsi="Arial Narrow"/>
                <w:b/>
                <w:kern w:val="2"/>
                <w:sz w:val="20"/>
                <w:szCs w:val="20"/>
              </w:rPr>
            </w:pPr>
            <w:r>
              <w:rPr>
                <w:rFonts w:ascii="Arial Narrow" w:hAnsi="Arial Narrow"/>
                <w:b/>
                <w:kern w:val="2"/>
                <w:sz w:val="20"/>
                <w:szCs w:val="20"/>
              </w:rPr>
              <w:t>Max. qty units</w:t>
            </w:r>
          </w:p>
        </w:tc>
        <w:tc>
          <w:tcPr>
            <w:tcW w:w="708" w:type="dxa"/>
            <w:tcBorders>
              <w:top w:val="single" w:sz="4" w:space="0" w:color="auto"/>
              <w:left w:val="single" w:sz="4" w:space="0" w:color="auto"/>
              <w:bottom w:val="single" w:sz="4" w:space="0" w:color="auto"/>
              <w:right w:val="single" w:sz="4" w:space="0" w:color="auto"/>
            </w:tcBorders>
            <w:vAlign w:val="center"/>
            <w:hideMark/>
          </w:tcPr>
          <w:p w14:paraId="0FE82435" w14:textId="77777777" w:rsidR="00832C22" w:rsidRDefault="00832C22">
            <w:pPr>
              <w:keepLines/>
              <w:jc w:val="center"/>
              <w:rPr>
                <w:rFonts w:ascii="Arial Narrow" w:hAnsi="Arial Narrow"/>
                <w:b/>
                <w:kern w:val="2"/>
                <w:sz w:val="20"/>
                <w:szCs w:val="20"/>
              </w:rPr>
            </w:pPr>
            <w:r>
              <w:rPr>
                <w:rFonts w:ascii="Arial Narrow" w:hAnsi="Arial Narrow"/>
                <w:b/>
                <w:kern w:val="2"/>
                <w:sz w:val="20"/>
                <w:szCs w:val="20"/>
              </w:rPr>
              <w:t>№.of</w:t>
            </w:r>
          </w:p>
          <w:p w14:paraId="57C1C504" w14:textId="77777777" w:rsidR="00832C22" w:rsidRDefault="00832C22">
            <w:pPr>
              <w:keepLines/>
              <w:jc w:val="center"/>
              <w:rPr>
                <w:rFonts w:ascii="Arial Narrow" w:hAnsi="Arial Narrow"/>
                <w:b/>
                <w:kern w:val="2"/>
                <w:sz w:val="20"/>
                <w:szCs w:val="20"/>
              </w:rPr>
            </w:pPr>
            <w:r>
              <w:rPr>
                <w:rFonts w:ascii="Arial Narrow" w:hAnsi="Arial Narrow"/>
                <w:b/>
                <w:kern w:val="2"/>
                <w:sz w:val="20"/>
                <w:szCs w:val="20"/>
              </w:rPr>
              <w:t>Rpts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B01A65" w14:textId="77777777" w:rsidR="00832C22" w:rsidRDefault="00832C22">
            <w:pPr>
              <w:keepLines/>
              <w:rPr>
                <w:rFonts w:ascii="Arial Narrow" w:hAnsi="Arial Narrow"/>
                <w:b/>
                <w:kern w:val="2"/>
                <w:sz w:val="20"/>
                <w:szCs w:val="20"/>
                <w:lang w:val="fr-FR"/>
              </w:rPr>
            </w:pPr>
            <w:r>
              <w:rPr>
                <w:rFonts w:ascii="Arial Narrow" w:hAnsi="Arial Narrow"/>
                <w:b/>
                <w:kern w:val="2"/>
                <w:sz w:val="20"/>
                <w:szCs w:val="20"/>
              </w:rPr>
              <w:t>Available brands</w:t>
            </w:r>
          </w:p>
        </w:tc>
      </w:tr>
      <w:tr w:rsidR="00832C22" w14:paraId="72B954E1" w14:textId="77777777" w:rsidTr="00AB4984">
        <w:trPr>
          <w:cantSplit/>
          <w:trHeight w:val="20"/>
        </w:trPr>
        <w:tc>
          <w:tcPr>
            <w:tcW w:w="9067" w:type="dxa"/>
            <w:gridSpan w:val="8"/>
            <w:tcBorders>
              <w:top w:val="single" w:sz="4" w:space="0" w:color="auto"/>
              <w:left w:val="single" w:sz="4" w:space="0" w:color="auto"/>
              <w:bottom w:val="single" w:sz="4" w:space="0" w:color="auto"/>
              <w:right w:val="single" w:sz="4" w:space="0" w:color="auto"/>
            </w:tcBorders>
            <w:vAlign w:val="center"/>
            <w:hideMark/>
          </w:tcPr>
          <w:p w14:paraId="084C5083" w14:textId="77777777" w:rsidR="00832C22" w:rsidRDefault="00832C22">
            <w:pPr>
              <w:keepLines/>
              <w:rPr>
                <w:rFonts w:ascii="Arial Narrow" w:hAnsi="Arial Narrow"/>
                <w:kern w:val="2"/>
                <w:sz w:val="20"/>
                <w:szCs w:val="20"/>
              </w:rPr>
            </w:pPr>
            <w:r>
              <w:rPr>
                <w:rFonts w:ascii="Arial Narrow" w:hAnsi="Arial Narrow"/>
                <w:kern w:val="2"/>
                <w:sz w:val="20"/>
                <w:szCs w:val="20"/>
              </w:rPr>
              <w:t xml:space="preserve">UPADACITINIB </w:t>
            </w:r>
          </w:p>
        </w:tc>
      </w:tr>
      <w:tr w:rsidR="00832C22" w:rsidRPr="0048020E" w14:paraId="7D00F5A0" w14:textId="77777777" w:rsidTr="00AB4984">
        <w:trPr>
          <w:cantSplit/>
          <w:trHeight w:val="20"/>
        </w:trPr>
        <w:tc>
          <w:tcPr>
            <w:tcW w:w="3539" w:type="dxa"/>
            <w:gridSpan w:val="3"/>
            <w:tcBorders>
              <w:top w:val="single" w:sz="4" w:space="0" w:color="auto"/>
              <w:left w:val="single" w:sz="4" w:space="0" w:color="auto"/>
              <w:bottom w:val="single" w:sz="4" w:space="0" w:color="auto"/>
              <w:right w:val="single" w:sz="4" w:space="0" w:color="auto"/>
            </w:tcBorders>
            <w:vAlign w:val="center"/>
          </w:tcPr>
          <w:p w14:paraId="4AFA2AC8" w14:textId="77777777" w:rsidR="00832C22" w:rsidRPr="0048020E" w:rsidRDefault="00832C22">
            <w:pPr>
              <w:keepLines/>
              <w:rPr>
                <w:rFonts w:ascii="Arial Narrow" w:hAnsi="Arial Narrow"/>
                <w:kern w:val="2"/>
                <w:sz w:val="20"/>
                <w:szCs w:val="20"/>
              </w:rPr>
            </w:pPr>
            <w:r>
              <w:rPr>
                <w:rFonts w:ascii="Arial Narrow" w:hAnsi="Arial Narrow"/>
                <w:kern w:val="2"/>
                <w:sz w:val="20"/>
                <w:szCs w:val="20"/>
              </w:rPr>
              <w:t xml:space="preserve">upadacitinib 45 mg oral tablet, 28 </w:t>
            </w:r>
          </w:p>
        </w:tc>
        <w:tc>
          <w:tcPr>
            <w:tcW w:w="1276" w:type="dxa"/>
            <w:tcBorders>
              <w:top w:val="single" w:sz="4" w:space="0" w:color="auto"/>
              <w:left w:val="single" w:sz="4" w:space="0" w:color="auto"/>
              <w:bottom w:val="single" w:sz="4" w:space="0" w:color="auto"/>
              <w:right w:val="single" w:sz="4" w:space="0" w:color="auto"/>
            </w:tcBorders>
            <w:vAlign w:val="center"/>
          </w:tcPr>
          <w:p w14:paraId="7A481BFC" w14:textId="77777777" w:rsidR="00832C22" w:rsidRPr="0048020E" w:rsidRDefault="00832C22">
            <w:pPr>
              <w:keepLines/>
              <w:jc w:val="center"/>
              <w:rPr>
                <w:rFonts w:ascii="Arial Narrow" w:hAnsi="Arial Narrow"/>
                <w:kern w:val="2"/>
                <w:sz w:val="20"/>
                <w:szCs w:val="20"/>
              </w:rPr>
            </w:pPr>
            <w:r w:rsidRPr="0048020E">
              <w:rPr>
                <w:rFonts w:ascii="Arial Narrow" w:hAnsi="Arial Narrow"/>
                <w:kern w:val="2"/>
                <w:sz w:val="20"/>
                <w:szCs w:val="20"/>
              </w:rPr>
              <w:t xml:space="preserve">NEW </w:t>
            </w:r>
          </w:p>
        </w:tc>
        <w:tc>
          <w:tcPr>
            <w:tcW w:w="992" w:type="dxa"/>
            <w:tcBorders>
              <w:top w:val="single" w:sz="4" w:space="0" w:color="auto"/>
              <w:left w:val="single" w:sz="4" w:space="0" w:color="auto"/>
              <w:bottom w:val="single" w:sz="4" w:space="0" w:color="auto"/>
              <w:right w:val="single" w:sz="4" w:space="0" w:color="auto"/>
            </w:tcBorders>
            <w:vAlign w:val="center"/>
          </w:tcPr>
          <w:p w14:paraId="3B6690E0" w14:textId="77777777" w:rsidR="00832C22" w:rsidRPr="0048020E" w:rsidRDefault="00832C22">
            <w:pPr>
              <w:keepLines/>
              <w:jc w:val="center"/>
              <w:rPr>
                <w:rFonts w:ascii="Arial Narrow" w:hAnsi="Arial Narrow"/>
                <w:kern w:val="2"/>
                <w:sz w:val="20"/>
                <w:szCs w:val="20"/>
              </w:rPr>
            </w:pPr>
            <w:r w:rsidRPr="0048020E">
              <w:rPr>
                <w:rFonts w:ascii="Arial Narrow" w:hAnsi="Arial Narrow"/>
                <w:kern w:val="2"/>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68D0C4CD" w14:textId="77777777" w:rsidR="00832C22" w:rsidRPr="006D26AB" w:rsidRDefault="00832C22">
            <w:pPr>
              <w:keepLines/>
              <w:jc w:val="center"/>
              <w:rPr>
                <w:rFonts w:ascii="Arial Narrow" w:hAnsi="Arial Narrow"/>
                <w:kern w:val="2"/>
                <w:sz w:val="20"/>
                <w:szCs w:val="20"/>
              </w:rPr>
            </w:pPr>
            <w:r>
              <w:rPr>
                <w:rFonts w:ascii="Arial Narrow" w:hAnsi="Arial Narrow"/>
                <w:kern w:val="2"/>
                <w:sz w:val="20"/>
                <w:szCs w:val="20"/>
              </w:rPr>
              <w:t>28</w:t>
            </w:r>
          </w:p>
        </w:tc>
        <w:tc>
          <w:tcPr>
            <w:tcW w:w="708" w:type="dxa"/>
            <w:tcBorders>
              <w:top w:val="single" w:sz="4" w:space="0" w:color="auto"/>
              <w:left w:val="single" w:sz="4" w:space="0" w:color="auto"/>
              <w:bottom w:val="single" w:sz="4" w:space="0" w:color="auto"/>
              <w:right w:val="single" w:sz="4" w:space="0" w:color="auto"/>
            </w:tcBorders>
            <w:vAlign w:val="center"/>
          </w:tcPr>
          <w:p w14:paraId="2C1AEE1A" w14:textId="77777777" w:rsidR="00832C22" w:rsidRPr="006D26AB" w:rsidRDefault="00832C22">
            <w:pPr>
              <w:keepLines/>
              <w:jc w:val="center"/>
              <w:rPr>
                <w:rFonts w:ascii="Arial Narrow" w:hAnsi="Arial Narrow"/>
                <w:kern w:val="2"/>
                <w:sz w:val="20"/>
                <w:szCs w:val="20"/>
              </w:rPr>
            </w:pPr>
            <w:r>
              <w:rPr>
                <w:rFonts w:ascii="Arial Narrow" w:hAnsi="Arial Narrow"/>
                <w:kern w:val="2"/>
                <w:sz w:val="20"/>
                <w:szCs w:val="20"/>
              </w:rPr>
              <w:t>2</w:t>
            </w:r>
          </w:p>
        </w:tc>
        <w:tc>
          <w:tcPr>
            <w:tcW w:w="1701" w:type="dxa"/>
            <w:vMerge w:val="restart"/>
            <w:tcBorders>
              <w:top w:val="single" w:sz="4" w:space="0" w:color="auto"/>
              <w:left w:val="single" w:sz="4" w:space="0" w:color="auto"/>
              <w:right w:val="single" w:sz="4" w:space="0" w:color="auto"/>
            </w:tcBorders>
            <w:vAlign w:val="center"/>
          </w:tcPr>
          <w:p w14:paraId="202D1811" w14:textId="77777777" w:rsidR="00832C22" w:rsidRPr="0048020E" w:rsidRDefault="00832C22">
            <w:pPr>
              <w:keepLines/>
              <w:jc w:val="center"/>
              <w:rPr>
                <w:rFonts w:ascii="Arial Narrow" w:hAnsi="Arial Narrow"/>
                <w:kern w:val="2"/>
                <w:sz w:val="20"/>
                <w:szCs w:val="20"/>
              </w:rPr>
            </w:pPr>
            <w:r>
              <w:rPr>
                <w:rFonts w:ascii="Arial Narrow" w:hAnsi="Arial Narrow"/>
                <w:kern w:val="2"/>
                <w:sz w:val="20"/>
                <w:szCs w:val="20"/>
              </w:rPr>
              <w:t>Rinvoq</w:t>
            </w:r>
          </w:p>
        </w:tc>
      </w:tr>
      <w:tr w:rsidR="00832C22" w:rsidRPr="0048020E" w14:paraId="57B00D16" w14:textId="77777777" w:rsidTr="00AB4984">
        <w:trPr>
          <w:cantSplit/>
          <w:trHeight w:val="20"/>
        </w:trPr>
        <w:tc>
          <w:tcPr>
            <w:tcW w:w="3539" w:type="dxa"/>
            <w:gridSpan w:val="3"/>
            <w:tcBorders>
              <w:top w:val="single" w:sz="4" w:space="0" w:color="auto"/>
              <w:left w:val="single" w:sz="4" w:space="0" w:color="auto"/>
              <w:bottom w:val="single" w:sz="4" w:space="0" w:color="auto"/>
              <w:right w:val="single" w:sz="4" w:space="0" w:color="auto"/>
            </w:tcBorders>
            <w:vAlign w:val="center"/>
          </w:tcPr>
          <w:p w14:paraId="28DBF6D5" w14:textId="77777777" w:rsidR="00832C22" w:rsidRDefault="00832C22">
            <w:pPr>
              <w:keepLines/>
              <w:rPr>
                <w:rFonts w:ascii="Arial Narrow" w:hAnsi="Arial Narrow"/>
                <w:kern w:val="2"/>
                <w:sz w:val="20"/>
                <w:szCs w:val="20"/>
              </w:rPr>
            </w:pPr>
            <w:r>
              <w:rPr>
                <w:rFonts w:ascii="Arial Narrow" w:hAnsi="Arial Narrow"/>
                <w:kern w:val="2"/>
                <w:sz w:val="20"/>
                <w:szCs w:val="20"/>
              </w:rPr>
              <w:lastRenderedPageBreak/>
              <w:t xml:space="preserve">upadacitinib 30 mg oral tablet, 28 </w:t>
            </w:r>
          </w:p>
        </w:tc>
        <w:tc>
          <w:tcPr>
            <w:tcW w:w="1276" w:type="dxa"/>
            <w:tcBorders>
              <w:top w:val="single" w:sz="4" w:space="0" w:color="auto"/>
              <w:left w:val="single" w:sz="4" w:space="0" w:color="auto"/>
              <w:bottom w:val="single" w:sz="4" w:space="0" w:color="auto"/>
              <w:right w:val="single" w:sz="4" w:space="0" w:color="auto"/>
            </w:tcBorders>
            <w:vAlign w:val="center"/>
          </w:tcPr>
          <w:p w14:paraId="19991F06" w14:textId="77777777" w:rsidR="00832C22" w:rsidRPr="0048020E" w:rsidRDefault="00832C22">
            <w:pPr>
              <w:keepLines/>
              <w:jc w:val="center"/>
              <w:rPr>
                <w:rFonts w:ascii="Arial Narrow" w:hAnsi="Arial Narrow"/>
                <w:kern w:val="2"/>
                <w:sz w:val="20"/>
                <w:szCs w:val="20"/>
              </w:rPr>
            </w:pPr>
            <w:r w:rsidRPr="0048020E">
              <w:rPr>
                <w:rFonts w:ascii="Arial Narrow" w:hAnsi="Arial Narrow"/>
                <w:kern w:val="2"/>
                <w:sz w:val="20"/>
                <w:szCs w:val="20"/>
              </w:rPr>
              <w:t xml:space="preserve">NEW </w:t>
            </w:r>
          </w:p>
        </w:tc>
        <w:tc>
          <w:tcPr>
            <w:tcW w:w="992" w:type="dxa"/>
            <w:tcBorders>
              <w:top w:val="single" w:sz="4" w:space="0" w:color="auto"/>
              <w:left w:val="single" w:sz="4" w:space="0" w:color="auto"/>
              <w:bottom w:val="single" w:sz="4" w:space="0" w:color="auto"/>
              <w:right w:val="single" w:sz="4" w:space="0" w:color="auto"/>
            </w:tcBorders>
            <w:vAlign w:val="center"/>
          </w:tcPr>
          <w:p w14:paraId="2247F443" w14:textId="77777777" w:rsidR="00832C22" w:rsidRPr="0048020E" w:rsidRDefault="00832C22">
            <w:pPr>
              <w:keepLines/>
              <w:jc w:val="center"/>
              <w:rPr>
                <w:rFonts w:ascii="Arial Narrow" w:hAnsi="Arial Narrow"/>
                <w:kern w:val="2"/>
                <w:sz w:val="20"/>
                <w:szCs w:val="20"/>
              </w:rPr>
            </w:pPr>
            <w:r w:rsidRPr="0048020E">
              <w:rPr>
                <w:rFonts w:ascii="Arial Narrow" w:hAnsi="Arial Narrow"/>
                <w:kern w:val="2"/>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3D7261F7" w14:textId="77777777" w:rsidR="00832C22" w:rsidRDefault="00832C22">
            <w:pPr>
              <w:keepLines/>
              <w:jc w:val="center"/>
              <w:rPr>
                <w:rFonts w:ascii="Arial Narrow" w:hAnsi="Arial Narrow"/>
                <w:kern w:val="2"/>
                <w:sz w:val="20"/>
                <w:szCs w:val="20"/>
              </w:rPr>
            </w:pPr>
            <w:r>
              <w:rPr>
                <w:rFonts w:ascii="Arial Narrow" w:hAnsi="Arial Narrow"/>
                <w:kern w:val="2"/>
                <w:sz w:val="20"/>
                <w:szCs w:val="20"/>
              </w:rPr>
              <w:t>28</w:t>
            </w:r>
          </w:p>
        </w:tc>
        <w:tc>
          <w:tcPr>
            <w:tcW w:w="708" w:type="dxa"/>
            <w:tcBorders>
              <w:top w:val="single" w:sz="4" w:space="0" w:color="auto"/>
              <w:left w:val="single" w:sz="4" w:space="0" w:color="auto"/>
              <w:bottom w:val="single" w:sz="4" w:space="0" w:color="auto"/>
              <w:right w:val="single" w:sz="4" w:space="0" w:color="auto"/>
            </w:tcBorders>
            <w:vAlign w:val="center"/>
          </w:tcPr>
          <w:p w14:paraId="68252056" w14:textId="77777777" w:rsidR="00832C22" w:rsidRDefault="00832C22">
            <w:pPr>
              <w:keepLines/>
              <w:jc w:val="center"/>
              <w:rPr>
                <w:rFonts w:ascii="Arial Narrow" w:hAnsi="Arial Narrow"/>
                <w:kern w:val="2"/>
                <w:sz w:val="20"/>
                <w:szCs w:val="20"/>
              </w:rPr>
            </w:pPr>
            <w:r>
              <w:rPr>
                <w:rFonts w:ascii="Arial Narrow" w:hAnsi="Arial Narrow"/>
                <w:kern w:val="2"/>
                <w:sz w:val="20"/>
                <w:szCs w:val="20"/>
              </w:rPr>
              <w:t>2</w:t>
            </w:r>
          </w:p>
        </w:tc>
        <w:tc>
          <w:tcPr>
            <w:tcW w:w="1701" w:type="dxa"/>
            <w:vMerge/>
            <w:tcBorders>
              <w:left w:val="single" w:sz="4" w:space="0" w:color="auto"/>
              <w:right w:val="single" w:sz="4" w:space="0" w:color="auto"/>
            </w:tcBorders>
            <w:vAlign w:val="center"/>
          </w:tcPr>
          <w:p w14:paraId="73567AC0" w14:textId="77777777" w:rsidR="00832C22" w:rsidRDefault="00832C22">
            <w:pPr>
              <w:keepLines/>
              <w:jc w:val="center"/>
              <w:rPr>
                <w:rFonts w:ascii="Arial Narrow" w:hAnsi="Arial Narrow"/>
                <w:kern w:val="2"/>
                <w:sz w:val="20"/>
                <w:szCs w:val="20"/>
              </w:rPr>
            </w:pPr>
          </w:p>
        </w:tc>
      </w:tr>
      <w:tr w:rsidR="00832C22" w:rsidRPr="0048020E" w14:paraId="5DF6450C" w14:textId="77777777" w:rsidTr="00AB4984">
        <w:trPr>
          <w:trHeight w:val="20"/>
        </w:trPr>
        <w:tc>
          <w:tcPr>
            <w:tcW w:w="9067"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7F2F038" w14:textId="77777777" w:rsidR="00832C22" w:rsidRPr="0048020E" w:rsidRDefault="00832C22">
            <w:pPr>
              <w:rPr>
                <w:rFonts w:ascii="Arial Narrow" w:hAnsi="Arial Narrow"/>
                <w:kern w:val="2"/>
                <w:sz w:val="20"/>
                <w:szCs w:val="20"/>
              </w:rPr>
            </w:pPr>
          </w:p>
        </w:tc>
      </w:tr>
      <w:tr w:rsidR="00832C22" w:rsidRPr="0048020E" w14:paraId="0B4B4E7E" w14:textId="77777777" w:rsidTr="00AB4984">
        <w:trPr>
          <w:trHeight w:val="20"/>
        </w:trPr>
        <w:tc>
          <w:tcPr>
            <w:tcW w:w="1271"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BC3B9BF" w14:textId="77777777" w:rsidR="00832C22" w:rsidRDefault="00832C22">
            <w:pPr>
              <w:jc w:val="center"/>
              <w:rPr>
                <w:rFonts w:ascii="Arial Narrow" w:hAnsi="Arial Narrow"/>
                <w:kern w:val="2"/>
                <w:sz w:val="20"/>
                <w:szCs w:val="20"/>
              </w:rPr>
            </w:pPr>
            <w:r>
              <w:rPr>
                <w:rFonts w:ascii="Arial Narrow" w:hAnsi="Arial Narrow"/>
                <w:b/>
                <w:kern w:val="2"/>
                <w:sz w:val="20"/>
                <w:szCs w:val="20"/>
              </w:rPr>
              <w:t>Concept ID</w:t>
            </w:r>
          </w:p>
          <w:p w14:paraId="2EB9ACCE" w14:textId="77777777" w:rsidR="00832C22" w:rsidRDefault="00832C22">
            <w:pPr>
              <w:jc w:val="center"/>
              <w:rPr>
                <w:rFonts w:ascii="Arial Narrow" w:hAnsi="Arial Narrow"/>
                <w:b/>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4271B34" w14:textId="5BADCB94" w:rsidR="00832C22" w:rsidRPr="0048020E" w:rsidRDefault="00832C22">
            <w:pPr>
              <w:keepLines/>
              <w:jc w:val="left"/>
              <w:rPr>
                <w:rFonts w:ascii="Arial Narrow" w:hAnsi="Arial Narrow"/>
                <w:kern w:val="2"/>
                <w:sz w:val="20"/>
                <w:szCs w:val="20"/>
              </w:rPr>
            </w:pPr>
            <w:r w:rsidRPr="0048020E">
              <w:rPr>
                <w:rFonts w:ascii="Arial Narrow" w:hAnsi="Arial Narrow"/>
                <w:b/>
                <w:kern w:val="2"/>
                <w:sz w:val="20"/>
                <w:szCs w:val="20"/>
              </w:rPr>
              <w:t>Category / Program:</w:t>
            </w:r>
            <w:r w:rsidRPr="0048020E">
              <w:rPr>
                <w:rFonts w:ascii="Arial Narrow" w:hAnsi="Arial Narrow"/>
                <w:kern w:val="2"/>
                <w:sz w:val="20"/>
                <w:szCs w:val="20"/>
              </w:rPr>
              <w:t xml:space="preserve"> </w:t>
            </w:r>
            <w:r w:rsidRPr="0048020E">
              <w:rPr>
                <w:rFonts w:ascii="Arial Narrow" w:hAnsi="Arial Narrow"/>
                <w:kern w:val="2"/>
                <w:sz w:val="20"/>
                <w:szCs w:val="20"/>
              </w:rPr>
              <w:fldChar w:fldCharType="begin">
                <w:ffData>
                  <w:name w:val=""/>
                  <w:enabled/>
                  <w:calcOnExit w:val="0"/>
                  <w:checkBox>
                    <w:sizeAuto/>
                    <w:default w:val="1"/>
                  </w:checkBox>
                </w:ffData>
              </w:fldChar>
            </w:r>
            <w:r w:rsidRPr="0048020E">
              <w:rPr>
                <w:rFonts w:ascii="Arial Narrow" w:hAnsi="Arial Narrow"/>
                <w:kern w:val="2"/>
                <w:sz w:val="20"/>
                <w:szCs w:val="20"/>
              </w:rPr>
              <w:instrText xml:space="preserve"> FORMCHECKBOX </w:instrText>
            </w:r>
            <w:r w:rsidRPr="0048020E">
              <w:rPr>
                <w:rFonts w:ascii="Arial Narrow" w:hAnsi="Arial Narrow"/>
                <w:kern w:val="2"/>
                <w:sz w:val="20"/>
                <w:szCs w:val="20"/>
              </w:rPr>
            </w:r>
            <w:r w:rsidRPr="0048020E">
              <w:rPr>
                <w:rFonts w:ascii="Arial Narrow" w:hAnsi="Arial Narrow"/>
                <w:kern w:val="2"/>
                <w:sz w:val="20"/>
                <w:szCs w:val="20"/>
              </w:rPr>
              <w:fldChar w:fldCharType="separate"/>
            </w:r>
            <w:r w:rsidRPr="0048020E">
              <w:rPr>
                <w:rFonts w:ascii="Arial Narrow" w:hAnsi="Arial Narrow"/>
                <w:kern w:val="2"/>
                <w:sz w:val="20"/>
                <w:szCs w:val="20"/>
              </w:rPr>
              <w:fldChar w:fldCharType="end"/>
            </w:r>
            <w:r w:rsidRPr="0048020E">
              <w:rPr>
                <w:rFonts w:ascii="Arial Narrow" w:hAnsi="Arial Narrow"/>
                <w:kern w:val="2"/>
                <w:sz w:val="20"/>
                <w:szCs w:val="20"/>
              </w:rPr>
              <w:t xml:space="preserve"> </w:t>
            </w:r>
            <w:r w:rsidRPr="00B73699">
              <w:rPr>
                <w:rFonts w:ascii="Arial Narrow" w:eastAsia="Calibri" w:hAnsi="Arial Narrow"/>
                <w:sz w:val="20"/>
                <w:szCs w:val="20"/>
              </w:rPr>
              <w:t xml:space="preserve">GENERAL </w:t>
            </w:r>
            <w:r w:rsidR="00FC7500">
              <w:rPr>
                <w:rFonts w:ascii="Arial Narrow" w:eastAsia="Calibri" w:hAnsi="Arial Narrow"/>
                <w:sz w:val="20"/>
                <w:szCs w:val="20"/>
              </w:rPr>
              <w:noBreakHyphen/>
            </w:r>
            <w:r w:rsidRPr="00B73699">
              <w:rPr>
                <w:rFonts w:ascii="Arial Narrow" w:eastAsia="Calibri" w:hAnsi="Arial Narrow"/>
                <w:sz w:val="20"/>
                <w:szCs w:val="20"/>
              </w:rPr>
              <w:t xml:space="preserve"> </w:t>
            </w:r>
            <w:proofErr w:type="spellStart"/>
            <w:r w:rsidRPr="00B73699">
              <w:rPr>
                <w:rFonts w:ascii="Arial Narrow" w:eastAsia="Calibri" w:hAnsi="Arial Narrow"/>
                <w:sz w:val="20"/>
                <w:szCs w:val="20"/>
              </w:rPr>
              <w:t>General</w:t>
            </w:r>
            <w:proofErr w:type="spellEnd"/>
            <w:r w:rsidRPr="00B73699">
              <w:rPr>
                <w:rFonts w:ascii="Arial Narrow" w:eastAsia="Calibri" w:hAnsi="Arial Narrow"/>
                <w:sz w:val="20"/>
                <w:szCs w:val="20"/>
              </w:rPr>
              <w:t xml:space="preserve"> Schedule (Code GE)</w:t>
            </w:r>
          </w:p>
        </w:tc>
      </w:tr>
      <w:tr w:rsidR="00832C22" w:rsidRPr="0048020E" w14:paraId="4109E17A" w14:textId="77777777" w:rsidTr="00AB4984">
        <w:trPr>
          <w:trHeight w:val="20"/>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630EFEE1" w14:textId="77777777" w:rsidR="00832C22" w:rsidRDefault="00832C22">
            <w:pPr>
              <w:rPr>
                <w:rFonts w:ascii="Arial Narrow" w:hAnsi="Arial Narrow"/>
                <w:b/>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54E60A" w14:textId="77777777" w:rsidR="00832C22" w:rsidRPr="0048020E" w:rsidRDefault="00832C22">
            <w:pPr>
              <w:keepLines/>
              <w:rPr>
                <w:rFonts w:ascii="Arial Narrow" w:hAnsi="Arial Narrow"/>
                <w:b/>
                <w:kern w:val="2"/>
                <w:sz w:val="20"/>
                <w:szCs w:val="20"/>
              </w:rPr>
            </w:pPr>
            <w:r w:rsidRPr="0048020E">
              <w:rPr>
                <w:rFonts w:ascii="Arial Narrow" w:hAnsi="Arial Narrow"/>
                <w:b/>
                <w:kern w:val="2"/>
                <w:sz w:val="20"/>
                <w:szCs w:val="20"/>
              </w:rPr>
              <w:t xml:space="preserve">Prescriber type: </w:t>
            </w:r>
            <w:r w:rsidRPr="0048020E">
              <w:rPr>
                <w:rFonts w:ascii="Arial Narrow" w:hAnsi="Arial Narrow"/>
                <w:kern w:val="2"/>
                <w:sz w:val="20"/>
                <w:szCs w:val="20"/>
              </w:rPr>
              <w:fldChar w:fldCharType="begin">
                <w:ffData>
                  <w:name w:val=""/>
                  <w:enabled/>
                  <w:calcOnExit w:val="0"/>
                  <w:checkBox>
                    <w:sizeAuto/>
                    <w:default w:val="1"/>
                  </w:checkBox>
                </w:ffData>
              </w:fldChar>
            </w:r>
            <w:r w:rsidRPr="0048020E">
              <w:rPr>
                <w:rFonts w:ascii="Arial Narrow" w:hAnsi="Arial Narrow"/>
                <w:kern w:val="2"/>
                <w:sz w:val="20"/>
                <w:szCs w:val="20"/>
              </w:rPr>
              <w:instrText xml:space="preserve"> FORMCHECKBOX </w:instrText>
            </w:r>
            <w:r w:rsidRPr="0048020E">
              <w:rPr>
                <w:rFonts w:ascii="Arial Narrow" w:hAnsi="Arial Narrow"/>
                <w:kern w:val="2"/>
                <w:sz w:val="20"/>
                <w:szCs w:val="20"/>
              </w:rPr>
            </w:r>
            <w:r w:rsidRPr="0048020E">
              <w:rPr>
                <w:rFonts w:ascii="Arial Narrow" w:hAnsi="Arial Narrow"/>
                <w:kern w:val="2"/>
                <w:sz w:val="20"/>
                <w:szCs w:val="20"/>
              </w:rPr>
              <w:fldChar w:fldCharType="separate"/>
            </w:r>
            <w:r w:rsidRPr="0048020E">
              <w:rPr>
                <w:rFonts w:ascii="Arial Narrow" w:hAnsi="Arial Narrow"/>
                <w:kern w:val="2"/>
                <w:sz w:val="20"/>
                <w:szCs w:val="20"/>
              </w:rPr>
              <w:fldChar w:fldCharType="end"/>
            </w:r>
            <w:r w:rsidRPr="0048020E">
              <w:rPr>
                <w:rFonts w:ascii="Arial Narrow" w:hAnsi="Arial Narrow"/>
                <w:kern w:val="2"/>
                <w:sz w:val="20"/>
                <w:szCs w:val="20"/>
              </w:rPr>
              <w:t xml:space="preserve"> Medical Practitioners </w:t>
            </w:r>
          </w:p>
        </w:tc>
      </w:tr>
      <w:tr w:rsidR="00832C22" w:rsidRPr="0048020E" w14:paraId="451738BE" w14:textId="77777777" w:rsidTr="00AB4984">
        <w:trPr>
          <w:trHeight w:val="20"/>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331BE8FA" w14:textId="77777777" w:rsidR="00832C22" w:rsidRDefault="00832C22">
            <w:pPr>
              <w:rPr>
                <w:rFonts w:ascii="Arial Narrow" w:hAnsi="Arial Narrow"/>
                <w:b/>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0C588A0" w14:textId="48934012" w:rsidR="00832C22" w:rsidRPr="0048020E" w:rsidRDefault="00832C22">
            <w:pPr>
              <w:keepLines/>
              <w:jc w:val="left"/>
              <w:rPr>
                <w:rFonts w:ascii="Arial Narrow" w:hAnsi="Arial Narrow"/>
                <w:kern w:val="2"/>
                <w:sz w:val="20"/>
                <w:szCs w:val="20"/>
              </w:rPr>
            </w:pPr>
            <w:r w:rsidRPr="0048020E">
              <w:rPr>
                <w:rFonts w:ascii="Arial Narrow" w:hAnsi="Arial Narrow"/>
                <w:b/>
                <w:kern w:val="2"/>
                <w:sz w:val="20"/>
                <w:szCs w:val="20"/>
              </w:rPr>
              <w:t xml:space="preserve">Benefit type: </w:t>
            </w:r>
            <w:r w:rsidRPr="0048020E">
              <w:rPr>
                <w:rFonts w:ascii="Arial Narrow" w:hAnsi="Arial Narrow"/>
                <w:kern w:val="2"/>
                <w:sz w:val="20"/>
                <w:szCs w:val="20"/>
              </w:rPr>
              <w:fldChar w:fldCharType="begin">
                <w:ffData>
                  <w:name w:val=""/>
                  <w:enabled/>
                  <w:calcOnExit w:val="0"/>
                  <w:checkBox>
                    <w:sizeAuto/>
                    <w:default w:val="1"/>
                  </w:checkBox>
                </w:ffData>
              </w:fldChar>
            </w:r>
            <w:r w:rsidRPr="0048020E">
              <w:rPr>
                <w:rFonts w:ascii="Arial Narrow" w:hAnsi="Arial Narrow"/>
                <w:kern w:val="2"/>
                <w:sz w:val="20"/>
                <w:szCs w:val="20"/>
              </w:rPr>
              <w:instrText xml:space="preserve"> FORMCHECKBOX </w:instrText>
            </w:r>
            <w:r w:rsidRPr="0048020E">
              <w:rPr>
                <w:rFonts w:ascii="Arial Narrow" w:hAnsi="Arial Narrow"/>
                <w:kern w:val="2"/>
                <w:sz w:val="20"/>
                <w:szCs w:val="20"/>
              </w:rPr>
            </w:r>
            <w:r w:rsidRPr="0048020E">
              <w:rPr>
                <w:rFonts w:ascii="Arial Narrow" w:hAnsi="Arial Narrow"/>
                <w:kern w:val="2"/>
                <w:sz w:val="20"/>
                <w:szCs w:val="20"/>
              </w:rPr>
              <w:fldChar w:fldCharType="separate"/>
            </w:r>
            <w:r w:rsidRPr="0048020E">
              <w:rPr>
                <w:rFonts w:ascii="Arial Narrow" w:hAnsi="Arial Narrow"/>
                <w:kern w:val="2"/>
                <w:sz w:val="20"/>
                <w:szCs w:val="20"/>
              </w:rPr>
              <w:fldChar w:fldCharType="end"/>
            </w:r>
            <w:r w:rsidRPr="0048020E">
              <w:rPr>
                <w:rFonts w:ascii="Arial Narrow" w:hAnsi="Arial Narrow"/>
                <w:kern w:val="2"/>
                <w:sz w:val="20"/>
                <w:szCs w:val="20"/>
              </w:rPr>
              <w:t xml:space="preserve"> </w:t>
            </w:r>
            <w:r w:rsidRPr="0048020E">
              <w:rPr>
                <w:rFonts w:ascii="Arial Narrow" w:eastAsia="Calibri" w:hAnsi="Arial Narrow"/>
                <w:kern w:val="2"/>
                <w:sz w:val="20"/>
                <w:szCs w:val="20"/>
              </w:rPr>
              <w:t xml:space="preserve">Authority Required </w:t>
            </w:r>
            <w:r>
              <w:rPr>
                <w:rFonts w:ascii="Arial Narrow" w:eastAsia="Calibri" w:hAnsi="Arial Narrow"/>
                <w:kern w:val="2"/>
                <w:sz w:val="20"/>
                <w:szCs w:val="20"/>
              </w:rPr>
              <w:t>(Telephone/Online PBS Authorities System)</w:t>
            </w:r>
          </w:p>
        </w:tc>
      </w:tr>
      <w:tr w:rsidR="00832C22" w:rsidRPr="00296381" w14:paraId="1AA74CBA" w14:textId="77777777" w:rsidTr="00AB4984">
        <w:trPr>
          <w:trHeight w:val="20"/>
        </w:trPr>
        <w:tc>
          <w:tcPr>
            <w:tcW w:w="422" w:type="dxa"/>
            <w:vMerge w:val="restart"/>
            <w:textDirection w:val="btLr"/>
          </w:tcPr>
          <w:p w14:paraId="26E8A9F7" w14:textId="77777777" w:rsidR="00832C22" w:rsidRPr="00296381" w:rsidRDefault="00832C22">
            <w:pPr>
              <w:jc w:val="center"/>
              <w:rPr>
                <w:rFonts w:ascii="Arial Narrow" w:hAnsi="Arial Narrow"/>
                <w:i/>
                <w:iCs/>
                <w:kern w:val="2"/>
                <w:sz w:val="20"/>
                <w:szCs w:val="20"/>
              </w:rPr>
            </w:pPr>
            <w:r w:rsidRPr="00E745C2">
              <w:rPr>
                <w:rFonts w:ascii="Arial Narrow" w:hAnsi="Arial Narrow"/>
                <w:sz w:val="20"/>
                <w:szCs w:val="20"/>
              </w:rPr>
              <w:t>Prescribing rule</w:t>
            </w:r>
            <w:r>
              <w:rPr>
                <w:rFonts w:ascii="Arial Narrow" w:hAnsi="Arial Narrow"/>
                <w:sz w:val="20"/>
                <w:szCs w:val="20"/>
              </w:rPr>
              <w:t xml:space="preserve"> level</w:t>
            </w:r>
          </w:p>
        </w:tc>
        <w:tc>
          <w:tcPr>
            <w:tcW w:w="84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6CD3382" w14:textId="26E6CCBA" w:rsidR="00832C22" w:rsidRPr="004A284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93DE6B5" w14:textId="77777777" w:rsidR="00832C22" w:rsidRPr="004A2842" w:rsidRDefault="00832C22">
            <w:pPr>
              <w:rPr>
                <w:rFonts w:ascii="Arial Narrow" w:hAnsi="Arial Narrow"/>
                <w:b/>
                <w:bCs/>
                <w:kern w:val="2"/>
                <w:sz w:val="20"/>
                <w:szCs w:val="20"/>
              </w:rPr>
            </w:pPr>
            <w:r w:rsidRPr="004A2842">
              <w:rPr>
                <w:rFonts w:ascii="Arial Narrow" w:hAnsi="Arial Narrow"/>
                <w:b/>
                <w:bCs/>
                <w:kern w:val="2"/>
                <w:sz w:val="20"/>
                <w:szCs w:val="20"/>
              </w:rPr>
              <w:t xml:space="preserve">Administrative Advice: </w:t>
            </w:r>
          </w:p>
          <w:p w14:paraId="66C8777B" w14:textId="77777777" w:rsidR="00832C22" w:rsidRPr="004A2842" w:rsidRDefault="00832C22">
            <w:pPr>
              <w:rPr>
                <w:rFonts w:ascii="Arial Narrow" w:hAnsi="Arial Narrow"/>
                <w:kern w:val="2"/>
                <w:sz w:val="20"/>
                <w:szCs w:val="20"/>
              </w:rPr>
            </w:pPr>
            <w:r w:rsidRPr="004A2842">
              <w:rPr>
                <w:rFonts w:ascii="Arial Narrow" w:hAnsi="Arial Narrow"/>
                <w:kern w:val="2"/>
                <w:sz w:val="20"/>
                <w:szCs w:val="20"/>
              </w:rPr>
              <w:t>TREATMENT OF COMPLEX REFRACTORY FISTULISING CROHN DISEASE</w:t>
            </w:r>
          </w:p>
          <w:p w14:paraId="339C9FB2" w14:textId="77777777" w:rsidR="00832C22" w:rsidRPr="004A2842" w:rsidRDefault="00832C22">
            <w:pPr>
              <w:rPr>
                <w:rFonts w:ascii="Arial Narrow" w:hAnsi="Arial Narrow"/>
                <w:kern w:val="2"/>
                <w:sz w:val="20"/>
                <w:szCs w:val="20"/>
              </w:rPr>
            </w:pPr>
            <w:hyperlink w:anchor="_Overarching_administrative_advice" w:history="1">
              <w:r w:rsidRPr="004A2842">
                <w:rPr>
                  <w:rStyle w:val="Hyperlink"/>
                  <w:rFonts w:ascii="Arial Narrow" w:hAnsi="Arial Narrow"/>
                  <w:kern w:val="2"/>
                  <w:sz w:val="20"/>
                  <w:szCs w:val="20"/>
                </w:rPr>
                <w:t>See below for overarching AA</w:t>
              </w:r>
            </w:hyperlink>
          </w:p>
        </w:tc>
      </w:tr>
      <w:tr w:rsidR="00832C22" w:rsidRPr="00296381" w14:paraId="571E64E1" w14:textId="77777777" w:rsidTr="00AB4984">
        <w:trPr>
          <w:trHeight w:val="20"/>
        </w:trPr>
        <w:tc>
          <w:tcPr>
            <w:tcW w:w="422" w:type="dxa"/>
            <w:vMerge/>
          </w:tcPr>
          <w:p w14:paraId="1F3745FA" w14:textId="77777777" w:rsidR="00832C22" w:rsidRPr="00296381" w:rsidRDefault="00832C22">
            <w:pPr>
              <w:jc w:val="center"/>
              <w:rPr>
                <w:rFonts w:ascii="Arial Narrow" w:hAnsi="Arial Narrow"/>
                <w:i/>
                <w:iCs/>
                <w:kern w:val="2"/>
                <w:sz w:val="20"/>
                <w:szCs w:val="20"/>
              </w:rPr>
            </w:pPr>
          </w:p>
        </w:tc>
        <w:tc>
          <w:tcPr>
            <w:tcW w:w="84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6844976" w14:textId="0C0543B9" w:rsidR="00832C22" w:rsidRPr="004A284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C02EBD7" w14:textId="77777777" w:rsidR="00832C22" w:rsidRPr="004A2842" w:rsidRDefault="00832C22">
            <w:pPr>
              <w:rPr>
                <w:rFonts w:ascii="Arial Narrow" w:hAnsi="Arial Narrow"/>
                <w:kern w:val="2"/>
                <w:sz w:val="20"/>
                <w:szCs w:val="20"/>
              </w:rPr>
            </w:pPr>
            <w:r w:rsidRPr="004A2842">
              <w:rPr>
                <w:rFonts w:ascii="Arial Narrow" w:hAnsi="Arial Narrow"/>
                <w:b/>
                <w:bCs/>
                <w:kern w:val="2"/>
                <w:sz w:val="20"/>
                <w:szCs w:val="20"/>
              </w:rPr>
              <w:t xml:space="preserve">Administrative Advice: </w:t>
            </w:r>
            <w:r w:rsidRPr="004A2842">
              <w:rPr>
                <w:rFonts w:ascii="Arial Narrow" w:hAnsi="Arial Narrow"/>
                <w:kern w:val="2"/>
                <w:sz w:val="20"/>
                <w:szCs w:val="20"/>
              </w:rPr>
              <w:t>No increase in the maximum quantity or number of units may be authorised.</w:t>
            </w:r>
          </w:p>
        </w:tc>
      </w:tr>
      <w:tr w:rsidR="00832C22" w:rsidRPr="00296381" w14:paraId="1BB86FDD" w14:textId="77777777" w:rsidTr="00AB4984">
        <w:trPr>
          <w:trHeight w:val="20"/>
        </w:trPr>
        <w:tc>
          <w:tcPr>
            <w:tcW w:w="422" w:type="dxa"/>
            <w:vMerge/>
          </w:tcPr>
          <w:p w14:paraId="4410FA68" w14:textId="77777777" w:rsidR="00832C22" w:rsidRPr="00296381" w:rsidRDefault="00832C22">
            <w:pPr>
              <w:jc w:val="center"/>
              <w:rPr>
                <w:rFonts w:ascii="Arial Narrow" w:hAnsi="Arial Narrow"/>
                <w:i/>
                <w:iCs/>
                <w:kern w:val="2"/>
                <w:sz w:val="20"/>
                <w:szCs w:val="20"/>
              </w:rPr>
            </w:pPr>
          </w:p>
        </w:tc>
        <w:tc>
          <w:tcPr>
            <w:tcW w:w="84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A634C7C" w14:textId="28E8ECBE" w:rsidR="00832C22" w:rsidRPr="004A284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E7A0FAF" w14:textId="77777777" w:rsidR="00832C22" w:rsidRPr="004A2842" w:rsidRDefault="00832C22">
            <w:pPr>
              <w:rPr>
                <w:rFonts w:ascii="Arial Narrow" w:hAnsi="Arial Narrow"/>
                <w:kern w:val="2"/>
                <w:sz w:val="20"/>
                <w:szCs w:val="20"/>
              </w:rPr>
            </w:pPr>
            <w:r w:rsidRPr="004A2842">
              <w:rPr>
                <w:rFonts w:ascii="Arial Narrow" w:hAnsi="Arial Narrow"/>
                <w:b/>
                <w:bCs/>
                <w:kern w:val="2"/>
                <w:sz w:val="20"/>
                <w:szCs w:val="20"/>
              </w:rPr>
              <w:t xml:space="preserve">Administrative Advice: </w:t>
            </w:r>
            <w:r w:rsidRPr="004A2842">
              <w:rPr>
                <w:rFonts w:ascii="Arial Narrow" w:hAnsi="Arial Narrow"/>
                <w:kern w:val="2"/>
                <w:sz w:val="20"/>
                <w:szCs w:val="20"/>
              </w:rPr>
              <w:t>No increase in the maximum number of repeats may be authorised.</w:t>
            </w:r>
          </w:p>
        </w:tc>
      </w:tr>
      <w:tr w:rsidR="00832C22" w:rsidRPr="00296381" w14:paraId="63BA5A1B" w14:textId="77777777" w:rsidTr="00AB4984">
        <w:trPr>
          <w:trHeight w:val="20"/>
        </w:trPr>
        <w:tc>
          <w:tcPr>
            <w:tcW w:w="422" w:type="dxa"/>
            <w:vMerge/>
          </w:tcPr>
          <w:p w14:paraId="0DA8291C" w14:textId="77777777" w:rsidR="00832C22" w:rsidRPr="00296381" w:rsidRDefault="00832C22">
            <w:pPr>
              <w:jc w:val="center"/>
              <w:rPr>
                <w:rFonts w:ascii="Arial Narrow" w:hAnsi="Arial Narrow"/>
                <w:i/>
                <w:iCs/>
                <w:kern w:val="2"/>
                <w:sz w:val="20"/>
                <w:szCs w:val="20"/>
              </w:rPr>
            </w:pPr>
          </w:p>
        </w:tc>
        <w:tc>
          <w:tcPr>
            <w:tcW w:w="84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A6E5EA3" w14:textId="49B202A8" w:rsidR="00832C22" w:rsidRPr="004A284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731772C" w14:textId="77777777" w:rsidR="00832C22" w:rsidRPr="004128FE" w:rsidRDefault="00832C22">
            <w:pPr>
              <w:rPr>
                <w:rFonts w:ascii="Arial Narrow" w:hAnsi="Arial Narrow"/>
                <w:b/>
                <w:bCs/>
                <w:kern w:val="2"/>
                <w:sz w:val="20"/>
                <w:szCs w:val="20"/>
              </w:rPr>
            </w:pPr>
            <w:r w:rsidRPr="004128FE">
              <w:rPr>
                <w:rFonts w:ascii="Arial Narrow" w:hAnsi="Arial Narrow"/>
                <w:b/>
                <w:bCs/>
                <w:kern w:val="2"/>
                <w:sz w:val="20"/>
                <w:szCs w:val="20"/>
              </w:rPr>
              <w:t>Administrative Advice:</w:t>
            </w:r>
          </w:p>
          <w:p w14:paraId="2FB5924D" w14:textId="77777777" w:rsidR="00832C22" w:rsidRPr="004A2842" w:rsidRDefault="00832C22">
            <w:pPr>
              <w:rPr>
                <w:rFonts w:ascii="Arial Narrow" w:hAnsi="Arial Narrow"/>
                <w:b/>
                <w:bCs/>
                <w:kern w:val="2"/>
                <w:sz w:val="20"/>
                <w:szCs w:val="20"/>
              </w:rPr>
            </w:pPr>
            <w:r w:rsidRPr="004128FE">
              <w:rPr>
                <w:rFonts w:ascii="Arial Narrow" w:hAnsi="Arial Narrow"/>
                <w:kern w:val="2"/>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832C22" w14:paraId="4DA57B7C" w14:textId="77777777" w:rsidTr="007F3E00">
        <w:trPr>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F1F983E" w14:textId="77777777" w:rsidR="00832C22" w:rsidRDefault="00832C22">
            <w:pPr>
              <w:jc w:val="center"/>
              <w:rPr>
                <w:rFonts w:ascii="Arial Narrow" w:hAnsi="Arial Narrow" w:cs="Times New Roman"/>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A208BF0" w14:textId="4C58C9C2" w:rsidR="00832C22" w:rsidRDefault="00832C22">
            <w:pPr>
              <w:keepLines/>
              <w:rPr>
                <w:rFonts w:ascii="Arial Narrow" w:hAnsi="Arial Narrow"/>
                <w:b/>
                <w:bCs/>
                <w:color w:val="333333"/>
                <w:kern w:val="2"/>
                <w:sz w:val="20"/>
                <w:szCs w:val="20"/>
              </w:rPr>
            </w:pPr>
          </w:p>
        </w:tc>
      </w:tr>
      <w:tr w:rsidR="00832C22" w:rsidRPr="00E14909" w14:paraId="31DE633C"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07F2347" w14:textId="4D1CC477" w:rsidR="00832C22" w:rsidRPr="00E0334D" w:rsidRDefault="00832C22">
            <w:pPr>
              <w:keepLines/>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87955D4" w14:textId="77777777" w:rsidR="00832C22" w:rsidRPr="00E0334D" w:rsidRDefault="00832C22">
            <w:pPr>
              <w:keepLines/>
              <w:rPr>
                <w:rFonts w:ascii="Arial Narrow" w:hAnsi="Arial Narrow"/>
                <w:kern w:val="2"/>
                <w:sz w:val="20"/>
                <w:szCs w:val="20"/>
              </w:rPr>
            </w:pPr>
            <w:r w:rsidRPr="00E0334D">
              <w:rPr>
                <w:rFonts w:ascii="Arial Narrow" w:hAnsi="Arial Narrow"/>
                <w:b/>
                <w:bCs/>
                <w:color w:val="333333"/>
                <w:kern w:val="2"/>
                <w:sz w:val="20"/>
                <w:szCs w:val="20"/>
              </w:rPr>
              <w:t>Indication:</w:t>
            </w:r>
            <w:r w:rsidRPr="00E0334D">
              <w:rPr>
                <w:rFonts w:ascii="Arial Narrow" w:hAnsi="Arial Narrow"/>
                <w:color w:val="333333"/>
                <w:kern w:val="2"/>
                <w:sz w:val="20"/>
                <w:szCs w:val="20"/>
              </w:rPr>
              <w:t xml:space="preserve"> </w:t>
            </w:r>
            <w:r w:rsidRPr="00E0334D">
              <w:rPr>
                <w:rFonts w:ascii="Arial Narrow" w:hAnsi="Arial Narrow"/>
                <w:bCs/>
                <w:sz w:val="20"/>
                <w:szCs w:val="20"/>
              </w:rPr>
              <w:t>Complex refractory fistulising Crohn disease</w:t>
            </w:r>
          </w:p>
        </w:tc>
      </w:tr>
      <w:tr w:rsidR="00832C22" w14:paraId="5D0A256B"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B91B7A2" w14:textId="77777777" w:rsidR="00832C22" w:rsidRPr="00E0334D" w:rsidRDefault="00832C22">
            <w:pP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03E9C97" w14:textId="77777777" w:rsidR="00832C22" w:rsidRPr="00E0334D" w:rsidRDefault="00832C22">
            <w:pPr>
              <w:rPr>
                <w:rFonts w:ascii="Arial Narrow" w:hAnsi="Arial Narrow" w:cs="Times New Roman"/>
                <w:kern w:val="2"/>
                <w:sz w:val="20"/>
                <w:szCs w:val="20"/>
              </w:rPr>
            </w:pPr>
            <w:r w:rsidRPr="00E0334D">
              <w:rPr>
                <w:rFonts w:ascii="Arial Narrow" w:hAnsi="Arial Narrow"/>
                <w:b/>
                <w:bCs/>
                <w:sz w:val="20"/>
                <w:szCs w:val="20"/>
              </w:rPr>
              <w:t xml:space="preserve">Treatment Phase: </w:t>
            </w:r>
            <w:r w:rsidRPr="00E0334D">
              <w:rPr>
                <w:rFonts w:ascii="Arial Narrow" w:hAnsi="Arial Narrow"/>
                <w:sz w:val="20"/>
                <w:szCs w:val="20"/>
              </w:rPr>
              <w:t xml:space="preserve">Initial </w:t>
            </w:r>
            <w:r w:rsidRPr="00E0334D">
              <w:rPr>
                <w:rFonts w:ascii="Arial Narrow" w:hAnsi="Arial Narrow"/>
                <w:bCs/>
                <w:sz w:val="20"/>
                <w:szCs w:val="20"/>
              </w:rPr>
              <w:t xml:space="preserve">treatment – Initial 1 (new patient or recommencement of treatment after a break in </w:t>
            </w:r>
            <w:r>
              <w:rPr>
                <w:rFonts w:ascii="Arial Narrow" w:hAnsi="Arial Narrow"/>
                <w:bCs/>
                <w:sz w:val="20"/>
                <w:szCs w:val="20"/>
              </w:rPr>
              <w:t>targeted therapy</w:t>
            </w:r>
            <w:r w:rsidRPr="00E0334D">
              <w:rPr>
                <w:rFonts w:ascii="Arial Narrow" w:hAnsi="Arial Narrow"/>
                <w:bCs/>
                <w:sz w:val="20"/>
                <w:szCs w:val="20"/>
              </w:rPr>
              <w:t xml:space="preserve"> of more than 5 years)</w:t>
            </w:r>
          </w:p>
        </w:tc>
      </w:tr>
      <w:tr w:rsidR="00832C22" w14:paraId="1A3FB9A2"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94A6E88" w14:textId="63A9F679" w:rsidR="00832C22" w:rsidRDefault="00832C22">
            <w:pPr>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77F507D" w14:textId="77777777" w:rsidR="00832C22" w:rsidRDefault="00832C22">
            <w:pPr>
              <w:rPr>
                <w:rFonts w:ascii="Arial Narrow" w:hAnsi="Arial Narrow"/>
                <w:b/>
                <w:bCs/>
                <w:color w:val="333333"/>
                <w:kern w:val="2"/>
                <w:sz w:val="20"/>
                <w:szCs w:val="20"/>
              </w:rPr>
            </w:pPr>
            <w:r>
              <w:rPr>
                <w:rFonts w:ascii="Arial Narrow" w:hAnsi="Arial Narrow"/>
                <w:b/>
                <w:bCs/>
                <w:color w:val="333333"/>
                <w:kern w:val="2"/>
                <w:sz w:val="20"/>
                <w:szCs w:val="20"/>
              </w:rPr>
              <w:t>Clinical criteria:</w:t>
            </w:r>
          </w:p>
        </w:tc>
      </w:tr>
      <w:tr w:rsidR="00832C22" w14:paraId="475AAD01"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9C136BF" w14:textId="4FCE4EF7" w:rsidR="00832C22" w:rsidRDefault="00832C22">
            <w:pPr>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45E0E63" w14:textId="77777777" w:rsidR="00832C22" w:rsidRDefault="00832C22">
            <w:pPr>
              <w:rPr>
                <w:rFonts w:ascii="Arial Narrow" w:hAnsi="Arial Narrow"/>
                <w:b/>
                <w:bCs/>
                <w:color w:val="333333"/>
                <w:kern w:val="2"/>
                <w:sz w:val="20"/>
                <w:szCs w:val="20"/>
              </w:rPr>
            </w:pPr>
            <w:r w:rsidRPr="00B43F76">
              <w:rPr>
                <w:rFonts w:ascii="Arial Narrow" w:hAnsi="Arial Narrow"/>
                <w:kern w:val="2"/>
                <w:sz w:val="20"/>
                <w:szCs w:val="20"/>
              </w:rPr>
              <w:t>Patient must have confirmed Crohn disease, defined by standard clinical, endoscopic and/or imaging features, including histological evidence, with the diagnosis confirmed by a gastroenterologist or a consultant physician</w:t>
            </w:r>
          </w:p>
        </w:tc>
      </w:tr>
      <w:tr w:rsidR="00832C22" w14:paraId="129A55A9"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CABCC50" w14:textId="77777777" w:rsidR="00832C22" w:rsidRDefault="00832C22">
            <w:pP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5CA07CE" w14:textId="77777777" w:rsidR="00832C22" w:rsidRDefault="00832C22">
            <w:pPr>
              <w:rPr>
                <w:rFonts w:ascii="Arial Narrow" w:hAnsi="Arial Narrow"/>
                <w:b/>
                <w:bCs/>
                <w:color w:val="333333"/>
                <w:kern w:val="2"/>
                <w:sz w:val="20"/>
                <w:szCs w:val="20"/>
              </w:rPr>
            </w:pPr>
            <w:r>
              <w:rPr>
                <w:rFonts w:ascii="Arial Narrow" w:hAnsi="Arial Narrow"/>
                <w:b/>
                <w:bCs/>
                <w:color w:val="333333"/>
                <w:kern w:val="2"/>
                <w:sz w:val="20"/>
                <w:szCs w:val="20"/>
              </w:rPr>
              <w:t>AND</w:t>
            </w:r>
          </w:p>
        </w:tc>
      </w:tr>
      <w:tr w:rsidR="00832C22" w14:paraId="3331E6A5"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5D4F67B" w14:textId="396D0BEB" w:rsidR="00832C22" w:rsidRDefault="00832C22">
            <w:pPr>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600AE78" w14:textId="77777777" w:rsidR="00832C22" w:rsidRDefault="00832C22">
            <w:pPr>
              <w:rPr>
                <w:rFonts w:ascii="Arial Narrow" w:hAnsi="Arial Narrow"/>
                <w:b/>
                <w:bCs/>
                <w:color w:val="333333"/>
                <w:kern w:val="2"/>
                <w:sz w:val="20"/>
                <w:szCs w:val="20"/>
              </w:rPr>
            </w:pPr>
            <w:r>
              <w:rPr>
                <w:rFonts w:ascii="Arial Narrow" w:hAnsi="Arial Narrow"/>
                <w:b/>
                <w:bCs/>
                <w:color w:val="333333"/>
                <w:kern w:val="2"/>
                <w:sz w:val="20"/>
                <w:szCs w:val="20"/>
              </w:rPr>
              <w:t>Clinical criteria:</w:t>
            </w:r>
          </w:p>
        </w:tc>
      </w:tr>
      <w:tr w:rsidR="00832C22" w:rsidRPr="00EE49D2" w14:paraId="3C355936"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C6A127F" w14:textId="5CF54C17" w:rsidR="00832C22" w:rsidRDefault="00832C22">
            <w:pPr>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C5461B6" w14:textId="77777777" w:rsidR="00832C22" w:rsidRPr="00EE49D2" w:rsidRDefault="00832C22">
            <w:pPr>
              <w:rPr>
                <w:rFonts w:ascii="Arial Narrow" w:hAnsi="Arial Narrow"/>
                <w:kern w:val="2"/>
                <w:sz w:val="20"/>
                <w:szCs w:val="20"/>
              </w:rPr>
            </w:pPr>
            <w:r w:rsidRPr="00EE49D2">
              <w:rPr>
                <w:rFonts w:ascii="Arial Narrow" w:hAnsi="Arial Narrow"/>
                <w:kern w:val="2"/>
                <w:sz w:val="20"/>
                <w:szCs w:val="20"/>
              </w:rPr>
              <w:t>Patient must have an externally draining enterocutaneous or rectovaginal fistula</w:t>
            </w:r>
          </w:p>
        </w:tc>
      </w:tr>
      <w:tr w:rsidR="00832C22" w:rsidRPr="00EE49D2" w14:paraId="28DECA40"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5AC3B24" w14:textId="77777777" w:rsidR="00832C22" w:rsidRDefault="00832C22">
            <w:pPr>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B65BBB5" w14:textId="77777777" w:rsidR="00832C22" w:rsidRPr="00EE49D2" w:rsidRDefault="00832C22">
            <w:pPr>
              <w:rPr>
                <w:rFonts w:ascii="Arial Narrow" w:hAnsi="Arial Narrow"/>
                <w:kern w:val="2"/>
                <w:sz w:val="20"/>
                <w:szCs w:val="20"/>
              </w:rPr>
            </w:pPr>
            <w:r>
              <w:rPr>
                <w:rFonts w:ascii="Arial Narrow" w:hAnsi="Arial Narrow"/>
                <w:b/>
                <w:bCs/>
                <w:color w:val="333333"/>
                <w:kern w:val="2"/>
                <w:sz w:val="20"/>
                <w:szCs w:val="20"/>
              </w:rPr>
              <w:t>AND</w:t>
            </w:r>
          </w:p>
        </w:tc>
      </w:tr>
      <w:tr w:rsidR="00832C22" w14:paraId="74DD29C4"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05BBFE5" w14:textId="7EB5B93F" w:rsidR="00832C22" w:rsidRDefault="00832C22">
            <w:pPr>
              <w:jc w:val="center"/>
              <w:rPr>
                <w:rFonts w:ascii="Arial Narrow" w:hAnsi="Arial Narrow"/>
                <w:color w:val="FF0000"/>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ADDAA5B" w14:textId="77777777" w:rsidR="00832C22" w:rsidRDefault="00832C22">
            <w:pPr>
              <w:rPr>
                <w:rFonts w:ascii="Arial Narrow" w:hAnsi="Arial Narrow"/>
                <w:color w:val="FF0000"/>
                <w:kern w:val="2"/>
                <w:sz w:val="20"/>
                <w:szCs w:val="20"/>
              </w:rPr>
            </w:pPr>
            <w:r>
              <w:rPr>
                <w:rFonts w:ascii="Arial Narrow" w:hAnsi="Arial Narrow"/>
                <w:b/>
                <w:bCs/>
                <w:color w:val="333333"/>
                <w:kern w:val="2"/>
                <w:sz w:val="20"/>
                <w:szCs w:val="20"/>
              </w:rPr>
              <w:t>Treatment criteria:</w:t>
            </w:r>
          </w:p>
        </w:tc>
      </w:tr>
      <w:tr w:rsidR="00832C22" w:rsidRPr="00E15563" w14:paraId="7524CCE9"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39833B2" w14:textId="545A49A8" w:rsidR="00832C22" w:rsidRPr="00ED2584"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104184B" w14:textId="77777777" w:rsidR="00832C22" w:rsidRPr="00E15563" w:rsidRDefault="00832C22">
            <w:pPr>
              <w:widowControl w:val="0"/>
              <w:rPr>
                <w:rFonts w:ascii="Arial Narrow" w:hAnsi="Arial Narrow"/>
                <w:kern w:val="2"/>
                <w:sz w:val="20"/>
                <w:szCs w:val="20"/>
              </w:rPr>
            </w:pPr>
            <w:r w:rsidRPr="00E15563">
              <w:rPr>
                <w:rFonts w:ascii="Arial Narrow" w:hAnsi="Arial Narrow"/>
                <w:kern w:val="2"/>
                <w:sz w:val="20"/>
                <w:szCs w:val="20"/>
              </w:rPr>
              <w:t>Must be treated by a gastroenterologist; OR</w:t>
            </w:r>
          </w:p>
        </w:tc>
      </w:tr>
      <w:tr w:rsidR="00832C22" w:rsidRPr="00860000" w14:paraId="392E4105"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FD5F46B" w14:textId="164A3F1D"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E0E6464" w14:textId="77777777" w:rsidR="00832C22" w:rsidRPr="00860000" w:rsidRDefault="00832C22">
            <w:pPr>
              <w:widowControl w:val="0"/>
              <w:rPr>
                <w:rFonts w:ascii="Arial Narrow" w:hAnsi="Arial Narrow"/>
                <w:kern w:val="2"/>
                <w:sz w:val="20"/>
                <w:szCs w:val="20"/>
              </w:rPr>
            </w:pPr>
            <w:r w:rsidRPr="00C50D47">
              <w:rPr>
                <w:rFonts w:ascii="Arial Narrow" w:hAnsi="Arial Narrow"/>
                <w:kern w:val="2"/>
                <w:sz w:val="20"/>
                <w:szCs w:val="20"/>
              </w:rPr>
              <w:t>Must be treated by a consultant physician [internal medicine specialising in gastroenterology]; OR</w:t>
            </w:r>
          </w:p>
        </w:tc>
      </w:tr>
      <w:tr w:rsidR="00832C22" w:rsidRPr="00860000" w14:paraId="38623449"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E813DD9" w14:textId="00AEFC07"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F2E9049" w14:textId="77777777" w:rsidR="00832C22" w:rsidRPr="00860000" w:rsidRDefault="00832C22">
            <w:pPr>
              <w:rPr>
                <w:rFonts w:ascii="Arial Narrow" w:hAnsi="Arial Narrow"/>
                <w:kern w:val="2"/>
                <w:sz w:val="20"/>
                <w:szCs w:val="20"/>
              </w:rPr>
            </w:pPr>
            <w:r w:rsidRPr="003D2625">
              <w:rPr>
                <w:rFonts w:ascii="Arial Narrow" w:hAnsi="Arial Narrow"/>
                <w:kern w:val="2"/>
                <w:sz w:val="20"/>
                <w:szCs w:val="20"/>
              </w:rPr>
              <w:t>Must be treated by a consultant physician [general medicine specialising in gastroenterology].</w:t>
            </w:r>
          </w:p>
        </w:tc>
      </w:tr>
      <w:tr w:rsidR="00832C22" w:rsidRPr="002D1E67" w14:paraId="07106A96"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A7CA06C" w14:textId="428BD75B" w:rsidR="00832C22" w:rsidRPr="00E0334D"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A232927" w14:textId="77777777" w:rsidR="00832C22" w:rsidRPr="00E0334D" w:rsidRDefault="00832C22">
            <w:pPr>
              <w:rPr>
                <w:rFonts w:ascii="Arial Narrow" w:hAnsi="Arial Narrow"/>
                <w:b/>
                <w:bCs/>
                <w:kern w:val="2"/>
                <w:sz w:val="20"/>
                <w:szCs w:val="20"/>
              </w:rPr>
            </w:pPr>
            <w:r w:rsidRPr="00E0334D">
              <w:rPr>
                <w:rFonts w:ascii="Arial Narrow" w:hAnsi="Arial Narrow"/>
                <w:b/>
                <w:bCs/>
                <w:kern w:val="2"/>
                <w:sz w:val="20"/>
                <w:szCs w:val="20"/>
              </w:rPr>
              <w:t>Prescribing Instructions:</w:t>
            </w:r>
          </w:p>
          <w:p w14:paraId="33363DAF" w14:textId="088A92E7" w:rsidR="00832C22" w:rsidRPr="00E27370" w:rsidRDefault="00832C22">
            <w:pPr>
              <w:rPr>
                <w:rFonts w:ascii="Arial Narrow" w:hAnsi="Arial Narrow"/>
                <w:kern w:val="2"/>
                <w:sz w:val="20"/>
                <w:szCs w:val="20"/>
              </w:rPr>
            </w:pPr>
            <w:r>
              <w:rPr>
                <w:rFonts w:ascii="Arial Narrow" w:hAnsi="Arial Narrow"/>
                <w:kern w:val="2"/>
                <w:sz w:val="20"/>
                <w:szCs w:val="20"/>
              </w:rPr>
              <w:t xml:space="preserve">The </w:t>
            </w:r>
            <w:r w:rsidRPr="004C0F08">
              <w:rPr>
                <w:rFonts w:ascii="Arial Narrow" w:hAnsi="Arial Narrow"/>
                <w:kern w:val="2"/>
                <w:sz w:val="20"/>
                <w:szCs w:val="20"/>
              </w:rPr>
              <w:t>number of externally draining complex fistulae</w:t>
            </w:r>
            <w:r w:rsidR="00073579">
              <w:rPr>
                <w:rFonts w:ascii="Arial Narrow" w:hAnsi="Arial Narrow"/>
                <w:kern w:val="2"/>
                <w:sz w:val="20"/>
                <w:szCs w:val="20"/>
              </w:rPr>
              <w:t xml:space="preserve">, </w:t>
            </w:r>
            <w:r w:rsidR="00530F17">
              <w:rPr>
                <w:rFonts w:ascii="Arial Narrow" w:hAnsi="Arial Narrow"/>
                <w:kern w:val="2"/>
                <w:sz w:val="20"/>
                <w:szCs w:val="20"/>
              </w:rPr>
              <w:t>fistula symptom grading scores (discharge/pain/induration)</w:t>
            </w:r>
            <w:r w:rsidRPr="004C0F08">
              <w:rPr>
                <w:rFonts w:ascii="Arial Narrow" w:hAnsi="Arial Narrow"/>
                <w:kern w:val="2"/>
                <w:sz w:val="20"/>
                <w:szCs w:val="20"/>
              </w:rPr>
              <w:t xml:space="preserve"> and the date of assessment of the patient’s condition</w:t>
            </w:r>
            <w:r w:rsidR="00530F17">
              <w:rPr>
                <w:rFonts w:ascii="Arial Narrow" w:hAnsi="Arial Narrow"/>
                <w:kern w:val="2"/>
                <w:sz w:val="20"/>
                <w:szCs w:val="20"/>
              </w:rPr>
              <w:t xml:space="preserve"> </w:t>
            </w:r>
            <w:r>
              <w:rPr>
                <w:rFonts w:ascii="Arial Narrow" w:hAnsi="Arial Narrow"/>
                <w:kern w:val="2"/>
                <w:sz w:val="20"/>
                <w:szCs w:val="20"/>
              </w:rPr>
              <w:t>must be provided by the prescriber at the time of application and documented in the patient’s medical records.</w:t>
            </w:r>
          </w:p>
          <w:p w14:paraId="42E9312D" w14:textId="77777777" w:rsidR="00832C22" w:rsidRPr="004A4B0C" w:rsidRDefault="00832C22">
            <w:pPr>
              <w:rPr>
                <w:rFonts w:ascii="Arial Narrow" w:hAnsi="Arial Narrow"/>
                <w:kern w:val="2"/>
                <w:sz w:val="20"/>
                <w:szCs w:val="20"/>
              </w:rPr>
            </w:pPr>
            <w:r>
              <w:rPr>
                <w:rFonts w:ascii="Arial Narrow" w:hAnsi="Arial Narrow"/>
                <w:kern w:val="2"/>
                <w:sz w:val="20"/>
                <w:szCs w:val="20"/>
              </w:rPr>
              <w:t>All information should, where possible, be no more than 4 weeks old at the time of application.</w:t>
            </w:r>
          </w:p>
        </w:tc>
      </w:tr>
      <w:tr w:rsidR="00832C22" w:rsidRPr="002D1E67" w14:paraId="0C8B890F"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53BB3B5" w14:textId="29A1A93C" w:rsidR="00832C22" w:rsidRPr="00E0334D"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E69F50E" w14:textId="77777777" w:rsidR="00832C22" w:rsidRPr="00E0334D" w:rsidRDefault="00832C22">
            <w:pPr>
              <w:rPr>
                <w:rFonts w:ascii="Arial Narrow" w:hAnsi="Arial Narrow"/>
                <w:b/>
                <w:bCs/>
                <w:kern w:val="2"/>
                <w:sz w:val="20"/>
                <w:szCs w:val="20"/>
              </w:rPr>
            </w:pPr>
            <w:r w:rsidRPr="00E0334D">
              <w:rPr>
                <w:rFonts w:ascii="Arial Narrow" w:hAnsi="Arial Narrow"/>
                <w:b/>
                <w:bCs/>
                <w:kern w:val="2"/>
                <w:sz w:val="20"/>
                <w:szCs w:val="20"/>
              </w:rPr>
              <w:t>Prescribing Instructions:</w:t>
            </w:r>
          </w:p>
          <w:p w14:paraId="61EAECCE" w14:textId="77777777" w:rsidR="00832C22" w:rsidRPr="00E0334D" w:rsidRDefault="00832C22">
            <w:pPr>
              <w:rPr>
                <w:rFonts w:ascii="Arial Narrow" w:hAnsi="Arial Narrow"/>
                <w:kern w:val="2"/>
                <w:sz w:val="20"/>
                <w:szCs w:val="20"/>
              </w:rPr>
            </w:pPr>
            <w:r w:rsidRPr="00E0334D">
              <w:rPr>
                <w:rFonts w:ascii="Arial Narrow" w:hAnsi="Arial Narrow"/>
                <w:kern w:val="2"/>
                <w:sz w:val="20"/>
                <w:szCs w:val="20"/>
              </w:rPr>
              <w:t xml:space="preserve">Where a response assessment is not conducted, the patient will be deemed to have </w:t>
            </w:r>
            <w:r>
              <w:rPr>
                <w:rFonts w:ascii="Arial Narrow" w:hAnsi="Arial Narrow"/>
                <w:kern w:val="2"/>
                <w:sz w:val="20"/>
                <w:szCs w:val="20"/>
              </w:rPr>
              <w:t>not</w:t>
            </w:r>
            <w:r w:rsidRPr="00E0334D">
              <w:rPr>
                <w:rFonts w:ascii="Arial Narrow" w:hAnsi="Arial Narrow"/>
                <w:kern w:val="2"/>
                <w:sz w:val="20"/>
                <w:szCs w:val="20"/>
              </w:rPr>
              <w:t xml:space="preserve"> respond</w:t>
            </w:r>
            <w:r>
              <w:rPr>
                <w:rFonts w:ascii="Arial Narrow" w:hAnsi="Arial Narrow"/>
                <w:kern w:val="2"/>
                <w:sz w:val="20"/>
                <w:szCs w:val="20"/>
              </w:rPr>
              <w:t>ed</w:t>
            </w:r>
            <w:r w:rsidRPr="00E0334D">
              <w:rPr>
                <w:rFonts w:ascii="Arial Narrow" w:hAnsi="Arial Narrow"/>
                <w:kern w:val="2"/>
                <w:sz w:val="20"/>
                <w:szCs w:val="20"/>
              </w:rPr>
              <w:t xml:space="preserve"> to treatment with this drug, unless the patient has experienced a serious adverse reaction of a severity resulting in the necessity for permanent withdrawal of treatment.</w:t>
            </w:r>
          </w:p>
        </w:tc>
      </w:tr>
      <w:tr w:rsidR="00832C22" w14:paraId="4FB9E222" w14:textId="77777777" w:rsidTr="00AB4984">
        <w:trPr>
          <w:cantSplit/>
          <w:trHeight w:val="20"/>
        </w:trPr>
        <w:tc>
          <w:tcPr>
            <w:tcW w:w="9067"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015BF57" w14:textId="77777777" w:rsidR="00832C22" w:rsidRDefault="00832C22">
            <w:pPr>
              <w:rPr>
                <w:rFonts w:ascii="Arial Narrow" w:hAnsi="Arial Narrow"/>
                <w:b/>
                <w:bCs/>
                <w:color w:val="333333"/>
                <w:kern w:val="2"/>
                <w:sz w:val="20"/>
                <w:szCs w:val="20"/>
              </w:rPr>
            </w:pPr>
          </w:p>
          <w:p w14:paraId="3D5A63F7" w14:textId="77777777" w:rsidR="00832C22" w:rsidRDefault="00832C22">
            <w:pPr>
              <w:rPr>
                <w:rFonts w:ascii="Arial Narrow" w:hAnsi="Arial Narrow"/>
                <w:b/>
                <w:bCs/>
                <w:color w:val="333333"/>
                <w:kern w:val="2"/>
                <w:sz w:val="20"/>
                <w:szCs w:val="20"/>
              </w:rPr>
            </w:pPr>
          </w:p>
        </w:tc>
      </w:tr>
      <w:tr w:rsidR="00832C22" w14:paraId="3F354676"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689DDAF" w14:textId="2B19CCFF"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20A463C" w14:textId="77777777" w:rsidR="00832C22" w:rsidRDefault="00832C22">
            <w:pPr>
              <w:rPr>
                <w:rFonts w:ascii="Arial Narrow" w:hAnsi="Arial Narrow"/>
                <w:b/>
                <w:bCs/>
                <w:color w:val="333333"/>
                <w:kern w:val="2"/>
                <w:sz w:val="20"/>
                <w:szCs w:val="20"/>
              </w:rPr>
            </w:pPr>
            <w:r>
              <w:rPr>
                <w:rFonts w:ascii="Arial Narrow" w:hAnsi="Arial Narrow"/>
                <w:b/>
                <w:bCs/>
                <w:color w:val="333333"/>
                <w:kern w:val="2"/>
                <w:sz w:val="20"/>
                <w:szCs w:val="20"/>
              </w:rPr>
              <w:t>Indication:</w:t>
            </w:r>
            <w:r>
              <w:rPr>
                <w:rFonts w:ascii="Arial Narrow" w:hAnsi="Arial Narrow"/>
                <w:color w:val="333333"/>
                <w:kern w:val="2"/>
                <w:sz w:val="20"/>
                <w:szCs w:val="20"/>
              </w:rPr>
              <w:t xml:space="preserve"> </w:t>
            </w:r>
            <w:r>
              <w:rPr>
                <w:rFonts w:ascii="Arial Narrow" w:hAnsi="Arial Narrow"/>
                <w:bCs/>
                <w:sz w:val="20"/>
                <w:szCs w:val="20"/>
              </w:rPr>
              <w:t>Complex refractory fistulising Crohn disease</w:t>
            </w:r>
          </w:p>
        </w:tc>
      </w:tr>
      <w:tr w:rsidR="00832C22" w14:paraId="5E3F6203"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9DCEE76" w14:textId="77777777"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BB51DA7" w14:textId="1297B6FF" w:rsidR="00832C22" w:rsidRDefault="00832C22">
            <w:pPr>
              <w:rPr>
                <w:rFonts w:ascii="Arial Narrow" w:hAnsi="Arial Narrow"/>
                <w:b/>
                <w:bCs/>
                <w:color w:val="333333"/>
                <w:kern w:val="2"/>
                <w:sz w:val="20"/>
                <w:szCs w:val="20"/>
              </w:rPr>
            </w:pPr>
            <w:r>
              <w:rPr>
                <w:rFonts w:ascii="Arial Narrow" w:hAnsi="Arial Narrow"/>
                <w:b/>
                <w:bCs/>
                <w:color w:val="333333"/>
                <w:kern w:val="2"/>
                <w:sz w:val="20"/>
                <w:szCs w:val="20"/>
              </w:rPr>
              <w:t>Treatment Phase:</w:t>
            </w:r>
            <w:r>
              <w:rPr>
                <w:rFonts w:ascii="Arial Narrow" w:hAnsi="Arial Narrow"/>
                <w:color w:val="FF0000"/>
                <w:kern w:val="2"/>
                <w:sz w:val="20"/>
                <w:szCs w:val="20"/>
              </w:rPr>
              <w:t xml:space="preserve"> </w:t>
            </w:r>
            <w:r w:rsidRPr="0042396D">
              <w:rPr>
                <w:rFonts w:ascii="Arial Narrow" w:hAnsi="Arial Narrow"/>
                <w:bCs/>
                <w:sz w:val="20"/>
                <w:szCs w:val="20"/>
              </w:rPr>
              <w:t>Initial treatment</w:t>
            </w:r>
            <w:r>
              <w:rPr>
                <w:rFonts w:ascii="Arial Narrow" w:hAnsi="Arial Narrow"/>
                <w:bCs/>
                <w:sz w:val="20"/>
                <w:szCs w:val="20"/>
              </w:rPr>
              <w:t xml:space="preserve"> </w:t>
            </w:r>
            <w:r w:rsidR="00FC7500">
              <w:rPr>
                <w:rFonts w:ascii="Arial Narrow" w:hAnsi="Arial Narrow"/>
                <w:bCs/>
                <w:i/>
                <w:iCs/>
                <w:sz w:val="20"/>
                <w:szCs w:val="20"/>
              </w:rPr>
              <w:noBreakHyphen/>
            </w:r>
            <w:r>
              <w:rPr>
                <w:rFonts w:ascii="Arial Narrow" w:hAnsi="Arial Narrow"/>
                <w:bCs/>
                <w:i/>
                <w:iCs/>
                <w:sz w:val="20"/>
                <w:szCs w:val="20"/>
              </w:rPr>
              <w:t xml:space="preserve"> </w:t>
            </w:r>
            <w:r w:rsidRPr="00D05332">
              <w:rPr>
                <w:rFonts w:ascii="Arial Narrow" w:hAnsi="Arial Narrow"/>
                <w:bCs/>
                <w:sz w:val="20"/>
                <w:szCs w:val="20"/>
              </w:rPr>
              <w:t>Initial 2</w:t>
            </w:r>
            <w:r w:rsidRPr="0042396D">
              <w:rPr>
                <w:rFonts w:ascii="Arial Narrow" w:hAnsi="Arial Narrow"/>
                <w:bCs/>
                <w:sz w:val="20"/>
                <w:szCs w:val="20"/>
              </w:rPr>
              <w:t xml:space="preserve"> (change or r</w:t>
            </w:r>
            <w:r>
              <w:rPr>
                <w:rFonts w:ascii="Arial Narrow" w:hAnsi="Arial Narrow"/>
                <w:bCs/>
                <w:sz w:val="20"/>
                <w:szCs w:val="20"/>
              </w:rPr>
              <w:t>e</w:t>
            </w:r>
            <w:r w:rsidRPr="0042396D">
              <w:rPr>
                <w:rFonts w:ascii="Arial Narrow" w:hAnsi="Arial Narrow"/>
                <w:bCs/>
                <w:sz w:val="20"/>
                <w:szCs w:val="20"/>
              </w:rPr>
              <w:t xml:space="preserve">commencement of treatment after </w:t>
            </w:r>
            <w:r>
              <w:rPr>
                <w:rFonts w:ascii="Arial Narrow" w:hAnsi="Arial Narrow"/>
                <w:bCs/>
                <w:i/>
                <w:iCs/>
                <w:sz w:val="20"/>
                <w:szCs w:val="20"/>
              </w:rPr>
              <w:t xml:space="preserve">a </w:t>
            </w:r>
            <w:r w:rsidRPr="0042396D">
              <w:rPr>
                <w:rFonts w:ascii="Arial Narrow" w:hAnsi="Arial Narrow"/>
                <w:bCs/>
                <w:sz w:val="20"/>
                <w:szCs w:val="20"/>
              </w:rPr>
              <w:t>break</w:t>
            </w:r>
            <w:r w:rsidRPr="00C10507">
              <w:rPr>
                <w:rFonts w:ascii="Arial Narrow" w:hAnsi="Arial Narrow"/>
                <w:bCs/>
                <w:sz w:val="20"/>
                <w:szCs w:val="20"/>
              </w:rPr>
              <w:t xml:space="preserve"> </w:t>
            </w:r>
            <w:r w:rsidRPr="004F083E">
              <w:rPr>
                <w:rFonts w:ascii="Arial Narrow" w:hAnsi="Arial Narrow"/>
                <w:bCs/>
                <w:sz w:val="20"/>
                <w:szCs w:val="20"/>
              </w:rPr>
              <w:t>in</w:t>
            </w:r>
            <w:r>
              <w:rPr>
                <w:rFonts w:ascii="Arial Narrow" w:hAnsi="Arial Narrow"/>
                <w:bCs/>
                <w:i/>
                <w:iCs/>
                <w:sz w:val="20"/>
                <w:szCs w:val="20"/>
              </w:rPr>
              <w:t xml:space="preserve"> </w:t>
            </w:r>
            <w:r>
              <w:rPr>
                <w:rFonts w:ascii="Arial Narrow" w:hAnsi="Arial Narrow"/>
                <w:bCs/>
                <w:sz w:val="20"/>
                <w:szCs w:val="20"/>
              </w:rPr>
              <w:t xml:space="preserve">targeted therapy </w:t>
            </w:r>
            <w:r w:rsidRPr="004F083E">
              <w:rPr>
                <w:rFonts w:ascii="Arial Narrow" w:hAnsi="Arial Narrow"/>
                <w:bCs/>
                <w:sz w:val="20"/>
                <w:szCs w:val="20"/>
              </w:rPr>
              <w:t>of less than</w:t>
            </w:r>
            <w:r w:rsidRPr="0042396D">
              <w:rPr>
                <w:rFonts w:ascii="Arial Narrow" w:hAnsi="Arial Narrow"/>
                <w:bCs/>
                <w:sz w:val="20"/>
                <w:szCs w:val="20"/>
              </w:rPr>
              <w:t xml:space="preserve"> 5 years)</w:t>
            </w:r>
          </w:p>
        </w:tc>
      </w:tr>
      <w:tr w:rsidR="00832C22" w14:paraId="7C2E86DC"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09FFED5" w14:textId="7492A925"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50000E0" w14:textId="77777777" w:rsidR="00832C22" w:rsidRDefault="00832C22">
            <w:pPr>
              <w:rPr>
                <w:rFonts w:ascii="Arial Narrow" w:hAnsi="Arial Narrow"/>
                <w:b/>
                <w:bCs/>
                <w:color w:val="333333"/>
                <w:kern w:val="2"/>
                <w:sz w:val="20"/>
                <w:szCs w:val="20"/>
              </w:rPr>
            </w:pPr>
            <w:r>
              <w:rPr>
                <w:rFonts w:ascii="Arial Narrow" w:hAnsi="Arial Narrow"/>
                <w:b/>
                <w:bCs/>
                <w:color w:val="333333"/>
                <w:kern w:val="2"/>
                <w:sz w:val="20"/>
                <w:szCs w:val="20"/>
              </w:rPr>
              <w:t>Clinical criteria:</w:t>
            </w:r>
          </w:p>
        </w:tc>
      </w:tr>
      <w:tr w:rsidR="00832C22" w:rsidRPr="00D0445D" w14:paraId="3A2FC65E"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FF89EEF" w14:textId="548FE9CA"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FF5F7CA" w14:textId="52138F68" w:rsidR="00832C22" w:rsidRPr="00D0445D" w:rsidRDefault="00832C22">
            <w:pPr>
              <w:rPr>
                <w:rFonts w:ascii="Arial Narrow" w:hAnsi="Arial Narrow"/>
                <w:bCs/>
                <w:sz w:val="20"/>
                <w:szCs w:val="20"/>
              </w:rPr>
            </w:pPr>
            <w:r w:rsidRPr="00D0445D">
              <w:rPr>
                <w:rFonts w:ascii="Arial Narrow" w:hAnsi="Arial Narrow"/>
                <w:bCs/>
                <w:sz w:val="20"/>
                <w:szCs w:val="20"/>
              </w:rPr>
              <w:t>Patient must have received prior PBS</w:t>
            </w:r>
            <w:r w:rsidR="00FC7500">
              <w:rPr>
                <w:rFonts w:ascii="Arial Narrow" w:hAnsi="Arial Narrow"/>
                <w:bCs/>
                <w:sz w:val="20"/>
                <w:szCs w:val="20"/>
              </w:rPr>
              <w:noBreakHyphen/>
            </w:r>
            <w:r w:rsidRPr="00D0445D">
              <w:rPr>
                <w:rFonts w:ascii="Arial Narrow" w:hAnsi="Arial Narrow"/>
                <w:bCs/>
                <w:sz w:val="20"/>
                <w:szCs w:val="20"/>
              </w:rPr>
              <w:t xml:space="preserve">subsidised treatment with a </w:t>
            </w:r>
            <w:r>
              <w:rPr>
                <w:rFonts w:ascii="Arial Narrow" w:hAnsi="Arial Narrow"/>
                <w:bCs/>
                <w:sz w:val="20"/>
                <w:szCs w:val="20"/>
              </w:rPr>
              <w:t>targeted therapy</w:t>
            </w:r>
            <w:r w:rsidRPr="00D0445D">
              <w:rPr>
                <w:rFonts w:ascii="Arial Narrow" w:hAnsi="Arial Narrow"/>
                <w:bCs/>
                <w:sz w:val="20"/>
                <w:szCs w:val="20"/>
              </w:rPr>
              <w:t xml:space="preserve"> for this condition in this treatment cycle</w:t>
            </w:r>
            <w:r>
              <w:rPr>
                <w:rFonts w:ascii="Arial Narrow" w:hAnsi="Arial Narrow"/>
                <w:bCs/>
                <w:sz w:val="20"/>
                <w:szCs w:val="20"/>
              </w:rPr>
              <w:t>; OR</w:t>
            </w:r>
          </w:p>
        </w:tc>
      </w:tr>
      <w:tr w:rsidR="00832C22" w:rsidRPr="00D0445D" w14:paraId="7A9500FA"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5D9D0A6" w14:textId="72DB551E"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0265B9B" w14:textId="436AB6B2" w:rsidR="00832C22" w:rsidRPr="007B30D5" w:rsidRDefault="00832C22">
            <w:pPr>
              <w:rPr>
                <w:rFonts w:ascii="Arial Narrow" w:hAnsi="Arial Narrow"/>
                <w:bCs/>
                <w:sz w:val="20"/>
                <w:szCs w:val="20"/>
              </w:rPr>
            </w:pPr>
            <w:r w:rsidRPr="007B30D5">
              <w:rPr>
                <w:rFonts w:ascii="Arial Narrow" w:hAnsi="Arial Narrow"/>
                <w:bCs/>
                <w:sz w:val="20"/>
                <w:szCs w:val="20"/>
              </w:rPr>
              <w:t>Patient must have been eligible for prior PBS</w:t>
            </w:r>
            <w:r w:rsidR="00FC7500">
              <w:rPr>
                <w:rFonts w:ascii="Arial Narrow" w:hAnsi="Arial Narrow"/>
                <w:bCs/>
                <w:sz w:val="20"/>
                <w:szCs w:val="20"/>
              </w:rPr>
              <w:noBreakHyphen/>
            </w:r>
            <w:r w:rsidRPr="007B30D5">
              <w:rPr>
                <w:rFonts w:ascii="Arial Narrow" w:hAnsi="Arial Narrow"/>
                <w:bCs/>
                <w:sz w:val="20"/>
                <w:szCs w:val="20"/>
              </w:rPr>
              <w:t>subsidised treatment with a targeted therapy for this condition in this treatment cycle</w:t>
            </w:r>
            <w:r w:rsidRPr="007B30D5">
              <w:rPr>
                <w:rFonts w:ascii="Arial" w:hAnsi="Arial"/>
                <w:bCs/>
                <w:sz w:val="20"/>
                <w:szCs w:val="20"/>
              </w:rPr>
              <w:t>  </w:t>
            </w:r>
          </w:p>
        </w:tc>
      </w:tr>
      <w:tr w:rsidR="00832C22" w:rsidRPr="00D0445D" w14:paraId="1EF57EA0"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1537573" w14:textId="77777777"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9CD95B8" w14:textId="77777777" w:rsidR="00832C22" w:rsidRPr="00D0445D" w:rsidRDefault="00832C22">
            <w:pPr>
              <w:rPr>
                <w:rFonts w:ascii="Arial Narrow" w:hAnsi="Arial Narrow"/>
                <w:bCs/>
                <w:sz w:val="20"/>
                <w:szCs w:val="20"/>
              </w:rPr>
            </w:pPr>
            <w:r>
              <w:rPr>
                <w:rFonts w:ascii="Arial Narrow" w:hAnsi="Arial Narrow"/>
                <w:b/>
                <w:bCs/>
                <w:color w:val="333333"/>
                <w:kern w:val="2"/>
                <w:sz w:val="20"/>
                <w:szCs w:val="20"/>
              </w:rPr>
              <w:t>AND</w:t>
            </w:r>
          </w:p>
        </w:tc>
      </w:tr>
      <w:tr w:rsidR="00832C22" w:rsidRPr="00D0445D" w14:paraId="2BFBBF43"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B077E3D" w14:textId="635D4C9E"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982DA40" w14:textId="77777777" w:rsidR="00832C22" w:rsidRPr="00D0445D" w:rsidRDefault="00832C22">
            <w:pPr>
              <w:rPr>
                <w:rFonts w:ascii="Arial Narrow" w:hAnsi="Arial Narrow"/>
                <w:bCs/>
                <w:sz w:val="20"/>
                <w:szCs w:val="20"/>
              </w:rPr>
            </w:pPr>
            <w:r>
              <w:rPr>
                <w:rFonts w:ascii="Arial Narrow" w:hAnsi="Arial Narrow"/>
                <w:b/>
                <w:bCs/>
                <w:color w:val="333333"/>
                <w:kern w:val="2"/>
                <w:sz w:val="20"/>
                <w:szCs w:val="20"/>
              </w:rPr>
              <w:t>Clinical criteria:</w:t>
            </w:r>
          </w:p>
        </w:tc>
      </w:tr>
      <w:tr w:rsidR="00832C22" w:rsidRPr="00D0445D" w14:paraId="0FD29955"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3E54A79" w14:textId="0D5138D2"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E66FBB1" w14:textId="77777777" w:rsidR="00832C22" w:rsidRPr="002C0096" w:rsidRDefault="00832C22">
            <w:pPr>
              <w:rPr>
                <w:rFonts w:ascii="Arial Narrow" w:hAnsi="Arial Narrow"/>
                <w:bCs/>
                <w:sz w:val="20"/>
                <w:szCs w:val="20"/>
              </w:rPr>
            </w:pPr>
            <w:r w:rsidRPr="00D603D8">
              <w:rPr>
                <w:rFonts w:ascii="Arial Narrow" w:hAnsi="Arial Narrow"/>
                <w:bCs/>
                <w:sz w:val="20"/>
                <w:szCs w:val="20"/>
              </w:rPr>
              <w:t>Patient must have either: (i) not previously received this drug for this condition in the current treatment cycle, (ii) previously received this drug and demonstrated/maintained an adequate clinical response</w:t>
            </w:r>
          </w:p>
        </w:tc>
      </w:tr>
      <w:tr w:rsidR="00832C22" w14:paraId="1054C2E2"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D51182A" w14:textId="573B45A2"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B18C545" w14:textId="77777777" w:rsidR="00832C22" w:rsidRDefault="00832C22">
            <w:pPr>
              <w:rPr>
                <w:rFonts w:ascii="Arial Narrow" w:hAnsi="Arial Narrow"/>
                <w:b/>
                <w:bCs/>
                <w:color w:val="333333"/>
                <w:kern w:val="2"/>
                <w:sz w:val="20"/>
                <w:szCs w:val="20"/>
              </w:rPr>
            </w:pPr>
            <w:r>
              <w:rPr>
                <w:rFonts w:ascii="Arial Narrow" w:hAnsi="Arial Narrow"/>
                <w:b/>
                <w:bCs/>
                <w:color w:val="333333"/>
                <w:kern w:val="2"/>
                <w:sz w:val="20"/>
                <w:szCs w:val="20"/>
              </w:rPr>
              <w:t>Treatment criteria:</w:t>
            </w:r>
          </w:p>
        </w:tc>
      </w:tr>
      <w:tr w:rsidR="00832C22" w14:paraId="3C6A57C5"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EC51146" w14:textId="17EB2E79"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934749D" w14:textId="77777777" w:rsidR="00832C22" w:rsidRDefault="00832C22">
            <w:pPr>
              <w:rPr>
                <w:rFonts w:ascii="Arial Narrow" w:hAnsi="Arial Narrow"/>
                <w:b/>
                <w:bCs/>
                <w:color w:val="333333"/>
                <w:kern w:val="2"/>
                <w:sz w:val="20"/>
                <w:szCs w:val="20"/>
              </w:rPr>
            </w:pPr>
            <w:r w:rsidRPr="00E15563">
              <w:rPr>
                <w:rFonts w:ascii="Arial Narrow" w:hAnsi="Arial Narrow"/>
                <w:kern w:val="2"/>
                <w:sz w:val="20"/>
                <w:szCs w:val="20"/>
              </w:rPr>
              <w:t>Must be treated by a gastroenterologist; OR</w:t>
            </w:r>
          </w:p>
        </w:tc>
      </w:tr>
      <w:tr w:rsidR="00832C22" w14:paraId="7F3C39E8"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6B5E4E6" w14:textId="7A6ED43B"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B1B3E92" w14:textId="77777777" w:rsidR="00832C22" w:rsidRDefault="00832C22">
            <w:pPr>
              <w:rPr>
                <w:rFonts w:ascii="Arial Narrow" w:hAnsi="Arial Narrow"/>
                <w:b/>
                <w:bCs/>
                <w:color w:val="333333"/>
                <w:kern w:val="2"/>
                <w:sz w:val="20"/>
                <w:szCs w:val="20"/>
              </w:rPr>
            </w:pPr>
            <w:r w:rsidRPr="00C50D47">
              <w:rPr>
                <w:rFonts w:ascii="Arial Narrow" w:hAnsi="Arial Narrow"/>
                <w:kern w:val="2"/>
                <w:sz w:val="20"/>
                <w:szCs w:val="20"/>
              </w:rPr>
              <w:t>Must be treated by a consultant physician [internal medicine specialising in gastroenterology]; OR</w:t>
            </w:r>
          </w:p>
        </w:tc>
      </w:tr>
      <w:tr w:rsidR="00832C22" w14:paraId="37C70502"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4867570" w14:textId="08D0C370"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55422C6" w14:textId="77777777" w:rsidR="00832C22" w:rsidRDefault="00832C22">
            <w:pPr>
              <w:rPr>
                <w:rFonts w:ascii="Arial Narrow" w:hAnsi="Arial Narrow"/>
                <w:b/>
                <w:bCs/>
                <w:color w:val="333333"/>
                <w:kern w:val="2"/>
                <w:sz w:val="20"/>
                <w:szCs w:val="20"/>
              </w:rPr>
            </w:pPr>
            <w:r w:rsidRPr="003D2625">
              <w:rPr>
                <w:rFonts w:ascii="Arial Narrow" w:hAnsi="Arial Narrow"/>
                <w:kern w:val="2"/>
                <w:sz w:val="20"/>
                <w:szCs w:val="20"/>
              </w:rPr>
              <w:t>Must be treated by a consultant physician [general medicine specialising in gastroenterology].</w:t>
            </w:r>
          </w:p>
        </w:tc>
      </w:tr>
      <w:tr w:rsidR="00832C22" w14:paraId="753D0A58"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917F9F6" w14:textId="3E92509D" w:rsidR="00832C22" w:rsidRPr="00BB7D49" w:rsidRDefault="00832C22">
            <w:pPr>
              <w:jc w:val="center"/>
              <w:rPr>
                <w:rFonts w:ascii="Arial Narrow" w:hAnsi="Arial Narrow"/>
                <w:kern w:val="2"/>
                <w:sz w:val="20"/>
                <w:szCs w:val="20"/>
                <w:highlight w:val="yellow"/>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7DD4335" w14:textId="77777777" w:rsidR="00832C22" w:rsidRPr="00E0334D" w:rsidRDefault="00832C22">
            <w:pPr>
              <w:rPr>
                <w:rFonts w:ascii="Arial Narrow" w:hAnsi="Arial Narrow"/>
                <w:b/>
                <w:bCs/>
                <w:kern w:val="2"/>
                <w:sz w:val="20"/>
                <w:szCs w:val="20"/>
              </w:rPr>
            </w:pPr>
            <w:r w:rsidRPr="00E0334D">
              <w:rPr>
                <w:rFonts w:ascii="Arial Narrow" w:hAnsi="Arial Narrow"/>
                <w:b/>
                <w:bCs/>
                <w:kern w:val="2"/>
                <w:sz w:val="20"/>
                <w:szCs w:val="20"/>
              </w:rPr>
              <w:t>Prescribing Instructions:</w:t>
            </w:r>
          </w:p>
          <w:p w14:paraId="5E683739" w14:textId="77777777" w:rsidR="00832C22" w:rsidRDefault="00832C22">
            <w:pPr>
              <w:rPr>
                <w:rFonts w:ascii="Arial Narrow" w:hAnsi="Arial Narrow"/>
                <w:kern w:val="2"/>
                <w:sz w:val="20"/>
                <w:szCs w:val="20"/>
              </w:rPr>
            </w:pPr>
            <w:r>
              <w:rPr>
                <w:rFonts w:ascii="Arial Narrow" w:hAnsi="Arial Narrow"/>
                <w:kern w:val="2"/>
                <w:sz w:val="20"/>
                <w:szCs w:val="20"/>
              </w:rPr>
              <w:t>The following information must be provided by the prescriber at the time of application and documented in the patient’s medical records:</w:t>
            </w:r>
          </w:p>
          <w:p w14:paraId="5F1B5FEB" w14:textId="4DE4CD5F" w:rsidR="00832C22" w:rsidRDefault="00832C22" w:rsidP="00EB69AD">
            <w:pPr>
              <w:pStyle w:val="ListParagraph"/>
              <w:numPr>
                <w:ilvl w:val="0"/>
                <w:numId w:val="17"/>
              </w:numPr>
              <w:spacing w:after="0"/>
              <w:contextualSpacing/>
              <w:jc w:val="both"/>
              <w:rPr>
                <w:rFonts w:ascii="Arial Narrow" w:hAnsi="Arial Narrow"/>
                <w:kern w:val="2"/>
                <w:sz w:val="20"/>
                <w:szCs w:val="20"/>
              </w:rPr>
            </w:pPr>
            <w:r>
              <w:rPr>
                <w:rFonts w:ascii="Arial Narrow" w:hAnsi="Arial Narrow"/>
                <w:kern w:val="2"/>
                <w:sz w:val="20"/>
                <w:szCs w:val="20"/>
              </w:rPr>
              <w:t>current number of externally draining complex fistulae</w:t>
            </w:r>
            <w:r w:rsidR="004D4B2C">
              <w:rPr>
                <w:rFonts w:ascii="Arial Narrow" w:hAnsi="Arial Narrow"/>
                <w:kern w:val="2"/>
                <w:sz w:val="20"/>
                <w:szCs w:val="20"/>
              </w:rPr>
              <w:t>, fistula symptom grading scores (discharge</w:t>
            </w:r>
            <w:r w:rsidR="00B00D0F">
              <w:rPr>
                <w:rFonts w:ascii="Arial Narrow" w:hAnsi="Arial Narrow"/>
                <w:kern w:val="2"/>
                <w:sz w:val="20"/>
                <w:szCs w:val="20"/>
              </w:rPr>
              <w:t>/pain/induration)</w:t>
            </w:r>
            <w:r>
              <w:rPr>
                <w:rFonts w:ascii="Arial Narrow" w:hAnsi="Arial Narrow"/>
                <w:kern w:val="2"/>
                <w:sz w:val="20"/>
                <w:szCs w:val="20"/>
              </w:rPr>
              <w:t xml:space="preserve"> and the date of assessment of the patient’s condition; and </w:t>
            </w:r>
          </w:p>
          <w:p w14:paraId="383BAEE3" w14:textId="77777777" w:rsidR="00832C22" w:rsidRPr="00E27370" w:rsidRDefault="00832C22" w:rsidP="00EB69AD">
            <w:pPr>
              <w:pStyle w:val="ListParagraph"/>
              <w:numPr>
                <w:ilvl w:val="0"/>
                <w:numId w:val="17"/>
              </w:numPr>
              <w:spacing w:after="0"/>
              <w:contextualSpacing/>
              <w:jc w:val="both"/>
              <w:rPr>
                <w:rFonts w:ascii="Arial Narrow" w:hAnsi="Arial Narrow"/>
                <w:kern w:val="2"/>
                <w:sz w:val="20"/>
                <w:szCs w:val="20"/>
              </w:rPr>
            </w:pPr>
            <w:r>
              <w:rPr>
                <w:rFonts w:ascii="Arial Narrow" w:hAnsi="Arial Narrow"/>
                <w:kern w:val="2"/>
                <w:sz w:val="20"/>
                <w:szCs w:val="20"/>
              </w:rPr>
              <w:t xml:space="preserve">details of prior targeted therapies treatment in the current treatment cycle, including the dates and duration of treatment </w:t>
            </w:r>
          </w:p>
          <w:p w14:paraId="64B0FF3F" w14:textId="77777777" w:rsidR="00832C22" w:rsidRPr="00FF6418" w:rsidRDefault="00832C22">
            <w:pPr>
              <w:rPr>
                <w:rFonts w:ascii="Arial Narrow" w:hAnsi="Arial Narrow"/>
                <w:kern w:val="2"/>
                <w:sz w:val="20"/>
                <w:szCs w:val="20"/>
              </w:rPr>
            </w:pPr>
            <w:r>
              <w:rPr>
                <w:rFonts w:ascii="Arial Narrow" w:hAnsi="Arial Narrow"/>
                <w:kern w:val="2"/>
                <w:sz w:val="20"/>
                <w:szCs w:val="20"/>
              </w:rPr>
              <w:t>All information should, where possible, be no more than 4 weeks old at the time of application.</w:t>
            </w:r>
          </w:p>
        </w:tc>
      </w:tr>
      <w:tr w:rsidR="00832C22" w:rsidRPr="00A933D2" w14:paraId="257EABC8"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C623833" w14:textId="0E2B7D51" w:rsidR="00832C22" w:rsidRPr="00E0334D"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F12EE31" w14:textId="77777777" w:rsidR="00832C22" w:rsidRDefault="00832C22">
            <w:pPr>
              <w:rPr>
                <w:rFonts w:ascii="Arial Narrow" w:hAnsi="Arial Narrow"/>
                <w:b/>
                <w:bCs/>
                <w:kern w:val="2"/>
                <w:sz w:val="20"/>
                <w:szCs w:val="20"/>
              </w:rPr>
            </w:pPr>
            <w:r w:rsidRPr="00E0334D">
              <w:rPr>
                <w:rFonts w:ascii="Arial Narrow" w:hAnsi="Arial Narrow"/>
                <w:b/>
                <w:bCs/>
                <w:kern w:val="2"/>
                <w:sz w:val="20"/>
                <w:szCs w:val="20"/>
              </w:rPr>
              <w:t>Prescribing Instructions:</w:t>
            </w:r>
          </w:p>
          <w:p w14:paraId="7448BCC4" w14:textId="5EAA399A" w:rsidR="00832C22" w:rsidRPr="00E0334D" w:rsidRDefault="00832C22">
            <w:pPr>
              <w:rPr>
                <w:rFonts w:ascii="Arial Narrow" w:hAnsi="Arial Narrow"/>
                <w:b/>
                <w:bCs/>
                <w:kern w:val="2"/>
                <w:sz w:val="20"/>
                <w:szCs w:val="20"/>
              </w:rPr>
            </w:pPr>
            <w:r w:rsidRPr="009543EC">
              <w:rPr>
                <w:rFonts w:ascii="Arial Narrow" w:hAnsi="Arial Narrow"/>
                <w:kern w:val="2"/>
                <w:sz w:val="20"/>
                <w:szCs w:val="20"/>
              </w:rPr>
              <w:t>If a patient was eligible for prior PBS</w:t>
            </w:r>
            <w:r w:rsidR="00FC7500">
              <w:rPr>
                <w:rFonts w:ascii="Arial Narrow" w:hAnsi="Arial Narrow"/>
                <w:kern w:val="2"/>
                <w:sz w:val="20"/>
                <w:szCs w:val="20"/>
              </w:rPr>
              <w:noBreakHyphen/>
            </w:r>
            <w:r w:rsidRPr="009543EC">
              <w:rPr>
                <w:rFonts w:ascii="Arial Narrow" w:hAnsi="Arial Narrow"/>
                <w:kern w:val="2"/>
                <w:sz w:val="20"/>
                <w:szCs w:val="20"/>
              </w:rPr>
              <w:t>subsidised treatment with a targeted therapy for this condition but did not receive PBS</w:t>
            </w:r>
            <w:r w:rsidR="00FC7500">
              <w:rPr>
                <w:rFonts w:ascii="Arial Narrow" w:hAnsi="Arial Narrow"/>
                <w:kern w:val="2"/>
                <w:sz w:val="20"/>
                <w:szCs w:val="20"/>
              </w:rPr>
              <w:noBreakHyphen/>
            </w:r>
            <w:r w:rsidRPr="009543EC">
              <w:rPr>
                <w:rFonts w:ascii="Arial Narrow" w:hAnsi="Arial Narrow"/>
                <w:kern w:val="2"/>
                <w:sz w:val="20"/>
                <w:szCs w:val="20"/>
              </w:rPr>
              <w:t xml:space="preserve">subsidised treatment at the time, the application must </w:t>
            </w:r>
            <w:r w:rsidR="00CE1108">
              <w:rPr>
                <w:rFonts w:ascii="Arial Narrow" w:hAnsi="Arial Narrow"/>
                <w:kern w:val="2"/>
                <w:sz w:val="20"/>
                <w:szCs w:val="20"/>
              </w:rPr>
              <w:t xml:space="preserve">also </w:t>
            </w:r>
            <w:r w:rsidRPr="009543EC">
              <w:rPr>
                <w:rFonts w:ascii="Arial Narrow" w:hAnsi="Arial Narrow"/>
                <w:kern w:val="2"/>
                <w:sz w:val="20"/>
                <w:szCs w:val="20"/>
              </w:rPr>
              <w:t>provide details of the</w:t>
            </w:r>
            <w:r w:rsidR="0070321F">
              <w:rPr>
                <w:rFonts w:ascii="Arial Narrow" w:hAnsi="Arial Narrow"/>
                <w:kern w:val="2"/>
                <w:sz w:val="20"/>
                <w:szCs w:val="20"/>
              </w:rPr>
              <w:t xml:space="preserve"> baseline scores</w:t>
            </w:r>
            <w:r w:rsidR="0069328A">
              <w:rPr>
                <w:rFonts w:ascii="Arial Narrow" w:hAnsi="Arial Narrow"/>
                <w:kern w:val="2"/>
                <w:sz w:val="20"/>
                <w:szCs w:val="20"/>
              </w:rPr>
              <w:t xml:space="preserve"> of the</w:t>
            </w:r>
            <w:r w:rsidRPr="009543EC">
              <w:rPr>
                <w:rFonts w:ascii="Arial Narrow" w:hAnsi="Arial Narrow"/>
                <w:kern w:val="2"/>
                <w:sz w:val="20"/>
                <w:szCs w:val="20"/>
              </w:rPr>
              <w:t xml:space="preserve"> prior eligibility requirements</w:t>
            </w:r>
            <w:r w:rsidR="000D711E">
              <w:rPr>
                <w:rFonts w:ascii="Arial Narrow" w:hAnsi="Arial Narrow"/>
                <w:kern w:val="2"/>
                <w:sz w:val="20"/>
                <w:szCs w:val="20"/>
              </w:rPr>
              <w:t>, including</w:t>
            </w:r>
            <w:r w:rsidR="00B2100B">
              <w:rPr>
                <w:rFonts w:ascii="Arial Narrow" w:hAnsi="Arial Narrow"/>
                <w:kern w:val="2"/>
                <w:sz w:val="20"/>
                <w:szCs w:val="20"/>
              </w:rPr>
              <w:t xml:space="preserve"> the number</w:t>
            </w:r>
            <w:r w:rsidR="00E27259">
              <w:rPr>
                <w:rFonts w:ascii="Arial Narrow" w:hAnsi="Arial Narrow"/>
                <w:kern w:val="2"/>
                <w:sz w:val="20"/>
                <w:szCs w:val="20"/>
              </w:rPr>
              <w:t xml:space="preserve"> of externally draining complex fistulae, fistula symptom grading score</w:t>
            </w:r>
            <w:r w:rsidR="00E978B7">
              <w:rPr>
                <w:rFonts w:ascii="Arial Narrow" w:hAnsi="Arial Narrow"/>
                <w:kern w:val="2"/>
                <w:sz w:val="20"/>
                <w:szCs w:val="20"/>
              </w:rPr>
              <w:t>s (discharge/pain/induration) and the date of assessment</w:t>
            </w:r>
            <w:r w:rsidRPr="009543EC">
              <w:rPr>
                <w:rFonts w:ascii="Arial Narrow" w:hAnsi="Arial Narrow"/>
                <w:kern w:val="2"/>
                <w:sz w:val="20"/>
                <w:szCs w:val="20"/>
              </w:rPr>
              <w:t>.</w:t>
            </w:r>
            <w:r w:rsidRPr="009543EC">
              <w:rPr>
                <w:rFonts w:ascii="Arial Narrow" w:hAnsi="Arial Narrow"/>
                <w:b/>
                <w:bCs/>
                <w:kern w:val="2"/>
                <w:sz w:val="20"/>
                <w:szCs w:val="20"/>
              </w:rPr>
              <w:t> </w:t>
            </w:r>
          </w:p>
        </w:tc>
      </w:tr>
      <w:tr w:rsidR="00832C22" w:rsidRPr="005C7C1D" w14:paraId="35D94B73"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790E5CF" w14:textId="35733D94" w:rsidR="00832C22" w:rsidRPr="00E0334D"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CCCFAFB" w14:textId="77777777" w:rsidR="00832C22" w:rsidRPr="00E0334D" w:rsidRDefault="00832C22">
            <w:pPr>
              <w:rPr>
                <w:rFonts w:ascii="Arial Narrow" w:hAnsi="Arial Narrow"/>
                <w:b/>
                <w:bCs/>
                <w:kern w:val="2"/>
                <w:sz w:val="20"/>
                <w:szCs w:val="20"/>
              </w:rPr>
            </w:pPr>
            <w:r w:rsidRPr="00E0334D">
              <w:rPr>
                <w:rFonts w:ascii="Arial Narrow" w:hAnsi="Arial Narrow"/>
                <w:b/>
                <w:bCs/>
                <w:kern w:val="2"/>
                <w:sz w:val="20"/>
                <w:szCs w:val="20"/>
              </w:rPr>
              <w:t>Prescribing Instructions:</w:t>
            </w:r>
          </w:p>
          <w:p w14:paraId="3EC565A5" w14:textId="77777777" w:rsidR="00832C22" w:rsidRPr="00E0334D" w:rsidRDefault="00832C22">
            <w:pPr>
              <w:rPr>
                <w:rFonts w:ascii="Arial Narrow" w:hAnsi="Arial Narrow"/>
                <w:b/>
                <w:bCs/>
                <w:kern w:val="2"/>
                <w:sz w:val="20"/>
                <w:szCs w:val="20"/>
              </w:rPr>
            </w:pPr>
            <w:r w:rsidRPr="00E0334D">
              <w:rPr>
                <w:rFonts w:ascii="Arial Narrow" w:hAnsi="Arial Narrow"/>
                <w:kern w:val="2"/>
                <w:sz w:val="20"/>
                <w:szCs w:val="20"/>
              </w:rPr>
              <w:t xml:space="preserve">Where a response assessment is not conducted, the patient will be deemed to have </w:t>
            </w:r>
            <w:r>
              <w:rPr>
                <w:rFonts w:ascii="Arial Narrow" w:hAnsi="Arial Narrow"/>
                <w:kern w:val="2"/>
                <w:sz w:val="20"/>
                <w:szCs w:val="20"/>
              </w:rPr>
              <w:t>not</w:t>
            </w:r>
            <w:r w:rsidRPr="00E0334D">
              <w:rPr>
                <w:rFonts w:ascii="Arial Narrow" w:hAnsi="Arial Narrow"/>
                <w:kern w:val="2"/>
                <w:sz w:val="20"/>
                <w:szCs w:val="20"/>
              </w:rPr>
              <w:t xml:space="preserve"> respond</w:t>
            </w:r>
            <w:r>
              <w:rPr>
                <w:rFonts w:ascii="Arial Narrow" w:hAnsi="Arial Narrow"/>
                <w:kern w:val="2"/>
                <w:sz w:val="20"/>
                <w:szCs w:val="20"/>
              </w:rPr>
              <w:t>ed</w:t>
            </w:r>
            <w:r w:rsidRPr="00E0334D">
              <w:rPr>
                <w:rFonts w:ascii="Arial Narrow" w:hAnsi="Arial Narrow"/>
                <w:kern w:val="2"/>
                <w:sz w:val="20"/>
                <w:szCs w:val="20"/>
              </w:rPr>
              <w:t xml:space="preserve"> to treatment with this drug, unless the patient has experienced a serious adverse reaction of a severity resulting in the necessity for permanent withdrawal of treatment.</w:t>
            </w:r>
          </w:p>
        </w:tc>
      </w:tr>
      <w:tr w:rsidR="00832C22" w14:paraId="5787B5B4" w14:textId="77777777" w:rsidTr="00AB4984">
        <w:trPr>
          <w:cantSplit/>
          <w:trHeight w:val="20"/>
        </w:trPr>
        <w:tc>
          <w:tcPr>
            <w:tcW w:w="9067"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C3052D1" w14:textId="77777777" w:rsidR="00832C22" w:rsidRDefault="00832C22">
            <w:pPr>
              <w:rPr>
                <w:rFonts w:ascii="Arial Narrow" w:hAnsi="Arial Narrow"/>
                <w:b/>
                <w:bCs/>
                <w:color w:val="333333"/>
                <w:kern w:val="2"/>
                <w:sz w:val="20"/>
                <w:szCs w:val="20"/>
              </w:rPr>
            </w:pPr>
          </w:p>
          <w:p w14:paraId="14E6062D" w14:textId="77777777" w:rsidR="00832C22" w:rsidRDefault="00832C22">
            <w:pPr>
              <w:rPr>
                <w:rFonts w:ascii="Arial Narrow" w:hAnsi="Arial Narrow"/>
                <w:b/>
                <w:bCs/>
                <w:color w:val="333333"/>
                <w:kern w:val="2"/>
                <w:sz w:val="20"/>
                <w:szCs w:val="20"/>
              </w:rPr>
            </w:pPr>
          </w:p>
        </w:tc>
      </w:tr>
      <w:tr w:rsidR="00832C22" w14:paraId="7A3740F3"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2B156B4" w14:textId="210E369A"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8583006" w14:textId="77777777" w:rsidR="00832C22" w:rsidRDefault="00832C22">
            <w:pPr>
              <w:rPr>
                <w:rFonts w:ascii="Arial Narrow" w:hAnsi="Arial Narrow"/>
                <w:b/>
                <w:bCs/>
                <w:color w:val="333333"/>
                <w:kern w:val="2"/>
                <w:sz w:val="20"/>
                <w:szCs w:val="20"/>
              </w:rPr>
            </w:pPr>
            <w:r>
              <w:rPr>
                <w:rFonts w:ascii="Arial Narrow" w:hAnsi="Arial Narrow"/>
                <w:b/>
                <w:bCs/>
                <w:color w:val="333333"/>
                <w:kern w:val="2"/>
                <w:sz w:val="20"/>
                <w:szCs w:val="20"/>
              </w:rPr>
              <w:t>Indication:</w:t>
            </w:r>
            <w:r>
              <w:rPr>
                <w:rFonts w:ascii="Arial Narrow" w:hAnsi="Arial Narrow"/>
                <w:color w:val="333333"/>
                <w:kern w:val="2"/>
                <w:sz w:val="20"/>
                <w:szCs w:val="20"/>
              </w:rPr>
              <w:t xml:space="preserve"> </w:t>
            </w:r>
            <w:r>
              <w:rPr>
                <w:rFonts w:ascii="Arial Narrow" w:hAnsi="Arial Narrow"/>
                <w:bCs/>
                <w:sz w:val="20"/>
                <w:szCs w:val="20"/>
              </w:rPr>
              <w:t>Complex refractory fistulising Crohn disease</w:t>
            </w:r>
          </w:p>
        </w:tc>
      </w:tr>
      <w:tr w:rsidR="00832C22" w:rsidRPr="00043343" w14:paraId="1042E187"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4C3A443" w14:textId="77777777"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0816D17" w14:textId="77AA3364" w:rsidR="00832C22" w:rsidRPr="00043343" w:rsidRDefault="00832C22">
            <w:pPr>
              <w:rPr>
                <w:rFonts w:ascii="Arial Narrow" w:hAnsi="Arial Narrow"/>
                <w:b/>
                <w:bCs/>
                <w:i/>
                <w:iCs/>
                <w:color w:val="333333"/>
                <w:kern w:val="2"/>
                <w:sz w:val="20"/>
                <w:szCs w:val="20"/>
              </w:rPr>
            </w:pPr>
            <w:r>
              <w:rPr>
                <w:rFonts w:ascii="Arial Narrow" w:hAnsi="Arial Narrow"/>
                <w:b/>
                <w:bCs/>
                <w:color w:val="333333"/>
                <w:kern w:val="2"/>
                <w:sz w:val="20"/>
                <w:szCs w:val="20"/>
              </w:rPr>
              <w:t>Treatment Phase:</w:t>
            </w:r>
            <w:r>
              <w:rPr>
                <w:rFonts w:ascii="Arial Narrow" w:hAnsi="Arial Narrow"/>
                <w:color w:val="FF0000"/>
                <w:kern w:val="2"/>
                <w:sz w:val="20"/>
                <w:szCs w:val="20"/>
              </w:rPr>
              <w:t xml:space="preserve"> </w:t>
            </w:r>
            <w:r w:rsidRPr="00857BED">
              <w:rPr>
                <w:rFonts w:ascii="Arial Narrow" w:hAnsi="Arial Narrow"/>
                <w:bCs/>
                <w:sz w:val="20"/>
                <w:szCs w:val="20"/>
              </w:rPr>
              <w:t xml:space="preserve">Balance of Supply </w:t>
            </w:r>
            <w:r w:rsidR="00FC7500">
              <w:rPr>
                <w:rFonts w:ascii="Arial Narrow" w:hAnsi="Arial Narrow"/>
                <w:bCs/>
                <w:sz w:val="20"/>
                <w:szCs w:val="20"/>
              </w:rPr>
              <w:noBreakHyphen/>
            </w:r>
            <w:r w:rsidRPr="00857BED">
              <w:rPr>
                <w:rFonts w:ascii="Arial Narrow" w:hAnsi="Arial Narrow"/>
                <w:bCs/>
                <w:sz w:val="20"/>
                <w:szCs w:val="20"/>
              </w:rPr>
              <w:t xml:space="preserve"> Initial 1 (new patient or recommencement of treatment after a break in </w:t>
            </w:r>
            <w:r>
              <w:rPr>
                <w:rFonts w:ascii="Arial Narrow" w:hAnsi="Arial Narrow"/>
                <w:bCs/>
                <w:sz w:val="20"/>
                <w:szCs w:val="20"/>
              </w:rPr>
              <w:t>targeted therapy</w:t>
            </w:r>
            <w:r w:rsidRPr="00857BED">
              <w:rPr>
                <w:rFonts w:ascii="Arial Narrow" w:hAnsi="Arial Narrow"/>
                <w:bCs/>
                <w:sz w:val="20"/>
                <w:szCs w:val="20"/>
              </w:rPr>
              <w:t xml:space="preserve"> of more than 5 years), Initial 2 (change or recommencement of treatment after a break in </w:t>
            </w:r>
            <w:r>
              <w:rPr>
                <w:rFonts w:ascii="Arial Narrow" w:hAnsi="Arial Narrow"/>
                <w:bCs/>
                <w:sz w:val="20"/>
                <w:szCs w:val="20"/>
              </w:rPr>
              <w:t>targeted therapy</w:t>
            </w:r>
            <w:r w:rsidRPr="00857BED">
              <w:rPr>
                <w:rFonts w:ascii="Arial Narrow" w:hAnsi="Arial Narrow"/>
                <w:bCs/>
                <w:sz w:val="20"/>
                <w:szCs w:val="20"/>
              </w:rPr>
              <w:t xml:space="preserve"> of less than 5 years)</w:t>
            </w:r>
          </w:p>
        </w:tc>
      </w:tr>
      <w:tr w:rsidR="00832C22" w14:paraId="09256BA5"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0D2A72C" w14:textId="69EBC25D"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C64267D" w14:textId="77777777" w:rsidR="00832C22" w:rsidRDefault="00832C22">
            <w:pPr>
              <w:rPr>
                <w:rFonts w:ascii="Arial Narrow" w:hAnsi="Arial Narrow"/>
                <w:b/>
                <w:bCs/>
                <w:color w:val="333333"/>
                <w:kern w:val="2"/>
                <w:sz w:val="20"/>
                <w:szCs w:val="20"/>
              </w:rPr>
            </w:pPr>
            <w:r>
              <w:rPr>
                <w:rFonts w:ascii="Arial Narrow" w:hAnsi="Arial Narrow"/>
                <w:b/>
                <w:bCs/>
                <w:color w:val="333333"/>
                <w:kern w:val="2"/>
                <w:sz w:val="20"/>
                <w:szCs w:val="20"/>
              </w:rPr>
              <w:t>Clinical criteria:</w:t>
            </w:r>
          </w:p>
        </w:tc>
      </w:tr>
      <w:tr w:rsidR="00832C22" w:rsidRPr="00653D34" w14:paraId="789542A2"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B9F516F" w14:textId="0BF54A96" w:rsidR="00832C22" w:rsidRPr="004128FE"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A040DE1" w14:textId="77777777" w:rsidR="00832C22" w:rsidRPr="004128FE" w:rsidRDefault="00832C22">
            <w:pPr>
              <w:rPr>
                <w:rFonts w:ascii="Arial Narrow" w:hAnsi="Arial Narrow"/>
                <w:kern w:val="2"/>
                <w:sz w:val="20"/>
                <w:szCs w:val="20"/>
              </w:rPr>
            </w:pPr>
            <w:r w:rsidRPr="004128FE">
              <w:rPr>
                <w:rFonts w:ascii="Arial Narrow" w:hAnsi="Arial Narrow"/>
                <w:kern w:val="2"/>
                <w:sz w:val="20"/>
                <w:szCs w:val="20"/>
              </w:rPr>
              <w:t>Patient must have received insufficient therapy with this drug for this condition under the Initial 1 (new patient or patient recommencing treatment after a break of 5 years or more) restriction to complete 12 weeks treatment; or</w:t>
            </w:r>
          </w:p>
        </w:tc>
      </w:tr>
      <w:tr w:rsidR="00832C22" w:rsidRPr="007D655D" w14:paraId="5DBE1AFF"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12A2F26" w14:textId="7D798879" w:rsidR="00832C22" w:rsidRPr="004128FE"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A5F86AB" w14:textId="56554464" w:rsidR="00832C22" w:rsidRPr="004128FE" w:rsidRDefault="00832C22">
            <w:pPr>
              <w:widowControl w:val="0"/>
              <w:rPr>
                <w:rFonts w:ascii="Arial Narrow" w:hAnsi="Arial Narrow"/>
                <w:kern w:val="2"/>
                <w:sz w:val="20"/>
                <w:szCs w:val="20"/>
              </w:rPr>
            </w:pPr>
            <w:r w:rsidRPr="004128FE">
              <w:rPr>
                <w:rFonts w:ascii="Arial Narrow" w:hAnsi="Arial Narrow"/>
                <w:kern w:val="2"/>
                <w:sz w:val="20"/>
                <w:szCs w:val="20"/>
              </w:rPr>
              <w:t>Patient must have received insufficient therapy with this drug for this condition under the Initial 2 (change or recommencement of treatment after a break of less than 5 years) restriction to complete 12 weeks treatment</w:t>
            </w:r>
          </w:p>
        </w:tc>
      </w:tr>
      <w:tr w:rsidR="00832C22" w14:paraId="774C0053"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11E9069" w14:textId="77777777"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C96FBEF" w14:textId="77777777" w:rsidR="00832C22" w:rsidRDefault="00832C22">
            <w:pPr>
              <w:rPr>
                <w:rFonts w:ascii="Arial Narrow" w:hAnsi="Arial Narrow"/>
                <w:b/>
                <w:bCs/>
                <w:color w:val="333333"/>
                <w:kern w:val="2"/>
                <w:sz w:val="20"/>
                <w:szCs w:val="20"/>
              </w:rPr>
            </w:pPr>
            <w:r>
              <w:rPr>
                <w:rFonts w:ascii="Arial Narrow" w:hAnsi="Arial Narrow"/>
                <w:b/>
                <w:bCs/>
                <w:color w:val="333333"/>
                <w:kern w:val="2"/>
                <w:sz w:val="20"/>
                <w:szCs w:val="20"/>
              </w:rPr>
              <w:t>AND</w:t>
            </w:r>
          </w:p>
        </w:tc>
      </w:tr>
      <w:tr w:rsidR="00832C22" w14:paraId="5FEE3E4F"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9B55DC6" w14:textId="4F828657"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DDB44E0" w14:textId="77777777" w:rsidR="00832C22" w:rsidRDefault="00832C22">
            <w:pPr>
              <w:rPr>
                <w:rFonts w:ascii="Arial Narrow" w:hAnsi="Arial Narrow"/>
                <w:b/>
                <w:bCs/>
                <w:color w:val="333333"/>
                <w:kern w:val="2"/>
                <w:sz w:val="20"/>
                <w:szCs w:val="20"/>
              </w:rPr>
            </w:pPr>
            <w:r>
              <w:rPr>
                <w:rFonts w:ascii="Arial Narrow" w:hAnsi="Arial Narrow"/>
                <w:b/>
                <w:bCs/>
                <w:color w:val="333333"/>
                <w:kern w:val="2"/>
                <w:sz w:val="20"/>
                <w:szCs w:val="20"/>
              </w:rPr>
              <w:t>Clinical criteria:</w:t>
            </w:r>
          </w:p>
        </w:tc>
      </w:tr>
      <w:tr w:rsidR="00832C22" w14:paraId="41CEA79B"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1D93D22" w14:textId="4745F2F7"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60B126D" w14:textId="77777777" w:rsidR="00832C22" w:rsidRDefault="00832C22">
            <w:pPr>
              <w:rPr>
                <w:rFonts w:ascii="Arial Narrow" w:hAnsi="Arial Narrow"/>
                <w:b/>
                <w:bCs/>
                <w:color w:val="333333"/>
                <w:kern w:val="2"/>
                <w:sz w:val="20"/>
                <w:szCs w:val="20"/>
              </w:rPr>
            </w:pPr>
            <w:r w:rsidRPr="00183AFD">
              <w:rPr>
                <w:rFonts w:ascii="Arial Narrow" w:hAnsi="Arial Narrow"/>
                <w:kern w:val="2"/>
                <w:sz w:val="20"/>
                <w:szCs w:val="20"/>
              </w:rPr>
              <w:t>The treatment must provide no more than the balance available under the treatment phase from which the immediately preceding supply was obtained under.</w:t>
            </w:r>
          </w:p>
        </w:tc>
      </w:tr>
      <w:tr w:rsidR="00832C22" w14:paraId="2673CA88"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000AE24" w14:textId="1C9D864E"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52563D6" w14:textId="77777777" w:rsidR="00832C22" w:rsidRDefault="00832C22">
            <w:pPr>
              <w:rPr>
                <w:rFonts w:ascii="Arial Narrow" w:hAnsi="Arial Narrow"/>
                <w:b/>
                <w:bCs/>
                <w:color w:val="333333"/>
                <w:kern w:val="2"/>
                <w:sz w:val="20"/>
                <w:szCs w:val="20"/>
              </w:rPr>
            </w:pPr>
            <w:r>
              <w:rPr>
                <w:rFonts w:ascii="Arial Narrow" w:hAnsi="Arial Narrow"/>
                <w:b/>
                <w:bCs/>
                <w:color w:val="333333"/>
                <w:kern w:val="2"/>
                <w:sz w:val="20"/>
                <w:szCs w:val="20"/>
              </w:rPr>
              <w:t>Treatment criteria:</w:t>
            </w:r>
          </w:p>
        </w:tc>
      </w:tr>
      <w:tr w:rsidR="00832C22" w14:paraId="39937F6C"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32D8951" w14:textId="078D3320"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4F9ADF6" w14:textId="77777777" w:rsidR="00832C22" w:rsidRDefault="00832C22">
            <w:pPr>
              <w:rPr>
                <w:rFonts w:ascii="Arial Narrow" w:hAnsi="Arial Narrow"/>
                <w:b/>
                <w:bCs/>
                <w:color w:val="333333"/>
                <w:kern w:val="2"/>
                <w:sz w:val="20"/>
                <w:szCs w:val="20"/>
              </w:rPr>
            </w:pPr>
            <w:r w:rsidRPr="00E15563">
              <w:rPr>
                <w:rFonts w:ascii="Arial Narrow" w:hAnsi="Arial Narrow"/>
                <w:kern w:val="2"/>
                <w:sz w:val="20"/>
                <w:szCs w:val="20"/>
              </w:rPr>
              <w:t>Must be treated by a gastroenterologist; OR</w:t>
            </w:r>
          </w:p>
        </w:tc>
      </w:tr>
      <w:tr w:rsidR="00832C22" w14:paraId="33A14737"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A8C2FE4" w14:textId="70C2E53C"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F163FFB" w14:textId="77777777" w:rsidR="00832C22" w:rsidRDefault="00832C22">
            <w:pPr>
              <w:rPr>
                <w:rFonts w:ascii="Arial Narrow" w:hAnsi="Arial Narrow"/>
                <w:b/>
                <w:bCs/>
                <w:color w:val="333333"/>
                <w:kern w:val="2"/>
                <w:sz w:val="20"/>
                <w:szCs w:val="20"/>
              </w:rPr>
            </w:pPr>
            <w:r w:rsidRPr="00C50D47">
              <w:rPr>
                <w:rFonts w:ascii="Arial Narrow" w:hAnsi="Arial Narrow"/>
                <w:kern w:val="2"/>
                <w:sz w:val="20"/>
                <w:szCs w:val="20"/>
              </w:rPr>
              <w:t>Must be treated by a consultant physician [internal medicine specialising in gastroenterology]; OR</w:t>
            </w:r>
          </w:p>
        </w:tc>
      </w:tr>
      <w:tr w:rsidR="00832C22" w14:paraId="25C80AD3"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D35EA50" w14:textId="5B5C6594"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86AD708" w14:textId="77777777" w:rsidR="00832C22" w:rsidRDefault="00832C22">
            <w:pPr>
              <w:rPr>
                <w:rFonts w:ascii="Arial Narrow" w:hAnsi="Arial Narrow"/>
                <w:b/>
                <w:bCs/>
                <w:color w:val="333333"/>
                <w:kern w:val="2"/>
                <w:sz w:val="20"/>
                <w:szCs w:val="20"/>
              </w:rPr>
            </w:pPr>
            <w:r w:rsidRPr="003D2625">
              <w:rPr>
                <w:rFonts w:ascii="Arial Narrow" w:hAnsi="Arial Narrow"/>
                <w:kern w:val="2"/>
                <w:sz w:val="20"/>
                <w:szCs w:val="20"/>
              </w:rPr>
              <w:t>Must be treated by a consultant physician [general medicine specialising in gastroenterology].</w:t>
            </w:r>
          </w:p>
        </w:tc>
      </w:tr>
      <w:tr w:rsidR="00832C22" w14:paraId="4195DE33" w14:textId="77777777" w:rsidTr="00AB498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6540DFB" w14:textId="7C95E3B0"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1A91B0A" w14:textId="77777777" w:rsidR="00832C22" w:rsidRDefault="00832C22">
            <w:pPr>
              <w:rPr>
                <w:rFonts w:ascii="Arial Narrow" w:hAnsi="Arial Narrow"/>
                <w:b/>
                <w:bCs/>
                <w:color w:val="333333"/>
                <w:kern w:val="2"/>
                <w:sz w:val="20"/>
                <w:szCs w:val="20"/>
              </w:rPr>
            </w:pPr>
            <w:r>
              <w:rPr>
                <w:rFonts w:ascii="Arial Narrow" w:hAnsi="Arial Narrow"/>
                <w:b/>
                <w:bCs/>
                <w:color w:val="333333"/>
                <w:kern w:val="2"/>
                <w:sz w:val="20"/>
                <w:szCs w:val="20"/>
              </w:rPr>
              <w:t>Prescribing Instruction:</w:t>
            </w:r>
          </w:p>
          <w:p w14:paraId="2F7F4C10" w14:textId="77777777" w:rsidR="00832C22" w:rsidRDefault="00832C22">
            <w:pPr>
              <w:rPr>
                <w:rFonts w:ascii="Arial Narrow" w:hAnsi="Arial Narrow"/>
                <w:b/>
                <w:bCs/>
                <w:color w:val="333333"/>
                <w:kern w:val="2"/>
                <w:sz w:val="20"/>
                <w:szCs w:val="20"/>
              </w:rPr>
            </w:pPr>
            <w:r w:rsidRPr="003331C2">
              <w:rPr>
                <w:rFonts w:ascii="Arial Narrow" w:hAnsi="Arial Narrow"/>
                <w:kern w:val="2"/>
                <w:sz w:val="20"/>
                <w:szCs w:val="20"/>
              </w:rPr>
              <w:t>Initial (induction) treatment phases and ‘Extended induction’ treatment phases for this benefit aim to provide 12 weeks treatment duration.</w:t>
            </w:r>
          </w:p>
        </w:tc>
      </w:tr>
    </w:tbl>
    <w:p w14:paraId="2D7A22F2" w14:textId="77777777" w:rsidR="00832C22" w:rsidRPr="004F3E40" w:rsidRDefault="00832C22" w:rsidP="00832C22"/>
    <w:p w14:paraId="23104D1A" w14:textId="271A3901" w:rsidR="007942E3" w:rsidRPr="007942E3" w:rsidRDefault="007942E3" w:rsidP="000C7C45">
      <w:pPr>
        <w:pStyle w:val="Heading3"/>
        <w:keepNext/>
        <w:rPr>
          <w:b/>
          <w:bCs/>
          <w:i/>
          <w:u w:val="none"/>
        </w:rPr>
      </w:pPr>
      <w:r w:rsidRPr="007942E3">
        <w:rPr>
          <w:b/>
          <w:bCs/>
          <w:i/>
          <w:u w:val="none"/>
        </w:rPr>
        <w:lastRenderedPageBreak/>
        <w:t>Initial 2 – for 15 mg only:</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Initial 2 – for 15 mg only:"/>
      </w:tblPr>
      <w:tblGrid>
        <w:gridCol w:w="422"/>
        <w:gridCol w:w="849"/>
        <w:gridCol w:w="2268"/>
        <w:gridCol w:w="1276"/>
        <w:gridCol w:w="992"/>
        <w:gridCol w:w="851"/>
        <w:gridCol w:w="708"/>
        <w:gridCol w:w="1701"/>
      </w:tblGrid>
      <w:tr w:rsidR="006A7E79" w14:paraId="09BBD3F9" w14:textId="77777777" w:rsidTr="00216DE7">
        <w:trPr>
          <w:cantSplit/>
          <w:trHeight w:val="20"/>
        </w:trPr>
        <w:tc>
          <w:tcPr>
            <w:tcW w:w="3539" w:type="dxa"/>
            <w:gridSpan w:val="3"/>
            <w:tcBorders>
              <w:top w:val="single" w:sz="4" w:space="0" w:color="auto"/>
              <w:left w:val="single" w:sz="4" w:space="0" w:color="auto"/>
              <w:bottom w:val="single" w:sz="4" w:space="0" w:color="auto"/>
              <w:right w:val="single" w:sz="4" w:space="0" w:color="auto"/>
            </w:tcBorders>
            <w:vAlign w:val="center"/>
            <w:hideMark/>
          </w:tcPr>
          <w:p w14:paraId="5E343BCE" w14:textId="77777777" w:rsidR="006A7E79" w:rsidRDefault="006A7E79">
            <w:pPr>
              <w:keepLines/>
              <w:rPr>
                <w:rFonts w:ascii="Arial Narrow" w:hAnsi="Arial Narrow"/>
                <w:b/>
                <w:bCs/>
                <w:kern w:val="2"/>
                <w:sz w:val="20"/>
                <w:szCs w:val="20"/>
              </w:rPr>
            </w:pPr>
            <w:r>
              <w:rPr>
                <w:rFonts w:ascii="Arial Narrow" w:hAnsi="Arial Narrow"/>
                <w:b/>
                <w:bCs/>
                <w:kern w:val="2"/>
                <w:sz w:val="20"/>
                <w:szCs w:val="20"/>
              </w:rPr>
              <w:t>MEDICINAL PRODUCT</w:t>
            </w:r>
          </w:p>
          <w:p w14:paraId="14E7285A" w14:textId="77777777" w:rsidR="006A7E79" w:rsidRDefault="006A7E79">
            <w:pPr>
              <w:keepLines/>
              <w:rPr>
                <w:rFonts w:ascii="Arial Narrow" w:hAnsi="Arial Narrow"/>
                <w:b/>
                <w:kern w:val="2"/>
                <w:sz w:val="20"/>
                <w:szCs w:val="20"/>
              </w:rPr>
            </w:pPr>
            <w:r>
              <w:rPr>
                <w:rFonts w:ascii="Arial Narrow" w:hAnsi="Arial Narrow"/>
                <w:b/>
                <w:bCs/>
                <w:kern w:val="2"/>
                <w:sz w:val="20"/>
                <w:szCs w:val="20"/>
              </w:rPr>
              <w:t>medicinal product pack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03C85C" w14:textId="77777777" w:rsidR="006A7E79" w:rsidRDefault="006A7E79">
            <w:pPr>
              <w:keepLines/>
              <w:jc w:val="center"/>
              <w:rPr>
                <w:rFonts w:ascii="Arial Narrow" w:hAnsi="Arial Narrow"/>
                <w:b/>
                <w:kern w:val="2"/>
                <w:sz w:val="20"/>
                <w:szCs w:val="20"/>
              </w:rPr>
            </w:pPr>
            <w:r>
              <w:rPr>
                <w:rFonts w:ascii="Arial Narrow" w:hAnsi="Arial Narrow"/>
                <w:b/>
                <w:kern w:val="2"/>
                <w:sz w:val="20"/>
                <w:szCs w:val="20"/>
              </w:rPr>
              <w:t>PBS item code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2A25B9" w14:textId="77777777" w:rsidR="006A7E79" w:rsidRDefault="006A7E79">
            <w:pPr>
              <w:keepLines/>
              <w:jc w:val="center"/>
              <w:rPr>
                <w:rFonts w:ascii="Arial Narrow" w:hAnsi="Arial Narrow"/>
                <w:b/>
                <w:kern w:val="2"/>
                <w:sz w:val="20"/>
                <w:szCs w:val="20"/>
              </w:rPr>
            </w:pPr>
            <w:r>
              <w:rPr>
                <w:rFonts w:ascii="Arial Narrow" w:hAnsi="Arial Narrow"/>
                <w:b/>
                <w:kern w:val="2"/>
                <w:sz w:val="20"/>
                <w:szCs w:val="20"/>
              </w:rPr>
              <w:t>Max. qty packs</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F5FBCE" w14:textId="77777777" w:rsidR="006A7E79" w:rsidRDefault="006A7E79">
            <w:pPr>
              <w:keepLines/>
              <w:jc w:val="center"/>
              <w:rPr>
                <w:rFonts w:ascii="Arial Narrow" w:hAnsi="Arial Narrow"/>
                <w:b/>
                <w:kern w:val="2"/>
                <w:sz w:val="20"/>
                <w:szCs w:val="20"/>
              </w:rPr>
            </w:pPr>
            <w:r>
              <w:rPr>
                <w:rFonts w:ascii="Arial Narrow" w:hAnsi="Arial Narrow"/>
                <w:b/>
                <w:kern w:val="2"/>
                <w:sz w:val="20"/>
                <w:szCs w:val="20"/>
              </w:rPr>
              <w:t>Max. qty units</w:t>
            </w:r>
          </w:p>
        </w:tc>
        <w:tc>
          <w:tcPr>
            <w:tcW w:w="708" w:type="dxa"/>
            <w:tcBorders>
              <w:top w:val="single" w:sz="4" w:space="0" w:color="auto"/>
              <w:left w:val="single" w:sz="4" w:space="0" w:color="auto"/>
              <w:bottom w:val="single" w:sz="4" w:space="0" w:color="auto"/>
              <w:right w:val="single" w:sz="4" w:space="0" w:color="auto"/>
            </w:tcBorders>
            <w:vAlign w:val="center"/>
            <w:hideMark/>
          </w:tcPr>
          <w:p w14:paraId="71C9F742" w14:textId="77777777" w:rsidR="006A7E79" w:rsidRDefault="006A7E79">
            <w:pPr>
              <w:keepLines/>
              <w:jc w:val="center"/>
              <w:rPr>
                <w:rFonts w:ascii="Arial Narrow" w:hAnsi="Arial Narrow"/>
                <w:b/>
                <w:kern w:val="2"/>
                <w:sz w:val="20"/>
                <w:szCs w:val="20"/>
              </w:rPr>
            </w:pPr>
            <w:r>
              <w:rPr>
                <w:rFonts w:ascii="Arial Narrow" w:hAnsi="Arial Narrow"/>
                <w:b/>
                <w:kern w:val="2"/>
                <w:sz w:val="20"/>
                <w:szCs w:val="20"/>
              </w:rPr>
              <w:t>№.of</w:t>
            </w:r>
          </w:p>
          <w:p w14:paraId="6C1F8E9E" w14:textId="77777777" w:rsidR="006A7E79" w:rsidRDefault="006A7E79">
            <w:pPr>
              <w:keepLines/>
              <w:jc w:val="center"/>
              <w:rPr>
                <w:rFonts w:ascii="Arial Narrow" w:hAnsi="Arial Narrow"/>
                <w:b/>
                <w:kern w:val="2"/>
                <w:sz w:val="20"/>
                <w:szCs w:val="20"/>
              </w:rPr>
            </w:pPr>
            <w:r>
              <w:rPr>
                <w:rFonts w:ascii="Arial Narrow" w:hAnsi="Arial Narrow"/>
                <w:b/>
                <w:kern w:val="2"/>
                <w:sz w:val="20"/>
                <w:szCs w:val="20"/>
              </w:rPr>
              <w:t>Rpts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AF361E" w14:textId="77777777" w:rsidR="006A7E79" w:rsidRDefault="006A7E79">
            <w:pPr>
              <w:keepLines/>
              <w:rPr>
                <w:rFonts w:ascii="Arial Narrow" w:hAnsi="Arial Narrow"/>
                <w:b/>
                <w:kern w:val="2"/>
                <w:sz w:val="20"/>
                <w:szCs w:val="20"/>
                <w:lang w:val="fr-FR"/>
              </w:rPr>
            </w:pPr>
            <w:r>
              <w:rPr>
                <w:rFonts w:ascii="Arial Narrow" w:hAnsi="Arial Narrow"/>
                <w:b/>
                <w:kern w:val="2"/>
                <w:sz w:val="20"/>
                <w:szCs w:val="20"/>
              </w:rPr>
              <w:t>Available brands</w:t>
            </w:r>
          </w:p>
        </w:tc>
      </w:tr>
      <w:tr w:rsidR="006A7E79" w14:paraId="27F5E301" w14:textId="77777777" w:rsidTr="00216DE7">
        <w:trPr>
          <w:cantSplit/>
          <w:trHeight w:val="20"/>
        </w:trPr>
        <w:tc>
          <w:tcPr>
            <w:tcW w:w="9067" w:type="dxa"/>
            <w:gridSpan w:val="8"/>
            <w:tcBorders>
              <w:top w:val="single" w:sz="4" w:space="0" w:color="auto"/>
              <w:left w:val="single" w:sz="4" w:space="0" w:color="auto"/>
              <w:bottom w:val="single" w:sz="4" w:space="0" w:color="auto"/>
              <w:right w:val="single" w:sz="4" w:space="0" w:color="auto"/>
            </w:tcBorders>
            <w:vAlign w:val="center"/>
            <w:hideMark/>
          </w:tcPr>
          <w:p w14:paraId="05BFBE58" w14:textId="77777777" w:rsidR="006A7E79" w:rsidRDefault="006A7E79">
            <w:pPr>
              <w:keepLines/>
              <w:rPr>
                <w:rFonts w:ascii="Arial Narrow" w:hAnsi="Arial Narrow"/>
                <w:kern w:val="2"/>
                <w:sz w:val="20"/>
                <w:szCs w:val="20"/>
              </w:rPr>
            </w:pPr>
            <w:r>
              <w:rPr>
                <w:rFonts w:ascii="Arial Narrow" w:hAnsi="Arial Narrow"/>
                <w:kern w:val="2"/>
                <w:sz w:val="20"/>
                <w:szCs w:val="20"/>
              </w:rPr>
              <w:t xml:space="preserve">UPADACITINIB </w:t>
            </w:r>
          </w:p>
        </w:tc>
      </w:tr>
      <w:tr w:rsidR="006A7E79" w:rsidRPr="0048020E" w14:paraId="47E26A5F" w14:textId="77777777" w:rsidTr="00216DE7">
        <w:trPr>
          <w:cantSplit/>
          <w:trHeight w:val="238"/>
        </w:trPr>
        <w:tc>
          <w:tcPr>
            <w:tcW w:w="3539" w:type="dxa"/>
            <w:gridSpan w:val="3"/>
            <w:tcBorders>
              <w:top w:val="single" w:sz="4" w:space="0" w:color="auto"/>
              <w:left w:val="single" w:sz="4" w:space="0" w:color="auto"/>
              <w:right w:val="single" w:sz="4" w:space="0" w:color="auto"/>
            </w:tcBorders>
            <w:vAlign w:val="center"/>
          </w:tcPr>
          <w:p w14:paraId="1F125736" w14:textId="77777777" w:rsidR="006A7E79" w:rsidRPr="0048020E" w:rsidRDefault="006A7E79">
            <w:pPr>
              <w:keepLines/>
              <w:rPr>
                <w:rFonts w:ascii="Arial Narrow" w:hAnsi="Arial Narrow"/>
                <w:kern w:val="2"/>
                <w:sz w:val="20"/>
                <w:szCs w:val="20"/>
              </w:rPr>
            </w:pPr>
            <w:r>
              <w:rPr>
                <w:rFonts w:ascii="Arial Narrow" w:hAnsi="Arial Narrow"/>
                <w:kern w:val="2"/>
                <w:sz w:val="20"/>
                <w:szCs w:val="20"/>
              </w:rPr>
              <w:t xml:space="preserve">upadacitinib 15 mg oral tablet, 28 </w:t>
            </w:r>
          </w:p>
        </w:tc>
        <w:tc>
          <w:tcPr>
            <w:tcW w:w="1276" w:type="dxa"/>
            <w:tcBorders>
              <w:top w:val="single" w:sz="4" w:space="0" w:color="auto"/>
              <w:left w:val="single" w:sz="4" w:space="0" w:color="auto"/>
              <w:right w:val="single" w:sz="4" w:space="0" w:color="auto"/>
            </w:tcBorders>
            <w:vAlign w:val="center"/>
          </w:tcPr>
          <w:p w14:paraId="1DA86EC9" w14:textId="77777777" w:rsidR="006A7E79" w:rsidRPr="0048020E" w:rsidRDefault="006A7E79">
            <w:pPr>
              <w:keepLines/>
              <w:jc w:val="center"/>
              <w:rPr>
                <w:rFonts w:ascii="Arial Narrow" w:hAnsi="Arial Narrow"/>
                <w:kern w:val="2"/>
                <w:sz w:val="20"/>
                <w:szCs w:val="20"/>
              </w:rPr>
            </w:pPr>
            <w:r w:rsidRPr="0048020E">
              <w:rPr>
                <w:rFonts w:ascii="Arial Narrow" w:hAnsi="Arial Narrow"/>
                <w:kern w:val="2"/>
                <w:sz w:val="20"/>
                <w:szCs w:val="20"/>
              </w:rPr>
              <w:t xml:space="preserve">NEW </w:t>
            </w:r>
          </w:p>
        </w:tc>
        <w:tc>
          <w:tcPr>
            <w:tcW w:w="992" w:type="dxa"/>
            <w:tcBorders>
              <w:top w:val="single" w:sz="4" w:space="0" w:color="auto"/>
              <w:left w:val="single" w:sz="4" w:space="0" w:color="auto"/>
              <w:right w:val="single" w:sz="4" w:space="0" w:color="auto"/>
            </w:tcBorders>
            <w:vAlign w:val="center"/>
          </w:tcPr>
          <w:p w14:paraId="61AEE963" w14:textId="77777777" w:rsidR="006A7E79" w:rsidRPr="0048020E" w:rsidRDefault="006A7E79">
            <w:pPr>
              <w:keepLines/>
              <w:jc w:val="center"/>
              <w:rPr>
                <w:rFonts w:ascii="Arial Narrow" w:hAnsi="Arial Narrow"/>
                <w:kern w:val="2"/>
                <w:sz w:val="20"/>
                <w:szCs w:val="20"/>
              </w:rPr>
            </w:pPr>
            <w:r w:rsidRPr="0048020E">
              <w:rPr>
                <w:rFonts w:ascii="Arial Narrow" w:hAnsi="Arial Narrow"/>
                <w:kern w:val="2"/>
                <w:sz w:val="20"/>
                <w:szCs w:val="20"/>
              </w:rPr>
              <w:t>1</w:t>
            </w:r>
          </w:p>
        </w:tc>
        <w:tc>
          <w:tcPr>
            <w:tcW w:w="851" w:type="dxa"/>
            <w:tcBorders>
              <w:top w:val="single" w:sz="4" w:space="0" w:color="auto"/>
              <w:left w:val="single" w:sz="4" w:space="0" w:color="auto"/>
              <w:right w:val="single" w:sz="4" w:space="0" w:color="auto"/>
            </w:tcBorders>
            <w:vAlign w:val="center"/>
          </w:tcPr>
          <w:p w14:paraId="0E3C690A" w14:textId="77777777" w:rsidR="006A7E79" w:rsidRPr="006D26AB" w:rsidRDefault="006A7E79">
            <w:pPr>
              <w:keepLines/>
              <w:jc w:val="center"/>
              <w:rPr>
                <w:rFonts w:ascii="Arial Narrow" w:hAnsi="Arial Narrow"/>
                <w:kern w:val="2"/>
                <w:sz w:val="20"/>
                <w:szCs w:val="20"/>
              </w:rPr>
            </w:pPr>
            <w:r>
              <w:rPr>
                <w:rFonts w:ascii="Arial Narrow" w:hAnsi="Arial Narrow"/>
                <w:kern w:val="2"/>
                <w:sz w:val="20"/>
                <w:szCs w:val="20"/>
              </w:rPr>
              <w:t>28</w:t>
            </w:r>
          </w:p>
        </w:tc>
        <w:tc>
          <w:tcPr>
            <w:tcW w:w="708" w:type="dxa"/>
            <w:tcBorders>
              <w:top w:val="single" w:sz="4" w:space="0" w:color="auto"/>
              <w:left w:val="single" w:sz="4" w:space="0" w:color="auto"/>
              <w:right w:val="single" w:sz="4" w:space="0" w:color="auto"/>
            </w:tcBorders>
            <w:vAlign w:val="center"/>
          </w:tcPr>
          <w:p w14:paraId="3E965197" w14:textId="77777777" w:rsidR="006A7E79" w:rsidRPr="006D26AB" w:rsidRDefault="006A7E79">
            <w:pPr>
              <w:keepLines/>
              <w:jc w:val="center"/>
              <w:rPr>
                <w:rFonts w:ascii="Arial Narrow" w:hAnsi="Arial Narrow"/>
                <w:kern w:val="2"/>
                <w:sz w:val="20"/>
                <w:szCs w:val="20"/>
              </w:rPr>
            </w:pPr>
            <w:r>
              <w:rPr>
                <w:rFonts w:ascii="Arial Narrow" w:hAnsi="Arial Narrow"/>
                <w:kern w:val="2"/>
                <w:sz w:val="20"/>
                <w:szCs w:val="20"/>
              </w:rPr>
              <w:t>2</w:t>
            </w:r>
          </w:p>
        </w:tc>
        <w:tc>
          <w:tcPr>
            <w:tcW w:w="1701" w:type="dxa"/>
            <w:tcBorders>
              <w:top w:val="single" w:sz="4" w:space="0" w:color="auto"/>
              <w:left w:val="single" w:sz="4" w:space="0" w:color="auto"/>
              <w:right w:val="single" w:sz="4" w:space="0" w:color="auto"/>
            </w:tcBorders>
            <w:vAlign w:val="center"/>
          </w:tcPr>
          <w:p w14:paraId="27C4E719" w14:textId="77777777" w:rsidR="006A7E79" w:rsidRPr="0048020E" w:rsidRDefault="006A7E79">
            <w:pPr>
              <w:keepLines/>
              <w:jc w:val="center"/>
              <w:rPr>
                <w:rFonts w:ascii="Arial Narrow" w:hAnsi="Arial Narrow"/>
                <w:kern w:val="2"/>
                <w:sz w:val="20"/>
                <w:szCs w:val="20"/>
              </w:rPr>
            </w:pPr>
            <w:r>
              <w:rPr>
                <w:rFonts w:ascii="Arial Narrow" w:hAnsi="Arial Narrow"/>
                <w:kern w:val="2"/>
                <w:sz w:val="20"/>
                <w:szCs w:val="20"/>
              </w:rPr>
              <w:t>Rinvoq</w:t>
            </w:r>
          </w:p>
        </w:tc>
      </w:tr>
      <w:tr w:rsidR="006A7E79" w:rsidRPr="0048020E" w14:paraId="275C5075" w14:textId="77777777" w:rsidTr="00216DE7">
        <w:trPr>
          <w:trHeight w:val="20"/>
        </w:trPr>
        <w:tc>
          <w:tcPr>
            <w:tcW w:w="9067"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4179281" w14:textId="77777777" w:rsidR="006A7E79" w:rsidRPr="0048020E" w:rsidRDefault="006A7E79">
            <w:pPr>
              <w:rPr>
                <w:rFonts w:ascii="Arial Narrow" w:hAnsi="Arial Narrow"/>
                <w:kern w:val="2"/>
                <w:sz w:val="20"/>
                <w:szCs w:val="20"/>
              </w:rPr>
            </w:pPr>
          </w:p>
        </w:tc>
      </w:tr>
      <w:tr w:rsidR="006A7E79" w:rsidRPr="0048020E" w14:paraId="6319B59F" w14:textId="77777777" w:rsidTr="00216DE7">
        <w:trPr>
          <w:trHeight w:val="20"/>
        </w:trPr>
        <w:tc>
          <w:tcPr>
            <w:tcW w:w="1271"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B875A12" w14:textId="77777777" w:rsidR="006A7E79" w:rsidRDefault="006A7E79">
            <w:pPr>
              <w:jc w:val="center"/>
              <w:rPr>
                <w:rFonts w:ascii="Arial Narrow" w:hAnsi="Arial Narrow"/>
                <w:kern w:val="2"/>
                <w:sz w:val="20"/>
                <w:szCs w:val="20"/>
              </w:rPr>
            </w:pPr>
            <w:r>
              <w:rPr>
                <w:rFonts w:ascii="Arial Narrow" w:hAnsi="Arial Narrow"/>
                <w:b/>
                <w:kern w:val="2"/>
                <w:sz w:val="20"/>
                <w:szCs w:val="20"/>
              </w:rPr>
              <w:t>Concept ID</w:t>
            </w:r>
          </w:p>
          <w:p w14:paraId="3297158B" w14:textId="77777777" w:rsidR="006A7E79" w:rsidRDefault="006A7E79">
            <w:pPr>
              <w:jc w:val="center"/>
              <w:rPr>
                <w:rFonts w:ascii="Arial Narrow" w:hAnsi="Arial Narrow"/>
                <w:b/>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9224764" w14:textId="41F9C0F9" w:rsidR="006A7E79" w:rsidRPr="0048020E" w:rsidRDefault="006A7E79">
            <w:pPr>
              <w:keepLines/>
              <w:jc w:val="left"/>
              <w:rPr>
                <w:rFonts w:ascii="Arial Narrow" w:hAnsi="Arial Narrow"/>
                <w:kern w:val="2"/>
                <w:sz w:val="20"/>
                <w:szCs w:val="20"/>
              </w:rPr>
            </w:pPr>
            <w:r w:rsidRPr="0048020E">
              <w:rPr>
                <w:rFonts w:ascii="Arial Narrow" w:hAnsi="Arial Narrow"/>
                <w:b/>
                <w:kern w:val="2"/>
                <w:sz w:val="20"/>
                <w:szCs w:val="20"/>
              </w:rPr>
              <w:t>Category / Program:</w:t>
            </w:r>
            <w:r w:rsidRPr="0048020E">
              <w:rPr>
                <w:rFonts w:ascii="Arial Narrow" w:hAnsi="Arial Narrow"/>
                <w:kern w:val="2"/>
                <w:sz w:val="20"/>
                <w:szCs w:val="20"/>
              </w:rPr>
              <w:t xml:space="preserve"> </w:t>
            </w:r>
            <w:r w:rsidRPr="0048020E">
              <w:rPr>
                <w:rFonts w:ascii="Arial Narrow" w:hAnsi="Arial Narrow"/>
                <w:kern w:val="2"/>
                <w:sz w:val="20"/>
                <w:szCs w:val="20"/>
              </w:rPr>
              <w:fldChar w:fldCharType="begin">
                <w:ffData>
                  <w:name w:val=""/>
                  <w:enabled/>
                  <w:calcOnExit w:val="0"/>
                  <w:checkBox>
                    <w:sizeAuto/>
                    <w:default w:val="1"/>
                  </w:checkBox>
                </w:ffData>
              </w:fldChar>
            </w:r>
            <w:r w:rsidRPr="0048020E">
              <w:rPr>
                <w:rFonts w:ascii="Arial Narrow" w:hAnsi="Arial Narrow"/>
                <w:kern w:val="2"/>
                <w:sz w:val="20"/>
                <w:szCs w:val="20"/>
              </w:rPr>
              <w:instrText xml:space="preserve"> FORMCHECKBOX </w:instrText>
            </w:r>
            <w:r w:rsidRPr="0048020E">
              <w:rPr>
                <w:rFonts w:ascii="Arial Narrow" w:hAnsi="Arial Narrow"/>
                <w:kern w:val="2"/>
                <w:sz w:val="20"/>
                <w:szCs w:val="20"/>
              </w:rPr>
            </w:r>
            <w:r w:rsidRPr="0048020E">
              <w:rPr>
                <w:rFonts w:ascii="Arial Narrow" w:hAnsi="Arial Narrow"/>
                <w:kern w:val="2"/>
                <w:sz w:val="20"/>
                <w:szCs w:val="20"/>
              </w:rPr>
              <w:fldChar w:fldCharType="separate"/>
            </w:r>
            <w:r w:rsidRPr="0048020E">
              <w:rPr>
                <w:rFonts w:ascii="Arial Narrow" w:hAnsi="Arial Narrow"/>
                <w:kern w:val="2"/>
                <w:sz w:val="20"/>
                <w:szCs w:val="20"/>
              </w:rPr>
              <w:fldChar w:fldCharType="end"/>
            </w:r>
            <w:r w:rsidRPr="0048020E">
              <w:rPr>
                <w:rFonts w:ascii="Arial Narrow" w:hAnsi="Arial Narrow"/>
                <w:kern w:val="2"/>
                <w:sz w:val="20"/>
                <w:szCs w:val="20"/>
              </w:rPr>
              <w:t xml:space="preserve"> </w:t>
            </w:r>
            <w:r w:rsidRPr="00B73699">
              <w:rPr>
                <w:rFonts w:ascii="Arial Narrow" w:eastAsia="Calibri" w:hAnsi="Arial Narrow"/>
                <w:sz w:val="20"/>
                <w:szCs w:val="20"/>
              </w:rPr>
              <w:t xml:space="preserve">GENERAL </w:t>
            </w:r>
            <w:r w:rsidR="00FC7500">
              <w:rPr>
                <w:rFonts w:ascii="Arial Narrow" w:eastAsia="Calibri" w:hAnsi="Arial Narrow"/>
                <w:sz w:val="20"/>
                <w:szCs w:val="20"/>
              </w:rPr>
              <w:noBreakHyphen/>
            </w:r>
            <w:r w:rsidRPr="00B73699">
              <w:rPr>
                <w:rFonts w:ascii="Arial Narrow" w:eastAsia="Calibri" w:hAnsi="Arial Narrow"/>
                <w:sz w:val="20"/>
                <w:szCs w:val="20"/>
              </w:rPr>
              <w:t xml:space="preserve"> </w:t>
            </w:r>
            <w:proofErr w:type="spellStart"/>
            <w:r w:rsidRPr="00B73699">
              <w:rPr>
                <w:rFonts w:ascii="Arial Narrow" w:eastAsia="Calibri" w:hAnsi="Arial Narrow"/>
                <w:sz w:val="20"/>
                <w:szCs w:val="20"/>
              </w:rPr>
              <w:t>General</w:t>
            </w:r>
            <w:proofErr w:type="spellEnd"/>
            <w:r w:rsidRPr="00B73699">
              <w:rPr>
                <w:rFonts w:ascii="Arial Narrow" w:eastAsia="Calibri" w:hAnsi="Arial Narrow"/>
                <w:sz w:val="20"/>
                <w:szCs w:val="20"/>
              </w:rPr>
              <w:t xml:space="preserve"> Schedule (Code GE)</w:t>
            </w:r>
          </w:p>
        </w:tc>
      </w:tr>
      <w:tr w:rsidR="006A7E79" w:rsidRPr="0048020E" w14:paraId="2A6980F2" w14:textId="77777777" w:rsidTr="00216DE7">
        <w:trPr>
          <w:trHeight w:val="20"/>
        </w:trPr>
        <w:tc>
          <w:tcPr>
            <w:tcW w:w="1271" w:type="dxa"/>
            <w:gridSpan w:val="2"/>
            <w:vMerge/>
            <w:vAlign w:val="center"/>
            <w:hideMark/>
          </w:tcPr>
          <w:p w14:paraId="6C597CFC" w14:textId="77777777" w:rsidR="006A7E79" w:rsidRDefault="006A7E79">
            <w:pPr>
              <w:rPr>
                <w:rFonts w:ascii="Arial Narrow" w:hAnsi="Arial Narrow"/>
                <w:b/>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01CC2C9" w14:textId="77777777" w:rsidR="006A7E79" w:rsidRPr="0048020E" w:rsidRDefault="006A7E79">
            <w:pPr>
              <w:keepLines/>
              <w:rPr>
                <w:rFonts w:ascii="Arial Narrow" w:hAnsi="Arial Narrow"/>
                <w:b/>
                <w:kern w:val="2"/>
                <w:sz w:val="20"/>
                <w:szCs w:val="20"/>
              </w:rPr>
            </w:pPr>
            <w:r w:rsidRPr="0048020E">
              <w:rPr>
                <w:rFonts w:ascii="Arial Narrow" w:hAnsi="Arial Narrow"/>
                <w:b/>
                <w:kern w:val="2"/>
                <w:sz w:val="20"/>
                <w:szCs w:val="20"/>
              </w:rPr>
              <w:t xml:space="preserve">Prescriber type: </w:t>
            </w:r>
            <w:r w:rsidRPr="0048020E">
              <w:rPr>
                <w:rFonts w:ascii="Arial Narrow" w:hAnsi="Arial Narrow"/>
                <w:kern w:val="2"/>
                <w:sz w:val="20"/>
                <w:szCs w:val="20"/>
              </w:rPr>
              <w:fldChar w:fldCharType="begin">
                <w:ffData>
                  <w:name w:val=""/>
                  <w:enabled/>
                  <w:calcOnExit w:val="0"/>
                  <w:checkBox>
                    <w:sizeAuto/>
                    <w:default w:val="1"/>
                  </w:checkBox>
                </w:ffData>
              </w:fldChar>
            </w:r>
            <w:r w:rsidRPr="0048020E">
              <w:rPr>
                <w:rFonts w:ascii="Arial Narrow" w:hAnsi="Arial Narrow"/>
                <w:kern w:val="2"/>
                <w:sz w:val="20"/>
                <w:szCs w:val="20"/>
              </w:rPr>
              <w:instrText xml:space="preserve"> FORMCHECKBOX </w:instrText>
            </w:r>
            <w:r w:rsidRPr="0048020E">
              <w:rPr>
                <w:rFonts w:ascii="Arial Narrow" w:hAnsi="Arial Narrow"/>
                <w:kern w:val="2"/>
                <w:sz w:val="20"/>
                <w:szCs w:val="20"/>
              </w:rPr>
            </w:r>
            <w:r w:rsidRPr="0048020E">
              <w:rPr>
                <w:rFonts w:ascii="Arial Narrow" w:hAnsi="Arial Narrow"/>
                <w:kern w:val="2"/>
                <w:sz w:val="20"/>
                <w:szCs w:val="20"/>
              </w:rPr>
              <w:fldChar w:fldCharType="separate"/>
            </w:r>
            <w:r w:rsidRPr="0048020E">
              <w:rPr>
                <w:rFonts w:ascii="Arial Narrow" w:hAnsi="Arial Narrow"/>
                <w:kern w:val="2"/>
                <w:sz w:val="20"/>
                <w:szCs w:val="20"/>
              </w:rPr>
              <w:fldChar w:fldCharType="end"/>
            </w:r>
            <w:r w:rsidRPr="0048020E">
              <w:rPr>
                <w:rFonts w:ascii="Arial Narrow" w:hAnsi="Arial Narrow"/>
                <w:kern w:val="2"/>
                <w:sz w:val="20"/>
                <w:szCs w:val="20"/>
              </w:rPr>
              <w:t xml:space="preserve"> Medical Practitioners </w:t>
            </w:r>
          </w:p>
        </w:tc>
      </w:tr>
      <w:tr w:rsidR="006A7E79" w:rsidRPr="0048020E" w14:paraId="73574004" w14:textId="77777777" w:rsidTr="00216DE7">
        <w:trPr>
          <w:trHeight w:val="20"/>
        </w:trPr>
        <w:tc>
          <w:tcPr>
            <w:tcW w:w="1271" w:type="dxa"/>
            <w:gridSpan w:val="2"/>
            <w:vMerge/>
            <w:vAlign w:val="center"/>
            <w:hideMark/>
          </w:tcPr>
          <w:p w14:paraId="2C849B48" w14:textId="77777777" w:rsidR="006A7E79" w:rsidRDefault="006A7E79">
            <w:pPr>
              <w:rPr>
                <w:rFonts w:ascii="Arial Narrow" w:hAnsi="Arial Narrow"/>
                <w:b/>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645EB0D" w14:textId="77777777" w:rsidR="006A7E79" w:rsidRPr="0048020E" w:rsidRDefault="006A7E79">
            <w:pPr>
              <w:keepLines/>
              <w:jc w:val="left"/>
              <w:rPr>
                <w:rFonts w:ascii="Arial Narrow" w:hAnsi="Arial Narrow"/>
                <w:kern w:val="2"/>
                <w:sz w:val="20"/>
                <w:szCs w:val="20"/>
              </w:rPr>
            </w:pPr>
            <w:r w:rsidRPr="0048020E">
              <w:rPr>
                <w:rFonts w:ascii="Arial Narrow" w:hAnsi="Arial Narrow"/>
                <w:b/>
                <w:kern w:val="2"/>
                <w:sz w:val="20"/>
                <w:szCs w:val="20"/>
              </w:rPr>
              <w:t xml:space="preserve">Benefit type: </w:t>
            </w:r>
            <w:r w:rsidRPr="0048020E">
              <w:rPr>
                <w:rFonts w:ascii="Arial Narrow" w:hAnsi="Arial Narrow"/>
                <w:kern w:val="2"/>
                <w:sz w:val="20"/>
                <w:szCs w:val="20"/>
              </w:rPr>
              <w:fldChar w:fldCharType="begin">
                <w:ffData>
                  <w:name w:val=""/>
                  <w:enabled/>
                  <w:calcOnExit w:val="0"/>
                  <w:checkBox>
                    <w:sizeAuto/>
                    <w:default w:val="1"/>
                  </w:checkBox>
                </w:ffData>
              </w:fldChar>
            </w:r>
            <w:r w:rsidRPr="0048020E">
              <w:rPr>
                <w:rFonts w:ascii="Arial Narrow" w:hAnsi="Arial Narrow"/>
                <w:kern w:val="2"/>
                <w:sz w:val="20"/>
                <w:szCs w:val="20"/>
              </w:rPr>
              <w:instrText xml:space="preserve"> FORMCHECKBOX </w:instrText>
            </w:r>
            <w:r w:rsidRPr="0048020E">
              <w:rPr>
                <w:rFonts w:ascii="Arial Narrow" w:hAnsi="Arial Narrow"/>
                <w:kern w:val="2"/>
                <w:sz w:val="20"/>
                <w:szCs w:val="20"/>
              </w:rPr>
            </w:r>
            <w:r w:rsidRPr="0048020E">
              <w:rPr>
                <w:rFonts w:ascii="Arial Narrow" w:hAnsi="Arial Narrow"/>
                <w:kern w:val="2"/>
                <w:sz w:val="20"/>
                <w:szCs w:val="20"/>
              </w:rPr>
              <w:fldChar w:fldCharType="separate"/>
            </w:r>
            <w:r w:rsidRPr="0048020E">
              <w:rPr>
                <w:rFonts w:ascii="Arial Narrow" w:hAnsi="Arial Narrow"/>
                <w:kern w:val="2"/>
                <w:sz w:val="20"/>
                <w:szCs w:val="20"/>
              </w:rPr>
              <w:fldChar w:fldCharType="end"/>
            </w:r>
            <w:r w:rsidRPr="0048020E">
              <w:rPr>
                <w:rFonts w:ascii="Arial Narrow" w:hAnsi="Arial Narrow"/>
                <w:kern w:val="2"/>
                <w:sz w:val="20"/>
                <w:szCs w:val="20"/>
              </w:rPr>
              <w:t xml:space="preserve"> </w:t>
            </w:r>
            <w:r w:rsidRPr="0048020E">
              <w:rPr>
                <w:rFonts w:ascii="Arial Narrow" w:eastAsia="Calibri" w:hAnsi="Arial Narrow"/>
                <w:kern w:val="2"/>
                <w:sz w:val="20"/>
                <w:szCs w:val="20"/>
              </w:rPr>
              <w:t xml:space="preserve">Authority Required </w:t>
            </w:r>
            <w:r>
              <w:rPr>
                <w:rFonts w:ascii="Arial Narrow" w:eastAsia="Calibri" w:hAnsi="Arial Narrow"/>
                <w:kern w:val="2"/>
                <w:sz w:val="20"/>
                <w:szCs w:val="20"/>
              </w:rPr>
              <w:t>(Telephone/Online PBS Authorities System)</w:t>
            </w:r>
          </w:p>
        </w:tc>
      </w:tr>
      <w:tr w:rsidR="006A7E79" w:rsidRPr="004A2842" w14:paraId="6F995B0B" w14:textId="77777777" w:rsidTr="00216DE7">
        <w:trPr>
          <w:trHeight w:val="20"/>
        </w:trPr>
        <w:tc>
          <w:tcPr>
            <w:tcW w:w="422" w:type="dxa"/>
            <w:vMerge w:val="restart"/>
            <w:textDirection w:val="btLr"/>
          </w:tcPr>
          <w:p w14:paraId="753FC1AD" w14:textId="77777777" w:rsidR="006A7E79" w:rsidRPr="00296381" w:rsidRDefault="006A7E79">
            <w:pPr>
              <w:jc w:val="center"/>
              <w:rPr>
                <w:rFonts w:ascii="Arial Narrow" w:hAnsi="Arial Narrow"/>
                <w:i/>
                <w:iCs/>
                <w:kern w:val="2"/>
                <w:sz w:val="20"/>
                <w:szCs w:val="20"/>
              </w:rPr>
            </w:pPr>
            <w:r w:rsidRPr="00E745C2">
              <w:rPr>
                <w:rFonts w:ascii="Arial Narrow" w:hAnsi="Arial Narrow"/>
                <w:sz w:val="20"/>
                <w:szCs w:val="20"/>
              </w:rPr>
              <w:t>Prescribing rule</w:t>
            </w:r>
            <w:r>
              <w:rPr>
                <w:rFonts w:ascii="Arial Narrow" w:hAnsi="Arial Narrow"/>
                <w:sz w:val="20"/>
                <w:szCs w:val="20"/>
              </w:rPr>
              <w:t xml:space="preserve"> level</w:t>
            </w:r>
          </w:p>
        </w:tc>
        <w:tc>
          <w:tcPr>
            <w:tcW w:w="84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9F5FD2A" w14:textId="52DA90C2" w:rsidR="006A7E79" w:rsidRPr="004A2842" w:rsidRDefault="006A7E79">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CFDFCB6" w14:textId="77777777" w:rsidR="006A7E79" w:rsidRPr="004A2842" w:rsidRDefault="006A7E79">
            <w:pPr>
              <w:rPr>
                <w:rFonts w:ascii="Arial Narrow" w:hAnsi="Arial Narrow"/>
                <w:b/>
                <w:bCs/>
                <w:kern w:val="2"/>
                <w:sz w:val="20"/>
                <w:szCs w:val="20"/>
              </w:rPr>
            </w:pPr>
            <w:r w:rsidRPr="004A2842">
              <w:rPr>
                <w:rFonts w:ascii="Arial Narrow" w:hAnsi="Arial Narrow"/>
                <w:b/>
                <w:bCs/>
                <w:kern w:val="2"/>
                <w:sz w:val="20"/>
                <w:szCs w:val="20"/>
              </w:rPr>
              <w:t xml:space="preserve">Administrative Advice: </w:t>
            </w:r>
          </w:p>
          <w:p w14:paraId="16D4C4C3" w14:textId="77777777" w:rsidR="006A7E79" w:rsidRPr="004A2842" w:rsidRDefault="006A7E79">
            <w:pPr>
              <w:rPr>
                <w:rFonts w:ascii="Arial Narrow" w:hAnsi="Arial Narrow"/>
                <w:kern w:val="2"/>
                <w:sz w:val="20"/>
                <w:szCs w:val="20"/>
              </w:rPr>
            </w:pPr>
            <w:r w:rsidRPr="004A2842">
              <w:rPr>
                <w:rFonts w:ascii="Arial Narrow" w:hAnsi="Arial Narrow"/>
                <w:kern w:val="2"/>
                <w:sz w:val="20"/>
                <w:szCs w:val="20"/>
              </w:rPr>
              <w:t>TREATMENT OF COMPLEX REFRACTORY FISTULISING CROHN DISEASE</w:t>
            </w:r>
          </w:p>
          <w:p w14:paraId="7B8D1CDE" w14:textId="77777777" w:rsidR="006A7E79" w:rsidRPr="004A2842" w:rsidRDefault="006A7E79">
            <w:pPr>
              <w:rPr>
                <w:rFonts w:ascii="Arial Narrow" w:hAnsi="Arial Narrow"/>
                <w:kern w:val="2"/>
                <w:sz w:val="20"/>
                <w:szCs w:val="20"/>
              </w:rPr>
            </w:pPr>
            <w:hyperlink w:anchor="_Overarching_administrative_advice" w:history="1">
              <w:r w:rsidRPr="004A2842">
                <w:rPr>
                  <w:rStyle w:val="Hyperlink"/>
                  <w:rFonts w:ascii="Arial Narrow" w:hAnsi="Arial Narrow"/>
                  <w:kern w:val="2"/>
                  <w:sz w:val="20"/>
                  <w:szCs w:val="20"/>
                </w:rPr>
                <w:t>See below for overarching AA</w:t>
              </w:r>
            </w:hyperlink>
          </w:p>
        </w:tc>
      </w:tr>
      <w:tr w:rsidR="006A7E79" w:rsidRPr="004A2842" w14:paraId="56B2C030" w14:textId="77777777" w:rsidTr="00216DE7">
        <w:trPr>
          <w:trHeight w:val="20"/>
        </w:trPr>
        <w:tc>
          <w:tcPr>
            <w:tcW w:w="422" w:type="dxa"/>
            <w:vMerge/>
          </w:tcPr>
          <w:p w14:paraId="6946B280" w14:textId="77777777" w:rsidR="006A7E79" w:rsidRPr="00296381" w:rsidRDefault="006A7E79">
            <w:pPr>
              <w:jc w:val="center"/>
              <w:rPr>
                <w:rFonts w:ascii="Arial Narrow" w:hAnsi="Arial Narrow"/>
                <w:i/>
                <w:iCs/>
                <w:kern w:val="2"/>
                <w:sz w:val="20"/>
                <w:szCs w:val="20"/>
              </w:rPr>
            </w:pPr>
          </w:p>
        </w:tc>
        <w:tc>
          <w:tcPr>
            <w:tcW w:w="84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83ABBEE" w14:textId="1059A727" w:rsidR="006A7E79" w:rsidRPr="004A2842" w:rsidRDefault="006A7E79">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04874B9" w14:textId="77777777" w:rsidR="006A7E79" w:rsidRPr="004A2842" w:rsidRDefault="006A7E79">
            <w:pPr>
              <w:rPr>
                <w:rFonts w:ascii="Arial Narrow" w:hAnsi="Arial Narrow"/>
                <w:kern w:val="2"/>
                <w:sz w:val="20"/>
                <w:szCs w:val="20"/>
              </w:rPr>
            </w:pPr>
            <w:r w:rsidRPr="004A2842">
              <w:rPr>
                <w:rFonts w:ascii="Arial Narrow" w:hAnsi="Arial Narrow"/>
                <w:b/>
                <w:bCs/>
                <w:kern w:val="2"/>
                <w:sz w:val="20"/>
                <w:szCs w:val="20"/>
              </w:rPr>
              <w:t xml:space="preserve">Administrative Advice: </w:t>
            </w:r>
            <w:r w:rsidRPr="004A2842">
              <w:rPr>
                <w:rFonts w:ascii="Arial Narrow" w:hAnsi="Arial Narrow"/>
                <w:kern w:val="2"/>
                <w:sz w:val="20"/>
                <w:szCs w:val="20"/>
              </w:rPr>
              <w:t>No increase in the maximum quantity or number of units may be authorised.</w:t>
            </w:r>
          </w:p>
        </w:tc>
      </w:tr>
      <w:tr w:rsidR="006A7E79" w:rsidRPr="004A2842" w14:paraId="00083684" w14:textId="77777777" w:rsidTr="00216DE7">
        <w:trPr>
          <w:trHeight w:val="20"/>
        </w:trPr>
        <w:tc>
          <w:tcPr>
            <w:tcW w:w="422" w:type="dxa"/>
            <w:vMerge/>
          </w:tcPr>
          <w:p w14:paraId="2283C941" w14:textId="77777777" w:rsidR="006A7E79" w:rsidRPr="00296381" w:rsidRDefault="006A7E79">
            <w:pPr>
              <w:jc w:val="center"/>
              <w:rPr>
                <w:rFonts w:ascii="Arial Narrow" w:hAnsi="Arial Narrow"/>
                <w:i/>
                <w:iCs/>
                <w:kern w:val="2"/>
                <w:sz w:val="20"/>
                <w:szCs w:val="20"/>
              </w:rPr>
            </w:pPr>
          </w:p>
        </w:tc>
        <w:tc>
          <w:tcPr>
            <w:tcW w:w="84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4CC97F5" w14:textId="76188108" w:rsidR="006A7E79" w:rsidRPr="004A2842" w:rsidRDefault="006A7E79">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7EE6793" w14:textId="77777777" w:rsidR="006A7E79" w:rsidRPr="004A2842" w:rsidRDefault="006A7E79">
            <w:pPr>
              <w:rPr>
                <w:rFonts w:ascii="Arial Narrow" w:hAnsi="Arial Narrow"/>
                <w:kern w:val="2"/>
                <w:sz w:val="20"/>
                <w:szCs w:val="20"/>
              </w:rPr>
            </w:pPr>
            <w:r w:rsidRPr="004A2842">
              <w:rPr>
                <w:rFonts w:ascii="Arial Narrow" w:hAnsi="Arial Narrow"/>
                <w:b/>
                <w:bCs/>
                <w:kern w:val="2"/>
                <w:sz w:val="20"/>
                <w:szCs w:val="20"/>
              </w:rPr>
              <w:t xml:space="preserve">Administrative Advice: </w:t>
            </w:r>
            <w:r w:rsidRPr="004A2842">
              <w:rPr>
                <w:rFonts w:ascii="Arial Narrow" w:hAnsi="Arial Narrow"/>
                <w:kern w:val="2"/>
                <w:sz w:val="20"/>
                <w:szCs w:val="20"/>
              </w:rPr>
              <w:t>No increase in the maximum number of repeats may be authorised.</w:t>
            </w:r>
          </w:p>
        </w:tc>
      </w:tr>
      <w:tr w:rsidR="006A7E79" w:rsidRPr="004A2842" w14:paraId="598A328F" w14:textId="77777777" w:rsidTr="00216DE7">
        <w:trPr>
          <w:trHeight w:val="20"/>
        </w:trPr>
        <w:tc>
          <w:tcPr>
            <w:tcW w:w="422" w:type="dxa"/>
            <w:vMerge/>
          </w:tcPr>
          <w:p w14:paraId="56201DB3" w14:textId="77777777" w:rsidR="006A7E79" w:rsidRPr="00296381" w:rsidRDefault="006A7E79">
            <w:pPr>
              <w:jc w:val="center"/>
              <w:rPr>
                <w:rFonts w:ascii="Arial Narrow" w:hAnsi="Arial Narrow"/>
                <w:i/>
                <w:iCs/>
                <w:kern w:val="2"/>
                <w:sz w:val="20"/>
                <w:szCs w:val="20"/>
              </w:rPr>
            </w:pPr>
          </w:p>
        </w:tc>
        <w:tc>
          <w:tcPr>
            <w:tcW w:w="84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48E5BA5" w14:textId="36F40A9F" w:rsidR="006A7E79" w:rsidRPr="004A2842" w:rsidRDefault="006A7E79">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45EAEC4" w14:textId="77777777" w:rsidR="006A7E79" w:rsidRPr="004128FE" w:rsidRDefault="006A7E79">
            <w:pPr>
              <w:rPr>
                <w:rFonts w:ascii="Arial Narrow" w:hAnsi="Arial Narrow"/>
                <w:b/>
                <w:bCs/>
                <w:kern w:val="2"/>
                <w:sz w:val="20"/>
                <w:szCs w:val="20"/>
              </w:rPr>
            </w:pPr>
            <w:r w:rsidRPr="004128FE">
              <w:rPr>
                <w:rFonts w:ascii="Arial Narrow" w:hAnsi="Arial Narrow"/>
                <w:b/>
                <w:bCs/>
                <w:kern w:val="2"/>
                <w:sz w:val="20"/>
                <w:szCs w:val="20"/>
              </w:rPr>
              <w:t>Administrative Advice:</w:t>
            </w:r>
          </w:p>
          <w:p w14:paraId="6F638FA2" w14:textId="77777777" w:rsidR="006A7E79" w:rsidRPr="004A2842" w:rsidRDefault="006A7E79">
            <w:pPr>
              <w:rPr>
                <w:rFonts w:ascii="Arial Narrow" w:hAnsi="Arial Narrow"/>
                <w:b/>
                <w:bCs/>
                <w:kern w:val="2"/>
                <w:sz w:val="20"/>
                <w:szCs w:val="20"/>
              </w:rPr>
            </w:pPr>
            <w:r w:rsidRPr="004128FE">
              <w:rPr>
                <w:rFonts w:ascii="Arial Narrow" w:hAnsi="Arial Narrow"/>
                <w:kern w:val="2"/>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6A7E79" w14:paraId="393C637D" w14:textId="77777777" w:rsidTr="00216DE7">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25C289C4" w14:textId="77777777" w:rsidR="006A7E79" w:rsidRDefault="006A7E79">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tcPr>
          <w:p w14:paraId="332BFAAC" w14:textId="51CDB696" w:rsidR="006A7E79" w:rsidRDefault="006A7E79">
            <w:pPr>
              <w:rPr>
                <w:rFonts w:ascii="Arial Narrow" w:hAnsi="Arial Narrow"/>
                <w:b/>
                <w:bCs/>
                <w:color w:val="333333"/>
                <w:kern w:val="2"/>
                <w:sz w:val="20"/>
                <w:szCs w:val="20"/>
              </w:rPr>
            </w:pPr>
          </w:p>
        </w:tc>
      </w:tr>
      <w:tr w:rsidR="006A7E79" w14:paraId="3F0F4713" w14:textId="77777777" w:rsidTr="00216DE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CC1856E" w14:textId="4130B717" w:rsidR="006A7E79" w:rsidRDefault="006A7E79">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728B0B2" w14:textId="77777777" w:rsidR="006A7E79" w:rsidRDefault="006A7E79">
            <w:pPr>
              <w:rPr>
                <w:rFonts w:ascii="Arial Narrow" w:hAnsi="Arial Narrow"/>
                <w:b/>
                <w:bCs/>
                <w:color w:val="333333"/>
                <w:kern w:val="2"/>
                <w:sz w:val="20"/>
                <w:szCs w:val="20"/>
              </w:rPr>
            </w:pPr>
            <w:r>
              <w:rPr>
                <w:rFonts w:ascii="Arial Narrow" w:hAnsi="Arial Narrow"/>
                <w:b/>
                <w:bCs/>
                <w:color w:val="333333"/>
                <w:kern w:val="2"/>
                <w:sz w:val="20"/>
                <w:szCs w:val="20"/>
              </w:rPr>
              <w:t>Indication:</w:t>
            </w:r>
            <w:r>
              <w:rPr>
                <w:rFonts w:ascii="Arial Narrow" w:hAnsi="Arial Narrow"/>
                <w:color w:val="333333"/>
                <w:kern w:val="2"/>
                <w:sz w:val="20"/>
                <w:szCs w:val="20"/>
              </w:rPr>
              <w:t xml:space="preserve"> </w:t>
            </w:r>
            <w:r>
              <w:rPr>
                <w:rFonts w:ascii="Arial Narrow" w:hAnsi="Arial Narrow"/>
                <w:bCs/>
                <w:sz w:val="20"/>
                <w:szCs w:val="20"/>
              </w:rPr>
              <w:t>Complex refractory fistulising Crohn disease</w:t>
            </w:r>
          </w:p>
        </w:tc>
      </w:tr>
      <w:tr w:rsidR="006A7E79" w14:paraId="36B003C5" w14:textId="77777777" w:rsidTr="00216DE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8267666" w14:textId="77777777" w:rsidR="006A7E79" w:rsidRDefault="006A7E79">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699005F" w14:textId="6106E02F" w:rsidR="006A7E79" w:rsidRDefault="006A7E79">
            <w:pPr>
              <w:rPr>
                <w:rFonts w:ascii="Arial Narrow" w:hAnsi="Arial Narrow"/>
                <w:b/>
                <w:bCs/>
                <w:color w:val="333333"/>
                <w:kern w:val="2"/>
                <w:sz w:val="20"/>
                <w:szCs w:val="20"/>
              </w:rPr>
            </w:pPr>
            <w:r>
              <w:rPr>
                <w:rFonts w:ascii="Arial Narrow" w:hAnsi="Arial Narrow"/>
                <w:b/>
                <w:bCs/>
                <w:color w:val="333333"/>
                <w:kern w:val="2"/>
                <w:sz w:val="20"/>
                <w:szCs w:val="20"/>
              </w:rPr>
              <w:t>Treatment Phase:</w:t>
            </w:r>
            <w:r>
              <w:rPr>
                <w:rFonts w:ascii="Arial Narrow" w:hAnsi="Arial Narrow"/>
                <w:color w:val="FF0000"/>
                <w:kern w:val="2"/>
                <w:sz w:val="20"/>
                <w:szCs w:val="20"/>
              </w:rPr>
              <w:t xml:space="preserve"> </w:t>
            </w:r>
            <w:r w:rsidRPr="0042396D">
              <w:rPr>
                <w:rFonts w:ascii="Arial Narrow" w:hAnsi="Arial Narrow"/>
                <w:bCs/>
                <w:sz w:val="20"/>
                <w:szCs w:val="20"/>
              </w:rPr>
              <w:t>Initial treatment</w:t>
            </w:r>
            <w:r>
              <w:rPr>
                <w:rFonts w:ascii="Arial Narrow" w:hAnsi="Arial Narrow"/>
                <w:bCs/>
                <w:sz w:val="20"/>
                <w:szCs w:val="20"/>
              </w:rPr>
              <w:t xml:space="preserve"> </w:t>
            </w:r>
            <w:r w:rsidR="00FC7500">
              <w:rPr>
                <w:rFonts w:ascii="Arial Narrow" w:hAnsi="Arial Narrow"/>
                <w:bCs/>
                <w:i/>
                <w:iCs/>
                <w:sz w:val="20"/>
                <w:szCs w:val="20"/>
              </w:rPr>
              <w:noBreakHyphen/>
            </w:r>
            <w:r>
              <w:rPr>
                <w:rFonts w:ascii="Arial Narrow" w:hAnsi="Arial Narrow"/>
                <w:bCs/>
                <w:i/>
                <w:iCs/>
                <w:sz w:val="20"/>
                <w:szCs w:val="20"/>
              </w:rPr>
              <w:t xml:space="preserve"> </w:t>
            </w:r>
            <w:r w:rsidRPr="00666F03">
              <w:rPr>
                <w:rFonts w:ascii="Arial Narrow" w:hAnsi="Arial Narrow"/>
                <w:bCs/>
                <w:sz w:val="20"/>
                <w:szCs w:val="20"/>
              </w:rPr>
              <w:t>Initial 2</w:t>
            </w:r>
            <w:r w:rsidRPr="0042396D">
              <w:rPr>
                <w:rFonts w:ascii="Arial Narrow" w:hAnsi="Arial Narrow"/>
                <w:bCs/>
                <w:sz w:val="20"/>
                <w:szCs w:val="20"/>
              </w:rPr>
              <w:t xml:space="preserve"> (change or r</w:t>
            </w:r>
            <w:r>
              <w:rPr>
                <w:rFonts w:ascii="Arial Narrow" w:hAnsi="Arial Narrow"/>
                <w:bCs/>
                <w:sz w:val="20"/>
                <w:szCs w:val="20"/>
              </w:rPr>
              <w:t>e</w:t>
            </w:r>
            <w:r w:rsidRPr="0042396D">
              <w:rPr>
                <w:rFonts w:ascii="Arial Narrow" w:hAnsi="Arial Narrow"/>
                <w:bCs/>
                <w:sz w:val="20"/>
                <w:szCs w:val="20"/>
              </w:rPr>
              <w:t xml:space="preserve">commencement of treatment after </w:t>
            </w:r>
            <w:r>
              <w:rPr>
                <w:rFonts w:ascii="Arial Narrow" w:hAnsi="Arial Narrow"/>
                <w:bCs/>
                <w:i/>
                <w:iCs/>
                <w:sz w:val="20"/>
                <w:szCs w:val="20"/>
              </w:rPr>
              <w:t xml:space="preserve">a </w:t>
            </w:r>
            <w:r w:rsidRPr="0042396D">
              <w:rPr>
                <w:rFonts w:ascii="Arial Narrow" w:hAnsi="Arial Narrow"/>
                <w:bCs/>
                <w:sz w:val="20"/>
                <w:szCs w:val="20"/>
              </w:rPr>
              <w:t>break</w:t>
            </w:r>
            <w:r w:rsidRPr="00C10507">
              <w:rPr>
                <w:rFonts w:ascii="Arial Narrow" w:hAnsi="Arial Narrow"/>
                <w:bCs/>
                <w:sz w:val="20"/>
                <w:szCs w:val="20"/>
              </w:rPr>
              <w:t xml:space="preserve"> </w:t>
            </w:r>
            <w:r w:rsidRPr="004F083E">
              <w:rPr>
                <w:rFonts w:ascii="Arial Narrow" w:hAnsi="Arial Narrow"/>
                <w:bCs/>
                <w:sz w:val="20"/>
                <w:szCs w:val="20"/>
              </w:rPr>
              <w:t>in</w:t>
            </w:r>
            <w:r>
              <w:rPr>
                <w:rFonts w:ascii="Arial Narrow" w:hAnsi="Arial Narrow"/>
                <w:bCs/>
                <w:i/>
                <w:iCs/>
                <w:sz w:val="20"/>
                <w:szCs w:val="20"/>
              </w:rPr>
              <w:t xml:space="preserve"> </w:t>
            </w:r>
            <w:r>
              <w:rPr>
                <w:rFonts w:ascii="Arial Narrow" w:hAnsi="Arial Narrow"/>
                <w:bCs/>
                <w:sz w:val="20"/>
                <w:szCs w:val="20"/>
              </w:rPr>
              <w:t xml:space="preserve">targeted therapy </w:t>
            </w:r>
            <w:r w:rsidRPr="004F083E">
              <w:rPr>
                <w:rFonts w:ascii="Arial Narrow" w:hAnsi="Arial Narrow"/>
                <w:bCs/>
                <w:sz w:val="20"/>
                <w:szCs w:val="20"/>
              </w:rPr>
              <w:t>of less than</w:t>
            </w:r>
            <w:r w:rsidRPr="0042396D">
              <w:rPr>
                <w:rFonts w:ascii="Arial Narrow" w:hAnsi="Arial Narrow"/>
                <w:bCs/>
                <w:sz w:val="20"/>
                <w:szCs w:val="20"/>
              </w:rPr>
              <w:t xml:space="preserve"> 5 years)</w:t>
            </w:r>
          </w:p>
        </w:tc>
      </w:tr>
      <w:tr w:rsidR="006A7E79" w14:paraId="6B544912" w14:textId="77777777" w:rsidTr="00216DE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98D6C71" w14:textId="4975E485" w:rsidR="006A7E79" w:rsidRDefault="006A7E79">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185F6A7" w14:textId="77777777" w:rsidR="006A7E79" w:rsidRDefault="006A7E79">
            <w:pPr>
              <w:rPr>
                <w:rFonts w:ascii="Arial Narrow" w:hAnsi="Arial Narrow"/>
                <w:b/>
                <w:bCs/>
                <w:color w:val="333333"/>
                <w:kern w:val="2"/>
                <w:sz w:val="20"/>
                <w:szCs w:val="20"/>
              </w:rPr>
            </w:pPr>
            <w:r>
              <w:rPr>
                <w:rFonts w:ascii="Arial Narrow" w:hAnsi="Arial Narrow"/>
                <w:b/>
                <w:bCs/>
                <w:color w:val="333333"/>
                <w:kern w:val="2"/>
                <w:sz w:val="20"/>
                <w:szCs w:val="20"/>
              </w:rPr>
              <w:t>Clinical criteria:</w:t>
            </w:r>
          </w:p>
        </w:tc>
      </w:tr>
      <w:tr w:rsidR="006A7E79" w:rsidRPr="00D0445D" w14:paraId="2DD9109A" w14:textId="77777777" w:rsidTr="00216DE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B8420AA" w14:textId="79934504" w:rsidR="006A7E79" w:rsidRDefault="006A7E79">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6E5ED9A" w14:textId="563D9EE6" w:rsidR="006A7E79" w:rsidRPr="00D0445D" w:rsidRDefault="006A7E79">
            <w:pPr>
              <w:rPr>
                <w:rFonts w:ascii="Arial Narrow" w:hAnsi="Arial Narrow"/>
                <w:bCs/>
                <w:sz w:val="20"/>
                <w:szCs w:val="20"/>
              </w:rPr>
            </w:pPr>
            <w:r w:rsidRPr="00D0445D">
              <w:rPr>
                <w:rFonts w:ascii="Arial Narrow" w:hAnsi="Arial Narrow"/>
                <w:bCs/>
                <w:sz w:val="20"/>
                <w:szCs w:val="20"/>
              </w:rPr>
              <w:t>Patient must have received prior PBS</w:t>
            </w:r>
            <w:r w:rsidR="00FC7500">
              <w:rPr>
                <w:rFonts w:ascii="Arial Narrow" w:hAnsi="Arial Narrow"/>
                <w:bCs/>
                <w:sz w:val="20"/>
                <w:szCs w:val="20"/>
              </w:rPr>
              <w:noBreakHyphen/>
            </w:r>
            <w:r w:rsidRPr="00D0445D">
              <w:rPr>
                <w:rFonts w:ascii="Arial Narrow" w:hAnsi="Arial Narrow"/>
                <w:bCs/>
                <w:sz w:val="20"/>
                <w:szCs w:val="20"/>
              </w:rPr>
              <w:t xml:space="preserve">subsidised treatment with a </w:t>
            </w:r>
            <w:r>
              <w:rPr>
                <w:rFonts w:ascii="Arial Narrow" w:hAnsi="Arial Narrow"/>
                <w:bCs/>
                <w:sz w:val="20"/>
                <w:szCs w:val="20"/>
              </w:rPr>
              <w:t>targeted therapy</w:t>
            </w:r>
            <w:r w:rsidRPr="00D0445D">
              <w:rPr>
                <w:rFonts w:ascii="Arial Narrow" w:hAnsi="Arial Narrow"/>
                <w:bCs/>
                <w:sz w:val="20"/>
                <w:szCs w:val="20"/>
              </w:rPr>
              <w:t xml:space="preserve"> for this condition in this treatment cycle</w:t>
            </w:r>
            <w:r>
              <w:rPr>
                <w:rFonts w:ascii="Arial Narrow" w:hAnsi="Arial Narrow"/>
                <w:bCs/>
                <w:sz w:val="20"/>
                <w:szCs w:val="20"/>
              </w:rPr>
              <w:t>; OR</w:t>
            </w:r>
          </w:p>
        </w:tc>
      </w:tr>
      <w:tr w:rsidR="006A7E79" w:rsidRPr="007B30D5" w14:paraId="7C6F7016" w14:textId="77777777" w:rsidTr="00216DE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B5EADBF" w14:textId="0AFAE221" w:rsidR="006A7E79" w:rsidRDefault="006A7E79">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A3C755D" w14:textId="1A111012" w:rsidR="006A7E79" w:rsidRPr="007B30D5" w:rsidRDefault="006A7E79">
            <w:pPr>
              <w:rPr>
                <w:rFonts w:ascii="Arial Narrow" w:hAnsi="Arial Narrow"/>
                <w:sz w:val="20"/>
                <w:szCs w:val="20"/>
              </w:rPr>
            </w:pPr>
            <w:r w:rsidRPr="7A8BD5D1">
              <w:rPr>
                <w:rFonts w:ascii="Arial Narrow" w:hAnsi="Arial Narrow"/>
                <w:sz w:val="20"/>
                <w:szCs w:val="20"/>
              </w:rPr>
              <w:t>Patient must have been eligible for prior PBS</w:t>
            </w:r>
            <w:r w:rsidR="00FC7500">
              <w:rPr>
                <w:rFonts w:ascii="Arial Narrow" w:hAnsi="Arial Narrow"/>
                <w:sz w:val="20"/>
                <w:szCs w:val="20"/>
              </w:rPr>
              <w:noBreakHyphen/>
            </w:r>
            <w:r w:rsidRPr="7A8BD5D1">
              <w:rPr>
                <w:rFonts w:ascii="Arial Narrow" w:hAnsi="Arial Narrow"/>
                <w:sz w:val="20"/>
                <w:szCs w:val="20"/>
              </w:rPr>
              <w:t>subsidised treatment with a targeted therapy for this condition in this treatment cycle</w:t>
            </w:r>
          </w:p>
        </w:tc>
      </w:tr>
      <w:tr w:rsidR="006A7E79" w:rsidRPr="00D0445D" w14:paraId="17DC9FDF" w14:textId="77777777" w:rsidTr="00216DE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A2BED35" w14:textId="77777777" w:rsidR="006A7E79" w:rsidRDefault="006A7E79">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237F5C6" w14:textId="77777777" w:rsidR="006A7E79" w:rsidRPr="00D0445D" w:rsidRDefault="006A7E79">
            <w:pPr>
              <w:rPr>
                <w:rFonts w:ascii="Arial Narrow" w:hAnsi="Arial Narrow"/>
                <w:bCs/>
                <w:sz w:val="20"/>
                <w:szCs w:val="20"/>
              </w:rPr>
            </w:pPr>
            <w:r>
              <w:rPr>
                <w:rFonts w:ascii="Arial Narrow" w:hAnsi="Arial Narrow"/>
                <w:b/>
                <w:bCs/>
                <w:color w:val="333333"/>
                <w:kern w:val="2"/>
                <w:sz w:val="20"/>
                <w:szCs w:val="20"/>
              </w:rPr>
              <w:t>AND</w:t>
            </w:r>
          </w:p>
        </w:tc>
      </w:tr>
      <w:tr w:rsidR="006A7E79" w:rsidRPr="00D0445D" w14:paraId="3801B960" w14:textId="77777777" w:rsidTr="00216DE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5EDF9EB" w14:textId="08FFE8B5" w:rsidR="006A7E79" w:rsidRDefault="006A7E79">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5995FED" w14:textId="77777777" w:rsidR="006A7E79" w:rsidRPr="00D0445D" w:rsidRDefault="006A7E79">
            <w:pPr>
              <w:rPr>
                <w:rFonts w:ascii="Arial Narrow" w:hAnsi="Arial Narrow"/>
                <w:bCs/>
                <w:sz w:val="20"/>
                <w:szCs w:val="20"/>
              </w:rPr>
            </w:pPr>
            <w:r>
              <w:rPr>
                <w:rFonts w:ascii="Arial Narrow" w:hAnsi="Arial Narrow"/>
                <w:b/>
                <w:bCs/>
                <w:color w:val="333333"/>
                <w:kern w:val="2"/>
                <w:sz w:val="20"/>
                <w:szCs w:val="20"/>
              </w:rPr>
              <w:t>Clinical criteria:</w:t>
            </w:r>
          </w:p>
        </w:tc>
      </w:tr>
      <w:tr w:rsidR="006A7E79" w:rsidRPr="002C0096" w14:paraId="3E5CB53A" w14:textId="77777777" w:rsidTr="00216DE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5316D25" w14:textId="50DF0812" w:rsidR="006A7E79" w:rsidRDefault="006A7E79">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434F30B" w14:textId="77777777" w:rsidR="006A7E79" w:rsidRPr="002C0096" w:rsidRDefault="006A7E79">
            <w:pPr>
              <w:rPr>
                <w:rFonts w:ascii="Arial Narrow" w:hAnsi="Arial Narrow"/>
                <w:bCs/>
                <w:sz w:val="20"/>
                <w:szCs w:val="20"/>
              </w:rPr>
            </w:pPr>
            <w:r w:rsidRPr="00D603D8">
              <w:rPr>
                <w:rFonts w:ascii="Arial Narrow" w:hAnsi="Arial Narrow"/>
                <w:bCs/>
                <w:sz w:val="20"/>
                <w:szCs w:val="20"/>
              </w:rPr>
              <w:t>Patient must have either: (i) not previously received this drug for this condition in the current treatment cycle, (ii) previously received this drug and demonstrated/maintained an adequate clinical response</w:t>
            </w:r>
          </w:p>
        </w:tc>
      </w:tr>
      <w:tr w:rsidR="006A7E79" w14:paraId="6CA8AE21" w14:textId="77777777" w:rsidTr="00216DE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5A14FCF" w14:textId="2C16093C" w:rsidR="006A7E79" w:rsidRDefault="006A7E79">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87F7498" w14:textId="77777777" w:rsidR="006A7E79" w:rsidRDefault="006A7E79">
            <w:pPr>
              <w:rPr>
                <w:rFonts w:ascii="Arial Narrow" w:hAnsi="Arial Narrow"/>
                <w:b/>
                <w:bCs/>
                <w:color w:val="333333"/>
                <w:kern w:val="2"/>
                <w:sz w:val="20"/>
                <w:szCs w:val="20"/>
              </w:rPr>
            </w:pPr>
            <w:r>
              <w:rPr>
                <w:rFonts w:ascii="Arial Narrow" w:hAnsi="Arial Narrow"/>
                <w:b/>
                <w:bCs/>
                <w:color w:val="333333"/>
                <w:kern w:val="2"/>
                <w:sz w:val="20"/>
                <w:szCs w:val="20"/>
              </w:rPr>
              <w:t>Treatment criteria:</w:t>
            </w:r>
          </w:p>
        </w:tc>
      </w:tr>
      <w:tr w:rsidR="006A7E79" w14:paraId="7D91EED8" w14:textId="77777777" w:rsidTr="00216DE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E2D09B2" w14:textId="646D0867" w:rsidR="006A7E79" w:rsidRDefault="006A7E79">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0D9C61C" w14:textId="77777777" w:rsidR="006A7E79" w:rsidRDefault="006A7E79">
            <w:pPr>
              <w:rPr>
                <w:rFonts w:ascii="Arial Narrow" w:hAnsi="Arial Narrow"/>
                <w:b/>
                <w:bCs/>
                <w:color w:val="333333"/>
                <w:kern w:val="2"/>
                <w:sz w:val="20"/>
                <w:szCs w:val="20"/>
              </w:rPr>
            </w:pPr>
            <w:r w:rsidRPr="00E15563">
              <w:rPr>
                <w:rFonts w:ascii="Arial Narrow" w:hAnsi="Arial Narrow"/>
                <w:kern w:val="2"/>
                <w:sz w:val="20"/>
                <w:szCs w:val="20"/>
              </w:rPr>
              <w:t>Must be treated by a gastroenterologist; OR</w:t>
            </w:r>
          </w:p>
        </w:tc>
      </w:tr>
      <w:tr w:rsidR="006A7E79" w14:paraId="1E6AA752" w14:textId="77777777" w:rsidTr="00216DE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284CA08" w14:textId="0B4A1306" w:rsidR="006A7E79" w:rsidRDefault="006A7E79">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B476E99" w14:textId="77777777" w:rsidR="006A7E79" w:rsidRDefault="006A7E79">
            <w:pPr>
              <w:rPr>
                <w:rFonts w:ascii="Arial Narrow" w:hAnsi="Arial Narrow"/>
                <w:b/>
                <w:bCs/>
                <w:color w:val="333333"/>
                <w:kern w:val="2"/>
                <w:sz w:val="20"/>
                <w:szCs w:val="20"/>
              </w:rPr>
            </w:pPr>
            <w:r w:rsidRPr="00C50D47">
              <w:rPr>
                <w:rFonts w:ascii="Arial Narrow" w:hAnsi="Arial Narrow"/>
                <w:kern w:val="2"/>
                <w:sz w:val="20"/>
                <w:szCs w:val="20"/>
              </w:rPr>
              <w:t>Must be treated by a consultant physician [internal medicine specialising in gastroenterology]; OR</w:t>
            </w:r>
          </w:p>
        </w:tc>
      </w:tr>
      <w:tr w:rsidR="006A7E79" w14:paraId="3552E30B" w14:textId="77777777" w:rsidTr="00216DE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CA1B00E" w14:textId="77BB97B9" w:rsidR="006A7E79" w:rsidRDefault="006A7E79">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1EBFCEC" w14:textId="77777777" w:rsidR="006A7E79" w:rsidRDefault="006A7E79">
            <w:pPr>
              <w:rPr>
                <w:rFonts w:ascii="Arial Narrow" w:hAnsi="Arial Narrow"/>
                <w:b/>
                <w:bCs/>
                <w:color w:val="333333"/>
                <w:kern w:val="2"/>
                <w:sz w:val="20"/>
                <w:szCs w:val="20"/>
              </w:rPr>
            </w:pPr>
            <w:r w:rsidRPr="003D2625">
              <w:rPr>
                <w:rFonts w:ascii="Arial Narrow" w:hAnsi="Arial Narrow"/>
                <w:kern w:val="2"/>
                <w:sz w:val="20"/>
                <w:szCs w:val="20"/>
              </w:rPr>
              <w:t>Must be treated by a consultant physician [general medicine specialising in gastroenterology].</w:t>
            </w:r>
          </w:p>
        </w:tc>
      </w:tr>
      <w:tr w:rsidR="006A7E79" w:rsidRPr="00FF6418" w14:paraId="3E4C492B" w14:textId="77777777" w:rsidTr="00216DE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7DCF9C2" w14:textId="72B885B8" w:rsidR="006A7E79" w:rsidRPr="00BB7D49" w:rsidRDefault="006A7E79">
            <w:pPr>
              <w:jc w:val="center"/>
              <w:rPr>
                <w:rFonts w:ascii="Arial Narrow" w:hAnsi="Arial Narrow"/>
                <w:kern w:val="2"/>
                <w:sz w:val="20"/>
                <w:szCs w:val="20"/>
                <w:highlight w:val="yellow"/>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3665C60" w14:textId="77777777" w:rsidR="006A7E79" w:rsidRPr="00E0334D" w:rsidRDefault="006A7E79">
            <w:pPr>
              <w:rPr>
                <w:rFonts w:ascii="Arial Narrow" w:hAnsi="Arial Narrow"/>
                <w:b/>
                <w:bCs/>
                <w:kern w:val="2"/>
                <w:sz w:val="20"/>
                <w:szCs w:val="20"/>
              </w:rPr>
            </w:pPr>
            <w:r w:rsidRPr="00E0334D">
              <w:rPr>
                <w:rFonts w:ascii="Arial Narrow" w:hAnsi="Arial Narrow"/>
                <w:b/>
                <w:bCs/>
                <w:kern w:val="2"/>
                <w:sz w:val="20"/>
                <w:szCs w:val="20"/>
              </w:rPr>
              <w:t>Prescribing Instructions:</w:t>
            </w:r>
          </w:p>
          <w:p w14:paraId="08F27AA3" w14:textId="77777777" w:rsidR="006A7E79" w:rsidRDefault="006A7E79">
            <w:pPr>
              <w:rPr>
                <w:rFonts w:ascii="Arial Narrow" w:hAnsi="Arial Narrow"/>
                <w:kern w:val="2"/>
                <w:sz w:val="20"/>
                <w:szCs w:val="20"/>
              </w:rPr>
            </w:pPr>
            <w:r>
              <w:rPr>
                <w:rFonts w:ascii="Arial Narrow" w:hAnsi="Arial Narrow"/>
                <w:kern w:val="2"/>
                <w:sz w:val="20"/>
                <w:szCs w:val="20"/>
              </w:rPr>
              <w:t>The following information must be provided by the prescriber at the time of application and documented in the patient’s medical records:</w:t>
            </w:r>
          </w:p>
          <w:p w14:paraId="595775B0" w14:textId="77777777" w:rsidR="006A7E79" w:rsidRPr="000D389E" w:rsidRDefault="006A7E79" w:rsidP="006A7E79">
            <w:pPr>
              <w:pStyle w:val="ListParagraph"/>
              <w:numPr>
                <w:ilvl w:val="0"/>
                <w:numId w:val="18"/>
              </w:numPr>
              <w:spacing w:after="0"/>
              <w:contextualSpacing/>
              <w:jc w:val="both"/>
              <w:rPr>
                <w:rFonts w:ascii="Arial Narrow" w:hAnsi="Arial Narrow"/>
                <w:kern w:val="2"/>
                <w:sz w:val="20"/>
                <w:szCs w:val="20"/>
              </w:rPr>
            </w:pPr>
            <w:r w:rsidRPr="00DA2519">
              <w:rPr>
                <w:rFonts w:ascii="Arial Narrow" w:hAnsi="Arial Narrow"/>
                <w:kern w:val="2"/>
                <w:sz w:val="20"/>
                <w:szCs w:val="20"/>
              </w:rPr>
              <w:t xml:space="preserve">current number of externally draining complex fistulae, fistula symptom grading scores (discharge/pain/induration) and the date of assessment of the patient’s condition; and </w:t>
            </w:r>
          </w:p>
          <w:p w14:paraId="0B4ABCCE" w14:textId="77777777" w:rsidR="006A7E79" w:rsidRPr="00E27370" w:rsidRDefault="006A7E79" w:rsidP="006A7E79">
            <w:pPr>
              <w:pStyle w:val="ListParagraph"/>
              <w:numPr>
                <w:ilvl w:val="0"/>
                <w:numId w:val="18"/>
              </w:numPr>
              <w:spacing w:after="0"/>
              <w:contextualSpacing/>
              <w:jc w:val="both"/>
              <w:rPr>
                <w:rFonts w:ascii="Arial Narrow" w:hAnsi="Arial Narrow"/>
                <w:kern w:val="2"/>
                <w:sz w:val="20"/>
                <w:szCs w:val="20"/>
              </w:rPr>
            </w:pPr>
            <w:r>
              <w:rPr>
                <w:rFonts w:ascii="Arial Narrow" w:hAnsi="Arial Narrow"/>
                <w:kern w:val="2"/>
                <w:sz w:val="20"/>
                <w:szCs w:val="20"/>
              </w:rPr>
              <w:t xml:space="preserve">details of prior targeted therapies treatment in the current treatment cycle, including the dates and duration of treatment </w:t>
            </w:r>
          </w:p>
          <w:p w14:paraId="4D39D279" w14:textId="77777777" w:rsidR="006A7E79" w:rsidRPr="00FF6418" w:rsidRDefault="006A7E79">
            <w:pPr>
              <w:rPr>
                <w:rFonts w:ascii="Arial Narrow" w:hAnsi="Arial Narrow"/>
                <w:kern w:val="2"/>
                <w:sz w:val="20"/>
                <w:szCs w:val="20"/>
              </w:rPr>
            </w:pPr>
            <w:r>
              <w:rPr>
                <w:rFonts w:ascii="Arial Narrow" w:hAnsi="Arial Narrow"/>
                <w:kern w:val="2"/>
                <w:sz w:val="20"/>
                <w:szCs w:val="20"/>
              </w:rPr>
              <w:t>All information should, where possible, be no more than 4 weeks old at the time of application.</w:t>
            </w:r>
          </w:p>
        </w:tc>
      </w:tr>
      <w:tr w:rsidR="006A7E79" w:rsidRPr="00E0334D" w14:paraId="167439DB" w14:textId="77777777" w:rsidTr="00216DE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F9FCEF7" w14:textId="7821C90A" w:rsidR="006A7E79" w:rsidRPr="00E0334D" w:rsidRDefault="006A7E79">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0D39321" w14:textId="77777777" w:rsidR="006A7E79" w:rsidRDefault="006A7E79">
            <w:pPr>
              <w:rPr>
                <w:rFonts w:ascii="Arial Narrow" w:hAnsi="Arial Narrow"/>
                <w:b/>
                <w:bCs/>
                <w:kern w:val="2"/>
                <w:sz w:val="20"/>
                <w:szCs w:val="20"/>
              </w:rPr>
            </w:pPr>
            <w:r w:rsidRPr="00E0334D">
              <w:rPr>
                <w:rFonts w:ascii="Arial Narrow" w:hAnsi="Arial Narrow"/>
                <w:b/>
                <w:bCs/>
                <w:kern w:val="2"/>
                <w:sz w:val="20"/>
                <w:szCs w:val="20"/>
              </w:rPr>
              <w:t>Prescribing Instructions:</w:t>
            </w:r>
          </w:p>
          <w:p w14:paraId="4FC011B5" w14:textId="42A628DE" w:rsidR="006A7E79" w:rsidRPr="00E0334D" w:rsidRDefault="006A7E79">
            <w:pPr>
              <w:rPr>
                <w:rFonts w:ascii="Arial Narrow" w:hAnsi="Arial Narrow"/>
                <w:b/>
                <w:bCs/>
                <w:kern w:val="2"/>
                <w:sz w:val="20"/>
                <w:szCs w:val="20"/>
              </w:rPr>
            </w:pPr>
            <w:r w:rsidRPr="009543EC">
              <w:rPr>
                <w:rFonts w:ascii="Arial Narrow" w:hAnsi="Arial Narrow"/>
                <w:kern w:val="2"/>
                <w:sz w:val="20"/>
                <w:szCs w:val="20"/>
              </w:rPr>
              <w:t>If a patient was eligible for prior PBS</w:t>
            </w:r>
            <w:r w:rsidR="00FC7500">
              <w:rPr>
                <w:rFonts w:ascii="Arial Narrow" w:hAnsi="Arial Narrow"/>
                <w:kern w:val="2"/>
                <w:sz w:val="20"/>
                <w:szCs w:val="20"/>
              </w:rPr>
              <w:noBreakHyphen/>
            </w:r>
            <w:r w:rsidRPr="009543EC">
              <w:rPr>
                <w:rFonts w:ascii="Arial Narrow" w:hAnsi="Arial Narrow"/>
                <w:kern w:val="2"/>
                <w:sz w:val="20"/>
                <w:szCs w:val="20"/>
              </w:rPr>
              <w:t>subsidised treatment with a targeted therapy for this condition but did not receive PBS</w:t>
            </w:r>
            <w:r w:rsidR="00FC7500">
              <w:rPr>
                <w:rFonts w:ascii="Arial Narrow" w:hAnsi="Arial Narrow"/>
                <w:kern w:val="2"/>
                <w:sz w:val="20"/>
                <w:szCs w:val="20"/>
              </w:rPr>
              <w:noBreakHyphen/>
            </w:r>
            <w:r w:rsidRPr="009543EC">
              <w:rPr>
                <w:rFonts w:ascii="Arial Narrow" w:hAnsi="Arial Narrow"/>
                <w:kern w:val="2"/>
                <w:sz w:val="20"/>
                <w:szCs w:val="20"/>
              </w:rPr>
              <w:t xml:space="preserve">subsidised treatment at the time, the application must </w:t>
            </w:r>
            <w:r>
              <w:rPr>
                <w:rFonts w:ascii="Arial Narrow" w:hAnsi="Arial Narrow"/>
                <w:kern w:val="2"/>
                <w:sz w:val="20"/>
                <w:szCs w:val="20"/>
              </w:rPr>
              <w:t xml:space="preserve">also </w:t>
            </w:r>
            <w:r w:rsidRPr="009543EC">
              <w:rPr>
                <w:rFonts w:ascii="Arial Narrow" w:hAnsi="Arial Narrow"/>
                <w:kern w:val="2"/>
                <w:sz w:val="20"/>
                <w:szCs w:val="20"/>
              </w:rPr>
              <w:t xml:space="preserve">provide details </w:t>
            </w:r>
            <w:r>
              <w:rPr>
                <w:rFonts w:ascii="Arial Narrow" w:hAnsi="Arial Narrow"/>
                <w:kern w:val="2"/>
                <w:sz w:val="20"/>
                <w:szCs w:val="20"/>
              </w:rPr>
              <w:t xml:space="preserve">of the baseline scores </w:t>
            </w:r>
            <w:r w:rsidRPr="009543EC">
              <w:rPr>
                <w:rFonts w:ascii="Arial Narrow" w:hAnsi="Arial Narrow"/>
                <w:kern w:val="2"/>
                <w:sz w:val="20"/>
                <w:szCs w:val="20"/>
              </w:rPr>
              <w:t>of the prior eligibility requirements</w:t>
            </w:r>
            <w:r>
              <w:rPr>
                <w:rFonts w:ascii="Arial Narrow" w:hAnsi="Arial Narrow"/>
                <w:kern w:val="2"/>
                <w:sz w:val="20"/>
                <w:szCs w:val="20"/>
              </w:rPr>
              <w:t xml:space="preserve"> including the </w:t>
            </w:r>
            <w:r w:rsidRPr="004C0F08">
              <w:rPr>
                <w:rFonts w:ascii="Arial Narrow" w:hAnsi="Arial Narrow"/>
                <w:kern w:val="2"/>
                <w:sz w:val="20"/>
                <w:szCs w:val="20"/>
              </w:rPr>
              <w:t>number of externally draining complex fistulae</w:t>
            </w:r>
            <w:r>
              <w:rPr>
                <w:rFonts w:ascii="Arial Narrow" w:hAnsi="Arial Narrow"/>
                <w:kern w:val="2"/>
                <w:sz w:val="20"/>
                <w:szCs w:val="20"/>
              </w:rPr>
              <w:t xml:space="preserve">, </w:t>
            </w:r>
            <w:r w:rsidRPr="00DA2519">
              <w:rPr>
                <w:rFonts w:ascii="Arial Narrow" w:hAnsi="Arial Narrow"/>
                <w:kern w:val="2"/>
                <w:sz w:val="20"/>
                <w:szCs w:val="20"/>
              </w:rPr>
              <w:t>fistula symptom grading scores (discharge/pain/induration</w:t>
            </w:r>
            <w:r>
              <w:rPr>
                <w:rFonts w:ascii="Arial Narrow" w:hAnsi="Arial Narrow"/>
                <w:kern w:val="2"/>
                <w:sz w:val="20"/>
                <w:szCs w:val="20"/>
              </w:rPr>
              <w:t>)</w:t>
            </w:r>
            <w:r w:rsidRPr="004C0F08">
              <w:rPr>
                <w:rFonts w:ascii="Arial Narrow" w:hAnsi="Arial Narrow"/>
                <w:kern w:val="2"/>
                <w:sz w:val="20"/>
                <w:szCs w:val="20"/>
              </w:rPr>
              <w:t xml:space="preserve"> and the date of assessment</w:t>
            </w:r>
            <w:r w:rsidRPr="009543EC">
              <w:rPr>
                <w:rFonts w:ascii="Arial Narrow" w:hAnsi="Arial Narrow"/>
                <w:kern w:val="2"/>
                <w:sz w:val="20"/>
                <w:szCs w:val="20"/>
              </w:rPr>
              <w:t>.</w:t>
            </w:r>
            <w:r w:rsidRPr="009543EC">
              <w:rPr>
                <w:rFonts w:ascii="Arial Narrow" w:hAnsi="Arial Narrow"/>
                <w:b/>
                <w:bCs/>
                <w:kern w:val="2"/>
                <w:sz w:val="20"/>
                <w:szCs w:val="20"/>
              </w:rPr>
              <w:t> </w:t>
            </w:r>
          </w:p>
        </w:tc>
      </w:tr>
      <w:tr w:rsidR="006A7E79" w:rsidRPr="00E0334D" w14:paraId="2FC31DA6" w14:textId="77777777" w:rsidTr="00216DE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3DC311F" w14:textId="432A7F5E" w:rsidR="006A7E79" w:rsidRPr="00E0334D" w:rsidRDefault="006A7E79">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1552C55" w14:textId="77777777" w:rsidR="006A7E79" w:rsidRPr="00E0334D" w:rsidRDefault="006A7E79">
            <w:pPr>
              <w:rPr>
                <w:rFonts w:ascii="Arial Narrow" w:hAnsi="Arial Narrow"/>
                <w:b/>
                <w:bCs/>
                <w:kern w:val="2"/>
                <w:sz w:val="20"/>
                <w:szCs w:val="20"/>
              </w:rPr>
            </w:pPr>
            <w:r w:rsidRPr="00E0334D">
              <w:rPr>
                <w:rFonts w:ascii="Arial Narrow" w:hAnsi="Arial Narrow"/>
                <w:b/>
                <w:bCs/>
                <w:kern w:val="2"/>
                <w:sz w:val="20"/>
                <w:szCs w:val="20"/>
              </w:rPr>
              <w:t>Prescribing Instructions:</w:t>
            </w:r>
          </w:p>
          <w:p w14:paraId="2B9289F4" w14:textId="77777777" w:rsidR="006A7E79" w:rsidRPr="00E0334D" w:rsidRDefault="006A7E79">
            <w:pPr>
              <w:rPr>
                <w:rFonts w:ascii="Arial Narrow" w:hAnsi="Arial Narrow"/>
                <w:b/>
                <w:bCs/>
                <w:kern w:val="2"/>
                <w:sz w:val="20"/>
                <w:szCs w:val="20"/>
              </w:rPr>
            </w:pPr>
            <w:r w:rsidRPr="00E0334D">
              <w:rPr>
                <w:rFonts w:ascii="Arial Narrow" w:hAnsi="Arial Narrow"/>
                <w:kern w:val="2"/>
                <w:sz w:val="20"/>
                <w:szCs w:val="20"/>
              </w:rPr>
              <w:t xml:space="preserve">Where a response assessment is not conducted, the patient will be deemed to have </w:t>
            </w:r>
            <w:r>
              <w:rPr>
                <w:rFonts w:ascii="Arial Narrow" w:hAnsi="Arial Narrow"/>
                <w:kern w:val="2"/>
                <w:sz w:val="20"/>
                <w:szCs w:val="20"/>
              </w:rPr>
              <w:t>not</w:t>
            </w:r>
            <w:r w:rsidRPr="00E0334D">
              <w:rPr>
                <w:rFonts w:ascii="Arial Narrow" w:hAnsi="Arial Narrow"/>
                <w:kern w:val="2"/>
                <w:sz w:val="20"/>
                <w:szCs w:val="20"/>
              </w:rPr>
              <w:t xml:space="preserve"> respond</w:t>
            </w:r>
            <w:r>
              <w:rPr>
                <w:rFonts w:ascii="Arial Narrow" w:hAnsi="Arial Narrow"/>
                <w:kern w:val="2"/>
                <w:sz w:val="20"/>
                <w:szCs w:val="20"/>
              </w:rPr>
              <w:t>ed</w:t>
            </w:r>
            <w:r w:rsidRPr="00E0334D">
              <w:rPr>
                <w:rFonts w:ascii="Arial Narrow" w:hAnsi="Arial Narrow"/>
                <w:kern w:val="2"/>
                <w:sz w:val="20"/>
                <w:szCs w:val="20"/>
              </w:rPr>
              <w:t xml:space="preserve"> to treatment with this drug, unless the patient has experienced a serious adverse reaction of a severity resulting in the necessity for permanent withdrawal of treatment.</w:t>
            </w:r>
          </w:p>
        </w:tc>
      </w:tr>
    </w:tbl>
    <w:p w14:paraId="6FF885E9" w14:textId="77777777" w:rsidR="007942E3" w:rsidRPr="007942E3" w:rsidRDefault="007942E3" w:rsidP="007942E3"/>
    <w:p w14:paraId="419B5E47" w14:textId="77777777" w:rsidR="00832C22" w:rsidRDefault="00832C22" w:rsidP="00832C22">
      <w:pPr>
        <w:pStyle w:val="Heading2"/>
        <w:rPr>
          <w:b w:val="0"/>
          <w:bCs/>
          <w:sz w:val="24"/>
        </w:rPr>
      </w:pPr>
      <w:r w:rsidRPr="00A60D5A">
        <w:rPr>
          <w:bCs/>
          <w:sz w:val="24"/>
        </w:rPr>
        <w:t>Optional extended induction period</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Optional extended induction period"/>
      </w:tblPr>
      <w:tblGrid>
        <w:gridCol w:w="421"/>
        <w:gridCol w:w="850"/>
        <w:gridCol w:w="2268"/>
        <w:gridCol w:w="1276"/>
        <w:gridCol w:w="992"/>
        <w:gridCol w:w="851"/>
        <w:gridCol w:w="708"/>
        <w:gridCol w:w="1701"/>
      </w:tblGrid>
      <w:tr w:rsidR="00832C22" w14:paraId="1A5FD0F6" w14:textId="77777777">
        <w:trPr>
          <w:cantSplit/>
          <w:trHeight w:val="20"/>
        </w:trPr>
        <w:tc>
          <w:tcPr>
            <w:tcW w:w="3538" w:type="dxa"/>
            <w:gridSpan w:val="3"/>
            <w:tcBorders>
              <w:top w:val="single" w:sz="4" w:space="0" w:color="auto"/>
              <w:left w:val="single" w:sz="4" w:space="0" w:color="auto"/>
              <w:bottom w:val="single" w:sz="4" w:space="0" w:color="auto"/>
              <w:right w:val="single" w:sz="4" w:space="0" w:color="auto"/>
            </w:tcBorders>
            <w:vAlign w:val="center"/>
            <w:hideMark/>
          </w:tcPr>
          <w:p w14:paraId="007CA4C3" w14:textId="77777777" w:rsidR="00832C22" w:rsidRDefault="00832C22">
            <w:pPr>
              <w:keepLines/>
              <w:rPr>
                <w:rFonts w:ascii="Arial Narrow" w:hAnsi="Arial Narrow"/>
                <w:b/>
                <w:bCs/>
                <w:kern w:val="2"/>
                <w:sz w:val="20"/>
                <w:szCs w:val="20"/>
              </w:rPr>
            </w:pPr>
            <w:r>
              <w:rPr>
                <w:rFonts w:ascii="Arial Narrow" w:hAnsi="Arial Narrow"/>
                <w:b/>
                <w:bCs/>
                <w:kern w:val="2"/>
                <w:sz w:val="20"/>
                <w:szCs w:val="20"/>
              </w:rPr>
              <w:t>MEDICINAL PRODUCT</w:t>
            </w:r>
          </w:p>
          <w:p w14:paraId="48C96D95" w14:textId="77777777" w:rsidR="00832C22" w:rsidRDefault="00832C22">
            <w:pPr>
              <w:keepLines/>
              <w:rPr>
                <w:rFonts w:ascii="Arial Narrow" w:hAnsi="Arial Narrow"/>
                <w:b/>
                <w:kern w:val="2"/>
                <w:sz w:val="20"/>
                <w:szCs w:val="20"/>
              </w:rPr>
            </w:pPr>
            <w:r>
              <w:rPr>
                <w:rFonts w:ascii="Arial Narrow" w:hAnsi="Arial Narrow"/>
                <w:b/>
                <w:bCs/>
                <w:kern w:val="2"/>
                <w:sz w:val="20"/>
                <w:szCs w:val="20"/>
              </w:rPr>
              <w:t>medicinal product pack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7DD56D" w14:textId="77777777" w:rsidR="00832C22" w:rsidRDefault="00832C22">
            <w:pPr>
              <w:keepLines/>
              <w:jc w:val="center"/>
              <w:rPr>
                <w:rFonts w:ascii="Arial Narrow" w:hAnsi="Arial Narrow"/>
                <w:b/>
                <w:kern w:val="2"/>
                <w:sz w:val="20"/>
                <w:szCs w:val="20"/>
              </w:rPr>
            </w:pPr>
            <w:r>
              <w:rPr>
                <w:rFonts w:ascii="Arial Narrow" w:hAnsi="Arial Narrow"/>
                <w:b/>
                <w:kern w:val="2"/>
                <w:sz w:val="20"/>
                <w:szCs w:val="20"/>
              </w:rPr>
              <w:t>PBS item code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71BC45" w14:textId="77777777" w:rsidR="00832C22" w:rsidRDefault="00832C22">
            <w:pPr>
              <w:keepLines/>
              <w:jc w:val="center"/>
              <w:rPr>
                <w:rFonts w:ascii="Arial Narrow" w:hAnsi="Arial Narrow"/>
                <w:b/>
                <w:kern w:val="2"/>
                <w:sz w:val="20"/>
                <w:szCs w:val="20"/>
              </w:rPr>
            </w:pPr>
            <w:r>
              <w:rPr>
                <w:rFonts w:ascii="Arial Narrow" w:hAnsi="Arial Narrow"/>
                <w:b/>
                <w:kern w:val="2"/>
                <w:sz w:val="20"/>
                <w:szCs w:val="20"/>
              </w:rPr>
              <w:t>Max. qty packs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507EB5" w14:textId="77777777" w:rsidR="00832C22" w:rsidRDefault="00832C22">
            <w:pPr>
              <w:keepLines/>
              <w:jc w:val="center"/>
              <w:rPr>
                <w:rFonts w:ascii="Arial Narrow" w:hAnsi="Arial Narrow"/>
                <w:b/>
                <w:kern w:val="2"/>
                <w:sz w:val="20"/>
                <w:szCs w:val="20"/>
              </w:rPr>
            </w:pPr>
            <w:r>
              <w:rPr>
                <w:rFonts w:ascii="Arial Narrow" w:hAnsi="Arial Narrow"/>
                <w:b/>
                <w:kern w:val="2"/>
                <w:sz w:val="20"/>
                <w:szCs w:val="20"/>
              </w:rPr>
              <w:t>Max. qty units</w:t>
            </w:r>
          </w:p>
        </w:tc>
        <w:tc>
          <w:tcPr>
            <w:tcW w:w="708" w:type="dxa"/>
            <w:tcBorders>
              <w:top w:val="single" w:sz="4" w:space="0" w:color="auto"/>
              <w:left w:val="single" w:sz="4" w:space="0" w:color="auto"/>
              <w:bottom w:val="single" w:sz="4" w:space="0" w:color="auto"/>
              <w:right w:val="single" w:sz="4" w:space="0" w:color="auto"/>
            </w:tcBorders>
            <w:vAlign w:val="center"/>
            <w:hideMark/>
          </w:tcPr>
          <w:p w14:paraId="59199ED9" w14:textId="77777777" w:rsidR="00832C22" w:rsidRDefault="00832C22">
            <w:pPr>
              <w:keepLines/>
              <w:jc w:val="center"/>
              <w:rPr>
                <w:rFonts w:ascii="Arial Narrow" w:hAnsi="Arial Narrow"/>
                <w:b/>
                <w:kern w:val="2"/>
                <w:sz w:val="20"/>
                <w:szCs w:val="20"/>
              </w:rPr>
            </w:pPr>
            <w:r>
              <w:rPr>
                <w:rFonts w:ascii="Arial Narrow" w:hAnsi="Arial Narrow"/>
                <w:b/>
                <w:kern w:val="2"/>
                <w:sz w:val="20"/>
                <w:szCs w:val="20"/>
              </w:rPr>
              <w:t>№.of</w:t>
            </w:r>
          </w:p>
          <w:p w14:paraId="46EFD468" w14:textId="77777777" w:rsidR="00832C22" w:rsidRDefault="00832C22">
            <w:pPr>
              <w:keepLines/>
              <w:jc w:val="center"/>
              <w:rPr>
                <w:rFonts w:ascii="Arial Narrow" w:hAnsi="Arial Narrow"/>
                <w:b/>
                <w:kern w:val="2"/>
                <w:sz w:val="20"/>
                <w:szCs w:val="20"/>
              </w:rPr>
            </w:pPr>
            <w:r>
              <w:rPr>
                <w:rFonts w:ascii="Arial Narrow" w:hAnsi="Arial Narrow"/>
                <w:b/>
                <w:kern w:val="2"/>
                <w:sz w:val="20"/>
                <w:szCs w:val="20"/>
              </w:rPr>
              <w:t>Rpts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B470FF" w14:textId="77777777" w:rsidR="00832C22" w:rsidRDefault="00832C22">
            <w:pPr>
              <w:keepLines/>
              <w:rPr>
                <w:rFonts w:ascii="Arial Narrow" w:hAnsi="Arial Narrow"/>
                <w:b/>
                <w:kern w:val="2"/>
                <w:sz w:val="20"/>
                <w:szCs w:val="20"/>
                <w:lang w:val="fr-FR"/>
              </w:rPr>
            </w:pPr>
            <w:r>
              <w:rPr>
                <w:rFonts w:ascii="Arial Narrow" w:hAnsi="Arial Narrow"/>
                <w:b/>
                <w:kern w:val="2"/>
                <w:sz w:val="20"/>
                <w:szCs w:val="20"/>
              </w:rPr>
              <w:t>Available brands</w:t>
            </w:r>
          </w:p>
        </w:tc>
      </w:tr>
      <w:tr w:rsidR="00832C22" w14:paraId="7DA89E7A" w14:textId="77777777">
        <w:trPr>
          <w:cantSplit/>
          <w:trHeight w:val="20"/>
        </w:trPr>
        <w:tc>
          <w:tcPr>
            <w:tcW w:w="9066" w:type="dxa"/>
            <w:gridSpan w:val="8"/>
            <w:tcBorders>
              <w:top w:val="single" w:sz="4" w:space="0" w:color="auto"/>
              <w:left w:val="single" w:sz="4" w:space="0" w:color="auto"/>
              <w:bottom w:val="single" w:sz="4" w:space="0" w:color="auto"/>
              <w:right w:val="single" w:sz="4" w:space="0" w:color="auto"/>
            </w:tcBorders>
            <w:vAlign w:val="center"/>
            <w:hideMark/>
          </w:tcPr>
          <w:p w14:paraId="68E03D9D" w14:textId="77777777" w:rsidR="00832C22" w:rsidRDefault="00832C22">
            <w:pPr>
              <w:keepLines/>
              <w:rPr>
                <w:rFonts w:ascii="Arial Narrow" w:hAnsi="Arial Narrow"/>
                <w:kern w:val="2"/>
                <w:sz w:val="20"/>
                <w:szCs w:val="20"/>
              </w:rPr>
            </w:pPr>
            <w:r>
              <w:rPr>
                <w:rFonts w:ascii="Arial Narrow" w:hAnsi="Arial Narrow"/>
                <w:kern w:val="2"/>
                <w:sz w:val="20"/>
                <w:szCs w:val="20"/>
              </w:rPr>
              <w:t>UPADACITINIB</w:t>
            </w:r>
          </w:p>
        </w:tc>
      </w:tr>
      <w:tr w:rsidR="00832C22" w14:paraId="658CA18A" w14:textId="77777777">
        <w:trPr>
          <w:cantSplit/>
          <w:trHeight w:val="20"/>
        </w:trPr>
        <w:tc>
          <w:tcPr>
            <w:tcW w:w="3538" w:type="dxa"/>
            <w:gridSpan w:val="3"/>
            <w:tcBorders>
              <w:top w:val="single" w:sz="4" w:space="0" w:color="auto"/>
              <w:left w:val="single" w:sz="4" w:space="0" w:color="auto"/>
              <w:bottom w:val="single" w:sz="4" w:space="0" w:color="auto"/>
              <w:right w:val="single" w:sz="4" w:space="0" w:color="auto"/>
            </w:tcBorders>
            <w:vAlign w:val="center"/>
          </w:tcPr>
          <w:p w14:paraId="48D4A47B" w14:textId="77777777" w:rsidR="00832C22" w:rsidRPr="0048020E" w:rsidRDefault="00832C22">
            <w:pPr>
              <w:keepLines/>
              <w:rPr>
                <w:rFonts w:ascii="Arial Narrow" w:hAnsi="Arial Narrow"/>
                <w:kern w:val="2"/>
                <w:sz w:val="20"/>
                <w:szCs w:val="20"/>
              </w:rPr>
            </w:pPr>
            <w:r>
              <w:rPr>
                <w:rFonts w:ascii="Arial Narrow" w:hAnsi="Arial Narrow"/>
                <w:kern w:val="2"/>
                <w:sz w:val="20"/>
                <w:szCs w:val="20"/>
              </w:rPr>
              <w:t xml:space="preserve">upadacitinib 30 mg oral tablet, 28 </w:t>
            </w:r>
          </w:p>
        </w:tc>
        <w:tc>
          <w:tcPr>
            <w:tcW w:w="1276" w:type="dxa"/>
            <w:tcBorders>
              <w:top w:val="single" w:sz="4" w:space="0" w:color="auto"/>
              <w:left w:val="single" w:sz="4" w:space="0" w:color="auto"/>
              <w:bottom w:val="single" w:sz="4" w:space="0" w:color="auto"/>
              <w:right w:val="single" w:sz="4" w:space="0" w:color="auto"/>
            </w:tcBorders>
            <w:vAlign w:val="center"/>
          </w:tcPr>
          <w:p w14:paraId="20B6EDC2" w14:textId="77777777" w:rsidR="00832C22" w:rsidRPr="0048020E" w:rsidRDefault="00832C22">
            <w:pPr>
              <w:keepLines/>
              <w:jc w:val="center"/>
              <w:rPr>
                <w:rFonts w:ascii="Arial Narrow" w:hAnsi="Arial Narrow"/>
                <w:kern w:val="2"/>
                <w:sz w:val="20"/>
                <w:szCs w:val="20"/>
              </w:rPr>
            </w:pPr>
            <w:r w:rsidRPr="0048020E">
              <w:rPr>
                <w:rFonts w:ascii="Arial Narrow" w:hAnsi="Arial Narrow"/>
                <w:kern w:val="2"/>
                <w:sz w:val="20"/>
                <w:szCs w:val="20"/>
              </w:rPr>
              <w:t xml:space="preserve">NEW </w:t>
            </w:r>
          </w:p>
        </w:tc>
        <w:tc>
          <w:tcPr>
            <w:tcW w:w="992" w:type="dxa"/>
            <w:tcBorders>
              <w:top w:val="single" w:sz="4" w:space="0" w:color="auto"/>
              <w:left w:val="single" w:sz="4" w:space="0" w:color="auto"/>
              <w:bottom w:val="single" w:sz="4" w:space="0" w:color="auto"/>
              <w:right w:val="single" w:sz="4" w:space="0" w:color="auto"/>
            </w:tcBorders>
            <w:vAlign w:val="center"/>
          </w:tcPr>
          <w:p w14:paraId="24CBF49C" w14:textId="77777777" w:rsidR="00832C22" w:rsidRPr="0048020E" w:rsidRDefault="00832C22">
            <w:pPr>
              <w:keepLines/>
              <w:jc w:val="center"/>
              <w:rPr>
                <w:rFonts w:ascii="Arial Narrow" w:hAnsi="Arial Narrow"/>
                <w:kern w:val="2"/>
                <w:sz w:val="20"/>
                <w:szCs w:val="20"/>
              </w:rPr>
            </w:pPr>
            <w:r w:rsidRPr="0048020E">
              <w:rPr>
                <w:rFonts w:ascii="Arial Narrow" w:hAnsi="Arial Narrow"/>
                <w:kern w:val="2"/>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3F73C2F0" w14:textId="77777777" w:rsidR="00832C22" w:rsidRPr="0048020E" w:rsidRDefault="00832C22">
            <w:pPr>
              <w:keepLines/>
              <w:jc w:val="center"/>
              <w:rPr>
                <w:rFonts w:ascii="Arial Narrow" w:hAnsi="Arial Narrow"/>
                <w:kern w:val="2"/>
                <w:sz w:val="20"/>
                <w:szCs w:val="20"/>
              </w:rPr>
            </w:pPr>
            <w:r>
              <w:rPr>
                <w:rFonts w:ascii="Arial Narrow" w:hAnsi="Arial Narrow"/>
                <w:kern w:val="2"/>
                <w:sz w:val="20"/>
                <w:szCs w:val="20"/>
              </w:rPr>
              <w:t>28</w:t>
            </w:r>
          </w:p>
        </w:tc>
        <w:tc>
          <w:tcPr>
            <w:tcW w:w="708" w:type="dxa"/>
            <w:tcBorders>
              <w:top w:val="single" w:sz="4" w:space="0" w:color="auto"/>
              <w:left w:val="single" w:sz="4" w:space="0" w:color="auto"/>
              <w:bottom w:val="single" w:sz="4" w:space="0" w:color="auto"/>
              <w:right w:val="single" w:sz="4" w:space="0" w:color="auto"/>
            </w:tcBorders>
            <w:vAlign w:val="center"/>
          </w:tcPr>
          <w:p w14:paraId="570A48DA" w14:textId="77777777" w:rsidR="00832C22" w:rsidRPr="0048020E" w:rsidRDefault="00832C22">
            <w:pPr>
              <w:keepLines/>
              <w:jc w:val="center"/>
              <w:rPr>
                <w:rFonts w:ascii="Arial Narrow" w:hAnsi="Arial Narrow"/>
                <w:kern w:val="2"/>
                <w:sz w:val="20"/>
                <w:szCs w:val="20"/>
              </w:rPr>
            </w:pPr>
            <w:r>
              <w:rPr>
                <w:rFonts w:ascii="Arial Narrow" w:hAnsi="Arial Narrow"/>
                <w:kern w:val="2"/>
                <w:sz w:val="20"/>
                <w:szCs w:val="20"/>
              </w:rPr>
              <w:t>2</w:t>
            </w:r>
          </w:p>
        </w:tc>
        <w:tc>
          <w:tcPr>
            <w:tcW w:w="1701" w:type="dxa"/>
            <w:tcBorders>
              <w:top w:val="single" w:sz="4" w:space="0" w:color="auto"/>
              <w:left w:val="single" w:sz="4" w:space="0" w:color="auto"/>
              <w:right w:val="single" w:sz="4" w:space="0" w:color="auto"/>
            </w:tcBorders>
            <w:vAlign w:val="center"/>
          </w:tcPr>
          <w:p w14:paraId="4099C0F7" w14:textId="77777777" w:rsidR="00832C22" w:rsidRPr="0048020E" w:rsidRDefault="00832C22">
            <w:pPr>
              <w:keepLines/>
              <w:jc w:val="center"/>
              <w:rPr>
                <w:rFonts w:ascii="Arial Narrow" w:hAnsi="Arial Narrow"/>
                <w:kern w:val="2"/>
                <w:sz w:val="20"/>
                <w:szCs w:val="20"/>
              </w:rPr>
            </w:pPr>
            <w:r>
              <w:rPr>
                <w:rFonts w:ascii="Arial Narrow" w:hAnsi="Arial Narrow"/>
                <w:kern w:val="2"/>
                <w:sz w:val="20"/>
                <w:szCs w:val="20"/>
              </w:rPr>
              <w:t>Rinvoq</w:t>
            </w:r>
          </w:p>
        </w:tc>
      </w:tr>
      <w:tr w:rsidR="00832C22" w14:paraId="2012FAB7" w14:textId="77777777">
        <w:trPr>
          <w:trHeight w:val="20"/>
        </w:trPr>
        <w:tc>
          <w:tcPr>
            <w:tcW w:w="906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F1E14DB" w14:textId="77777777" w:rsidR="00832C22" w:rsidRPr="0048020E" w:rsidRDefault="00832C22">
            <w:pPr>
              <w:rPr>
                <w:rFonts w:ascii="Arial Narrow" w:hAnsi="Arial Narrow"/>
                <w:kern w:val="2"/>
                <w:sz w:val="20"/>
                <w:szCs w:val="20"/>
              </w:rPr>
            </w:pPr>
          </w:p>
        </w:tc>
      </w:tr>
      <w:tr w:rsidR="00832C22" w14:paraId="06BAD3B2" w14:textId="77777777">
        <w:trPr>
          <w:trHeight w:val="20"/>
        </w:trPr>
        <w:tc>
          <w:tcPr>
            <w:tcW w:w="1270"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328FA34" w14:textId="77777777" w:rsidR="00832C22" w:rsidRDefault="00832C22">
            <w:pPr>
              <w:jc w:val="center"/>
              <w:rPr>
                <w:rFonts w:ascii="Arial Narrow" w:hAnsi="Arial Narrow"/>
                <w:kern w:val="2"/>
                <w:sz w:val="20"/>
                <w:szCs w:val="20"/>
              </w:rPr>
            </w:pPr>
            <w:r>
              <w:rPr>
                <w:rFonts w:ascii="Arial Narrow" w:hAnsi="Arial Narrow"/>
                <w:b/>
                <w:kern w:val="2"/>
                <w:sz w:val="20"/>
                <w:szCs w:val="20"/>
              </w:rPr>
              <w:t>Concept ID</w:t>
            </w:r>
          </w:p>
          <w:p w14:paraId="26134774" w14:textId="77777777" w:rsidR="00832C22" w:rsidRDefault="00832C22">
            <w:pPr>
              <w:jc w:val="center"/>
              <w:rPr>
                <w:rFonts w:ascii="Arial Narrow" w:hAnsi="Arial Narrow"/>
                <w:b/>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A8E736" w14:textId="2B51DB15" w:rsidR="00832C22" w:rsidRPr="0048020E" w:rsidRDefault="00832C22">
            <w:pPr>
              <w:keepLines/>
              <w:jc w:val="left"/>
              <w:rPr>
                <w:rFonts w:ascii="Arial Narrow" w:hAnsi="Arial Narrow"/>
                <w:kern w:val="2"/>
                <w:sz w:val="20"/>
                <w:szCs w:val="20"/>
              </w:rPr>
            </w:pPr>
            <w:r w:rsidRPr="0048020E">
              <w:rPr>
                <w:rFonts w:ascii="Arial Narrow" w:hAnsi="Arial Narrow"/>
                <w:b/>
                <w:kern w:val="2"/>
                <w:sz w:val="20"/>
                <w:szCs w:val="20"/>
              </w:rPr>
              <w:t>Category / Program:</w:t>
            </w:r>
            <w:r w:rsidRPr="0048020E">
              <w:rPr>
                <w:rFonts w:ascii="Arial Narrow" w:hAnsi="Arial Narrow"/>
                <w:kern w:val="2"/>
                <w:sz w:val="20"/>
                <w:szCs w:val="20"/>
              </w:rPr>
              <w:t xml:space="preserve"> </w:t>
            </w:r>
            <w:r w:rsidRPr="0048020E">
              <w:rPr>
                <w:rFonts w:ascii="Arial Narrow" w:hAnsi="Arial Narrow"/>
                <w:kern w:val="2"/>
                <w:sz w:val="20"/>
                <w:szCs w:val="20"/>
              </w:rPr>
              <w:fldChar w:fldCharType="begin">
                <w:ffData>
                  <w:name w:val=""/>
                  <w:enabled/>
                  <w:calcOnExit w:val="0"/>
                  <w:checkBox>
                    <w:sizeAuto/>
                    <w:default w:val="1"/>
                  </w:checkBox>
                </w:ffData>
              </w:fldChar>
            </w:r>
            <w:r w:rsidRPr="0048020E">
              <w:rPr>
                <w:rFonts w:ascii="Arial Narrow" w:hAnsi="Arial Narrow"/>
                <w:kern w:val="2"/>
                <w:sz w:val="20"/>
                <w:szCs w:val="20"/>
              </w:rPr>
              <w:instrText xml:space="preserve"> FORMCHECKBOX </w:instrText>
            </w:r>
            <w:r w:rsidRPr="0048020E">
              <w:rPr>
                <w:rFonts w:ascii="Arial Narrow" w:hAnsi="Arial Narrow"/>
                <w:kern w:val="2"/>
                <w:sz w:val="20"/>
                <w:szCs w:val="20"/>
              </w:rPr>
            </w:r>
            <w:r w:rsidRPr="0048020E">
              <w:rPr>
                <w:rFonts w:ascii="Arial Narrow" w:hAnsi="Arial Narrow"/>
                <w:kern w:val="2"/>
                <w:sz w:val="20"/>
                <w:szCs w:val="20"/>
              </w:rPr>
              <w:fldChar w:fldCharType="separate"/>
            </w:r>
            <w:r w:rsidRPr="0048020E">
              <w:rPr>
                <w:rFonts w:ascii="Arial Narrow" w:hAnsi="Arial Narrow"/>
                <w:kern w:val="2"/>
                <w:sz w:val="20"/>
                <w:szCs w:val="20"/>
              </w:rPr>
              <w:fldChar w:fldCharType="end"/>
            </w:r>
            <w:r w:rsidRPr="0048020E">
              <w:rPr>
                <w:rFonts w:ascii="Arial Narrow" w:hAnsi="Arial Narrow"/>
                <w:kern w:val="2"/>
                <w:sz w:val="20"/>
                <w:szCs w:val="20"/>
              </w:rPr>
              <w:t xml:space="preserve"> </w:t>
            </w:r>
            <w:r w:rsidRPr="00B73699">
              <w:rPr>
                <w:rFonts w:ascii="Arial Narrow" w:eastAsia="Calibri" w:hAnsi="Arial Narrow"/>
                <w:sz w:val="20"/>
                <w:szCs w:val="20"/>
              </w:rPr>
              <w:t xml:space="preserve">GENERAL </w:t>
            </w:r>
            <w:r w:rsidR="00FC7500">
              <w:rPr>
                <w:rFonts w:ascii="Arial Narrow" w:eastAsia="Calibri" w:hAnsi="Arial Narrow"/>
                <w:sz w:val="20"/>
                <w:szCs w:val="20"/>
              </w:rPr>
              <w:noBreakHyphen/>
            </w:r>
            <w:r w:rsidRPr="00B73699">
              <w:rPr>
                <w:rFonts w:ascii="Arial Narrow" w:eastAsia="Calibri" w:hAnsi="Arial Narrow"/>
                <w:sz w:val="20"/>
                <w:szCs w:val="20"/>
              </w:rPr>
              <w:t xml:space="preserve"> </w:t>
            </w:r>
            <w:proofErr w:type="spellStart"/>
            <w:r w:rsidRPr="00B73699">
              <w:rPr>
                <w:rFonts w:ascii="Arial Narrow" w:eastAsia="Calibri" w:hAnsi="Arial Narrow"/>
                <w:sz w:val="20"/>
                <w:szCs w:val="20"/>
              </w:rPr>
              <w:t>General</w:t>
            </w:r>
            <w:proofErr w:type="spellEnd"/>
            <w:r w:rsidRPr="00B73699">
              <w:rPr>
                <w:rFonts w:ascii="Arial Narrow" w:eastAsia="Calibri" w:hAnsi="Arial Narrow"/>
                <w:sz w:val="20"/>
                <w:szCs w:val="20"/>
              </w:rPr>
              <w:t xml:space="preserve"> Schedule (Code GE)</w:t>
            </w:r>
          </w:p>
        </w:tc>
      </w:tr>
      <w:tr w:rsidR="00832C22" w14:paraId="229D4A2A" w14:textId="77777777">
        <w:trPr>
          <w:trHeight w:val="20"/>
        </w:trPr>
        <w:tc>
          <w:tcPr>
            <w:tcW w:w="1270" w:type="dxa"/>
            <w:gridSpan w:val="2"/>
            <w:vMerge/>
            <w:tcBorders>
              <w:top w:val="single" w:sz="4" w:space="0" w:color="auto"/>
              <w:left w:val="single" w:sz="4" w:space="0" w:color="auto"/>
              <w:bottom w:val="single" w:sz="4" w:space="0" w:color="auto"/>
              <w:right w:val="single" w:sz="4" w:space="0" w:color="auto"/>
            </w:tcBorders>
            <w:vAlign w:val="center"/>
            <w:hideMark/>
          </w:tcPr>
          <w:p w14:paraId="4857F54F" w14:textId="77777777" w:rsidR="00832C22" w:rsidRDefault="00832C22">
            <w:pPr>
              <w:rPr>
                <w:rFonts w:ascii="Arial Narrow" w:hAnsi="Arial Narrow"/>
                <w:b/>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6AA087" w14:textId="77777777" w:rsidR="00832C22" w:rsidRPr="0048020E" w:rsidRDefault="00832C22">
            <w:pPr>
              <w:keepLines/>
              <w:rPr>
                <w:rFonts w:ascii="Arial Narrow" w:hAnsi="Arial Narrow"/>
                <w:b/>
                <w:kern w:val="2"/>
                <w:sz w:val="20"/>
                <w:szCs w:val="20"/>
              </w:rPr>
            </w:pPr>
            <w:r w:rsidRPr="0048020E">
              <w:rPr>
                <w:rFonts w:ascii="Arial Narrow" w:hAnsi="Arial Narrow"/>
                <w:b/>
                <w:kern w:val="2"/>
                <w:sz w:val="20"/>
                <w:szCs w:val="20"/>
              </w:rPr>
              <w:t xml:space="preserve">Prescriber type: </w:t>
            </w:r>
            <w:r w:rsidRPr="0048020E">
              <w:rPr>
                <w:rFonts w:ascii="Arial Narrow" w:hAnsi="Arial Narrow"/>
                <w:kern w:val="2"/>
                <w:sz w:val="20"/>
                <w:szCs w:val="20"/>
              </w:rPr>
              <w:fldChar w:fldCharType="begin">
                <w:ffData>
                  <w:name w:val=""/>
                  <w:enabled/>
                  <w:calcOnExit w:val="0"/>
                  <w:checkBox>
                    <w:sizeAuto/>
                    <w:default w:val="1"/>
                  </w:checkBox>
                </w:ffData>
              </w:fldChar>
            </w:r>
            <w:r w:rsidRPr="0048020E">
              <w:rPr>
                <w:rFonts w:ascii="Arial Narrow" w:hAnsi="Arial Narrow"/>
                <w:kern w:val="2"/>
                <w:sz w:val="20"/>
                <w:szCs w:val="20"/>
              </w:rPr>
              <w:instrText xml:space="preserve"> FORMCHECKBOX </w:instrText>
            </w:r>
            <w:r w:rsidRPr="0048020E">
              <w:rPr>
                <w:rFonts w:ascii="Arial Narrow" w:hAnsi="Arial Narrow"/>
                <w:kern w:val="2"/>
                <w:sz w:val="20"/>
                <w:szCs w:val="20"/>
              </w:rPr>
            </w:r>
            <w:r w:rsidRPr="0048020E">
              <w:rPr>
                <w:rFonts w:ascii="Arial Narrow" w:hAnsi="Arial Narrow"/>
                <w:kern w:val="2"/>
                <w:sz w:val="20"/>
                <w:szCs w:val="20"/>
              </w:rPr>
              <w:fldChar w:fldCharType="separate"/>
            </w:r>
            <w:r w:rsidRPr="0048020E">
              <w:rPr>
                <w:rFonts w:ascii="Arial Narrow" w:hAnsi="Arial Narrow"/>
                <w:kern w:val="2"/>
                <w:sz w:val="20"/>
                <w:szCs w:val="20"/>
              </w:rPr>
              <w:fldChar w:fldCharType="end"/>
            </w:r>
            <w:r w:rsidRPr="0048020E">
              <w:rPr>
                <w:rFonts w:ascii="Arial Narrow" w:hAnsi="Arial Narrow"/>
                <w:kern w:val="2"/>
                <w:sz w:val="20"/>
                <w:szCs w:val="20"/>
              </w:rPr>
              <w:t xml:space="preserve"> Medical Practitioners </w:t>
            </w:r>
          </w:p>
        </w:tc>
      </w:tr>
      <w:tr w:rsidR="00832C22" w14:paraId="19C5377E" w14:textId="77777777">
        <w:trPr>
          <w:trHeight w:val="20"/>
        </w:trPr>
        <w:tc>
          <w:tcPr>
            <w:tcW w:w="1270" w:type="dxa"/>
            <w:gridSpan w:val="2"/>
            <w:vMerge/>
            <w:tcBorders>
              <w:top w:val="single" w:sz="4" w:space="0" w:color="auto"/>
              <w:left w:val="single" w:sz="4" w:space="0" w:color="auto"/>
              <w:bottom w:val="single" w:sz="4" w:space="0" w:color="auto"/>
              <w:right w:val="single" w:sz="4" w:space="0" w:color="auto"/>
            </w:tcBorders>
            <w:vAlign w:val="center"/>
            <w:hideMark/>
          </w:tcPr>
          <w:p w14:paraId="0732EF20" w14:textId="77777777" w:rsidR="00832C22" w:rsidRDefault="00832C22">
            <w:pPr>
              <w:rPr>
                <w:rFonts w:ascii="Arial Narrow" w:hAnsi="Arial Narrow"/>
                <w:b/>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80C4523" w14:textId="77777777" w:rsidR="00832C22" w:rsidRPr="0066042F" w:rsidRDefault="00832C22">
            <w:pPr>
              <w:keepLines/>
              <w:jc w:val="left"/>
              <w:rPr>
                <w:rFonts w:ascii="Arial Narrow" w:hAnsi="Arial Narrow"/>
                <w:i/>
                <w:iCs/>
                <w:kern w:val="2"/>
                <w:sz w:val="20"/>
                <w:szCs w:val="20"/>
              </w:rPr>
            </w:pPr>
            <w:r w:rsidRPr="0066042F">
              <w:rPr>
                <w:rFonts w:ascii="Arial Narrow" w:hAnsi="Arial Narrow"/>
                <w:b/>
                <w:kern w:val="2"/>
                <w:sz w:val="20"/>
                <w:szCs w:val="20"/>
              </w:rPr>
              <w:t xml:space="preserve">Benefit type: </w:t>
            </w:r>
            <w:r w:rsidRPr="0066042F">
              <w:rPr>
                <w:rFonts w:ascii="Arial Narrow" w:hAnsi="Arial Narrow"/>
                <w:kern w:val="2"/>
                <w:sz w:val="20"/>
                <w:szCs w:val="20"/>
              </w:rPr>
              <w:fldChar w:fldCharType="begin">
                <w:ffData>
                  <w:name w:val=""/>
                  <w:enabled/>
                  <w:calcOnExit w:val="0"/>
                  <w:checkBox>
                    <w:sizeAuto/>
                    <w:default w:val="1"/>
                  </w:checkBox>
                </w:ffData>
              </w:fldChar>
            </w:r>
            <w:r w:rsidRPr="0066042F">
              <w:rPr>
                <w:rFonts w:ascii="Arial Narrow" w:hAnsi="Arial Narrow"/>
                <w:kern w:val="2"/>
                <w:sz w:val="20"/>
                <w:szCs w:val="20"/>
              </w:rPr>
              <w:instrText xml:space="preserve"> FORMCHECKBOX </w:instrText>
            </w:r>
            <w:r w:rsidRPr="0066042F">
              <w:rPr>
                <w:rFonts w:ascii="Arial Narrow" w:hAnsi="Arial Narrow"/>
                <w:kern w:val="2"/>
                <w:sz w:val="20"/>
                <w:szCs w:val="20"/>
              </w:rPr>
            </w:r>
            <w:r w:rsidRPr="0066042F">
              <w:rPr>
                <w:rFonts w:ascii="Arial Narrow" w:hAnsi="Arial Narrow"/>
                <w:kern w:val="2"/>
                <w:sz w:val="20"/>
                <w:szCs w:val="20"/>
              </w:rPr>
              <w:fldChar w:fldCharType="separate"/>
            </w:r>
            <w:r w:rsidRPr="0066042F">
              <w:rPr>
                <w:rFonts w:ascii="Arial Narrow" w:hAnsi="Arial Narrow"/>
                <w:kern w:val="2"/>
                <w:sz w:val="20"/>
                <w:szCs w:val="20"/>
              </w:rPr>
              <w:fldChar w:fldCharType="end"/>
            </w:r>
            <w:r w:rsidRPr="0066042F">
              <w:rPr>
                <w:rFonts w:ascii="Arial Narrow" w:hAnsi="Arial Narrow"/>
                <w:kern w:val="2"/>
                <w:sz w:val="20"/>
                <w:szCs w:val="20"/>
              </w:rPr>
              <w:t xml:space="preserve"> </w:t>
            </w:r>
            <w:r w:rsidRPr="0066042F">
              <w:rPr>
                <w:rFonts w:ascii="Arial Narrow" w:eastAsia="Calibri" w:hAnsi="Arial Narrow"/>
                <w:sz w:val="20"/>
                <w:szCs w:val="20"/>
              </w:rPr>
              <w:t xml:space="preserve">Authority Required (Telephone/Online PBS Authorities System) </w:t>
            </w:r>
          </w:p>
        </w:tc>
      </w:tr>
      <w:tr w:rsidR="00832C22" w14:paraId="0DB113D8" w14:textId="77777777">
        <w:trPr>
          <w:trHeight w:val="100"/>
        </w:trPr>
        <w:tc>
          <w:tcPr>
            <w:tcW w:w="420" w:type="dxa"/>
            <w:vMerge w:val="restart"/>
            <w:textDirection w:val="btLr"/>
          </w:tcPr>
          <w:p w14:paraId="3DEEA634" w14:textId="77777777" w:rsidR="00832C22" w:rsidRPr="00E745C2" w:rsidRDefault="00832C22">
            <w:pPr>
              <w:jc w:val="center"/>
              <w:rPr>
                <w:rFonts w:ascii="Arial Narrow" w:hAnsi="Arial Narrow"/>
                <w:sz w:val="20"/>
                <w:szCs w:val="20"/>
              </w:rPr>
            </w:pPr>
            <w:r w:rsidRPr="00E745C2">
              <w:rPr>
                <w:rFonts w:ascii="Arial Narrow" w:hAnsi="Arial Narrow"/>
                <w:sz w:val="20"/>
                <w:szCs w:val="20"/>
              </w:rPr>
              <w:t>Prescribing rule</w:t>
            </w:r>
            <w:r>
              <w:rPr>
                <w:rFonts w:ascii="Arial Narrow" w:hAnsi="Arial Narrow"/>
                <w:sz w:val="20"/>
                <w:szCs w:val="20"/>
              </w:rPr>
              <w:t xml:space="preserve"> level</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76AF308" w14:textId="50650101" w:rsidR="00832C22" w:rsidRPr="00067A2C"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CFA4117" w14:textId="77777777" w:rsidR="00832C22" w:rsidRPr="00067A2C" w:rsidRDefault="00832C22">
            <w:pPr>
              <w:rPr>
                <w:rFonts w:ascii="Arial Narrow" w:hAnsi="Arial Narrow"/>
                <w:b/>
                <w:bCs/>
                <w:kern w:val="2"/>
                <w:sz w:val="20"/>
                <w:szCs w:val="20"/>
              </w:rPr>
            </w:pPr>
            <w:r w:rsidRPr="00067A2C">
              <w:rPr>
                <w:rFonts w:ascii="Arial Narrow" w:hAnsi="Arial Narrow"/>
                <w:b/>
                <w:bCs/>
                <w:kern w:val="2"/>
                <w:sz w:val="20"/>
                <w:szCs w:val="20"/>
              </w:rPr>
              <w:t xml:space="preserve">Administrative Advice: </w:t>
            </w:r>
          </w:p>
          <w:p w14:paraId="179FD843" w14:textId="77777777" w:rsidR="00832C22" w:rsidRPr="00067A2C" w:rsidRDefault="00832C22">
            <w:pPr>
              <w:rPr>
                <w:rFonts w:ascii="Arial Narrow" w:hAnsi="Arial Narrow"/>
                <w:kern w:val="2"/>
                <w:sz w:val="20"/>
                <w:szCs w:val="20"/>
              </w:rPr>
            </w:pPr>
            <w:r w:rsidRPr="00067A2C">
              <w:rPr>
                <w:rFonts w:ascii="Arial Narrow" w:hAnsi="Arial Narrow"/>
                <w:kern w:val="2"/>
                <w:sz w:val="20"/>
                <w:szCs w:val="20"/>
              </w:rPr>
              <w:t>TREATMENT OF COMPLEX REFRACTORY FISTULISING CROHN DISEASE</w:t>
            </w:r>
          </w:p>
          <w:p w14:paraId="6A385210" w14:textId="77777777" w:rsidR="00832C22" w:rsidRPr="00067A2C" w:rsidRDefault="00832C22">
            <w:pPr>
              <w:rPr>
                <w:rFonts w:ascii="Arial Narrow" w:hAnsi="Arial Narrow"/>
                <w:b/>
                <w:bCs/>
                <w:kern w:val="2"/>
                <w:sz w:val="20"/>
                <w:szCs w:val="20"/>
              </w:rPr>
            </w:pPr>
            <w:hyperlink w:anchor="_Overarching_administrative_advice" w:history="1">
              <w:r w:rsidRPr="00067A2C">
                <w:rPr>
                  <w:rStyle w:val="Hyperlink"/>
                  <w:rFonts w:ascii="Arial Narrow" w:hAnsi="Arial Narrow"/>
                  <w:kern w:val="2"/>
                  <w:sz w:val="20"/>
                  <w:szCs w:val="20"/>
                </w:rPr>
                <w:t>See below for overarching AA</w:t>
              </w:r>
            </w:hyperlink>
          </w:p>
        </w:tc>
      </w:tr>
      <w:tr w:rsidR="00832C22" w14:paraId="3E91CB39" w14:textId="77777777">
        <w:trPr>
          <w:trHeight w:val="100"/>
        </w:trPr>
        <w:tc>
          <w:tcPr>
            <w:tcW w:w="420" w:type="dxa"/>
            <w:vMerge/>
            <w:textDirection w:val="btLr"/>
          </w:tcPr>
          <w:p w14:paraId="5D530BC0" w14:textId="77777777" w:rsidR="00832C22" w:rsidRPr="004549FF" w:rsidRDefault="00832C22">
            <w:pPr>
              <w:jc w:val="center"/>
              <w:rPr>
                <w:rFonts w:ascii="Arial Narrow" w:hAnsi="Arial Narrow"/>
                <w:kern w:val="2"/>
                <w:sz w:val="20"/>
                <w:szCs w:val="20"/>
              </w:rPr>
            </w:pP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5F6AD20" w14:textId="4DE4649F" w:rsidR="00832C22" w:rsidRPr="004549FF"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35C7F6F" w14:textId="77777777" w:rsidR="00832C22" w:rsidRPr="004549FF" w:rsidRDefault="00832C22">
            <w:pPr>
              <w:rPr>
                <w:rFonts w:ascii="Arial Narrow" w:hAnsi="Arial Narrow"/>
                <w:b/>
                <w:kern w:val="2"/>
                <w:sz w:val="20"/>
                <w:szCs w:val="20"/>
                <w:lang w:eastAsia="en-US"/>
              </w:rPr>
            </w:pPr>
            <w:r w:rsidRPr="004549FF">
              <w:rPr>
                <w:rFonts w:ascii="Arial Narrow" w:hAnsi="Arial Narrow"/>
                <w:b/>
                <w:bCs/>
                <w:kern w:val="2"/>
                <w:sz w:val="20"/>
                <w:szCs w:val="20"/>
              </w:rPr>
              <w:t xml:space="preserve">Administrative Advice: </w:t>
            </w:r>
            <w:r w:rsidRPr="004549FF">
              <w:rPr>
                <w:rFonts w:ascii="Arial Narrow" w:hAnsi="Arial Narrow"/>
                <w:kern w:val="2"/>
                <w:sz w:val="20"/>
                <w:szCs w:val="20"/>
              </w:rPr>
              <w:t>No increase in the maximum quantity or number of units may be authorised.</w:t>
            </w:r>
          </w:p>
        </w:tc>
      </w:tr>
      <w:tr w:rsidR="00832C22" w14:paraId="7341E2E6" w14:textId="77777777">
        <w:trPr>
          <w:trHeight w:val="100"/>
        </w:trPr>
        <w:tc>
          <w:tcPr>
            <w:tcW w:w="420" w:type="dxa"/>
            <w:vMerge/>
          </w:tcPr>
          <w:p w14:paraId="7A2E13F5" w14:textId="77777777" w:rsidR="00832C22" w:rsidRPr="00971A03" w:rsidRDefault="00832C22">
            <w:pPr>
              <w:jc w:val="center"/>
              <w:rPr>
                <w:rFonts w:ascii="Arial Narrow" w:hAnsi="Arial Narrow"/>
                <w:kern w:val="2"/>
                <w:sz w:val="20"/>
                <w:szCs w:val="20"/>
              </w:rPr>
            </w:pP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4C09E6E" w14:textId="2B7EBE0F" w:rsidR="00832C22" w:rsidRPr="00971A03"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C8AC8AF" w14:textId="77777777" w:rsidR="00832C22" w:rsidRPr="00971A03" w:rsidRDefault="00832C22">
            <w:pPr>
              <w:rPr>
                <w:rFonts w:ascii="Arial Narrow" w:hAnsi="Arial Narrow"/>
                <w:b/>
                <w:kern w:val="2"/>
                <w:sz w:val="20"/>
                <w:szCs w:val="20"/>
                <w:lang w:eastAsia="en-US"/>
              </w:rPr>
            </w:pPr>
            <w:r w:rsidRPr="00971A03">
              <w:rPr>
                <w:rFonts w:ascii="Arial Narrow" w:hAnsi="Arial Narrow"/>
                <w:b/>
                <w:bCs/>
                <w:kern w:val="2"/>
                <w:sz w:val="20"/>
                <w:szCs w:val="20"/>
              </w:rPr>
              <w:t xml:space="preserve">Administrative Advice: </w:t>
            </w:r>
            <w:r w:rsidRPr="00971A03">
              <w:rPr>
                <w:rFonts w:ascii="Arial Narrow" w:hAnsi="Arial Narrow"/>
                <w:kern w:val="2"/>
                <w:sz w:val="20"/>
                <w:szCs w:val="20"/>
              </w:rPr>
              <w:t>No increase in the maximum number of repeats may be authorised.</w:t>
            </w:r>
          </w:p>
        </w:tc>
      </w:tr>
      <w:tr w:rsidR="00832C22" w14:paraId="22BB642E" w14:textId="77777777">
        <w:trPr>
          <w:trHeight w:val="100"/>
        </w:trPr>
        <w:tc>
          <w:tcPr>
            <w:tcW w:w="420" w:type="dxa"/>
            <w:vMerge/>
          </w:tcPr>
          <w:p w14:paraId="41AA7F2D" w14:textId="77777777" w:rsidR="00832C22" w:rsidRPr="004549FF" w:rsidRDefault="00832C22">
            <w:pPr>
              <w:jc w:val="center"/>
              <w:rPr>
                <w:rFonts w:ascii="Arial Narrow" w:hAnsi="Arial Narrow"/>
                <w:kern w:val="2"/>
                <w:sz w:val="20"/>
                <w:szCs w:val="20"/>
              </w:rPr>
            </w:pP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7E7832F" w14:textId="06D5EA54" w:rsidR="00832C22" w:rsidRPr="004549FF"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7A05BFE" w14:textId="77777777" w:rsidR="00832C22" w:rsidRPr="004549FF" w:rsidRDefault="00832C22">
            <w:pPr>
              <w:rPr>
                <w:rFonts w:ascii="Arial Narrow" w:hAnsi="Arial Narrow"/>
                <w:b/>
                <w:bCs/>
                <w:kern w:val="2"/>
                <w:sz w:val="20"/>
                <w:szCs w:val="20"/>
              </w:rPr>
            </w:pPr>
            <w:r w:rsidRPr="004549FF">
              <w:rPr>
                <w:rFonts w:ascii="Arial Narrow" w:hAnsi="Arial Narrow"/>
                <w:b/>
                <w:bCs/>
                <w:kern w:val="2"/>
                <w:sz w:val="20"/>
                <w:szCs w:val="20"/>
              </w:rPr>
              <w:t>Administrative Advice:</w:t>
            </w:r>
          </w:p>
          <w:p w14:paraId="3DF608C6" w14:textId="77777777" w:rsidR="00832C22" w:rsidRPr="004549FF" w:rsidRDefault="00832C22">
            <w:pPr>
              <w:pStyle w:val="pf0"/>
              <w:spacing w:before="0" w:beforeAutospacing="0" w:after="0" w:afterAutospacing="0" w:line="256" w:lineRule="auto"/>
              <w:rPr>
                <w:rFonts w:ascii="Arial Narrow" w:hAnsi="Arial Narrow" w:cs="Arial"/>
                <w:b/>
                <w:kern w:val="2"/>
                <w:sz w:val="20"/>
                <w:szCs w:val="20"/>
                <w:lang w:eastAsia="en-US"/>
                <w14:ligatures w14:val="standardContextual"/>
              </w:rPr>
            </w:pPr>
            <w:r w:rsidRPr="004549FF">
              <w:rPr>
                <w:rFonts w:ascii="Arial Narrow" w:hAnsi="Arial Narrow"/>
                <w:kern w:val="2"/>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832C22" w14:paraId="00CF2E7F" w14:textId="77777777">
        <w:trPr>
          <w:trHeight w:val="20"/>
        </w:trPr>
        <w:tc>
          <w:tcPr>
            <w:tcW w:w="127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09FF00CC" w14:textId="77777777" w:rsidR="00832C22" w:rsidRDefault="00832C22">
            <w:pPr>
              <w:jc w:val="center"/>
              <w:rPr>
                <w:rFonts w:ascii="Arial Narrow" w:hAnsi="Arial Narrow" w:cs="Times New Roman"/>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hideMark/>
          </w:tcPr>
          <w:p w14:paraId="16CE3B8C" w14:textId="74240D97" w:rsidR="00832C22" w:rsidRDefault="00832C22">
            <w:pPr>
              <w:keepLines/>
              <w:rPr>
                <w:rFonts w:ascii="Arial Narrow" w:hAnsi="Arial Narrow"/>
                <w:b/>
                <w:bCs/>
                <w:color w:val="333333"/>
                <w:kern w:val="2"/>
                <w:sz w:val="20"/>
                <w:szCs w:val="20"/>
              </w:rPr>
            </w:pPr>
          </w:p>
        </w:tc>
      </w:tr>
      <w:tr w:rsidR="00832C22" w14:paraId="5249C837"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737804D" w14:textId="578B5F06" w:rsidR="00832C22" w:rsidRDefault="00832C22">
            <w:pPr>
              <w:keepLines/>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741CC5D" w14:textId="77777777" w:rsidR="00832C22" w:rsidRPr="00E14909" w:rsidRDefault="00832C22">
            <w:pPr>
              <w:keepLines/>
              <w:rPr>
                <w:rFonts w:ascii="Arial Narrow" w:hAnsi="Arial Narrow"/>
                <w:kern w:val="2"/>
                <w:sz w:val="20"/>
                <w:szCs w:val="20"/>
              </w:rPr>
            </w:pPr>
            <w:r>
              <w:rPr>
                <w:rFonts w:ascii="Arial Narrow" w:hAnsi="Arial Narrow"/>
                <w:b/>
                <w:bCs/>
                <w:color w:val="333333"/>
                <w:kern w:val="2"/>
                <w:sz w:val="20"/>
                <w:szCs w:val="20"/>
              </w:rPr>
              <w:t>Indication:</w:t>
            </w:r>
            <w:r>
              <w:rPr>
                <w:rFonts w:ascii="Arial Narrow" w:hAnsi="Arial Narrow"/>
                <w:color w:val="333333"/>
                <w:kern w:val="2"/>
                <w:sz w:val="20"/>
                <w:szCs w:val="20"/>
              </w:rPr>
              <w:t xml:space="preserve"> </w:t>
            </w:r>
            <w:r>
              <w:rPr>
                <w:rFonts w:ascii="Arial Narrow" w:hAnsi="Arial Narrow"/>
                <w:bCs/>
                <w:sz w:val="20"/>
                <w:szCs w:val="20"/>
              </w:rPr>
              <w:t>Complex refractory fistulising Crohn disease</w:t>
            </w:r>
          </w:p>
        </w:tc>
      </w:tr>
      <w:tr w:rsidR="00832C22" w14:paraId="21615035"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392BF8E" w14:textId="77777777" w:rsidR="00832C22" w:rsidRDefault="00832C22">
            <w:pP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FCB9D60" w14:textId="77777777" w:rsidR="00832C22" w:rsidRDefault="00832C22">
            <w:pPr>
              <w:rPr>
                <w:rFonts w:ascii="Arial Narrow" w:hAnsi="Arial Narrow" w:cs="Times New Roman"/>
                <w:kern w:val="2"/>
                <w:sz w:val="20"/>
                <w:szCs w:val="20"/>
              </w:rPr>
            </w:pPr>
            <w:r>
              <w:rPr>
                <w:rFonts w:ascii="Arial Narrow" w:hAnsi="Arial Narrow"/>
                <w:b/>
                <w:bCs/>
                <w:color w:val="333333"/>
                <w:kern w:val="2"/>
                <w:sz w:val="20"/>
                <w:szCs w:val="20"/>
              </w:rPr>
              <w:t>Treatment Phase:</w:t>
            </w:r>
            <w:r>
              <w:rPr>
                <w:rFonts w:ascii="Arial Narrow" w:hAnsi="Arial Narrow"/>
                <w:color w:val="FF0000"/>
                <w:kern w:val="2"/>
                <w:sz w:val="20"/>
                <w:szCs w:val="20"/>
              </w:rPr>
              <w:t xml:space="preserve"> </w:t>
            </w:r>
            <w:r>
              <w:rPr>
                <w:rFonts w:ascii="Arial Narrow" w:hAnsi="Arial Narrow"/>
                <w:kern w:val="2"/>
                <w:sz w:val="20"/>
                <w:szCs w:val="20"/>
              </w:rPr>
              <w:t>Extended induction period (optional) from weeks 12 to 24</w:t>
            </w:r>
          </w:p>
        </w:tc>
      </w:tr>
      <w:tr w:rsidR="00832C22" w14:paraId="531B6C90"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D4EBD0C" w14:textId="7BACCD87" w:rsidR="00832C22" w:rsidRPr="00D22D4F" w:rsidRDefault="00832C22">
            <w:pPr>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0B74D40" w14:textId="77777777" w:rsidR="00832C22" w:rsidRPr="001560F5" w:rsidRDefault="00832C22">
            <w:pPr>
              <w:rPr>
                <w:rFonts w:ascii="Arial Narrow" w:hAnsi="Arial Narrow"/>
                <w:kern w:val="2"/>
                <w:sz w:val="20"/>
                <w:szCs w:val="20"/>
              </w:rPr>
            </w:pPr>
            <w:r w:rsidRPr="001560F5">
              <w:rPr>
                <w:rFonts w:ascii="Arial Narrow" w:hAnsi="Arial Narrow"/>
                <w:b/>
                <w:bCs/>
                <w:color w:val="333333"/>
                <w:kern w:val="2"/>
                <w:sz w:val="20"/>
                <w:szCs w:val="20"/>
              </w:rPr>
              <w:t xml:space="preserve">Clinical criteria: </w:t>
            </w:r>
          </w:p>
        </w:tc>
      </w:tr>
      <w:tr w:rsidR="00832C22" w14:paraId="52639CBD"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E20A1C2" w14:textId="4F6C797F" w:rsidR="00832C22" w:rsidRPr="00D22D4F" w:rsidRDefault="00832C22">
            <w:pPr>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4EA7A54" w14:textId="26B0E3C9" w:rsidR="00832C22" w:rsidRPr="001560F5" w:rsidRDefault="00832C22">
            <w:pPr>
              <w:widowControl w:val="0"/>
              <w:rPr>
                <w:rFonts w:ascii="Arial Narrow" w:hAnsi="Arial Narrow"/>
                <w:kern w:val="2"/>
                <w:sz w:val="20"/>
                <w:szCs w:val="20"/>
              </w:rPr>
            </w:pPr>
            <w:r w:rsidRPr="001560F5">
              <w:rPr>
                <w:rFonts w:ascii="Arial Narrow" w:hAnsi="Arial Narrow"/>
                <w:kern w:val="2"/>
                <w:sz w:val="20"/>
                <w:szCs w:val="20"/>
              </w:rPr>
              <w:t>Patient must have experienced an inadequate therapeutic benefit following initial 12</w:t>
            </w:r>
            <w:r w:rsidR="00FC7500">
              <w:rPr>
                <w:rFonts w:ascii="Arial Narrow" w:hAnsi="Arial Narrow"/>
                <w:kern w:val="2"/>
                <w:sz w:val="20"/>
                <w:szCs w:val="20"/>
              </w:rPr>
              <w:noBreakHyphen/>
            </w:r>
            <w:r w:rsidRPr="001560F5">
              <w:rPr>
                <w:rFonts w:ascii="Arial Narrow" w:hAnsi="Arial Narrow"/>
                <w:kern w:val="2"/>
                <w:sz w:val="20"/>
                <w:szCs w:val="20"/>
              </w:rPr>
              <w:t>week induction period</w:t>
            </w:r>
          </w:p>
        </w:tc>
      </w:tr>
      <w:tr w:rsidR="00832C22" w14:paraId="5F52D996"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280EFA7" w14:textId="63C49AB2" w:rsidR="00832C22" w:rsidRDefault="00832C22">
            <w:pPr>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776B036" w14:textId="77777777" w:rsidR="00832C22" w:rsidRDefault="00832C22">
            <w:pPr>
              <w:rPr>
                <w:rFonts w:ascii="Arial Narrow" w:hAnsi="Arial Narrow"/>
                <w:color w:val="333333"/>
                <w:kern w:val="2"/>
                <w:sz w:val="20"/>
                <w:szCs w:val="20"/>
              </w:rPr>
            </w:pPr>
            <w:r>
              <w:rPr>
                <w:rFonts w:ascii="Arial Narrow" w:hAnsi="Arial Narrow"/>
                <w:b/>
                <w:bCs/>
                <w:color w:val="333333"/>
                <w:kern w:val="2"/>
                <w:sz w:val="20"/>
                <w:szCs w:val="20"/>
              </w:rPr>
              <w:t>Treatment criteria:</w:t>
            </w:r>
          </w:p>
        </w:tc>
      </w:tr>
      <w:tr w:rsidR="00832C22" w14:paraId="68112598"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87244C2" w14:textId="29793365"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2C48438" w14:textId="77777777" w:rsidR="00832C22" w:rsidRPr="00C365BE" w:rsidRDefault="00832C22">
            <w:pPr>
              <w:jc w:val="left"/>
              <w:rPr>
                <w:rFonts w:ascii="Arial Narrow" w:hAnsi="Arial Narrow" w:cs="Arial Narrow"/>
                <w:iCs/>
                <w:kern w:val="2"/>
                <w:sz w:val="20"/>
                <w:szCs w:val="20"/>
              </w:rPr>
            </w:pPr>
            <w:r w:rsidRPr="00E15563">
              <w:rPr>
                <w:rFonts w:ascii="Arial Narrow" w:hAnsi="Arial Narrow"/>
                <w:kern w:val="2"/>
                <w:sz w:val="20"/>
                <w:szCs w:val="20"/>
              </w:rPr>
              <w:t>Must be treated by a gastroenterologist; OR</w:t>
            </w:r>
          </w:p>
        </w:tc>
      </w:tr>
      <w:tr w:rsidR="00832C22" w14:paraId="34604C88"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4DC1C78" w14:textId="0EAB98C6"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B3D2925" w14:textId="77777777" w:rsidR="00832C22" w:rsidRPr="00C365BE" w:rsidRDefault="00832C22">
            <w:pPr>
              <w:jc w:val="left"/>
              <w:rPr>
                <w:rFonts w:ascii="Arial Narrow" w:hAnsi="Arial Narrow" w:cs="Arial Narrow"/>
                <w:iCs/>
                <w:kern w:val="2"/>
                <w:sz w:val="20"/>
                <w:szCs w:val="20"/>
              </w:rPr>
            </w:pPr>
            <w:r w:rsidRPr="00C50D47">
              <w:rPr>
                <w:rFonts w:ascii="Arial Narrow" w:hAnsi="Arial Narrow"/>
                <w:kern w:val="2"/>
                <w:sz w:val="20"/>
                <w:szCs w:val="20"/>
              </w:rPr>
              <w:t>Must be treated by a consultant physician [internal medicine specialising in gastroenterology]; OR</w:t>
            </w:r>
          </w:p>
        </w:tc>
      </w:tr>
      <w:tr w:rsidR="00832C22" w14:paraId="1260552B"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D64B9F2" w14:textId="01CFF450"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C3E7020" w14:textId="77777777" w:rsidR="00832C22" w:rsidRPr="00C365BE" w:rsidRDefault="00832C22">
            <w:pPr>
              <w:jc w:val="left"/>
              <w:rPr>
                <w:rFonts w:ascii="Arial Narrow" w:hAnsi="Arial Narrow" w:cs="Arial Narrow"/>
                <w:iCs/>
                <w:kern w:val="2"/>
                <w:sz w:val="20"/>
                <w:szCs w:val="20"/>
              </w:rPr>
            </w:pPr>
            <w:r w:rsidRPr="003D2625">
              <w:rPr>
                <w:rFonts w:ascii="Arial Narrow" w:hAnsi="Arial Narrow"/>
                <w:kern w:val="2"/>
                <w:sz w:val="20"/>
                <w:szCs w:val="20"/>
              </w:rPr>
              <w:t>Must be treated by a consultant physician [general medicine specialising in gastroenterology].</w:t>
            </w:r>
          </w:p>
        </w:tc>
      </w:tr>
    </w:tbl>
    <w:p w14:paraId="14B0086C" w14:textId="1F31BB8E" w:rsidR="005E53C8" w:rsidRDefault="005E53C8" w:rsidP="00832C22"/>
    <w:p w14:paraId="51F507BC" w14:textId="77777777" w:rsidR="005E53C8" w:rsidRDefault="005E53C8">
      <w:pPr>
        <w:jc w:val="left"/>
      </w:pPr>
      <w:r>
        <w:br w:type="page"/>
      </w:r>
    </w:p>
    <w:p w14:paraId="403FDABF" w14:textId="77777777" w:rsidR="00832C22" w:rsidRDefault="00832C22" w:rsidP="00832C22">
      <w:pPr>
        <w:pStyle w:val="Heading2"/>
        <w:rPr>
          <w:b w:val="0"/>
          <w:bCs/>
          <w:sz w:val="24"/>
        </w:rPr>
      </w:pPr>
      <w:r w:rsidRPr="00B8290B">
        <w:rPr>
          <w:bCs/>
          <w:sz w:val="24"/>
        </w:rPr>
        <w:lastRenderedPageBreak/>
        <w:t xml:space="preserve">Continuing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ontinuing "/>
      </w:tblPr>
      <w:tblGrid>
        <w:gridCol w:w="563"/>
        <w:gridCol w:w="708"/>
        <w:gridCol w:w="2266"/>
        <w:gridCol w:w="1276"/>
        <w:gridCol w:w="992"/>
        <w:gridCol w:w="851"/>
        <w:gridCol w:w="708"/>
        <w:gridCol w:w="1703"/>
      </w:tblGrid>
      <w:tr w:rsidR="00832C22" w14:paraId="26C40D70" w14:textId="77777777" w:rsidTr="002C6367">
        <w:trPr>
          <w:cantSplit/>
          <w:trHeight w:val="20"/>
        </w:trPr>
        <w:tc>
          <w:tcPr>
            <w:tcW w:w="3537" w:type="dxa"/>
            <w:gridSpan w:val="3"/>
            <w:tcBorders>
              <w:top w:val="single" w:sz="4" w:space="0" w:color="auto"/>
              <w:left w:val="single" w:sz="4" w:space="0" w:color="auto"/>
              <w:bottom w:val="single" w:sz="4" w:space="0" w:color="auto"/>
              <w:right w:val="single" w:sz="4" w:space="0" w:color="auto"/>
            </w:tcBorders>
            <w:vAlign w:val="center"/>
            <w:hideMark/>
          </w:tcPr>
          <w:p w14:paraId="6CB79E1C" w14:textId="77777777" w:rsidR="00832C22" w:rsidRDefault="00832C22">
            <w:pPr>
              <w:keepLines/>
              <w:rPr>
                <w:rFonts w:ascii="Arial Narrow" w:hAnsi="Arial Narrow"/>
                <w:b/>
                <w:bCs/>
                <w:kern w:val="2"/>
                <w:sz w:val="20"/>
                <w:szCs w:val="20"/>
              </w:rPr>
            </w:pPr>
            <w:r>
              <w:rPr>
                <w:rFonts w:ascii="Arial Narrow" w:hAnsi="Arial Narrow"/>
                <w:b/>
                <w:bCs/>
                <w:kern w:val="2"/>
                <w:sz w:val="20"/>
                <w:szCs w:val="20"/>
              </w:rPr>
              <w:t>MEDICINAL PRODUCT</w:t>
            </w:r>
          </w:p>
          <w:p w14:paraId="5B39985F" w14:textId="77777777" w:rsidR="00832C22" w:rsidRDefault="00832C22">
            <w:pPr>
              <w:keepLines/>
              <w:rPr>
                <w:rFonts w:ascii="Arial Narrow" w:hAnsi="Arial Narrow"/>
                <w:b/>
                <w:kern w:val="2"/>
                <w:sz w:val="20"/>
                <w:szCs w:val="20"/>
              </w:rPr>
            </w:pPr>
            <w:r>
              <w:rPr>
                <w:rFonts w:ascii="Arial Narrow" w:hAnsi="Arial Narrow"/>
                <w:b/>
                <w:bCs/>
                <w:kern w:val="2"/>
                <w:sz w:val="20"/>
                <w:szCs w:val="20"/>
              </w:rPr>
              <w:t>medicinal product pack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976C9F" w14:textId="77777777" w:rsidR="00832C22" w:rsidRDefault="00832C22">
            <w:pPr>
              <w:keepLines/>
              <w:jc w:val="center"/>
              <w:rPr>
                <w:rFonts w:ascii="Arial Narrow" w:hAnsi="Arial Narrow"/>
                <w:b/>
                <w:kern w:val="2"/>
                <w:sz w:val="20"/>
                <w:szCs w:val="20"/>
              </w:rPr>
            </w:pPr>
            <w:r>
              <w:rPr>
                <w:rFonts w:ascii="Arial Narrow" w:hAnsi="Arial Narrow"/>
                <w:b/>
                <w:kern w:val="2"/>
                <w:sz w:val="20"/>
                <w:szCs w:val="20"/>
              </w:rPr>
              <w:t>PBS item code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2EF020" w14:textId="77777777" w:rsidR="00832C22" w:rsidRDefault="00832C22">
            <w:pPr>
              <w:keepLines/>
              <w:jc w:val="center"/>
              <w:rPr>
                <w:rFonts w:ascii="Arial Narrow" w:hAnsi="Arial Narrow"/>
                <w:b/>
                <w:kern w:val="2"/>
                <w:sz w:val="20"/>
                <w:szCs w:val="20"/>
              </w:rPr>
            </w:pPr>
            <w:r>
              <w:rPr>
                <w:rFonts w:ascii="Arial Narrow" w:hAnsi="Arial Narrow"/>
                <w:b/>
                <w:kern w:val="2"/>
                <w:sz w:val="20"/>
                <w:szCs w:val="20"/>
              </w:rPr>
              <w:t>Max. qty packs</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BE9F5E" w14:textId="77777777" w:rsidR="00832C22" w:rsidRDefault="00832C22">
            <w:pPr>
              <w:keepLines/>
              <w:jc w:val="center"/>
              <w:rPr>
                <w:rFonts w:ascii="Arial Narrow" w:hAnsi="Arial Narrow"/>
                <w:b/>
                <w:kern w:val="2"/>
                <w:sz w:val="20"/>
                <w:szCs w:val="20"/>
              </w:rPr>
            </w:pPr>
            <w:r>
              <w:rPr>
                <w:rFonts w:ascii="Arial Narrow" w:hAnsi="Arial Narrow"/>
                <w:b/>
                <w:kern w:val="2"/>
                <w:sz w:val="20"/>
                <w:szCs w:val="20"/>
              </w:rPr>
              <w:t>Max. qty units</w:t>
            </w:r>
          </w:p>
        </w:tc>
        <w:tc>
          <w:tcPr>
            <w:tcW w:w="708" w:type="dxa"/>
            <w:tcBorders>
              <w:top w:val="single" w:sz="4" w:space="0" w:color="auto"/>
              <w:left w:val="single" w:sz="4" w:space="0" w:color="auto"/>
              <w:bottom w:val="single" w:sz="4" w:space="0" w:color="auto"/>
              <w:right w:val="single" w:sz="4" w:space="0" w:color="auto"/>
            </w:tcBorders>
            <w:vAlign w:val="center"/>
            <w:hideMark/>
          </w:tcPr>
          <w:p w14:paraId="05F4A548" w14:textId="77777777" w:rsidR="00832C22" w:rsidRDefault="00832C22">
            <w:pPr>
              <w:keepLines/>
              <w:jc w:val="center"/>
              <w:rPr>
                <w:rFonts w:ascii="Arial Narrow" w:hAnsi="Arial Narrow"/>
                <w:b/>
                <w:kern w:val="2"/>
                <w:sz w:val="20"/>
                <w:szCs w:val="20"/>
              </w:rPr>
            </w:pPr>
            <w:r>
              <w:rPr>
                <w:rFonts w:ascii="Arial Narrow" w:hAnsi="Arial Narrow"/>
                <w:b/>
                <w:kern w:val="2"/>
                <w:sz w:val="20"/>
                <w:szCs w:val="20"/>
              </w:rPr>
              <w:t>№.of</w:t>
            </w:r>
          </w:p>
          <w:p w14:paraId="15755D40" w14:textId="77777777" w:rsidR="00832C22" w:rsidRDefault="00832C22">
            <w:pPr>
              <w:keepLines/>
              <w:jc w:val="center"/>
              <w:rPr>
                <w:rFonts w:ascii="Arial Narrow" w:hAnsi="Arial Narrow"/>
                <w:b/>
                <w:kern w:val="2"/>
                <w:sz w:val="20"/>
                <w:szCs w:val="20"/>
              </w:rPr>
            </w:pPr>
            <w:r>
              <w:rPr>
                <w:rFonts w:ascii="Arial Narrow" w:hAnsi="Arial Narrow"/>
                <w:b/>
                <w:kern w:val="2"/>
                <w:sz w:val="20"/>
                <w:szCs w:val="20"/>
              </w:rPr>
              <w:t>Rpts</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2872C87" w14:textId="77777777" w:rsidR="00832C22" w:rsidRDefault="00832C22">
            <w:pPr>
              <w:keepLines/>
              <w:rPr>
                <w:rFonts w:ascii="Arial Narrow" w:hAnsi="Arial Narrow"/>
                <w:b/>
                <w:kern w:val="2"/>
                <w:sz w:val="20"/>
                <w:szCs w:val="20"/>
                <w:lang w:val="fr-FR"/>
              </w:rPr>
            </w:pPr>
            <w:r>
              <w:rPr>
                <w:rFonts w:ascii="Arial Narrow" w:hAnsi="Arial Narrow"/>
                <w:b/>
                <w:kern w:val="2"/>
                <w:sz w:val="20"/>
                <w:szCs w:val="20"/>
              </w:rPr>
              <w:t>Available brands</w:t>
            </w:r>
          </w:p>
        </w:tc>
      </w:tr>
      <w:tr w:rsidR="00832C22" w14:paraId="3833A159" w14:textId="77777777" w:rsidTr="002C6367">
        <w:trPr>
          <w:cantSplit/>
          <w:trHeight w:val="20"/>
        </w:trPr>
        <w:tc>
          <w:tcPr>
            <w:tcW w:w="9067" w:type="dxa"/>
            <w:gridSpan w:val="8"/>
            <w:tcBorders>
              <w:top w:val="single" w:sz="4" w:space="0" w:color="auto"/>
              <w:left w:val="single" w:sz="4" w:space="0" w:color="auto"/>
              <w:bottom w:val="single" w:sz="4" w:space="0" w:color="auto"/>
              <w:right w:val="single" w:sz="4" w:space="0" w:color="auto"/>
            </w:tcBorders>
            <w:vAlign w:val="center"/>
            <w:hideMark/>
          </w:tcPr>
          <w:p w14:paraId="4A4445B9" w14:textId="77777777" w:rsidR="00832C22" w:rsidRDefault="00832C22">
            <w:pPr>
              <w:keepLines/>
              <w:rPr>
                <w:rFonts w:ascii="Arial Narrow" w:hAnsi="Arial Narrow"/>
                <w:kern w:val="2"/>
                <w:sz w:val="20"/>
                <w:szCs w:val="20"/>
              </w:rPr>
            </w:pPr>
            <w:r>
              <w:rPr>
                <w:rFonts w:ascii="Arial Narrow" w:hAnsi="Arial Narrow"/>
                <w:kern w:val="2"/>
                <w:sz w:val="20"/>
                <w:szCs w:val="20"/>
              </w:rPr>
              <w:t>UPADACITINIB</w:t>
            </w:r>
          </w:p>
        </w:tc>
      </w:tr>
      <w:tr w:rsidR="00832C22" w:rsidRPr="0048020E" w14:paraId="49981C29" w14:textId="77777777" w:rsidTr="002C6367">
        <w:trPr>
          <w:cantSplit/>
          <w:trHeight w:val="20"/>
        </w:trPr>
        <w:tc>
          <w:tcPr>
            <w:tcW w:w="3537" w:type="dxa"/>
            <w:gridSpan w:val="3"/>
            <w:tcBorders>
              <w:top w:val="single" w:sz="4" w:space="0" w:color="auto"/>
              <w:left w:val="single" w:sz="4" w:space="0" w:color="auto"/>
              <w:bottom w:val="single" w:sz="4" w:space="0" w:color="auto"/>
              <w:right w:val="single" w:sz="4" w:space="0" w:color="auto"/>
            </w:tcBorders>
            <w:vAlign w:val="center"/>
          </w:tcPr>
          <w:p w14:paraId="2FC1B6B0" w14:textId="77777777" w:rsidR="00832C22" w:rsidRPr="0048020E" w:rsidRDefault="00832C22">
            <w:pPr>
              <w:keepLines/>
              <w:rPr>
                <w:rFonts w:ascii="Arial Narrow" w:hAnsi="Arial Narrow"/>
                <w:kern w:val="2"/>
                <w:sz w:val="20"/>
                <w:szCs w:val="20"/>
              </w:rPr>
            </w:pPr>
            <w:r>
              <w:rPr>
                <w:rFonts w:ascii="Arial Narrow" w:hAnsi="Arial Narrow"/>
                <w:kern w:val="2"/>
                <w:sz w:val="20"/>
                <w:szCs w:val="20"/>
              </w:rPr>
              <w:t xml:space="preserve">upadacitinib 30 mg oral tablet, 28 </w:t>
            </w:r>
          </w:p>
        </w:tc>
        <w:tc>
          <w:tcPr>
            <w:tcW w:w="1276" w:type="dxa"/>
            <w:tcBorders>
              <w:top w:val="single" w:sz="4" w:space="0" w:color="auto"/>
              <w:left w:val="single" w:sz="4" w:space="0" w:color="auto"/>
              <w:bottom w:val="single" w:sz="4" w:space="0" w:color="auto"/>
              <w:right w:val="single" w:sz="4" w:space="0" w:color="auto"/>
            </w:tcBorders>
            <w:vAlign w:val="center"/>
          </w:tcPr>
          <w:p w14:paraId="358A523C" w14:textId="77777777" w:rsidR="00832C22" w:rsidRPr="0048020E" w:rsidRDefault="00832C22">
            <w:pPr>
              <w:keepLines/>
              <w:jc w:val="center"/>
              <w:rPr>
                <w:rFonts w:ascii="Arial Narrow" w:hAnsi="Arial Narrow"/>
                <w:kern w:val="2"/>
                <w:sz w:val="20"/>
                <w:szCs w:val="20"/>
              </w:rPr>
            </w:pPr>
            <w:r w:rsidRPr="0048020E">
              <w:rPr>
                <w:rFonts w:ascii="Arial Narrow" w:hAnsi="Arial Narrow"/>
                <w:kern w:val="2"/>
                <w:sz w:val="20"/>
                <w:szCs w:val="20"/>
              </w:rPr>
              <w:t xml:space="preserve">NEW </w:t>
            </w:r>
          </w:p>
        </w:tc>
        <w:tc>
          <w:tcPr>
            <w:tcW w:w="992" w:type="dxa"/>
            <w:tcBorders>
              <w:top w:val="single" w:sz="4" w:space="0" w:color="auto"/>
              <w:left w:val="single" w:sz="4" w:space="0" w:color="auto"/>
              <w:bottom w:val="single" w:sz="4" w:space="0" w:color="auto"/>
              <w:right w:val="single" w:sz="4" w:space="0" w:color="auto"/>
            </w:tcBorders>
            <w:vAlign w:val="center"/>
          </w:tcPr>
          <w:p w14:paraId="1681888A" w14:textId="77777777" w:rsidR="00832C22" w:rsidRPr="0048020E" w:rsidRDefault="00832C22">
            <w:pPr>
              <w:keepLines/>
              <w:jc w:val="center"/>
              <w:rPr>
                <w:rFonts w:ascii="Arial Narrow" w:hAnsi="Arial Narrow"/>
                <w:kern w:val="2"/>
                <w:sz w:val="20"/>
                <w:szCs w:val="20"/>
              </w:rPr>
            </w:pPr>
            <w:r w:rsidRPr="0048020E">
              <w:rPr>
                <w:rFonts w:ascii="Arial Narrow" w:hAnsi="Arial Narrow"/>
                <w:kern w:val="2"/>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025FC737" w14:textId="77777777" w:rsidR="00832C22" w:rsidRPr="0048020E" w:rsidRDefault="00832C22">
            <w:pPr>
              <w:keepLines/>
              <w:jc w:val="center"/>
              <w:rPr>
                <w:rFonts w:ascii="Arial Narrow" w:hAnsi="Arial Narrow"/>
                <w:kern w:val="2"/>
                <w:sz w:val="20"/>
                <w:szCs w:val="20"/>
              </w:rPr>
            </w:pPr>
            <w:r>
              <w:rPr>
                <w:rFonts w:ascii="Arial Narrow" w:hAnsi="Arial Narrow"/>
                <w:kern w:val="2"/>
                <w:sz w:val="20"/>
                <w:szCs w:val="20"/>
              </w:rPr>
              <w:t>28</w:t>
            </w:r>
          </w:p>
        </w:tc>
        <w:tc>
          <w:tcPr>
            <w:tcW w:w="708" w:type="dxa"/>
            <w:tcBorders>
              <w:top w:val="single" w:sz="4" w:space="0" w:color="auto"/>
              <w:left w:val="single" w:sz="4" w:space="0" w:color="auto"/>
              <w:bottom w:val="single" w:sz="4" w:space="0" w:color="auto"/>
              <w:right w:val="single" w:sz="4" w:space="0" w:color="auto"/>
            </w:tcBorders>
            <w:vAlign w:val="center"/>
          </w:tcPr>
          <w:p w14:paraId="2F6A3B7C" w14:textId="77777777" w:rsidR="00832C22" w:rsidRPr="0048020E" w:rsidRDefault="00832C22">
            <w:pPr>
              <w:keepLines/>
              <w:jc w:val="center"/>
              <w:rPr>
                <w:rFonts w:ascii="Arial Narrow" w:hAnsi="Arial Narrow"/>
                <w:kern w:val="2"/>
                <w:sz w:val="20"/>
                <w:szCs w:val="20"/>
              </w:rPr>
            </w:pPr>
            <w:r>
              <w:rPr>
                <w:rFonts w:ascii="Arial Narrow" w:hAnsi="Arial Narrow"/>
                <w:kern w:val="2"/>
                <w:sz w:val="20"/>
                <w:szCs w:val="20"/>
              </w:rPr>
              <w:t>5</w:t>
            </w:r>
          </w:p>
        </w:tc>
        <w:tc>
          <w:tcPr>
            <w:tcW w:w="1703" w:type="dxa"/>
            <w:vMerge w:val="restart"/>
            <w:tcBorders>
              <w:top w:val="single" w:sz="4" w:space="0" w:color="auto"/>
              <w:left w:val="single" w:sz="4" w:space="0" w:color="auto"/>
              <w:right w:val="single" w:sz="4" w:space="0" w:color="auto"/>
            </w:tcBorders>
            <w:vAlign w:val="center"/>
          </w:tcPr>
          <w:p w14:paraId="1978C7DD" w14:textId="77777777" w:rsidR="00832C22" w:rsidRPr="0048020E" w:rsidRDefault="00832C22">
            <w:pPr>
              <w:keepLines/>
              <w:jc w:val="center"/>
              <w:rPr>
                <w:rFonts w:ascii="Arial Narrow" w:hAnsi="Arial Narrow"/>
                <w:kern w:val="2"/>
                <w:sz w:val="20"/>
                <w:szCs w:val="20"/>
              </w:rPr>
            </w:pPr>
            <w:r>
              <w:rPr>
                <w:rFonts w:ascii="Arial Narrow" w:hAnsi="Arial Narrow"/>
                <w:kern w:val="2"/>
                <w:sz w:val="20"/>
                <w:szCs w:val="20"/>
              </w:rPr>
              <w:t>Rinvoq</w:t>
            </w:r>
          </w:p>
        </w:tc>
      </w:tr>
      <w:tr w:rsidR="00832C22" w14:paraId="1EF10656" w14:textId="77777777" w:rsidTr="002C6367">
        <w:trPr>
          <w:cantSplit/>
          <w:trHeight w:val="20"/>
        </w:trPr>
        <w:tc>
          <w:tcPr>
            <w:tcW w:w="3537" w:type="dxa"/>
            <w:gridSpan w:val="3"/>
            <w:tcBorders>
              <w:top w:val="single" w:sz="4" w:space="0" w:color="auto"/>
              <w:left w:val="single" w:sz="4" w:space="0" w:color="auto"/>
              <w:bottom w:val="single" w:sz="4" w:space="0" w:color="auto"/>
              <w:right w:val="single" w:sz="4" w:space="0" w:color="auto"/>
            </w:tcBorders>
            <w:vAlign w:val="center"/>
          </w:tcPr>
          <w:p w14:paraId="6B7D378B" w14:textId="77777777" w:rsidR="00832C22" w:rsidRDefault="00832C22">
            <w:pPr>
              <w:keepLines/>
              <w:rPr>
                <w:rFonts w:ascii="Arial Narrow" w:hAnsi="Arial Narrow"/>
                <w:kern w:val="2"/>
                <w:sz w:val="20"/>
                <w:szCs w:val="20"/>
              </w:rPr>
            </w:pPr>
            <w:r>
              <w:rPr>
                <w:rFonts w:ascii="Arial Narrow" w:hAnsi="Arial Narrow"/>
                <w:kern w:val="2"/>
                <w:sz w:val="20"/>
                <w:szCs w:val="20"/>
              </w:rPr>
              <w:t xml:space="preserve">upadacitinib 15 mg oral tablet, 28 </w:t>
            </w:r>
          </w:p>
        </w:tc>
        <w:tc>
          <w:tcPr>
            <w:tcW w:w="1276" w:type="dxa"/>
            <w:tcBorders>
              <w:top w:val="single" w:sz="4" w:space="0" w:color="auto"/>
              <w:left w:val="single" w:sz="4" w:space="0" w:color="auto"/>
              <w:bottom w:val="single" w:sz="4" w:space="0" w:color="auto"/>
              <w:right w:val="single" w:sz="4" w:space="0" w:color="auto"/>
            </w:tcBorders>
            <w:vAlign w:val="center"/>
          </w:tcPr>
          <w:p w14:paraId="3DC8C9DB" w14:textId="77777777" w:rsidR="00832C22" w:rsidRPr="0048020E" w:rsidRDefault="00832C22">
            <w:pPr>
              <w:keepLines/>
              <w:jc w:val="center"/>
              <w:rPr>
                <w:rFonts w:ascii="Arial Narrow" w:hAnsi="Arial Narrow"/>
                <w:kern w:val="2"/>
                <w:sz w:val="20"/>
                <w:szCs w:val="20"/>
              </w:rPr>
            </w:pPr>
            <w:r w:rsidRPr="0048020E">
              <w:rPr>
                <w:rFonts w:ascii="Arial Narrow" w:hAnsi="Arial Narrow"/>
                <w:kern w:val="2"/>
                <w:sz w:val="20"/>
                <w:szCs w:val="20"/>
              </w:rPr>
              <w:t xml:space="preserve">NEW </w:t>
            </w:r>
          </w:p>
        </w:tc>
        <w:tc>
          <w:tcPr>
            <w:tcW w:w="992" w:type="dxa"/>
            <w:tcBorders>
              <w:top w:val="single" w:sz="4" w:space="0" w:color="auto"/>
              <w:left w:val="single" w:sz="4" w:space="0" w:color="auto"/>
              <w:bottom w:val="single" w:sz="4" w:space="0" w:color="auto"/>
              <w:right w:val="single" w:sz="4" w:space="0" w:color="auto"/>
            </w:tcBorders>
            <w:vAlign w:val="center"/>
          </w:tcPr>
          <w:p w14:paraId="5AF4A1DC" w14:textId="77777777" w:rsidR="00832C22" w:rsidRPr="0048020E" w:rsidRDefault="00832C22">
            <w:pPr>
              <w:keepLines/>
              <w:jc w:val="center"/>
              <w:rPr>
                <w:rFonts w:ascii="Arial Narrow" w:hAnsi="Arial Narrow"/>
                <w:kern w:val="2"/>
                <w:sz w:val="20"/>
                <w:szCs w:val="20"/>
              </w:rPr>
            </w:pPr>
            <w:r w:rsidRPr="0048020E">
              <w:rPr>
                <w:rFonts w:ascii="Arial Narrow" w:hAnsi="Arial Narrow"/>
                <w:kern w:val="2"/>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75F263D0" w14:textId="77777777" w:rsidR="00832C22" w:rsidRDefault="00832C22">
            <w:pPr>
              <w:keepLines/>
              <w:jc w:val="center"/>
              <w:rPr>
                <w:rFonts w:ascii="Arial Narrow" w:hAnsi="Arial Narrow"/>
                <w:kern w:val="2"/>
                <w:sz w:val="20"/>
                <w:szCs w:val="20"/>
              </w:rPr>
            </w:pPr>
            <w:r>
              <w:rPr>
                <w:rFonts w:ascii="Arial Narrow" w:hAnsi="Arial Narrow"/>
                <w:kern w:val="2"/>
                <w:sz w:val="20"/>
                <w:szCs w:val="20"/>
              </w:rPr>
              <w:t>28</w:t>
            </w:r>
          </w:p>
        </w:tc>
        <w:tc>
          <w:tcPr>
            <w:tcW w:w="708" w:type="dxa"/>
            <w:tcBorders>
              <w:top w:val="single" w:sz="4" w:space="0" w:color="auto"/>
              <w:left w:val="single" w:sz="4" w:space="0" w:color="auto"/>
              <w:bottom w:val="single" w:sz="4" w:space="0" w:color="auto"/>
              <w:right w:val="single" w:sz="4" w:space="0" w:color="auto"/>
            </w:tcBorders>
            <w:vAlign w:val="center"/>
          </w:tcPr>
          <w:p w14:paraId="6EEC1C2B" w14:textId="77777777" w:rsidR="00832C22" w:rsidRPr="006D26AB" w:rsidRDefault="00832C22">
            <w:pPr>
              <w:keepLines/>
              <w:jc w:val="center"/>
              <w:rPr>
                <w:rFonts w:ascii="Arial Narrow" w:hAnsi="Arial Narrow"/>
                <w:kern w:val="2"/>
                <w:sz w:val="20"/>
                <w:szCs w:val="20"/>
              </w:rPr>
            </w:pPr>
            <w:r>
              <w:rPr>
                <w:rFonts w:ascii="Arial Narrow" w:hAnsi="Arial Narrow"/>
                <w:kern w:val="2"/>
                <w:sz w:val="20"/>
                <w:szCs w:val="20"/>
              </w:rPr>
              <w:t>5</w:t>
            </w:r>
          </w:p>
        </w:tc>
        <w:tc>
          <w:tcPr>
            <w:tcW w:w="1703" w:type="dxa"/>
            <w:vMerge/>
            <w:tcBorders>
              <w:left w:val="single" w:sz="4" w:space="0" w:color="auto"/>
              <w:right w:val="single" w:sz="4" w:space="0" w:color="auto"/>
            </w:tcBorders>
            <w:vAlign w:val="center"/>
          </w:tcPr>
          <w:p w14:paraId="73019654" w14:textId="77777777" w:rsidR="00832C22" w:rsidRDefault="00832C22">
            <w:pPr>
              <w:keepLines/>
              <w:jc w:val="center"/>
              <w:rPr>
                <w:rFonts w:ascii="Arial Narrow" w:hAnsi="Arial Narrow"/>
                <w:kern w:val="2"/>
                <w:sz w:val="20"/>
                <w:szCs w:val="20"/>
              </w:rPr>
            </w:pPr>
          </w:p>
        </w:tc>
      </w:tr>
      <w:tr w:rsidR="00832C22" w:rsidRPr="0048020E" w14:paraId="75E51E34" w14:textId="77777777" w:rsidTr="002C6367">
        <w:trPr>
          <w:trHeight w:val="20"/>
        </w:trPr>
        <w:tc>
          <w:tcPr>
            <w:tcW w:w="9067"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F8CC16C" w14:textId="77777777" w:rsidR="00832C22" w:rsidRPr="0048020E" w:rsidRDefault="00832C22">
            <w:pPr>
              <w:rPr>
                <w:rFonts w:ascii="Arial Narrow" w:hAnsi="Arial Narrow"/>
                <w:kern w:val="2"/>
                <w:sz w:val="20"/>
                <w:szCs w:val="20"/>
              </w:rPr>
            </w:pPr>
          </w:p>
        </w:tc>
      </w:tr>
      <w:tr w:rsidR="00832C22" w:rsidRPr="0048020E" w14:paraId="5CEAFD3A" w14:textId="77777777" w:rsidTr="002C6367">
        <w:trPr>
          <w:trHeight w:val="20"/>
        </w:trPr>
        <w:tc>
          <w:tcPr>
            <w:tcW w:w="1271"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1C4A627" w14:textId="77777777" w:rsidR="00832C22" w:rsidRDefault="00832C22">
            <w:pPr>
              <w:jc w:val="center"/>
              <w:rPr>
                <w:rFonts w:ascii="Arial Narrow" w:hAnsi="Arial Narrow"/>
                <w:kern w:val="2"/>
                <w:sz w:val="20"/>
                <w:szCs w:val="20"/>
              </w:rPr>
            </w:pPr>
            <w:r>
              <w:rPr>
                <w:rFonts w:ascii="Arial Narrow" w:hAnsi="Arial Narrow"/>
                <w:b/>
                <w:kern w:val="2"/>
                <w:sz w:val="20"/>
                <w:szCs w:val="20"/>
              </w:rPr>
              <w:t>Concept ID</w:t>
            </w:r>
          </w:p>
          <w:p w14:paraId="20270A59" w14:textId="77777777" w:rsidR="00832C22" w:rsidRDefault="00832C22">
            <w:pPr>
              <w:jc w:val="center"/>
              <w:rPr>
                <w:rFonts w:ascii="Arial Narrow" w:hAnsi="Arial Narrow"/>
                <w:b/>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4C4CCA1" w14:textId="2CC042E0" w:rsidR="00832C22" w:rsidRPr="0048020E" w:rsidRDefault="00832C22">
            <w:pPr>
              <w:keepLines/>
              <w:jc w:val="left"/>
              <w:rPr>
                <w:rFonts w:ascii="Arial Narrow" w:hAnsi="Arial Narrow"/>
                <w:kern w:val="2"/>
                <w:sz w:val="20"/>
                <w:szCs w:val="20"/>
              </w:rPr>
            </w:pPr>
            <w:r w:rsidRPr="0048020E">
              <w:rPr>
                <w:rFonts w:ascii="Arial Narrow" w:hAnsi="Arial Narrow"/>
                <w:b/>
                <w:kern w:val="2"/>
                <w:sz w:val="20"/>
                <w:szCs w:val="20"/>
              </w:rPr>
              <w:t>Category / Program:</w:t>
            </w:r>
            <w:r w:rsidRPr="0048020E">
              <w:rPr>
                <w:rFonts w:ascii="Arial Narrow" w:hAnsi="Arial Narrow"/>
                <w:kern w:val="2"/>
                <w:sz w:val="20"/>
                <w:szCs w:val="20"/>
              </w:rPr>
              <w:t xml:space="preserve"> </w:t>
            </w:r>
            <w:r w:rsidRPr="0048020E">
              <w:rPr>
                <w:rFonts w:ascii="Arial Narrow" w:hAnsi="Arial Narrow"/>
                <w:kern w:val="2"/>
                <w:sz w:val="20"/>
                <w:szCs w:val="20"/>
              </w:rPr>
              <w:fldChar w:fldCharType="begin">
                <w:ffData>
                  <w:name w:val=""/>
                  <w:enabled/>
                  <w:calcOnExit w:val="0"/>
                  <w:checkBox>
                    <w:sizeAuto/>
                    <w:default w:val="1"/>
                  </w:checkBox>
                </w:ffData>
              </w:fldChar>
            </w:r>
            <w:r w:rsidRPr="0048020E">
              <w:rPr>
                <w:rFonts w:ascii="Arial Narrow" w:hAnsi="Arial Narrow"/>
                <w:kern w:val="2"/>
                <w:sz w:val="20"/>
                <w:szCs w:val="20"/>
              </w:rPr>
              <w:instrText xml:space="preserve"> FORMCHECKBOX </w:instrText>
            </w:r>
            <w:r w:rsidRPr="0048020E">
              <w:rPr>
                <w:rFonts w:ascii="Arial Narrow" w:hAnsi="Arial Narrow"/>
                <w:kern w:val="2"/>
                <w:sz w:val="20"/>
                <w:szCs w:val="20"/>
              </w:rPr>
            </w:r>
            <w:r w:rsidRPr="0048020E">
              <w:rPr>
                <w:rFonts w:ascii="Arial Narrow" w:hAnsi="Arial Narrow"/>
                <w:kern w:val="2"/>
                <w:sz w:val="20"/>
                <w:szCs w:val="20"/>
              </w:rPr>
              <w:fldChar w:fldCharType="separate"/>
            </w:r>
            <w:r w:rsidRPr="0048020E">
              <w:rPr>
                <w:rFonts w:ascii="Arial Narrow" w:hAnsi="Arial Narrow"/>
                <w:kern w:val="2"/>
                <w:sz w:val="20"/>
                <w:szCs w:val="20"/>
              </w:rPr>
              <w:fldChar w:fldCharType="end"/>
            </w:r>
            <w:r w:rsidRPr="0048020E">
              <w:rPr>
                <w:rFonts w:ascii="Arial Narrow" w:hAnsi="Arial Narrow"/>
                <w:kern w:val="2"/>
                <w:sz w:val="20"/>
                <w:szCs w:val="20"/>
              </w:rPr>
              <w:t xml:space="preserve"> </w:t>
            </w:r>
            <w:r w:rsidRPr="00B73699">
              <w:rPr>
                <w:rFonts w:ascii="Arial Narrow" w:eastAsia="Calibri" w:hAnsi="Arial Narrow"/>
                <w:sz w:val="20"/>
                <w:szCs w:val="20"/>
              </w:rPr>
              <w:t xml:space="preserve">GENERAL </w:t>
            </w:r>
            <w:r w:rsidR="00FC7500">
              <w:rPr>
                <w:rFonts w:ascii="Arial Narrow" w:eastAsia="Calibri" w:hAnsi="Arial Narrow"/>
                <w:sz w:val="20"/>
                <w:szCs w:val="20"/>
              </w:rPr>
              <w:noBreakHyphen/>
            </w:r>
            <w:r w:rsidRPr="00B73699">
              <w:rPr>
                <w:rFonts w:ascii="Arial Narrow" w:eastAsia="Calibri" w:hAnsi="Arial Narrow"/>
                <w:sz w:val="20"/>
                <w:szCs w:val="20"/>
              </w:rPr>
              <w:t xml:space="preserve"> </w:t>
            </w:r>
            <w:proofErr w:type="spellStart"/>
            <w:r w:rsidRPr="00B73699">
              <w:rPr>
                <w:rFonts w:ascii="Arial Narrow" w:eastAsia="Calibri" w:hAnsi="Arial Narrow"/>
                <w:sz w:val="20"/>
                <w:szCs w:val="20"/>
              </w:rPr>
              <w:t>General</w:t>
            </w:r>
            <w:proofErr w:type="spellEnd"/>
            <w:r w:rsidRPr="00B73699">
              <w:rPr>
                <w:rFonts w:ascii="Arial Narrow" w:eastAsia="Calibri" w:hAnsi="Arial Narrow"/>
                <w:sz w:val="20"/>
                <w:szCs w:val="20"/>
              </w:rPr>
              <w:t xml:space="preserve"> Schedule (Code GE)</w:t>
            </w:r>
          </w:p>
        </w:tc>
      </w:tr>
      <w:tr w:rsidR="00832C22" w:rsidRPr="0048020E" w14:paraId="56955750" w14:textId="77777777" w:rsidTr="002C6367">
        <w:trPr>
          <w:trHeight w:val="20"/>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3E017183" w14:textId="77777777" w:rsidR="00832C22" w:rsidRDefault="00832C22">
            <w:pPr>
              <w:rPr>
                <w:rFonts w:ascii="Arial Narrow" w:hAnsi="Arial Narrow"/>
                <w:b/>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6C8774" w14:textId="77777777" w:rsidR="00832C22" w:rsidRPr="0048020E" w:rsidRDefault="00832C22">
            <w:pPr>
              <w:keepLines/>
              <w:rPr>
                <w:rFonts w:ascii="Arial Narrow" w:hAnsi="Arial Narrow"/>
                <w:b/>
                <w:kern w:val="2"/>
                <w:sz w:val="20"/>
                <w:szCs w:val="20"/>
              </w:rPr>
            </w:pPr>
            <w:r w:rsidRPr="0048020E">
              <w:rPr>
                <w:rFonts w:ascii="Arial Narrow" w:hAnsi="Arial Narrow"/>
                <w:b/>
                <w:kern w:val="2"/>
                <w:sz w:val="20"/>
                <w:szCs w:val="20"/>
              </w:rPr>
              <w:t xml:space="preserve">Prescriber type: </w:t>
            </w:r>
            <w:r w:rsidRPr="0048020E">
              <w:rPr>
                <w:rFonts w:ascii="Arial Narrow" w:hAnsi="Arial Narrow"/>
                <w:kern w:val="2"/>
                <w:sz w:val="20"/>
                <w:szCs w:val="20"/>
              </w:rPr>
              <w:fldChar w:fldCharType="begin">
                <w:ffData>
                  <w:name w:val=""/>
                  <w:enabled/>
                  <w:calcOnExit w:val="0"/>
                  <w:checkBox>
                    <w:sizeAuto/>
                    <w:default w:val="1"/>
                  </w:checkBox>
                </w:ffData>
              </w:fldChar>
            </w:r>
            <w:r w:rsidRPr="0048020E">
              <w:rPr>
                <w:rFonts w:ascii="Arial Narrow" w:hAnsi="Arial Narrow"/>
                <w:kern w:val="2"/>
                <w:sz w:val="20"/>
                <w:szCs w:val="20"/>
              </w:rPr>
              <w:instrText xml:space="preserve"> FORMCHECKBOX </w:instrText>
            </w:r>
            <w:r w:rsidRPr="0048020E">
              <w:rPr>
                <w:rFonts w:ascii="Arial Narrow" w:hAnsi="Arial Narrow"/>
                <w:kern w:val="2"/>
                <w:sz w:val="20"/>
                <w:szCs w:val="20"/>
              </w:rPr>
            </w:r>
            <w:r w:rsidRPr="0048020E">
              <w:rPr>
                <w:rFonts w:ascii="Arial Narrow" w:hAnsi="Arial Narrow"/>
                <w:kern w:val="2"/>
                <w:sz w:val="20"/>
                <w:szCs w:val="20"/>
              </w:rPr>
              <w:fldChar w:fldCharType="separate"/>
            </w:r>
            <w:r w:rsidRPr="0048020E">
              <w:rPr>
                <w:rFonts w:ascii="Arial Narrow" w:hAnsi="Arial Narrow"/>
                <w:kern w:val="2"/>
                <w:sz w:val="20"/>
                <w:szCs w:val="20"/>
              </w:rPr>
              <w:fldChar w:fldCharType="end"/>
            </w:r>
            <w:r w:rsidRPr="0048020E">
              <w:rPr>
                <w:rFonts w:ascii="Arial Narrow" w:hAnsi="Arial Narrow"/>
                <w:kern w:val="2"/>
                <w:sz w:val="20"/>
                <w:szCs w:val="20"/>
              </w:rPr>
              <w:t xml:space="preserve"> Medical Practitioners </w:t>
            </w:r>
          </w:p>
        </w:tc>
      </w:tr>
      <w:tr w:rsidR="00832C22" w:rsidRPr="009B507B" w14:paraId="3A6902B5" w14:textId="77777777" w:rsidTr="002C6367">
        <w:trPr>
          <w:trHeight w:val="20"/>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3A4380AA" w14:textId="77777777" w:rsidR="00832C22" w:rsidRDefault="00832C22">
            <w:pPr>
              <w:rPr>
                <w:rFonts w:ascii="Arial Narrow" w:hAnsi="Arial Narrow"/>
                <w:b/>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AABC31D" w14:textId="77777777" w:rsidR="00832C22" w:rsidRPr="004F083E" w:rsidRDefault="00832C22">
            <w:pPr>
              <w:keepLines/>
              <w:jc w:val="left"/>
              <w:rPr>
                <w:rFonts w:ascii="Arial Narrow" w:hAnsi="Arial Narrow"/>
                <w:i/>
                <w:iCs/>
                <w:kern w:val="2"/>
                <w:sz w:val="20"/>
                <w:szCs w:val="20"/>
              </w:rPr>
            </w:pPr>
            <w:r w:rsidRPr="004F083E">
              <w:rPr>
                <w:rFonts w:ascii="Arial Narrow" w:hAnsi="Arial Narrow"/>
                <w:b/>
                <w:kern w:val="2"/>
                <w:sz w:val="20"/>
                <w:szCs w:val="20"/>
              </w:rPr>
              <w:t xml:space="preserve">Benefit type: </w:t>
            </w:r>
            <w:r w:rsidRPr="004F083E">
              <w:rPr>
                <w:rFonts w:ascii="Arial Narrow" w:hAnsi="Arial Narrow"/>
                <w:kern w:val="2"/>
                <w:sz w:val="20"/>
                <w:szCs w:val="20"/>
              </w:rPr>
              <w:fldChar w:fldCharType="begin">
                <w:ffData>
                  <w:name w:val=""/>
                  <w:enabled/>
                  <w:calcOnExit w:val="0"/>
                  <w:checkBox>
                    <w:sizeAuto/>
                    <w:default w:val="1"/>
                  </w:checkBox>
                </w:ffData>
              </w:fldChar>
            </w:r>
            <w:r w:rsidRPr="004F083E">
              <w:rPr>
                <w:rFonts w:ascii="Arial Narrow" w:hAnsi="Arial Narrow"/>
                <w:kern w:val="2"/>
                <w:sz w:val="20"/>
                <w:szCs w:val="20"/>
              </w:rPr>
              <w:instrText xml:space="preserve"> FORMCHECKBOX </w:instrText>
            </w:r>
            <w:r w:rsidRPr="004F083E">
              <w:rPr>
                <w:rFonts w:ascii="Arial Narrow" w:hAnsi="Arial Narrow"/>
                <w:kern w:val="2"/>
                <w:sz w:val="20"/>
                <w:szCs w:val="20"/>
              </w:rPr>
            </w:r>
            <w:r w:rsidRPr="004F083E">
              <w:rPr>
                <w:rFonts w:ascii="Arial Narrow" w:hAnsi="Arial Narrow"/>
                <w:kern w:val="2"/>
                <w:sz w:val="20"/>
                <w:szCs w:val="20"/>
              </w:rPr>
              <w:fldChar w:fldCharType="separate"/>
            </w:r>
            <w:r w:rsidRPr="004F083E">
              <w:rPr>
                <w:rFonts w:ascii="Arial Narrow" w:hAnsi="Arial Narrow"/>
                <w:kern w:val="2"/>
                <w:sz w:val="20"/>
                <w:szCs w:val="20"/>
              </w:rPr>
              <w:fldChar w:fldCharType="end"/>
            </w:r>
            <w:r w:rsidRPr="004F083E">
              <w:rPr>
                <w:rFonts w:ascii="Arial Narrow" w:hAnsi="Arial Narrow"/>
                <w:kern w:val="2"/>
                <w:sz w:val="20"/>
                <w:szCs w:val="20"/>
              </w:rPr>
              <w:t xml:space="preserve"> </w:t>
            </w:r>
            <w:r w:rsidRPr="004F083E">
              <w:rPr>
                <w:rFonts w:ascii="Arial Narrow" w:eastAsia="Calibri" w:hAnsi="Arial Narrow"/>
                <w:sz w:val="20"/>
                <w:szCs w:val="20"/>
              </w:rPr>
              <w:t xml:space="preserve">Authority Required (Telephone/Online PBS Authorities System) </w:t>
            </w:r>
          </w:p>
        </w:tc>
      </w:tr>
      <w:tr w:rsidR="00832C22" w:rsidRPr="00B465CC" w14:paraId="68AED23D" w14:textId="77777777" w:rsidTr="002C6367">
        <w:trPr>
          <w:trHeight w:val="100"/>
        </w:trPr>
        <w:tc>
          <w:tcPr>
            <w:tcW w:w="563" w:type="dxa"/>
            <w:vMerge w:val="restart"/>
            <w:textDirection w:val="btLr"/>
          </w:tcPr>
          <w:p w14:paraId="20EFB63C" w14:textId="77777777" w:rsidR="00832C22" w:rsidRPr="00B465CC" w:rsidRDefault="00832C22">
            <w:pPr>
              <w:jc w:val="center"/>
              <w:rPr>
                <w:rFonts w:ascii="Arial Narrow" w:hAnsi="Arial Narrow"/>
                <w:i/>
                <w:iCs/>
                <w:kern w:val="2"/>
                <w:sz w:val="20"/>
                <w:szCs w:val="20"/>
              </w:rPr>
            </w:pPr>
            <w:r w:rsidRPr="00E745C2">
              <w:rPr>
                <w:rFonts w:ascii="Arial Narrow" w:hAnsi="Arial Narrow"/>
                <w:sz w:val="20"/>
                <w:szCs w:val="20"/>
              </w:rPr>
              <w:t>Prescribing rule</w:t>
            </w:r>
            <w:r>
              <w:rPr>
                <w:rFonts w:ascii="Arial Narrow" w:hAnsi="Arial Narrow"/>
                <w:sz w:val="20"/>
                <w:szCs w:val="20"/>
              </w:rPr>
              <w:t xml:space="preserve"> level</w:t>
            </w:r>
          </w:p>
        </w:tc>
        <w:tc>
          <w:tcPr>
            <w:tcW w:w="70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72EE035" w14:textId="0C09FA5B" w:rsidR="00832C22" w:rsidRPr="005354DC"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C5C24E0" w14:textId="77777777" w:rsidR="00832C22" w:rsidRPr="005354DC" w:rsidRDefault="00832C22">
            <w:pPr>
              <w:rPr>
                <w:rFonts w:ascii="Arial Narrow" w:hAnsi="Arial Narrow"/>
                <w:b/>
                <w:bCs/>
                <w:kern w:val="2"/>
                <w:sz w:val="20"/>
                <w:szCs w:val="20"/>
              </w:rPr>
            </w:pPr>
            <w:r w:rsidRPr="005354DC">
              <w:rPr>
                <w:rFonts w:ascii="Arial Narrow" w:hAnsi="Arial Narrow"/>
                <w:b/>
                <w:bCs/>
                <w:kern w:val="2"/>
                <w:sz w:val="20"/>
                <w:szCs w:val="20"/>
              </w:rPr>
              <w:t xml:space="preserve">Administrative Advice: </w:t>
            </w:r>
          </w:p>
          <w:p w14:paraId="05FF7421" w14:textId="77777777" w:rsidR="00832C22" w:rsidRPr="005354DC" w:rsidRDefault="00832C22">
            <w:pPr>
              <w:rPr>
                <w:rFonts w:ascii="Arial Narrow" w:hAnsi="Arial Narrow"/>
                <w:kern w:val="2"/>
                <w:sz w:val="20"/>
                <w:szCs w:val="20"/>
              </w:rPr>
            </w:pPr>
            <w:r w:rsidRPr="005354DC">
              <w:rPr>
                <w:rFonts w:ascii="Arial Narrow" w:hAnsi="Arial Narrow"/>
                <w:kern w:val="2"/>
                <w:sz w:val="20"/>
                <w:szCs w:val="20"/>
              </w:rPr>
              <w:t>TREATMENT OF COMPLEX REFRACTORY FISTULISING CROHN DISEASE</w:t>
            </w:r>
          </w:p>
          <w:p w14:paraId="3416C5CB" w14:textId="77777777" w:rsidR="00832C22" w:rsidRPr="005354DC" w:rsidRDefault="00832C22">
            <w:pPr>
              <w:pStyle w:val="pf0"/>
              <w:spacing w:before="0" w:beforeAutospacing="0" w:after="0" w:afterAutospacing="0" w:line="256" w:lineRule="auto"/>
              <w:rPr>
                <w:rFonts w:ascii="Arial Narrow" w:hAnsi="Arial Narrow" w:cs="Arial"/>
                <w:b/>
                <w:kern w:val="2"/>
                <w:sz w:val="20"/>
                <w:szCs w:val="20"/>
                <w:lang w:eastAsia="en-US"/>
                <w14:ligatures w14:val="standardContextual"/>
              </w:rPr>
            </w:pPr>
            <w:hyperlink w:anchor="_Overarching_administrative_advice" w:history="1">
              <w:r w:rsidRPr="005354DC">
                <w:rPr>
                  <w:rStyle w:val="Hyperlink"/>
                  <w:rFonts w:ascii="Arial Narrow" w:hAnsi="Arial Narrow"/>
                  <w:kern w:val="2"/>
                  <w:sz w:val="20"/>
                  <w:szCs w:val="20"/>
                </w:rPr>
                <w:t>See below for overarching AA</w:t>
              </w:r>
            </w:hyperlink>
          </w:p>
        </w:tc>
      </w:tr>
      <w:tr w:rsidR="00832C22" w:rsidRPr="00004F8F" w14:paraId="1CB70DC2" w14:textId="77777777" w:rsidTr="002C6367">
        <w:trPr>
          <w:trHeight w:val="100"/>
        </w:trPr>
        <w:tc>
          <w:tcPr>
            <w:tcW w:w="563" w:type="dxa"/>
            <w:vMerge/>
          </w:tcPr>
          <w:p w14:paraId="15C451AB" w14:textId="77777777" w:rsidR="00832C22" w:rsidRPr="00004F8F" w:rsidRDefault="00832C22">
            <w:pPr>
              <w:jc w:val="center"/>
              <w:rPr>
                <w:rFonts w:ascii="Arial Narrow" w:hAnsi="Arial Narrow"/>
                <w:i/>
                <w:iCs/>
                <w:kern w:val="2"/>
                <w:sz w:val="20"/>
                <w:szCs w:val="20"/>
              </w:rPr>
            </w:pPr>
          </w:p>
        </w:tc>
        <w:tc>
          <w:tcPr>
            <w:tcW w:w="70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77DC8FE" w14:textId="502F0DA9" w:rsidR="00832C22" w:rsidRPr="005354DC"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F9470C6" w14:textId="77777777" w:rsidR="00832C22" w:rsidRPr="005354DC" w:rsidRDefault="00832C22">
            <w:pPr>
              <w:rPr>
                <w:rFonts w:ascii="Arial Narrow" w:hAnsi="Arial Narrow"/>
                <w:kern w:val="2"/>
                <w:sz w:val="20"/>
                <w:szCs w:val="20"/>
              </w:rPr>
            </w:pPr>
            <w:r w:rsidRPr="005354DC">
              <w:rPr>
                <w:rFonts w:ascii="Arial Narrow" w:hAnsi="Arial Narrow"/>
                <w:b/>
                <w:bCs/>
                <w:kern w:val="2"/>
                <w:sz w:val="20"/>
                <w:szCs w:val="20"/>
              </w:rPr>
              <w:t xml:space="preserve">Administrative Advice: </w:t>
            </w:r>
            <w:r w:rsidRPr="005354DC">
              <w:rPr>
                <w:rFonts w:ascii="Arial Narrow" w:hAnsi="Arial Narrow"/>
                <w:kern w:val="2"/>
                <w:sz w:val="20"/>
                <w:szCs w:val="20"/>
              </w:rPr>
              <w:t>No increase in the maximum quantity or number of units may be authorised.</w:t>
            </w:r>
          </w:p>
        </w:tc>
      </w:tr>
      <w:tr w:rsidR="00832C22" w:rsidRPr="00004F8F" w14:paraId="0828387D" w14:textId="77777777" w:rsidTr="002C6367">
        <w:trPr>
          <w:trHeight w:val="100"/>
        </w:trPr>
        <w:tc>
          <w:tcPr>
            <w:tcW w:w="563" w:type="dxa"/>
            <w:vMerge/>
          </w:tcPr>
          <w:p w14:paraId="35979D4D" w14:textId="77777777" w:rsidR="00832C22" w:rsidRPr="00004F8F" w:rsidRDefault="00832C22">
            <w:pPr>
              <w:jc w:val="center"/>
              <w:rPr>
                <w:rFonts w:ascii="Arial Narrow" w:hAnsi="Arial Narrow"/>
                <w:i/>
                <w:iCs/>
                <w:kern w:val="2"/>
                <w:sz w:val="20"/>
                <w:szCs w:val="20"/>
              </w:rPr>
            </w:pPr>
          </w:p>
        </w:tc>
        <w:tc>
          <w:tcPr>
            <w:tcW w:w="70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47A53F0" w14:textId="0127A23A" w:rsidR="00832C22" w:rsidRPr="005354DC"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3F2E42C" w14:textId="77777777" w:rsidR="00832C22" w:rsidRPr="005354DC" w:rsidRDefault="00832C22">
            <w:pPr>
              <w:rPr>
                <w:rFonts w:ascii="Arial Narrow" w:hAnsi="Arial Narrow"/>
                <w:kern w:val="2"/>
                <w:sz w:val="20"/>
                <w:szCs w:val="20"/>
              </w:rPr>
            </w:pPr>
            <w:r w:rsidRPr="005354DC">
              <w:rPr>
                <w:rFonts w:ascii="Arial Narrow" w:hAnsi="Arial Narrow"/>
                <w:b/>
                <w:bCs/>
                <w:kern w:val="2"/>
                <w:sz w:val="20"/>
                <w:szCs w:val="20"/>
              </w:rPr>
              <w:t xml:space="preserve">Administrative Advice: </w:t>
            </w:r>
            <w:r w:rsidRPr="005354DC">
              <w:rPr>
                <w:rFonts w:ascii="Arial Narrow" w:hAnsi="Arial Narrow"/>
                <w:kern w:val="2"/>
                <w:sz w:val="20"/>
                <w:szCs w:val="20"/>
              </w:rPr>
              <w:t>No increase in the maximum number of repeats may be authorised.</w:t>
            </w:r>
          </w:p>
        </w:tc>
      </w:tr>
      <w:tr w:rsidR="00832C22" w:rsidRPr="00004F8F" w14:paraId="06AEAE5D" w14:textId="77777777" w:rsidTr="002C6367">
        <w:trPr>
          <w:trHeight w:val="100"/>
        </w:trPr>
        <w:tc>
          <w:tcPr>
            <w:tcW w:w="563" w:type="dxa"/>
            <w:vMerge/>
          </w:tcPr>
          <w:p w14:paraId="0A0BD859" w14:textId="77777777" w:rsidR="00832C22" w:rsidRPr="00004F8F" w:rsidRDefault="00832C22">
            <w:pPr>
              <w:jc w:val="center"/>
              <w:rPr>
                <w:rFonts w:ascii="Arial Narrow" w:hAnsi="Arial Narrow"/>
                <w:i/>
                <w:iCs/>
                <w:kern w:val="2"/>
                <w:sz w:val="20"/>
                <w:szCs w:val="20"/>
              </w:rPr>
            </w:pPr>
          </w:p>
        </w:tc>
        <w:tc>
          <w:tcPr>
            <w:tcW w:w="70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B5CACA2" w14:textId="6B03FE92" w:rsidR="00832C22" w:rsidRPr="005354DC"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D577547" w14:textId="77777777" w:rsidR="00832C22" w:rsidRPr="005354DC" w:rsidRDefault="00832C22">
            <w:pPr>
              <w:rPr>
                <w:rFonts w:ascii="Arial Narrow" w:hAnsi="Arial Narrow"/>
                <w:b/>
                <w:bCs/>
                <w:kern w:val="2"/>
                <w:sz w:val="20"/>
                <w:szCs w:val="20"/>
              </w:rPr>
            </w:pPr>
            <w:r w:rsidRPr="005354DC">
              <w:rPr>
                <w:rFonts w:ascii="Arial Narrow" w:hAnsi="Arial Narrow"/>
                <w:b/>
                <w:bCs/>
                <w:kern w:val="2"/>
                <w:sz w:val="20"/>
                <w:szCs w:val="20"/>
              </w:rPr>
              <w:t>Administrative Advice:</w:t>
            </w:r>
          </w:p>
          <w:p w14:paraId="2F3B0800" w14:textId="77777777" w:rsidR="00832C22" w:rsidRPr="005354DC" w:rsidRDefault="00832C22">
            <w:pPr>
              <w:rPr>
                <w:rFonts w:ascii="Arial Narrow" w:hAnsi="Arial Narrow"/>
                <w:b/>
                <w:bCs/>
                <w:kern w:val="2"/>
                <w:sz w:val="20"/>
                <w:szCs w:val="20"/>
              </w:rPr>
            </w:pPr>
            <w:r w:rsidRPr="005354DC">
              <w:rPr>
                <w:rFonts w:ascii="Arial Narrow" w:hAnsi="Arial Narrow"/>
                <w:kern w:val="2"/>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832C22" w14:paraId="7DBA8827" w14:textId="77777777" w:rsidTr="002C6367">
        <w:trPr>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7663C866" w14:textId="77777777" w:rsidR="00832C22" w:rsidRDefault="00832C22">
            <w:pPr>
              <w:jc w:val="center"/>
              <w:rPr>
                <w:rFonts w:ascii="Arial Narrow" w:hAnsi="Arial Narrow" w:cs="Times New Roman"/>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hideMark/>
          </w:tcPr>
          <w:p w14:paraId="6D0BEE1C" w14:textId="6A35AF75" w:rsidR="00832C22" w:rsidRDefault="00832C22">
            <w:pPr>
              <w:keepLines/>
              <w:rPr>
                <w:rFonts w:ascii="Arial Narrow" w:hAnsi="Arial Narrow"/>
                <w:b/>
                <w:bCs/>
                <w:color w:val="333333"/>
                <w:kern w:val="2"/>
                <w:sz w:val="20"/>
                <w:szCs w:val="20"/>
              </w:rPr>
            </w:pPr>
          </w:p>
        </w:tc>
      </w:tr>
      <w:tr w:rsidR="00832C22" w:rsidRPr="00E14909" w14:paraId="4998181F"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806343B" w14:textId="085FEAF8" w:rsidR="00832C22" w:rsidRDefault="00832C22">
            <w:pPr>
              <w:keepLines/>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10EA336" w14:textId="77777777" w:rsidR="00832C22" w:rsidRPr="00E14909" w:rsidRDefault="00832C22">
            <w:pPr>
              <w:keepLines/>
              <w:rPr>
                <w:rFonts w:ascii="Arial Narrow" w:hAnsi="Arial Narrow"/>
                <w:kern w:val="2"/>
                <w:sz w:val="20"/>
                <w:szCs w:val="20"/>
              </w:rPr>
            </w:pPr>
            <w:r>
              <w:rPr>
                <w:rFonts w:ascii="Arial Narrow" w:hAnsi="Arial Narrow"/>
                <w:b/>
                <w:bCs/>
                <w:color w:val="333333"/>
                <w:kern w:val="2"/>
                <w:sz w:val="20"/>
                <w:szCs w:val="20"/>
              </w:rPr>
              <w:t>Indication:</w:t>
            </w:r>
            <w:r>
              <w:rPr>
                <w:rFonts w:ascii="Arial Narrow" w:hAnsi="Arial Narrow"/>
                <w:color w:val="333333"/>
                <w:kern w:val="2"/>
                <w:sz w:val="20"/>
                <w:szCs w:val="20"/>
              </w:rPr>
              <w:t xml:space="preserve"> </w:t>
            </w:r>
            <w:r>
              <w:rPr>
                <w:rFonts w:ascii="Arial Narrow" w:hAnsi="Arial Narrow"/>
                <w:bCs/>
                <w:sz w:val="20"/>
                <w:szCs w:val="20"/>
              </w:rPr>
              <w:t>Complex refractory fistulising Crohn disease</w:t>
            </w:r>
          </w:p>
        </w:tc>
      </w:tr>
      <w:tr w:rsidR="00832C22" w14:paraId="2B3421C2"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AE23E5E" w14:textId="77777777" w:rsidR="00832C22" w:rsidRDefault="00832C22">
            <w:pP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47F8594" w14:textId="77777777" w:rsidR="00832C22" w:rsidRDefault="00832C22">
            <w:pPr>
              <w:rPr>
                <w:rFonts w:ascii="Arial Narrow" w:hAnsi="Arial Narrow" w:cs="Times New Roman"/>
                <w:kern w:val="2"/>
                <w:sz w:val="20"/>
                <w:szCs w:val="20"/>
              </w:rPr>
            </w:pPr>
            <w:r>
              <w:rPr>
                <w:rFonts w:ascii="Arial Narrow" w:hAnsi="Arial Narrow"/>
                <w:b/>
                <w:bCs/>
                <w:color w:val="333333"/>
                <w:kern w:val="2"/>
                <w:sz w:val="20"/>
                <w:szCs w:val="20"/>
              </w:rPr>
              <w:t xml:space="preserve">Treatment Phase: </w:t>
            </w:r>
            <w:r w:rsidRPr="002563DC">
              <w:rPr>
                <w:rFonts w:ascii="Arial Narrow" w:hAnsi="Arial Narrow"/>
                <w:kern w:val="2"/>
                <w:sz w:val="20"/>
                <w:szCs w:val="20"/>
              </w:rPr>
              <w:t>Continuing</w:t>
            </w:r>
            <w:r>
              <w:rPr>
                <w:rFonts w:ascii="Arial Narrow" w:hAnsi="Arial Narrow"/>
                <w:kern w:val="2"/>
                <w:sz w:val="20"/>
                <w:szCs w:val="20"/>
              </w:rPr>
              <w:t xml:space="preserve"> treatment</w:t>
            </w:r>
          </w:p>
        </w:tc>
      </w:tr>
      <w:tr w:rsidR="00832C22" w:rsidRPr="00784670" w14:paraId="70F7BA33"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9FFE2A7" w14:textId="23DE04CA" w:rsidR="00832C22" w:rsidRPr="008D6686" w:rsidRDefault="00832C22">
            <w:pPr>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8A6C59C" w14:textId="77777777" w:rsidR="00832C22" w:rsidRPr="008D6686" w:rsidRDefault="00832C22">
            <w:pPr>
              <w:rPr>
                <w:rFonts w:ascii="Arial Narrow" w:hAnsi="Arial Narrow"/>
                <w:kern w:val="2"/>
                <w:sz w:val="20"/>
                <w:szCs w:val="20"/>
              </w:rPr>
            </w:pPr>
            <w:r w:rsidRPr="008D6686">
              <w:rPr>
                <w:rFonts w:ascii="Arial Narrow" w:hAnsi="Arial Narrow"/>
                <w:b/>
                <w:bCs/>
                <w:color w:val="333333"/>
                <w:kern w:val="2"/>
                <w:sz w:val="20"/>
                <w:szCs w:val="20"/>
              </w:rPr>
              <w:t xml:space="preserve">Clinical criteria: </w:t>
            </w:r>
          </w:p>
        </w:tc>
      </w:tr>
      <w:tr w:rsidR="00832C22" w:rsidRPr="007C1020" w14:paraId="09220E32"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AAF3022" w14:textId="3DD9C24A" w:rsidR="00832C22" w:rsidRPr="008D6686" w:rsidRDefault="00832C22">
            <w:pPr>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DD6810F" w14:textId="2F4B4E9F" w:rsidR="00832C22" w:rsidRPr="00960DF7" w:rsidRDefault="00832C22">
            <w:pPr>
              <w:rPr>
                <w:rFonts w:ascii="Arial Narrow" w:hAnsi="Arial Narrow" w:cs="Times New Roman"/>
                <w:color w:val="333333"/>
                <w:kern w:val="2"/>
                <w:sz w:val="20"/>
                <w:szCs w:val="20"/>
              </w:rPr>
            </w:pPr>
            <w:r w:rsidRPr="00960DF7">
              <w:rPr>
                <w:rFonts w:ascii="Arial Narrow" w:hAnsi="Arial Narrow" w:cs="Times New Roman"/>
                <w:color w:val="333333"/>
                <w:kern w:val="2"/>
                <w:sz w:val="20"/>
                <w:szCs w:val="20"/>
              </w:rPr>
              <w:t>Patient must have received this drug as their most recent course of PBS</w:t>
            </w:r>
            <w:r w:rsidR="00FC7500">
              <w:rPr>
                <w:rFonts w:ascii="Arial Narrow" w:hAnsi="Arial Narrow" w:cs="Times New Roman"/>
                <w:color w:val="333333"/>
                <w:kern w:val="2"/>
                <w:sz w:val="20"/>
                <w:szCs w:val="20"/>
              </w:rPr>
              <w:noBreakHyphen/>
            </w:r>
            <w:r w:rsidRPr="00960DF7">
              <w:rPr>
                <w:rFonts w:ascii="Arial Narrow" w:hAnsi="Arial Narrow" w:cs="Times New Roman"/>
                <w:color w:val="333333"/>
                <w:kern w:val="2"/>
                <w:sz w:val="20"/>
                <w:szCs w:val="20"/>
              </w:rPr>
              <w:t>subsidised targeted therapy treatment for this condition in this treatment cycle </w:t>
            </w:r>
          </w:p>
        </w:tc>
      </w:tr>
      <w:tr w:rsidR="00832C22" w14:paraId="1F56CBBB"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A873D4C" w14:textId="77777777" w:rsidR="00832C22" w:rsidRDefault="00832C22">
            <w:pPr>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1478219" w14:textId="77777777" w:rsidR="00832C22" w:rsidRDefault="00832C22">
            <w:pPr>
              <w:rPr>
                <w:rFonts w:ascii="Arial Narrow" w:hAnsi="Arial Narrow"/>
                <w:color w:val="333333"/>
                <w:kern w:val="2"/>
                <w:sz w:val="20"/>
                <w:szCs w:val="20"/>
              </w:rPr>
            </w:pPr>
            <w:r>
              <w:rPr>
                <w:rFonts w:ascii="Arial Narrow" w:hAnsi="Arial Narrow"/>
                <w:b/>
                <w:bCs/>
                <w:color w:val="333333"/>
                <w:kern w:val="2"/>
                <w:sz w:val="20"/>
                <w:szCs w:val="20"/>
              </w:rPr>
              <w:t>AND</w:t>
            </w:r>
          </w:p>
        </w:tc>
      </w:tr>
      <w:tr w:rsidR="00832C22" w14:paraId="738DA6BE"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FD285D2" w14:textId="2DBABB0C" w:rsidR="00832C22" w:rsidRDefault="00832C22">
            <w:pPr>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A64AEAB" w14:textId="77777777" w:rsidR="00832C22" w:rsidRDefault="00832C22">
            <w:pPr>
              <w:rPr>
                <w:rFonts w:ascii="Arial Narrow" w:hAnsi="Arial Narrow"/>
                <w:b/>
                <w:bCs/>
                <w:color w:val="333333"/>
                <w:kern w:val="2"/>
                <w:sz w:val="20"/>
                <w:szCs w:val="20"/>
              </w:rPr>
            </w:pPr>
            <w:r>
              <w:rPr>
                <w:rFonts w:ascii="Arial Narrow" w:hAnsi="Arial Narrow"/>
                <w:b/>
                <w:bCs/>
                <w:color w:val="333333"/>
                <w:kern w:val="2"/>
                <w:sz w:val="20"/>
                <w:szCs w:val="20"/>
              </w:rPr>
              <w:t xml:space="preserve">Clinical criteria: </w:t>
            </w:r>
          </w:p>
        </w:tc>
      </w:tr>
      <w:tr w:rsidR="00832C22" w:rsidRPr="00CE3331" w14:paraId="43843256"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C42B1F3" w14:textId="008E722E" w:rsidR="00832C22" w:rsidRDefault="00832C22">
            <w:pPr>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5B1728C" w14:textId="77777777" w:rsidR="00832C22" w:rsidRPr="00CE3331" w:rsidRDefault="00832C22">
            <w:pPr>
              <w:widowControl w:val="0"/>
              <w:rPr>
                <w:rFonts w:ascii="Arial Narrow" w:hAnsi="Arial Narrow"/>
                <w:kern w:val="2"/>
                <w:sz w:val="20"/>
                <w:szCs w:val="20"/>
              </w:rPr>
            </w:pPr>
            <w:r w:rsidRPr="00CE3331">
              <w:rPr>
                <w:rFonts w:ascii="Arial Narrow" w:hAnsi="Arial Narrow"/>
                <w:kern w:val="2"/>
                <w:sz w:val="20"/>
                <w:szCs w:val="20"/>
              </w:rPr>
              <w:t>Patient must have demonstrated an adequate response to treatment with th</w:t>
            </w:r>
            <w:r w:rsidRPr="006868B3">
              <w:rPr>
                <w:rFonts w:ascii="Arial Narrow" w:hAnsi="Arial Narrow"/>
                <w:kern w:val="2"/>
                <w:sz w:val="20"/>
                <w:szCs w:val="20"/>
              </w:rPr>
              <w:t>is drug; OR</w:t>
            </w:r>
          </w:p>
        </w:tc>
      </w:tr>
      <w:tr w:rsidR="00832C22" w:rsidRPr="006617E7" w14:paraId="26BAB3F4"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Mar>
              <w:top w:w="15" w:type="dxa"/>
              <w:left w:w="108" w:type="dxa"/>
              <w:bottom w:w="15" w:type="dxa"/>
              <w:right w:w="108" w:type="dxa"/>
            </w:tcMar>
          </w:tcPr>
          <w:p w14:paraId="2E1EAE75" w14:textId="015C6E47" w:rsidR="00832C22" w:rsidRPr="006617E7" w:rsidRDefault="00832C22">
            <w:pPr>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shd w:val="clear" w:color="auto" w:fill="F2DBDB" w:themeFill="accent2" w:themeFillTint="33"/>
            <w:tcMar>
              <w:top w:w="15" w:type="dxa"/>
              <w:left w:w="108" w:type="dxa"/>
              <w:bottom w:w="15" w:type="dxa"/>
              <w:right w:w="108" w:type="dxa"/>
            </w:tcMar>
            <w:vAlign w:val="center"/>
          </w:tcPr>
          <w:p w14:paraId="6A179BA3" w14:textId="537F57C6" w:rsidR="00832C22" w:rsidRPr="006617E7" w:rsidRDefault="00832C22">
            <w:pPr>
              <w:rPr>
                <w:rFonts w:ascii="Arial Narrow" w:hAnsi="Arial Narrow"/>
                <w:kern w:val="2"/>
                <w:sz w:val="20"/>
                <w:szCs w:val="20"/>
              </w:rPr>
            </w:pPr>
            <w:r w:rsidRPr="006617E7">
              <w:rPr>
                <w:rFonts w:ascii="Arial Narrow" w:hAnsi="Arial Narrow"/>
                <w:kern w:val="2"/>
                <w:sz w:val="20"/>
                <w:szCs w:val="20"/>
              </w:rPr>
              <w:t xml:space="preserve">The condition must have not met the improvements specified below due to the prescribed dose being too low </w:t>
            </w:r>
            <w:r w:rsidR="00FC7500">
              <w:rPr>
                <w:rFonts w:ascii="Arial Narrow" w:hAnsi="Arial Narrow"/>
                <w:kern w:val="2"/>
                <w:sz w:val="20"/>
                <w:szCs w:val="20"/>
              </w:rPr>
              <w:noBreakHyphen/>
            </w:r>
            <w:r w:rsidRPr="006617E7">
              <w:rPr>
                <w:rFonts w:ascii="Arial Narrow" w:hAnsi="Arial Narrow"/>
                <w:kern w:val="2"/>
                <w:sz w:val="20"/>
                <w:szCs w:val="20"/>
              </w:rPr>
              <w:t xml:space="preserve"> this authority </w:t>
            </w:r>
            <w:r>
              <w:rPr>
                <w:rFonts w:ascii="Arial Narrow" w:hAnsi="Arial Narrow"/>
                <w:kern w:val="2"/>
                <w:sz w:val="20"/>
                <w:szCs w:val="20"/>
              </w:rPr>
              <w:t>approval</w:t>
            </w:r>
            <w:r w:rsidRPr="006617E7">
              <w:rPr>
                <w:rFonts w:ascii="Arial Narrow" w:hAnsi="Arial Narrow"/>
                <w:kern w:val="2"/>
                <w:sz w:val="20"/>
                <w:szCs w:val="20"/>
              </w:rPr>
              <w:t xml:space="preserve"> seeks higher dosing.</w:t>
            </w:r>
          </w:p>
        </w:tc>
      </w:tr>
      <w:tr w:rsidR="00832C22" w14:paraId="56881AC7"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3965528" w14:textId="7DD5AD59" w:rsidR="00832C22" w:rsidRDefault="00832C22">
            <w:pPr>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94DBE3E" w14:textId="77777777" w:rsidR="00832C22" w:rsidRDefault="00832C22">
            <w:pPr>
              <w:rPr>
                <w:rFonts w:ascii="Arial Narrow" w:hAnsi="Arial Narrow"/>
                <w:color w:val="333333"/>
                <w:kern w:val="2"/>
                <w:sz w:val="20"/>
                <w:szCs w:val="20"/>
              </w:rPr>
            </w:pPr>
            <w:r>
              <w:rPr>
                <w:rFonts w:ascii="Arial Narrow" w:hAnsi="Arial Narrow"/>
                <w:b/>
                <w:bCs/>
                <w:color w:val="333333"/>
                <w:kern w:val="2"/>
                <w:sz w:val="20"/>
                <w:szCs w:val="20"/>
              </w:rPr>
              <w:t>Treatment criteria:</w:t>
            </w:r>
          </w:p>
        </w:tc>
      </w:tr>
      <w:tr w:rsidR="00832C22" w:rsidRPr="00C365BE" w14:paraId="00948D3F"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E781E5B" w14:textId="0968E197"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1316FA3" w14:textId="77777777" w:rsidR="00832C22" w:rsidRPr="00C365BE" w:rsidRDefault="00832C22">
            <w:pPr>
              <w:jc w:val="left"/>
              <w:rPr>
                <w:rFonts w:ascii="Arial Narrow" w:hAnsi="Arial Narrow" w:cs="Arial Narrow"/>
                <w:iCs/>
                <w:kern w:val="2"/>
                <w:sz w:val="20"/>
                <w:szCs w:val="20"/>
              </w:rPr>
            </w:pPr>
            <w:r w:rsidRPr="00E15563">
              <w:rPr>
                <w:rFonts w:ascii="Arial Narrow" w:hAnsi="Arial Narrow"/>
                <w:kern w:val="2"/>
                <w:sz w:val="20"/>
                <w:szCs w:val="20"/>
              </w:rPr>
              <w:t>Must be treated by a gastroenterologist; OR</w:t>
            </w:r>
          </w:p>
        </w:tc>
      </w:tr>
      <w:tr w:rsidR="00832C22" w:rsidRPr="00C365BE" w14:paraId="5EFFA6AA"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DFB52DF" w14:textId="759D7B90"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DA71C91" w14:textId="77777777" w:rsidR="00832C22" w:rsidRPr="00C365BE" w:rsidRDefault="00832C22">
            <w:pPr>
              <w:jc w:val="left"/>
              <w:rPr>
                <w:rFonts w:ascii="Arial Narrow" w:hAnsi="Arial Narrow" w:cs="Arial Narrow"/>
                <w:iCs/>
                <w:kern w:val="2"/>
                <w:sz w:val="20"/>
                <w:szCs w:val="20"/>
              </w:rPr>
            </w:pPr>
            <w:r w:rsidRPr="00C50D47">
              <w:rPr>
                <w:rFonts w:ascii="Arial Narrow" w:hAnsi="Arial Narrow"/>
                <w:kern w:val="2"/>
                <w:sz w:val="20"/>
                <w:szCs w:val="20"/>
              </w:rPr>
              <w:t>Must be treated by a consultant physician [internal medicine specialising in gastroenterology]; OR</w:t>
            </w:r>
          </w:p>
        </w:tc>
      </w:tr>
      <w:tr w:rsidR="00832C22" w:rsidRPr="00C365BE" w14:paraId="6A870839"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0A9A63F" w14:textId="6521A143"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75B743C" w14:textId="77777777" w:rsidR="00832C22" w:rsidRPr="00C365BE" w:rsidRDefault="00832C22">
            <w:pPr>
              <w:jc w:val="left"/>
              <w:rPr>
                <w:rFonts w:ascii="Arial Narrow" w:hAnsi="Arial Narrow" w:cs="Arial Narrow"/>
                <w:iCs/>
                <w:kern w:val="2"/>
                <w:sz w:val="20"/>
                <w:szCs w:val="20"/>
              </w:rPr>
            </w:pPr>
            <w:r w:rsidRPr="003D2625">
              <w:rPr>
                <w:rFonts w:ascii="Arial Narrow" w:hAnsi="Arial Narrow"/>
                <w:kern w:val="2"/>
                <w:sz w:val="20"/>
                <w:szCs w:val="20"/>
              </w:rPr>
              <w:t>Must be treated by a consultant physician [general medicine specialising in gastroenterology].</w:t>
            </w:r>
          </w:p>
        </w:tc>
      </w:tr>
      <w:tr w:rsidR="00832C22" w:rsidRPr="00F50CD7" w14:paraId="24C3251D"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9535829" w14:textId="4685BDFD" w:rsidR="00832C22" w:rsidRDefault="00832C22">
            <w:pPr>
              <w:jc w:val="center"/>
              <w:rPr>
                <w:rFonts w:ascii="Arial Narrow" w:hAnsi="Arial Narrow"/>
                <w:color w:val="FF0000"/>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D69F47C" w14:textId="77777777" w:rsidR="00832C22" w:rsidRPr="009804D0" w:rsidRDefault="00832C22">
            <w:pPr>
              <w:rPr>
                <w:rFonts w:ascii="Arial Narrow" w:hAnsi="Arial Narrow"/>
                <w:b/>
                <w:bCs/>
                <w:color w:val="333333"/>
                <w:kern w:val="2"/>
                <w:sz w:val="20"/>
                <w:szCs w:val="20"/>
              </w:rPr>
            </w:pPr>
            <w:r w:rsidRPr="009804D0">
              <w:rPr>
                <w:rFonts w:ascii="Arial Narrow" w:hAnsi="Arial Narrow"/>
                <w:b/>
                <w:bCs/>
                <w:color w:val="333333"/>
                <w:kern w:val="2"/>
                <w:sz w:val="20"/>
                <w:szCs w:val="20"/>
              </w:rPr>
              <w:t>Prescribing Instruction:</w:t>
            </w:r>
          </w:p>
          <w:p w14:paraId="14D51FDA" w14:textId="77777777" w:rsidR="00832C22" w:rsidRPr="008128B0" w:rsidRDefault="00832C22">
            <w:pPr>
              <w:widowControl w:val="0"/>
              <w:rPr>
                <w:rFonts w:ascii="Arial Narrow" w:hAnsi="Arial Narrow"/>
                <w:kern w:val="2"/>
                <w:sz w:val="20"/>
                <w:szCs w:val="20"/>
              </w:rPr>
            </w:pPr>
            <w:r w:rsidRPr="008128B0">
              <w:rPr>
                <w:rFonts w:ascii="Arial Narrow" w:hAnsi="Arial Narrow"/>
                <w:kern w:val="2"/>
                <w:sz w:val="20"/>
                <w:szCs w:val="20"/>
              </w:rPr>
              <w:t>An adequate response is defined as:</w:t>
            </w:r>
          </w:p>
          <w:p w14:paraId="4F33A9C3" w14:textId="77777777" w:rsidR="00832C22" w:rsidRPr="008128B0" w:rsidRDefault="00832C22">
            <w:pPr>
              <w:widowControl w:val="0"/>
              <w:rPr>
                <w:rFonts w:ascii="Arial Narrow" w:hAnsi="Arial Narrow"/>
                <w:kern w:val="2"/>
                <w:sz w:val="20"/>
                <w:szCs w:val="20"/>
              </w:rPr>
            </w:pPr>
            <w:r w:rsidRPr="008128B0">
              <w:rPr>
                <w:rFonts w:ascii="Arial Narrow" w:hAnsi="Arial Narrow"/>
                <w:kern w:val="2"/>
                <w:sz w:val="20"/>
                <w:szCs w:val="20"/>
              </w:rPr>
              <w:t>a) a decrease from baseline in the number of open draining fistulae of greater than or equal to 50%; AND/OR</w:t>
            </w:r>
          </w:p>
          <w:p w14:paraId="0C048731" w14:textId="77777777" w:rsidR="00832C22" w:rsidRPr="00F82DDB" w:rsidRDefault="00832C22">
            <w:pPr>
              <w:widowControl w:val="0"/>
              <w:rPr>
                <w:rFonts w:ascii="Arial Narrow" w:hAnsi="Arial Narrow"/>
                <w:kern w:val="2"/>
                <w:sz w:val="20"/>
                <w:szCs w:val="20"/>
              </w:rPr>
            </w:pPr>
            <w:r w:rsidRPr="008128B0">
              <w:rPr>
                <w:rFonts w:ascii="Arial Narrow" w:hAnsi="Arial Narrow"/>
                <w:kern w:val="2"/>
                <w:sz w:val="20"/>
                <w:szCs w:val="20"/>
              </w:rPr>
              <w:t xml:space="preserve">b) a marked reduction in drainage of all fistula(e) from baseline, together with less pain and induration as reported by the patient. </w:t>
            </w:r>
          </w:p>
        </w:tc>
      </w:tr>
      <w:tr w:rsidR="00832C22" w:rsidRPr="00F50CD7" w14:paraId="42F3E21A"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D7399DB" w14:textId="499B173E" w:rsidR="00832C22" w:rsidRPr="00BD532F"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6E25BFA" w14:textId="77777777" w:rsidR="00832C22" w:rsidRPr="00E0334D" w:rsidRDefault="00832C22">
            <w:pPr>
              <w:rPr>
                <w:rFonts w:ascii="Arial Narrow" w:hAnsi="Arial Narrow"/>
                <w:b/>
                <w:bCs/>
                <w:kern w:val="2"/>
                <w:sz w:val="20"/>
                <w:szCs w:val="20"/>
              </w:rPr>
            </w:pPr>
            <w:r w:rsidRPr="00E0334D">
              <w:rPr>
                <w:rFonts w:ascii="Arial Narrow" w:hAnsi="Arial Narrow"/>
                <w:b/>
                <w:bCs/>
                <w:kern w:val="2"/>
                <w:sz w:val="20"/>
                <w:szCs w:val="20"/>
              </w:rPr>
              <w:t>Prescribing Instructions:</w:t>
            </w:r>
          </w:p>
          <w:p w14:paraId="34EF2B36" w14:textId="72CF5E85" w:rsidR="00832C22" w:rsidRDefault="00832C22">
            <w:pPr>
              <w:rPr>
                <w:rFonts w:ascii="Arial Narrow" w:hAnsi="Arial Narrow"/>
                <w:kern w:val="2"/>
                <w:sz w:val="20"/>
                <w:szCs w:val="20"/>
              </w:rPr>
            </w:pPr>
            <w:r>
              <w:rPr>
                <w:rFonts w:ascii="Arial Narrow" w:hAnsi="Arial Narrow"/>
                <w:kern w:val="2"/>
                <w:sz w:val="20"/>
                <w:szCs w:val="20"/>
              </w:rPr>
              <w:t xml:space="preserve">The </w:t>
            </w:r>
            <w:r w:rsidRPr="000F1FFC">
              <w:rPr>
                <w:rFonts w:ascii="Arial Narrow" w:hAnsi="Arial Narrow"/>
                <w:kern w:val="2"/>
                <w:sz w:val="20"/>
                <w:szCs w:val="20"/>
              </w:rPr>
              <w:t>current number of externally draining complex fistulae</w:t>
            </w:r>
            <w:r w:rsidR="00F91296">
              <w:rPr>
                <w:rFonts w:ascii="Arial Narrow" w:hAnsi="Arial Narrow"/>
                <w:kern w:val="2"/>
                <w:sz w:val="20"/>
                <w:szCs w:val="20"/>
              </w:rPr>
              <w:t>, fistula symptom grading scores (discharge/pain/induration)</w:t>
            </w:r>
            <w:r w:rsidRPr="000F1FFC">
              <w:rPr>
                <w:rFonts w:ascii="Arial Narrow" w:hAnsi="Arial Narrow"/>
                <w:kern w:val="2"/>
                <w:sz w:val="20"/>
                <w:szCs w:val="20"/>
              </w:rPr>
              <w:t xml:space="preserve"> and the date of assessment of the patient’s condition</w:t>
            </w:r>
            <w:r>
              <w:rPr>
                <w:rFonts w:ascii="Arial Narrow" w:hAnsi="Arial Narrow"/>
                <w:kern w:val="2"/>
                <w:sz w:val="20"/>
                <w:szCs w:val="20"/>
              </w:rPr>
              <w:t xml:space="preserve"> must be provided by the prescriber at the time of application and documented in the patient’s medical records.</w:t>
            </w:r>
          </w:p>
          <w:p w14:paraId="56598298" w14:textId="77777777" w:rsidR="00832C22" w:rsidRPr="009804D0" w:rsidRDefault="00832C22">
            <w:pPr>
              <w:rPr>
                <w:rFonts w:ascii="Arial Narrow" w:hAnsi="Arial Narrow"/>
                <w:b/>
                <w:bCs/>
                <w:color w:val="333333"/>
                <w:kern w:val="2"/>
                <w:sz w:val="20"/>
                <w:szCs w:val="20"/>
              </w:rPr>
            </w:pPr>
            <w:r>
              <w:rPr>
                <w:rFonts w:ascii="Arial Narrow" w:hAnsi="Arial Narrow"/>
                <w:kern w:val="2"/>
                <w:sz w:val="20"/>
                <w:szCs w:val="20"/>
              </w:rPr>
              <w:t>All information should, where possible, be no more than 4 weeks old at the time of application.</w:t>
            </w:r>
          </w:p>
        </w:tc>
      </w:tr>
      <w:tr w:rsidR="00832C22" w:rsidRPr="00F50CD7" w14:paraId="26FC43A2"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135D3F7" w14:textId="5DD772FF"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9118060" w14:textId="77777777" w:rsidR="00832C22" w:rsidRPr="00E0334D" w:rsidRDefault="00832C22">
            <w:pPr>
              <w:rPr>
                <w:rFonts w:ascii="Arial Narrow" w:hAnsi="Arial Narrow"/>
                <w:b/>
                <w:bCs/>
                <w:kern w:val="2"/>
                <w:sz w:val="20"/>
                <w:szCs w:val="20"/>
              </w:rPr>
            </w:pPr>
            <w:r w:rsidRPr="00E0334D">
              <w:rPr>
                <w:rFonts w:ascii="Arial Narrow" w:hAnsi="Arial Narrow"/>
                <w:b/>
                <w:bCs/>
                <w:kern w:val="2"/>
                <w:sz w:val="20"/>
                <w:szCs w:val="20"/>
              </w:rPr>
              <w:t>Prescribing Instructions:</w:t>
            </w:r>
          </w:p>
          <w:p w14:paraId="1F76ADF5" w14:textId="77777777" w:rsidR="00832C22" w:rsidRPr="00E0334D" w:rsidRDefault="00832C22">
            <w:pPr>
              <w:rPr>
                <w:rFonts w:ascii="Arial Narrow" w:hAnsi="Arial Narrow"/>
                <w:b/>
                <w:bCs/>
                <w:kern w:val="2"/>
                <w:sz w:val="20"/>
                <w:szCs w:val="20"/>
              </w:rPr>
            </w:pPr>
            <w:r w:rsidRPr="00E0334D">
              <w:rPr>
                <w:rFonts w:ascii="Arial Narrow" w:hAnsi="Arial Narrow"/>
                <w:kern w:val="2"/>
                <w:sz w:val="20"/>
                <w:szCs w:val="20"/>
              </w:rPr>
              <w:t>To demonstrate a response to treatment</w:t>
            </w:r>
            <w:r>
              <w:rPr>
                <w:rFonts w:ascii="Arial Narrow" w:hAnsi="Arial Narrow"/>
                <w:kern w:val="2"/>
                <w:sz w:val="20"/>
                <w:szCs w:val="20"/>
              </w:rPr>
              <w:t>,</w:t>
            </w:r>
            <w:r w:rsidRPr="00E0334D">
              <w:rPr>
                <w:rFonts w:ascii="Arial Narrow" w:hAnsi="Arial Narrow"/>
                <w:kern w:val="2"/>
                <w:sz w:val="20"/>
                <w:szCs w:val="20"/>
              </w:rPr>
              <w:t xml:space="preserve"> the application </w:t>
            </w:r>
            <w:r>
              <w:rPr>
                <w:rFonts w:ascii="Arial Narrow" w:hAnsi="Arial Narrow"/>
                <w:kern w:val="2"/>
                <w:sz w:val="20"/>
                <w:szCs w:val="20"/>
              </w:rPr>
              <w:t>should, where possible,</w:t>
            </w:r>
            <w:r w:rsidRPr="00E0334D">
              <w:rPr>
                <w:rFonts w:ascii="Arial Narrow" w:hAnsi="Arial Narrow"/>
                <w:kern w:val="2"/>
                <w:sz w:val="20"/>
                <w:szCs w:val="20"/>
              </w:rPr>
              <w:t xml:space="preserve"> be accompanied with the assessment of response, conducted no later than 4 weeks from cessation of the most recent course of </w:t>
            </w:r>
            <w:r>
              <w:rPr>
                <w:rFonts w:ascii="Arial Narrow" w:hAnsi="Arial Narrow"/>
                <w:kern w:val="2"/>
                <w:sz w:val="20"/>
                <w:szCs w:val="20"/>
              </w:rPr>
              <w:t>targeted therapy</w:t>
            </w:r>
            <w:r w:rsidRPr="00E0334D">
              <w:rPr>
                <w:rFonts w:ascii="Arial Narrow" w:hAnsi="Arial Narrow"/>
                <w:kern w:val="2"/>
                <w:sz w:val="20"/>
                <w:szCs w:val="20"/>
              </w:rPr>
              <w:t xml:space="preserve">. </w:t>
            </w:r>
          </w:p>
        </w:tc>
      </w:tr>
      <w:tr w:rsidR="00832C22" w:rsidRPr="00F50CD7" w14:paraId="358F91DB"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6BB5719" w14:textId="2D6399CC"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C092B3B" w14:textId="77777777" w:rsidR="00832C22" w:rsidRPr="00E0334D" w:rsidRDefault="00832C22">
            <w:pPr>
              <w:rPr>
                <w:rFonts w:ascii="Arial Narrow" w:hAnsi="Arial Narrow"/>
                <w:b/>
                <w:bCs/>
                <w:kern w:val="2"/>
                <w:sz w:val="20"/>
                <w:szCs w:val="20"/>
              </w:rPr>
            </w:pPr>
            <w:r w:rsidRPr="00E0334D">
              <w:rPr>
                <w:rFonts w:ascii="Arial Narrow" w:hAnsi="Arial Narrow"/>
                <w:b/>
                <w:bCs/>
                <w:kern w:val="2"/>
                <w:sz w:val="20"/>
                <w:szCs w:val="20"/>
              </w:rPr>
              <w:t>Prescribing Instructions:</w:t>
            </w:r>
          </w:p>
          <w:p w14:paraId="16CC4569" w14:textId="77777777" w:rsidR="00832C22" w:rsidRPr="00E0334D" w:rsidRDefault="00832C22">
            <w:pPr>
              <w:rPr>
                <w:rFonts w:ascii="Arial Narrow" w:hAnsi="Arial Narrow"/>
                <w:b/>
                <w:bCs/>
                <w:kern w:val="2"/>
                <w:sz w:val="20"/>
                <w:szCs w:val="20"/>
              </w:rPr>
            </w:pPr>
            <w:r w:rsidRPr="00E0334D">
              <w:rPr>
                <w:rFonts w:ascii="Arial Narrow" w:hAnsi="Arial Narrow"/>
                <w:kern w:val="2"/>
                <w:sz w:val="20"/>
                <w:szCs w:val="20"/>
              </w:rPr>
              <w:t xml:space="preserve">Where a response assessment is not conducted, the patient will be deemed to have </w:t>
            </w:r>
            <w:r>
              <w:rPr>
                <w:rFonts w:ascii="Arial Narrow" w:hAnsi="Arial Narrow"/>
                <w:kern w:val="2"/>
                <w:sz w:val="20"/>
                <w:szCs w:val="20"/>
              </w:rPr>
              <w:t>not</w:t>
            </w:r>
            <w:r w:rsidRPr="00E0334D">
              <w:rPr>
                <w:rFonts w:ascii="Arial Narrow" w:hAnsi="Arial Narrow"/>
                <w:kern w:val="2"/>
                <w:sz w:val="20"/>
                <w:szCs w:val="20"/>
              </w:rPr>
              <w:t xml:space="preserve"> respond</w:t>
            </w:r>
            <w:r>
              <w:rPr>
                <w:rFonts w:ascii="Arial Narrow" w:hAnsi="Arial Narrow"/>
                <w:kern w:val="2"/>
                <w:sz w:val="20"/>
                <w:szCs w:val="20"/>
              </w:rPr>
              <w:t>ed</w:t>
            </w:r>
            <w:r w:rsidRPr="00E0334D">
              <w:rPr>
                <w:rFonts w:ascii="Arial Narrow" w:hAnsi="Arial Narrow"/>
                <w:kern w:val="2"/>
                <w:sz w:val="20"/>
                <w:szCs w:val="20"/>
              </w:rPr>
              <w:t xml:space="preserve"> to treatment with this drug, unless the patient has experienced a serious adverse reaction of a severity resulting in the necessity for permanent withdrawal of treatment.</w:t>
            </w:r>
          </w:p>
        </w:tc>
      </w:tr>
      <w:tr w:rsidR="00832C22" w:rsidRPr="00AF7DDD" w14:paraId="571DC886"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FDB47B0" w14:textId="610FF5EF" w:rsidR="00832C22" w:rsidRPr="001433EE"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A5A0F90" w14:textId="77777777" w:rsidR="00832C22" w:rsidRPr="001433EE" w:rsidRDefault="00832C22">
            <w:pPr>
              <w:rPr>
                <w:rFonts w:ascii="Arial Narrow" w:hAnsi="Arial Narrow"/>
                <w:b/>
                <w:bCs/>
                <w:kern w:val="2"/>
                <w:sz w:val="20"/>
                <w:szCs w:val="20"/>
              </w:rPr>
            </w:pPr>
            <w:r w:rsidRPr="001433EE">
              <w:rPr>
                <w:rFonts w:ascii="Arial Narrow" w:hAnsi="Arial Narrow"/>
                <w:b/>
                <w:bCs/>
                <w:kern w:val="2"/>
                <w:sz w:val="20"/>
                <w:szCs w:val="20"/>
              </w:rPr>
              <w:t>Prescribing Instructions:</w:t>
            </w:r>
          </w:p>
          <w:p w14:paraId="6C140557" w14:textId="77777777" w:rsidR="00832C22" w:rsidRPr="001433EE" w:rsidRDefault="00832C22">
            <w:pPr>
              <w:rPr>
                <w:rFonts w:ascii="Arial Narrow" w:hAnsi="Arial Narrow"/>
                <w:kern w:val="2"/>
                <w:sz w:val="20"/>
                <w:szCs w:val="20"/>
              </w:rPr>
            </w:pPr>
            <w:r w:rsidRPr="001433EE">
              <w:rPr>
                <w:rFonts w:ascii="Arial Narrow" w:hAnsi="Arial Narrow"/>
                <w:kern w:val="2"/>
                <w:sz w:val="20"/>
                <w:szCs w:val="20"/>
              </w:rPr>
              <w:t xml:space="preserve">Where fewer than 5 repeats are </w:t>
            </w:r>
            <w:r>
              <w:rPr>
                <w:rFonts w:ascii="Arial Narrow" w:hAnsi="Arial Narrow"/>
                <w:kern w:val="2"/>
                <w:sz w:val="20"/>
                <w:szCs w:val="20"/>
              </w:rPr>
              <w:t>prescribed</w:t>
            </w:r>
            <w:r w:rsidRPr="001433EE">
              <w:rPr>
                <w:rFonts w:ascii="Arial Narrow" w:hAnsi="Arial Narrow"/>
                <w:kern w:val="2"/>
                <w:sz w:val="20"/>
                <w:szCs w:val="20"/>
              </w:rPr>
              <w:t>, sufficient repeats to complete a maximum of 24 weeks of treatment with this drug may be requested through the balance of supply restriction.</w:t>
            </w:r>
          </w:p>
        </w:tc>
      </w:tr>
      <w:tr w:rsidR="00832C22" w:rsidRPr="009804D0" w14:paraId="32DB320F" w14:textId="77777777" w:rsidTr="00344AE8">
        <w:trPr>
          <w:cantSplit/>
          <w:trHeight w:val="280"/>
        </w:trPr>
        <w:tc>
          <w:tcPr>
            <w:tcW w:w="9067"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7271EF2" w14:textId="1D809BF3" w:rsidR="00832C22" w:rsidRPr="009804D0" w:rsidRDefault="00832C22" w:rsidP="00344AE8">
            <w:pPr>
              <w:tabs>
                <w:tab w:val="left" w:pos="1352"/>
              </w:tabs>
              <w:rPr>
                <w:rFonts w:ascii="Arial Narrow" w:hAnsi="Arial Narrow"/>
                <w:b/>
                <w:bCs/>
                <w:color w:val="333333"/>
                <w:kern w:val="2"/>
                <w:sz w:val="20"/>
                <w:szCs w:val="20"/>
              </w:rPr>
            </w:pPr>
            <w:r>
              <w:rPr>
                <w:rFonts w:ascii="Arial Narrow" w:hAnsi="Arial Narrow"/>
                <w:b/>
                <w:bCs/>
                <w:color w:val="333333"/>
                <w:kern w:val="2"/>
                <w:sz w:val="20"/>
                <w:szCs w:val="20"/>
              </w:rPr>
              <w:tab/>
            </w:r>
          </w:p>
        </w:tc>
      </w:tr>
      <w:tr w:rsidR="00832C22" w:rsidRPr="009804D0" w14:paraId="77F61D91"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1E1C44F0" w14:textId="77777777"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tcPr>
          <w:p w14:paraId="3D8D7CB6" w14:textId="1782DF38" w:rsidR="00832C22" w:rsidRPr="009804D0" w:rsidRDefault="00832C22">
            <w:pPr>
              <w:rPr>
                <w:rFonts w:ascii="Arial Narrow" w:hAnsi="Arial Narrow"/>
                <w:b/>
                <w:bCs/>
                <w:color w:val="333333"/>
                <w:kern w:val="2"/>
                <w:sz w:val="20"/>
                <w:szCs w:val="20"/>
              </w:rPr>
            </w:pPr>
          </w:p>
        </w:tc>
      </w:tr>
      <w:tr w:rsidR="00832C22" w:rsidRPr="009804D0" w14:paraId="3E0C1832"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7D94082" w14:textId="3C5AAEF6"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48C8662" w14:textId="77777777" w:rsidR="00832C22" w:rsidRPr="009804D0" w:rsidRDefault="00832C22">
            <w:pPr>
              <w:rPr>
                <w:rFonts w:ascii="Arial Narrow" w:hAnsi="Arial Narrow"/>
                <w:b/>
                <w:bCs/>
                <w:color w:val="333333"/>
                <w:kern w:val="2"/>
                <w:sz w:val="20"/>
                <w:szCs w:val="20"/>
              </w:rPr>
            </w:pPr>
            <w:r>
              <w:rPr>
                <w:rFonts w:ascii="Arial Narrow" w:hAnsi="Arial Narrow"/>
                <w:b/>
                <w:bCs/>
                <w:color w:val="333333"/>
                <w:kern w:val="2"/>
                <w:sz w:val="20"/>
                <w:szCs w:val="20"/>
              </w:rPr>
              <w:t>Indication:</w:t>
            </w:r>
            <w:r>
              <w:rPr>
                <w:rFonts w:ascii="Arial Narrow" w:hAnsi="Arial Narrow"/>
                <w:color w:val="333333"/>
                <w:kern w:val="2"/>
                <w:sz w:val="20"/>
                <w:szCs w:val="20"/>
              </w:rPr>
              <w:t xml:space="preserve"> </w:t>
            </w:r>
            <w:r>
              <w:rPr>
                <w:rFonts w:ascii="Arial Narrow" w:hAnsi="Arial Narrow"/>
                <w:bCs/>
                <w:sz w:val="20"/>
                <w:szCs w:val="20"/>
              </w:rPr>
              <w:t>Complex refractory fistulising Crohn disease</w:t>
            </w:r>
          </w:p>
        </w:tc>
      </w:tr>
      <w:tr w:rsidR="00832C22" w:rsidRPr="00E24001" w14:paraId="368EF441"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10911A6" w14:textId="77777777"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3F70532" w14:textId="47B5D307" w:rsidR="00832C22" w:rsidRPr="00E24001" w:rsidRDefault="00832C22">
            <w:pPr>
              <w:rPr>
                <w:rFonts w:ascii="Arial Narrow" w:hAnsi="Arial Narrow"/>
                <w:b/>
                <w:bCs/>
                <w:i/>
                <w:iCs/>
                <w:color w:val="333333"/>
                <w:kern w:val="2"/>
                <w:sz w:val="20"/>
                <w:szCs w:val="20"/>
              </w:rPr>
            </w:pPr>
            <w:r>
              <w:rPr>
                <w:rFonts w:ascii="Arial Narrow" w:hAnsi="Arial Narrow"/>
                <w:b/>
                <w:bCs/>
                <w:color w:val="333333"/>
                <w:kern w:val="2"/>
                <w:sz w:val="20"/>
                <w:szCs w:val="20"/>
              </w:rPr>
              <w:t>Treatment Phase:</w:t>
            </w:r>
            <w:r>
              <w:rPr>
                <w:rFonts w:ascii="Arial Narrow" w:hAnsi="Arial Narrow"/>
                <w:color w:val="FF0000"/>
                <w:kern w:val="2"/>
                <w:sz w:val="20"/>
                <w:szCs w:val="20"/>
              </w:rPr>
              <w:t xml:space="preserve"> </w:t>
            </w:r>
            <w:r w:rsidRPr="000A010A">
              <w:rPr>
                <w:rFonts w:ascii="Arial Narrow" w:hAnsi="Arial Narrow"/>
                <w:kern w:val="2"/>
                <w:sz w:val="20"/>
                <w:szCs w:val="20"/>
              </w:rPr>
              <w:t>Balance of supply</w:t>
            </w:r>
            <w:r>
              <w:rPr>
                <w:rFonts w:ascii="Arial Narrow" w:hAnsi="Arial Narrow"/>
                <w:kern w:val="2"/>
                <w:sz w:val="20"/>
                <w:szCs w:val="20"/>
              </w:rPr>
              <w:t xml:space="preserve"> </w:t>
            </w:r>
            <w:r w:rsidR="00FC7500">
              <w:rPr>
                <w:rFonts w:ascii="Arial Narrow" w:hAnsi="Arial Narrow"/>
                <w:i/>
                <w:iCs/>
                <w:kern w:val="2"/>
                <w:sz w:val="20"/>
                <w:szCs w:val="20"/>
              </w:rPr>
              <w:noBreakHyphen/>
            </w:r>
            <w:r w:rsidRPr="000A010A">
              <w:rPr>
                <w:rFonts w:ascii="Arial Narrow" w:hAnsi="Arial Narrow"/>
                <w:kern w:val="2"/>
                <w:sz w:val="20"/>
                <w:szCs w:val="20"/>
              </w:rPr>
              <w:t xml:space="preserve"> continuing treatment </w:t>
            </w:r>
          </w:p>
        </w:tc>
      </w:tr>
      <w:tr w:rsidR="00832C22" w:rsidRPr="009804D0" w14:paraId="04F841E0"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53D3815" w14:textId="7DF6E4BC" w:rsidR="00832C22" w:rsidRPr="00D41253"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89D48A2" w14:textId="77777777" w:rsidR="00832C22" w:rsidRPr="00D41253" w:rsidRDefault="00832C22">
            <w:pPr>
              <w:rPr>
                <w:rFonts w:ascii="Arial Narrow" w:hAnsi="Arial Narrow"/>
                <w:b/>
                <w:bCs/>
                <w:color w:val="333333"/>
                <w:kern w:val="2"/>
                <w:sz w:val="20"/>
                <w:szCs w:val="20"/>
              </w:rPr>
            </w:pPr>
            <w:r w:rsidRPr="00D41253">
              <w:rPr>
                <w:rFonts w:ascii="Arial Narrow" w:hAnsi="Arial Narrow"/>
                <w:b/>
                <w:bCs/>
                <w:color w:val="333333"/>
                <w:kern w:val="2"/>
                <w:sz w:val="20"/>
                <w:szCs w:val="20"/>
              </w:rPr>
              <w:t xml:space="preserve">Clinical criteria: </w:t>
            </w:r>
          </w:p>
        </w:tc>
      </w:tr>
      <w:tr w:rsidR="00832C22" w:rsidRPr="000E41EF" w14:paraId="71936C9A"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303EBBE" w14:textId="205FEC5A" w:rsidR="00832C22" w:rsidRPr="00D41253"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877A8CD" w14:textId="77777777" w:rsidR="00832C22" w:rsidRPr="00D41253" w:rsidRDefault="00832C22">
            <w:pPr>
              <w:rPr>
                <w:rFonts w:ascii="Arial Narrow" w:hAnsi="Arial Narrow"/>
                <w:kern w:val="2"/>
                <w:sz w:val="20"/>
                <w:szCs w:val="20"/>
              </w:rPr>
            </w:pPr>
            <w:r w:rsidRPr="00D41253">
              <w:rPr>
                <w:rFonts w:ascii="Arial Narrow" w:hAnsi="Arial Narrow"/>
                <w:kern w:val="2"/>
                <w:sz w:val="20"/>
                <w:szCs w:val="20"/>
              </w:rPr>
              <w:t>Patient must have received insufficient therapy with this drug for this condition under the continuing treatment restriction to complete 24 weeks of treatment.</w:t>
            </w:r>
          </w:p>
        </w:tc>
      </w:tr>
      <w:tr w:rsidR="00832C22" w:rsidRPr="000E41EF" w14:paraId="72B6A379"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FBA4FA0" w14:textId="77777777" w:rsidR="00832C22" w:rsidRPr="00D41253"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98D7461" w14:textId="77777777" w:rsidR="00832C22" w:rsidRPr="00D41253" w:rsidRDefault="00832C22">
            <w:pPr>
              <w:rPr>
                <w:rFonts w:ascii="Arial Narrow" w:hAnsi="Arial Narrow"/>
                <w:b/>
                <w:bCs/>
                <w:kern w:val="2"/>
                <w:sz w:val="20"/>
                <w:szCs w:val="20"/>
              </w:rPr>
            </w:pPr>
            <w:r w:rsidRPr="00D41253">
              <w:rPr>
                <w:rFonts w:ascii="Arial Narrow" w:hAnsi="Arial Narrow"/>
                <w:b/>
                <w:bCs/>
                <w:kern w:val="2"/>
                <w:sz w:val="20"/>
                <w:szCs w:val="20"/>
              </w:rPr>
              <w:t>AND</w:t>
            </w:r>
          </w:p>
        </w:tc>
      </w:tr>
      <w:tr w:rsidR="00832C22" w:rsidRPr="000E41EF" w14:paraId="54BF1BB5"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3AA4AEC" w14:textId="71EFF8AB" w:rsidR="00832C22" w:rsidRPr="00D41253"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7092437" w14:textId="77777777" w:rsidR="00832C22" w:rsidRPr="00D41253" w:rsidRDefault="00832C22">
            <w:pPr>
              <w:rPr>
                <w:rFonts w:ascii="Arial Narrow" w:hAnsi="Arial Narrow"/>
                <w:b/>
                <w:bCs/>
                <w:kern w:val="2"/>
                <w:sz w:val="20"/>
                <w:szCs w:val="20"/>
              </w:rPr>
            </w:pPr>
            <w:r w:rsidRPr="00D41253">
              <w:rPr>
                <w:rFonts w:ascii="Arial Narrow" w:hAnsi="Arial Narrow"/>
                <w:b/>
                <w:bCs/>
                <w:kern w:val="2"/>
                <w:sz w:val="20"/>
                <w:szCs w:val="20"/>
              </w:rPr>
              <w:t xml:space="preserve">Clinical criteria: </w:t>
            </w:r>
          </w:p>
        </w:tc>
      </w:tr>
      <w:tr w:rsidR="00832C22" w:rsidRPr="000E41EF" w14:paraId="0923CB1C"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296E4C4" w14:textId="03FD0852" w:rsidR="00832C22" w:rsidRPr="00D41253"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1D31044" w14:textId="77777777" w:rsidR="00832C22" w:rsidRPr="00D41253" w:rsidRDefault="00832C22">
            <w:pPr>
              <w:rPr>
                <w:rFonts w:ascii="Arial Narrow" w:hAnsi="Arial Narrow"/>
                <w:kern w:val="2"/>
                <w:sz w:val="20"/>
                <w:szCs w:val="20"/>
              </w:rPr>
            </w:pPr>
            <w:r w:rsidRPr="00D41253">
              <w:rPr>
                <w:rFonts w:ascii="Arial Narrow" w:hAnsi="Arial Narrow"/>
                <w:kern w:val="2"/>
                <w:sz w:val="20"/>
                <w:szCs w:val="20"/>
              </w:rPr>
              <w:t>The treatment must provide no more than the balance of up to 24 weeks treatment available under the above restriction</w:t>
            </w:r>
          </w:p>
        </w:tc>
      </w:tr>
      <w:tr w:rsidR="00832C22" w:rsidRPr="009804D0" w14:paraId="03C58E8D"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D33B2CF" w14:textId="2E390CB0"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35F8D8A" w14:textId="77777777" w:rsidR="00832C22" w:rsidRPr="009804D0" w:rsidRDefault="00832C22">
            <w:pPr>
              <w:rPr>
                <w:rFonts w:ascii="Arial Narrow" w:hAnsi="Arial Narrow"/>
                <w:b/>
                <w:bCs/>
                <w:color w:val="333333"/>
                <w:kern w:val="2"/>
                <w:sz w:val="20"/>
                <w:szCs w:val="20"/>
              </w:rPr>
            </w:pPr>
            <w:r>
              <w:rPr>
                <w:rFonts w:ascii="Arial Narrow" w:hAnsi="Arial Narrow"/>
                <w:b/>
                <w:bCs/>
                <w:color w:val="333333"/>
                <w:kern w:val="2"/>
                <w:sz w:val="20"/>
                <w:szCs w:val="20"/>
              </w:rPr>
              <w:t>Treatment criteria:</w:t>
            </w:r>
          </w:p>
        </w:tc>
      </w:tr>
      <w:tr w:rsidR="00832C22" w:rsidRPr="009804D0" w14:paraId="7568B000"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CFA592A" w14:textId="5DA88584"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B3B84F6" w14:textId="77777777" w:rsidR="00832C22" w:rsidRPr="009804D0" w:rsidRDefault="00832C22">
            <w:pPr>
              <w:rPr>
                <w:rFonts w:ascii="Arial Narrow" w:hAnsi="Arial Narrow"/>
                <w:b/>
                <w:bCs/>
                <w:color w:val="333333"/>
                <w:kern w:val="2"/>
                <w:sz w:val="20"/>
                <w:szCs w:val="20"/>
              </w:rPr>
            </w:pPr>
            <w:r w:rsidRPr="00E15563">
              <w:rPr>
                <w:rFonts w:ascii="Arial Narrow" w:hAnsi="Arial Narrow"/>
                <w:kern w:val="2"/>
                <w:sz w:val="20"/>
                <w:szCs w:val="20"/>
              </w:rPr>
              <w:t>Must be treated by a gastroenterologist; OR</w:t>
            </w:r>
          </w:p>
        </w:tc>
      </w:tr>
      <w:tr w:rsidR="00832C22" w:rsidRPr="009804D0" w14:paraId="52C2C85A"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C34D9A6" w14:textId="347F9B9F"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28E93A4" w14:textId="77777777" w:rsidR="00832C22" w:rsidRPr="009804D0" w:rsidRDefault="00832C22">
            <w:pPr>
              <w:rPr>
                <w:rFonts w:ascii="Arial Narrow" w:hAnsi="Arial Narrow"/>
                <w:b/>
                <w:bCs/>
                <w:color w:val="333333"/>
                <w:kern w:val="2"/>
                <w:sz w:val="20"/>
                <w:szCs w:val="20"/>
              </w:rPr>
            </w:pPr>
            <w:r w:rsidRPr="00C50D47">
              <w:rPr>
                <w:rFonts w:ascii="Arial Narrow" w:hAnsi="Arial Narrow"/>
                <w:kern w:val="2"/>
                <w:sz w:val="20"/>
                <w:szCs w:val="20"/>
              </w:rPr>
              <w:t>Must be treated by a consultant physician [internal medicine specialising in gastroenterology]; OR</w:t>
            </w:r>
          </w:p>
        </w:tc>
      </w:tr>
      <w:tr w:rsidR="00832C22" w:rsidRPr="009804D0" w14:paraId="2F21890C" w14:textId="77777777" w:rsidTr="002C6367">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58D135E" w14:textId="1E81EBD2"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02CBB7D" w14:textId="77777777" w:rsidR="00832C22" w:rsidRPr="009804D0" w:rsidRDefault="00832C22">
            <w:pPr>
              <w:rPr>
                <w:rFonts w:ascii="Arial Narrow" w:hAnsi="Arial Narrow"/>
                <w:b/>
                <w:bCs/>
                <w:color w:val="333333"/>
                <w:kern w:val="2"/>
                <w:sz w:val="20"/>
                <w:szCs w:val="20"/>
              </w:rPr>
            </w:pPr>
            <w:r w:rsidRPr="003D2625">
              <w:rPr>
                <w:rFonts w:ascii="Arial Narrow" w:hAnsi="Arial Narrow"/>
                <w:kern w:val="2"/>
                <w:sz w:val="20"/>
                <w:szCs w:val="20"/>
              </w:rPr>
              <w:t>Must be treated by a consultant physician [general medicine specialising in gastroenterology].</w:t>
            </w:r>
          </w:p>
        </w:tc>
      </w:tr>
    </w:tbl>
    <w:p w14:paraId="349354A5" w14:textId="77777777" w:rsidR="00832C22" w:rsidRDefault="00832C22" w:rsidP="00832C22"/>
    <w:p w14:paraId="13231C21" w14:textId="34261B73" w:rsidR="00832C22" w:rsidRPr="00A8352E" w:rsidRDefault="00832C22" w:rsidP="00832C22">
      <w:pPr>
        <w:pStyle w:val="Heading2"/>
        <w:rPr>
          <w:b w:val="0"/>
          <w:bCs/>
          <w:sz w:val="24"/>
        </w:rPr>
      </w:pPr>
      <w:r w:rsidRPr="00A8352E">
        <w:rPr>
          <w:bCs/>
          <w:sz w:val="24"/>
        </w:rPr>
        <w:t>Grandfather</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Grandfather"/>
      </w:tblPr>
      <w:tblGrid>
        <w:gridCol w:w="421"/>
        <w:gridCol w:w="850"/>
        <w:gridCol w:w="2268"/>
        <w:gridCol w:w="1276"/>
        <w:gridCol w:w="992"/>
        <w:gridCol w:w="851"/>
        <w:gridCol w:w="708"/>
        <w:gridCol w:w="1701"/>
      </w:tblGrid>
      <w:tr w:rsidR="00832C22" w14:paraId="5FC404E7" w14:textId="77777777">
        <w:trPr>
          <w:cantSplit/>
          <w:trHeight w:val="20"/>
        </w:trPr>
        <w:tc>
          <w:tcPr>
            <w:tcW w:w="3538" w:type="dxa"/>
            <w:gridSpan w:val="3"/>
            <w:tcBorders>
              <w:top w:val="single" w:sz="4" w:space="0" w:color="auto"/>
              <w:left w:val="single" w:sz="4" w:space="0" w:color="auto"/>
              <w:bottom w:val="single" w:sz="4" w:space="0" w:color="auto"/>
              <w:right w:val="single" w:sz="4" w:space="0" w:color="auto"/>
            </w:tcBorders>
            <w:vAlign w:val="center"/>
            <w:hideMark/>
          </w:tcPr>
          <w:p w14:paraId="44FADDD4" w14:textId="77777777" w:rsidR="00832C22" w:rsidRDefault="00832C22">
            <w:pPr>
              <w:keepLines/>
              <w:rPr>
                <w:rFonts w:ascii="Arial Narrow" w:hAnsi="Arial Narrow"/>
                <w:b/>
                <w:bCs/>
                <w:kern w:val="2"/>
                <w:sz w:val="20"/>
                <w:szCs w:val="20"/>
              </w:rPr>
            </w:pPr>
            <w:r>
              <w:rPr>
                <w:rFonts w:ascii="Arial Narrow" w:hAnsi="Arial Narrow"/>
                <w:b/>
                <w:bCs/>
                <w:kern w:val="2"/>
                <w:sz w:val="20"/>
                <w:szCs w:val="20"/>
              </w:rPr>
              <w:t>MEDICINAL PRODUCT</w:t>
            </w:r>
          </w:p>
          <w:p w14:paraId="671CDE90" w14:textId="77777777" w:rsidR="00832C22" w:rsidRDefault="00832C22">
            <w:pPr>
              <w:keepLines/>
              <w:rPr>
                <w:rFonts w:ascii="Arial Narrow" w:hAnsi="Arial Narrow"/>
                <w:b/>
                <w:kern w:val="2"/>
                <w:sz w:val="20"/>
                <w:szCs w:val="20"/>
              </w:rPr>
            </w:pPr>
            <w:r>
              <w:rPr>
                <w:rFonts w:ascii="Arial Narrow" w:hAnsi="Arial Narrow"/>
                <w:b/>
                <w:bCs/>
                <w:kern w:val="2"/>
                <w:sz w:val="20"/>
                <w:szCs w:val="20"/>
              </w:rPr>
              <w:t>medicinal product pack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931E44" w14:textId="77777777" w:rsidR="00832C22" w:rsidRDefault="00832C22">
            <w:pPr>
              <w:keepLines/>
              <w:jc w:val="center"/>
              <w:rPr>
                <w:rFonts w:ascii="Arial Narrow" w:hAnsi="Arial Narrow"/>
                <w:b/>
                <w:kern w:val="2"/>
                <w:sz w:val="20"/>
                <w:szCs w:val="20"/>
              </w:rPr>
            </w:pPr>
            <w:r>
              <w:rPr>
                <w:rFonts w:ascii="Arial Narrow" w:hAnsi="Arial Narrow"/>
                <w:b/>
                <w:kern w:val="2"/>
                <w:sz w:val="20"/>
                <w:szCs w:val="20"/>
              </w:rPr>
              <w:t>PBS item code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FCFC61" w14:textId="77777777" w:rsidR="00832C22" w:rsidRDefault="00832C22">
            <w:pPr>
              <w:keepLines/>
              <w:jc w:val="center"/>
              <w:rPr>
                <w:rFonts w:ascii="Arial Narrow" w:hAnsi="Arial Narrow"/>
                <w:b/>
                <w:kern w:val="2"/>
                <w:sz w:val="20"/>
                <w:szCs w:val="20"/>
              </w:rPr>
            </w:pPr>
            <w:r>
              <w:rPr>
                <w:rFonts w:ascii="Arial Narrow" w:hAnsi="Arial Narrow"/>
                <w:b/>
                <w:kern w:val="2"/>
                <w:sz w:val="20"/>
                <w:szCs w:val="20"/>
              </w:rPr>
              <w:t>Max. qty packs</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6B01BC" w14:textId="77777777" w:rsidR="00832C22" w:rsidRDefault="00832C22">
            <w:pPr>
              <w:keepLines/>
              <w:jc w:val="center"/>
              <w:rPr>
                <w:rFonts w:ascii="Arial Narrow" w:hAnsi="Arial Narrow"/>
                <w:b/>
                <w:kern w:val="2"/>
                <w:sz w:val="20"/>
                <w:szCs w:val="20"/>
              </w:rPr>
            </w:pPr>
            <w:r>
              <w:rPr>
                <w:rFonts w:ascii="Arial Narrow" w:hAnsi="Arial Narrow"/>
                <w:b/>
                <w:kern w:val="2"/>
                <w:sz w:val="20"/>
                <w:szCs w:val="20"/>
              </w:rPr>
              <w:t>Max. qty units</w:t>
            </w:r>
          </w:p>
        </w:tc>
        <w:tc>
          <w:tcPr>
            <w:tcW w:w="708" w:type="dxa"/>
            <w:tcBorders>
              <w:top w:val="single" w:sz="4" w:space="0" w:color="auto"/>
              <w:left w:val="single" w:sz="4" w:space="0" w:color="auto"/>
              <w:bottom w:val="single" w:sz="4" w:space="0" w:color="auto"/>
              <w:right w:val="single" w:sz="4" w:space="0" w:color="auto"/>
            </w:tcBorders>
            <w:vAlign w:val="center"/>
            <w:hideMark/>
          </w:tcPr>
          <w:p w14:paraId="2B2E63BD" w14:textId="77777777" w:rsidR="00832C22" w:rsidRDefault="00832C22">
            <w:pPr>
              <w:keepLines/>
              <w:jc w:val="center"/>
              <w:rPr>
                <w:rFonts w:ascii="Arial Narrow" w:hAnsi="Arial Narrow"/>
                <w:b/>
                <w:kern w:val="2"/>
                <w:sz w:val="20"/>
                <w:szCs w:val="20"/>
              </w:rPr>
            </w:pPr>
            <w:r>
              <w:rPr>
                <w:rFonts w:ascii="Arial Narrow" w:hAnsi="Arial Narrow"/>
                <w:b/>
                <w:kern w:val="2"/>
                <w:sz w:val="20"/>
                <w:szCs w:val="20"/>
              </w:rPr>
              <w:t>№.of</w:t>
            </w:r>
          </w:p>
          <w:p w14:paraId="2DB5065B" w14:textId="77777777" w:rsidR="00832C22" w:rsidRDefault="00832C22">
            <w:pPr>
              <w:keepLines/>
              <w:jc w:val="center"/>
              <w:rPr>
                <w:rFonts w:ascii="Arial Narrow" w:hAnsi="Arial Narrow"/>
                <w:b/>
                <w:kern w:val="2"/>
                <w:sz w:val="20"/>
                <w:szCs w:val="20"/>
              </w:rPr>
            </w:pPr>
            <w:r>
              <w:rPr>
                <w:rFonts w:ascii="Arial Narrow" w:hAnsi="Arial Narrow"/>
                <w:b/>
                <w:kern w:val="2"/>
                <w:sz w:val="20"/>
                <w:szCs w:val="20"/>
              </w:rPr>
              <w:t>Rpts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C1897C" w14:textId="77777777" w:rsidR="00832C22" w:rsidRDefault="00832C22">
            <w:pPr>
              <w:keepLines/>
              <w:rPr>
                <w:rFonts w:ascii="Arial Narrow" w:hAnsi="Arial Narrow"/>
                <w:b/>
                <w:kern w:val="2"/>
                <w:sz w:val="20"/>
                <w:szCs w:val="20"/>
                <w:lang w:val="fr-FR"/>
              </w:rPr>
            </w:pPr>
            <w:r>
              <w:rPr>
                <w:rFonts w:ascii="Arial Narrow" w:hAnsi="Arial Narrow"/>
                <w:b/>
                <w:kern w:val="2"/>
                <w:sz w:val="20"/>
                <w:szCs w:val="20"/>
              </w:rPr>
              <w:t>Available brands</w:t>
            </w:r>
          </w:p>
        </w:tc>
      </w:tr>
      <w:tr w:rsidR="00832C22" w14:paraId="701787A8" w14:textId="77777777">
        <w:trPr>
          <w:cantSplit/>
          <w:trHeight w:val="20"/>
        </w:trPr>
        <w:tc>
          <w:tcPr>
            <w:tcW w:w="9066" w:type="dxa"/>
            <w:gridSpan w:val="8"/>
            <w:tcBorders>
              <w:top w:val="single" w:sz="4" w:space="0" w:color="auto"/>
              <w:left w:val="single" w:sz="4" w:space="0" w:color="auto"/>
              <w:bottom w:val="single" w:sz="4" w:space="0" w:color="auto"/>
              <w:right w:val="single" w:sz="4" w:space="0" w:color="auto"/>
            </w:tcBorders>
            <w:vAlign w:val="center"/>
            <w:hideMark/>
          </w:tcPr>
          <w:p w14:paraId="7DFD0E38" w14:textId="77777777" w:rsidR="00832C22" w:rsidRDefault="00832C22">
            <w:pPr>
              <w:keepLines/>
              <w:rPr>
                <w:rFonts w:ascii="Arial Narrow" w:hAnsi="Arial Narrow"/>
                <w:kern w:val="2"/>
                <w:sz w:val="20"/>
                <w:szCs w:val="20"/>
              </w:rPr>
            </w:pPr>
            <w:r>
              <w:rPr>
                <w:rFonts w:ascii="Arial Narrow" w:hAnsi="Arial Narrow"/>
                <w:kern w:val="2"/>
                <w:sz w:val="20"/>
                <w:szCs w:val="20"/>
              </w:rPr>
              <w:t>UPADACITINIB</w:t>
            </w:r>
          </w:p>
        </w:tc>
      </w:tr>
      <w:tr w:rsidR="00832C22" w14:paraId="0AF567A7" w14:textId="77777777">
        <w:trPr>
          <w:cantSplit/>
          <w:trHeight w:val="20"/>
        </w:trPr>
        <w:tc>
          <w:tcPr>
            <w:tcW w:w="3538" w:type="dxa"/>
            <w:gridSpan w:val="3"/>
            <w:tcBorders>
              <w:top w:val="single" w:sz="4" w:space="0" w:color="auto"/>
              <w:left w:val="single" w:sz="4" w:space="0" w:color="auto"/>
              <w:bottom w:val="single" w:sz="4" w:space="0" w:color="auto"/>
              <w:right w:val="single" w:sz="4" w:space="0" w:color="auto"/>
            </w:tcBorders>
            <w:vAlign w:val="center"/>
          </w:tcPr>
          <w:p w14:paraId="51BC280C" w14:textId="77777777" w:rsidR="00832C22" w:rsidRDefault="00832C22">
            <w:pPr>
              <w:keepLines/>
              <w:rPr>
                <w:rFonts w:ascii="Arial Narrow" w:hAnsi="Arial Narrow"/>
                <w:kern w:val="2"/>
                <w:sz w:val="20"/>
                <w:szCs w:val="20"/>
              </w:rPr>
            </w:pPr>
            <w:r>
              <w:rPr>
                <w:rFonts w:ascii="Arial Narrow" w:hAnsi="Arial Narrow"/>
                <w:kern w:val="2"/>
                <w:sz w:val="20"/>
                <w:szCs w:val="20"/>
              </w:rPr>
              <w:t xml:space="preserve">upadacitinib 30 mg oral tablet, 28 </w:t>
            </w:r>
          </w:p>
        </w:tc>
        <w:tc>
          <w:tcPr>
            <w:tcW w:w="1276" w:type="dxa"/>
            <w:tcBorders>
              <w:top w:val="single" w:sz="4" w:space="0" w:color="auto"/>
              <w:left w:val="single" w:sz="4" w:space="0" w:color="auto"/>
              <w:bottom w:val="single" w:sz="4" w:space="0" w:color="auto"/>
              <w:right w:val="single" w:sz="4" w:space="0" w:color="auto"/>
            </w:tcBorders>
            <w:vAlign w:val="center"/>
          </w:tcPr>
          <w:p w14:paraId="3A59437B" w14:textId="77777777" w:rsidR="00832C22" w:rsidRPr="0048020E" w:rsidRDefault="00832C22">
            <w:pPr>
              <w:keepLines/>
              <w:jc w:val="center"/>
              <w:rPr>
                <w:rFonts w:ascii="Arial Narrow" w:hAnsi="Arial Narrow"/>
                <w:kern w:val="2"/>
                <w:sz w:val="20"/>
                <w:szCs w:val="20"/>
              </w:rPr>
            </w:pPr>
            <w:r w:rsidRPr="0048020E">
              <w:rPr>
                <w:rFonts w:ascii="Arial Narrow" w:hAnsi="Arial Narrow"/>
                <w:kern w:val="2"/>
                <w:sz w:val="20"/>
                <w:szCs w:val="20"/>
              </w:rPr>
              <w:t xml:space="preserve">NEW </w:t>
            </w:r>
          </w:p>
        </w:tc>
        <w:tc>
          <w:tcPr>
            <w:tcW w:w="992" w:type="dxa"/>
            <w:tcBorders>
              <w:top w:val="single" w:sz="4" w:space="0" w:color="auto"/>
              <w:left w:val="single" w:sz="4" w:space="0" w:color="auto"/>
              <w:bottom w:val="single" w:sz="4" w:space="0" w:color="auto"/>
              <w:right w:val="single" w:sz="4" w:space="0" w:color="auto"/>
            </w:tcBorders>
            <w:vAlign w:val="center"/>
          </w:tcPr>
          <w:p w14:paraId="0D7E8779" w14:textId="77777777" w:rsidR="00832C22" w:rsidRPr="0048020E" w:rsidRDefault="00832C22">
            <w:pPr>
              <w:keepLines/>
              <w:jc w:val="center"/>
              <w:rPr>
                <w:rFonts w:ascii="Arial Narrow" w:hAnsi="Arial Narrow"/>
                <w:kern w:val="2"/>
                <w:sz w:val="20"/>
                <w:szCs w:val="20"/>
              </w:rPr>
            </w:pPr>
            <w:r w:rsidRPr="0048020E">
              <w:rPr>
                <w:rFonts w:ascii="Arial Narrow" w:hAnsi="Arial Narrow"/>
                <w:kern w:val="2"/>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4A1FF2DD" w14:textId="77777777" w:rsidR="00832C22" w:rsidRDefault="00832C22">
            <w:pPr>
              <w:keepLines/>
              <w:jc w:val="center"/>
              <w:rPr>
                <w:rFonts w:ascii="Arial Narrow" w:hAnsi="Arial Narrow"/>
                <w:kern w:val="2"/>
                <w:sz w:val="20"/>
                <w:szCs w:val="20"/>
              </w:rPr>
            </w:pPr>
            <w:r>
              <w:rPr>
                <w:rFonts w:ascii="Arial Narrow" w:hAnsi="Arial Narrow"/>
                <w:kern w:val="2"/>
                <w:sz w:val="20"/>
                <w:szCs w:val="20"/>
              </w:rPr>
              <w:t>28</w:t>
            </w:r>
          </w:p>
        </w:tc>
        <w:tc>
          <w:tcPr>
            <w:tcW w:w="708" w:type="dxa"/>
            <w:tcBorders>
              <w:top w:val="single" w:sz="4" w:space="0" w:color="auto"/>
              <w:left w:val="single" w:sz="4" w:space="0" w:color="auto"/>
              <w:bottom w:val="single" w:sz="4" w:space="0" w:color="auto"/>
              <w:right w:val="single" w:sz="4" w:space="0" w:color="auto"/>
            </w:tcBorders>
            <w:vAlign w:val="center"/>
          </w:tcPr>
          <w:p w14:paraId="46B4F42F" w14:textId="77777777" w:rsidR="00832C22" w:rsidRDefault="00832C22">
            <w:pPr>
              <w:keepLines/>
              <w:jc w:val="center"/>
              <w:rPr>
                <w:rFonts w:ascii="Arial Narrow" w:hAnsi="Arial Narrow"/>
                <w:kern w:val="2"/>
                <w:sz w:val="20"/>
                <w:szCs w:val="20"/>
              </w:rPr>
            </w:pPr>
            <w:r>
              <w:rPr>
                <w:rFonts w:ascii="Arial Narrow" w:hAnsi="Arial Narrow"/>
                <w:kern w:val="2"/>
                <w:sz w:val="20"/>
                <w:szCs w:val="20"/>
              </w:rPr>
              <w:t>5</w:t>
            </w:r>
          </w:p>
        </w:tc>
        <w:tc>
          <w:tcPr>
            <w:tcW w:w="1701" w:type="dxa"/>
            <w:vMerge w:val="restart"/>
            <w:tcBorders>
              <w:top w:val="single" w:sz="4" w:space="0" w:color="auto"/>
              <w:left w:val="single" w:sz="4" w:space="0" w:color="auto"/>
              <w:right w:val="single" w:sz="4" w:space="0" w:color="auto"/>
            </w:tcBorders>
            <w:vAlign w:val="center"/>
          </w:tcPr>
          <w:p w14:paraId="27087822" w14:textId="77777777" w:rsidR="00832C22" w:rsidRDefault="00832C22">
            <w:pPr>
              <w:keepLines/>
              <w:jc w:val="center"/>
              <w:rPr>
                <w:rFonts w:ascii="Arial Narrow" w:hAnsi="Arial Narrow"/>
                <w:kern w:val="2"/>
                <w:sz w:val="20"/>
                <w:szCs w:val="20"/>
              </w:rPr>
            </w:pPr>
            <w:r>
              <w:rPr>
                <w:rFonts w:ascii="Arial Narrow" w:hAnsi="Arial Narrow"/>
                <w:kern w:val="2"/>
                <w:sz w:val="20"/>
                <w:szCs w:val="20"/>
              </w:rPr>
              <w:t>Rinvoq</w:t>
            </w:r>
          </w:p>
        </w:tc>
      </w:tr>
      <w:tr w:rsidR="00832C22" w14:paraId="4BFF3CE0" w14:textId="77777777">
        <w:trPr>
          <w:cantSplit/>
          <w:trHeight w:val="20"/>
        </w:trPr>
        <w:tc>
          <w:tcPr>
            <w:tcW w:w="3538" w:type="dxa"/>
            <w:gridSpan w:val="3"/>
            <w:tcBorders>
              <w:top w:val="single" w:sz="4" w:space="0" w:color="auto"/>
              <w:left w:val="single" w:sz="4" w:space="0" w:color="auto"/>
              <w:bottom w:val="single" w:sz="4" w:space="0" w:color="auto"/>
              <w:right w:val="single" w:sz="4" w:space="0" w:color="auto"/>
            </w:tcBorders>
            <w:vAlign w:val="center"/>
          </w:tcPr>
          <w:p w14:paraId="03962719" w14:textId="77777777" w:rsidR="00832C22" w:rsidRPr="0048020E" w:rsidRDefault="00832C22">
            <w:pPr>
              <w:keepLines/>
              <w:rPr>
                <w:rFonts w:ascii="Arial Narrow" w:hAnsi="Arial Narrow"/>
                <w:kern w:val="2"/>
                <w:sz w:val="20"/>
                <w:szCs w:val="20"/>
              </w:rPr>
            </w:pPr>
            <w:r>
              <w:rPr>
                <w:rFonts w:ascii="Arial Narrow" w:hAnsi="Arial Narrow"/>
                <w:kern w:val="2"/>
                <w:sz w:val="20"/>
                <w:szCs w:val="20"/>
              </w:rPr>
              <w:t xml:space="preserve">upadacitinib 15 mg oral tablet, 28 </w:t>
            </w:r>
          </w:p>
        </w:tc>
        <w:tc>
          <w:tcPr>
            <w:tcW w:w="1276" w:type="dxa"/>
            <w:tcBorders>
              <w:top w:val="single" w:sz="4" w:space="0" w:color="auto"/>
              <w:left w:val="single" w:sz="4" w:space="0" w:color="auto"/>
              <w:bottom w:val="single" w:sz="4" w:space="0" w:color="auto"/>
              <w:right w:val="single" w:sz="4" w:space="0" w:color="auto"/>
            </w:tcBorders>
            <w:vAlign w:val="center"/>
          </w:tcPr>
          <w:p w14:paraId="32668AC0" w14:textId="77777777" w:rsidR="00832C22" w:rsidRPr="0048020E" w:rsidRDefault="00832C22">
            <w:pPr>
              <w:keepLines/>
              <w:jc w:val="center"/>
              <w:rPr>
                <w:rFonts w:ascii="Arial Narrow" w:hAnsi="Arial Narrow"/>
                <w:kern w:val="2"/>
                <w:sz w:val="20"/>
                <w:szCs w:val="20"/>
              </w:rPr>
            </w:pPr>
            <w:r w:rsidRPr="0048020E">
              <w:rPr>
                <w:rFonts w:ascii="Arial Narrow" w:hAnsi="Arial Narrow"/>
                <w:kern w:val="2"/>
                <w:sz w:val="20"/>
                <w:szCs w:val="20"/>
              </w:rPr>
              <w:t xml:space="preserve">NEW </w:t>
            </w:r>
          </w:p>
        </w:tc>
        <w:tc>
          <w:tcPr>
            <w:tcW w:w="992" w:type="dxa"/>
            <w:tcBorders>
              <w:top w:val="single" w:sz="4" w:space="0" w:color="auto"/>
              <w:left w:val="single" w:sz="4" w:space="0" w:color="auto"/>
              <w:bottom w:val="single" w:sz="4" w:space="0" w:color="auto"/>
              <w:right w:val="single" w:sz="4" w:space="0" w:color="auto"/>
            </w:tcBorders>
            <w:vAlign w:val="center"/>
          </w:tcPr>
          <w:p w14:paraId="22E5C915" w14:textId="77777777" w:rsidR="00832C22" w:rsidRPr="0048020E" w:rsidRDefault="00832C22">
            <w:pPr>
              <w:keepLines/>
              <w:jc w:val="center"/>
              <w:rPr>
                <w:rFonts w:ascii="Arial Narrow" w:hAnsi="Arial Narrow"/>
                <w:kern w:val="2"/>
                <w:sz w:val="20"/>
                <w:szCs w:val="20"/>
              </w:rPr>
            </w:pPr>
            <w:r w:rsidRPr="0048020E">
              <w:rPr>
                <w:rFonts w:ascii="Arial Narrow" w:hAnsi="Arial Narrow"/>
                <w:kern w:val="2"/>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64600298" w14:textId="77777777" w:rsidR="00832C22" w:rsidRPr="0048020E" w:rsidRDefault="00832C22">
            <w:pPr>
              <w:keepLines/>
              <w:jc w:val="center"/>
              <w:rPr>
                <w:rFonts w:ascii="Arial Narrow" w:hAnsi="Arial Narrow"/>
                <w:kern w:val="2"/>
                <w:sz w:val="20"/>
                <w:szCs w:val="20"/>
              </w:rPr>
            </w:pPr>
            <w:r>
              <w:rPr>
                <w:rFonts w:ascii="Arial Narrow" w:hAnsi="Arial Narrow"/>
                <w:kern w:val="2"/>
                <w:sz w:val="20"/>
                <w:szCs w:val="20"/>
              </w:rPr>
              <w:t>28</w:t>
            </w:r>
          </w:p>
        </w:tc>
        <w:tc>
          <w:tcPr>
            <w:tcW w:w="708" w:type="dxa"/>
            <w:tcBorders>
              <w:top w:val="single" w:sz="4" w:space="0" w:color="auto"/>
              <w:left w:val="single" w:sz="4" w:space="0" w:color="auto"/>
              <w:bottom w:val="single" w:sz="4" w:space="0" w:color="auto"/>
              <w:right w:val="single" w:sz="4" w:space="0" w:color="auto"/>
            </w:tcBorders>
            <w:vAlign w:val="center"/>
          </w:tcPr>
          <w:p w14:paraId="5250647F" w14:textId="77777777" w:rsidR="00832C22" w:rsidRPr="0048020E" w:rsidRDefault="00832C22">
            <w:pPr>
              <w:keepLines/>
              <w:jc w:val="center"/>
              <w:rPr>
                <w:rFonts w:ascii="Arial Narrow" w:hAnsi="Arial Narrow"/>
                <w:kern w:val="2"/>
                <w:sz w:val="20"/>
                <w:szCs w:val="20"/>
              </w:rPr>
            </w:pPr>
            <w:r>
              <w:rPr>
                <w:rFonts w:ascii="Arial Narrow" w:hAnsi="Arial Narrow"/>
                <w:kern w:val="2"/>
                <w:sz w:val="20"/>
                <w:szCs w:val="20"/>
              </w:rPr>
              <w:t>5</w:t>
            </w:r>
          </w:p>
        </w:tc>
        <w:tc>
          <w:tcPr>
            <w:tcW w:w="1701" w:type="dxa"/>
            <w:vMerge/>
            <w:tcBorders>
              <w:left w:val="single" w:sz="4" w:space="0" w:color="auto"/>
              <w:right w:val="single" w:sz="4" w:space="0" w:color="auto"/>
            </w:tcBorders>
            <w:vAlign w:val="center"/>
          </w:tcPr>
          <w:p w14:paraId="712C4FD3" w14:textId="77777777" w:rsidR="00832C22" w:rsidRPr="0048020E" w:rsidRDefault="00832C22">
            <w:pPr>
              <w:keepLines/>
              <w:jc w:val="center"/>
              <w:rPr>
                <w:rFonts w:ascii="Arial Narrow" w:hAnsi="Arial Narrow"/>
                <w:kern w:val="2"/>
                <w:sz w:val="20"/>
                <w:szCs w:val="20"/>
              </w:rPr>
            </w:pPr>
          </w:p>
        </w:tc>
      </w:tr>
      <w:tr w:rsidR="00832C22" w14:paraId="3D1E8F4F" w14:textId="77777777">
        <w:trPr>
          <w:trHeight w:val="20"/>
        </w:trPr>
        <w:tc>
          <w:tcPr>
            <w:tcW w:w="906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9CF3485" w14:textId="77777777" w:rsidR="00832C22" w:rsidRPr="0048020E" w:rsidRDefault="00832C22">
            <w:pPr>
              <w:rPr>
                <w:rFonts w:ascii="Arial Narrow" w:hAnsi="Arial Narrow"/>
                <w:kern w:val="2"/>
                <w:sz w:val="20"/>
                <w:szCs w:val="20"/>
              </w:rPr>
            </w:pPr>
          </w:p>
        </w:tc>
      </w:tr>
      <w:tr w:rsidR="00832C22" w14:paraId="3EBF0E4B" w14:textId="77777777">
        <w:trPr>
          <w:trHeight w:val="20"/>
        </w:trPr>
        <w:tc>
          <w:tcPr>
            <w:tcW w:w="1270"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86C9DFE" w14:textId="77777777" w:rsidR="00832C22" w:rsidRDefault="00832C22">
            <w:pPr>
              <w:jc w:val="center"/>
              <w:rPr>
                <w:rFonts w:ascii="Arial Narrow" w:hAnsi="Arial Narrow"/>
                <w:kern w:val="2"/>
                <w:sz w:val="20"/>
                <w:szCs w:val="20"/>
              </w:rPr>
            </w:pPr>
            <w:r>
              <w:rPr>
                <w:rFonts w:ascii="Arial Narrow" w:hAnsi="Arial Narrow"/>
                <w:b/>
                <w:kern w:val="2"/>
                <w:sz w:val="20"/>
                <w:szCs w:val="20"/>
              </w:rPr>
              <w:t>Concept ID</w:t>
            </w:r>
          </w:p>
          <w:p w14:paraId="59F60060" w14:textId="77777777" w:rsidR="00832C22" w:rsidRDefault="00832C22">
            <w:pPr>
              <w:jc w:val="center"/>
              <w:rPr>
                <w:rFonts w:ascii="Arial Narrow" w:hAnsi="Arial Narrow"/>
                <w:b/>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D793A51" w14:textId="76518038" w:rsidR="00832C22" w:rsidRPr="0048020E" w:rsidRDefault="00832C22">
            <w:pPr>
              <w:keepLines/>
              <w:jc w:val="left"/>
              <w:rPr>
                <w:rFonts w:ascii="Arial Narrow" w:hAnsi="Arial Narrow"/>
                <w:kern w:val="2"/>
                <w:sz w:val="20"/>
                <w:szCs w:val="20"/>
              </w:rPr>
            </w:pPr>
            <w:r w:rsidRPr="0048020E">
              <w:rPr>
                <w:rFonts w:ascii="Arial Narrow" w:hAnsi="Arial Narrow"/>
                <w:b/>
                <w:kern w:val="2"/>
                <w:sz w:val="20"/>
                <w:szCs w:val="20"/>
              </w:rPr>
              <w:t>Category / Program:</w:t>
            </w:r>
            <w:r w:rsidRPr="0048020E">
              <w:rPr>
                <w:rFonts w:ascii="Arial Narrow" w:hAnsi="Arial Narrow"/>
                <w:kern w:val="2"/>
                <w:sz w:val="20"/>
                <w:szCs w:val="20"/>
              </w:rPr>
              <w:t xml:space="preserve"> </w:t>
            </w:r>
            <w:r w:rsidRPr="0048020E">
              <w:rPr>
                <w:rFonts w:ascii="Arial Narrow" w:hAnsi="Arial Narrow"/>
                <w:kern w:val="2"/>
                <w:sz w:val="20"/>
                <w:szCs w:val="20"/>
              </w:rPr>
              <w:fldChar w:fldCharType="begin">
                <w:ffData>
                  <w:name w:val=""/>
                  <w:enabled/>
                  <w:calcOnExit w:val="0"/>
                  <w:checkBox>
                    <w:sizeAuto/>
                    <w:default w:val="1"/>
                  </w:checkBox>
                </w:ffData>
              </w:fldChar>
            </w:r>
            <w:r w:rsidRPr="0048020E">
              <w:rPr>
                <w:rFonts w:ascii="Arial Narrow" w:hAnsi="Arial Narrow"/>
                <w:kern w:val="2"/>
                <w:sz w:val="20"/>
                <w:szCs w:val="20"/>
              </w:rPr>
              <w:instrText xml:space="preserve"> FORMCHECKBOX </w:instrText>
            </w:r>
            <w:r w:rsidRPr="0048020E">
              <w:rPr>
                <w:rFonts w:ascii="Arial Narrow" w:hAnsi="Arial Narrow"/>
                <w:kern w:val="2"/>
                <w:sz w:val="20"/>
                <w:szCs w:val="20"/>
              </w:rPr>
            </w:r>
            <w:r w:rsidRPr="0048020E">
              <w:rPr>
                <w:rFonts w:ascii="Arial Narrow" w:hAnsi="Arial Narrow"/>
                <w:kern w:val="2"/>
                <w:sz w:val="20"/>
                <w:szCs w:val="20"/>
              </w:rPr>
              <w:fldChar w:fldCharType="separate"/>
            </w:r>
            <w:r w:rsidRPr="0048020E">
              <w:rPr>
                <w:rFonts w:ascii="Arial Narrow" w:hAnsi="Arial Narrow"/>
                <w:kern w:val="2"/>
                <w:sz w:val="20"/>
                <w:szCs w:val="20"/>
              </w:rPr>
              <w:fldChar w:fldCharType="end"/>
            </w:r>
            <w:r w:rsidRPr="0048020E">
              <w:rPr>
                <w:rFonts w:ascii="Arial Narrow" w:hAnsi="Arial Narrow"/>
                <w:kern w:val="2"/>
                <w:sz w:val="20"/>
                <w:szCs w:val="20"/>
              </w:rPr>
              <w:t xml:space="preserve"> </w:t>
            </w:r>
            <w:r w:rsidRPr="00B73699">
              <w:rPr>
                <w:rFonts w:ascii="Arial Narrow" w:eastAsia="Calibri" w:hAnsi="Arial Narrow"/>
                <w:sz w:val="20"/>
                <w:szCs w:val="20"/>
              </w:rPr>
              <w:t xml:space="preserve">GENERAL </w:t>
            </w:r>
            <w:r w:rsidR="00FC7500">
              <w:rPr>
                <w:rFonts w:ascii="Arial Narrow" w:eastAsia="Calibri" w:hAnsi="Arial Narrow"/>
                <w:sz w:val="20"/>
                <w:szCs w:val="20"/>
              </w:rPr>
              <w:noBreakHyphen/>
            </w:r>
            <w:r w:rsidRPr="00B73699">
              <w:rPr>
                <w:rFonts w:ascii="Arial Narrow" w:eastAsia="Calibri" w:hAnsi="Arial Narrow"/>
                <w:sz w:val="20"/>
                <w:szCs w:val="20"/>
              </w:rPr>
              <w:t xml:space="preserve"> </w:t>
            </w:r>
            <w:proofErr w:type="spellStart"/>
            <w:r w:rsidRPr="00B73699">
              <w:rPr>
                <w:rFonts w:ascii="Arial Narrow" w:eastAsia="Calibri" w:hAnsi="Arial Narrow"/>
                <w:sz w:val="20"/>
                <w:szCs w:val="20"/>
              </w:rPr>
              <w:t>General</w:t>
            </w:r>
            <w:proofErr w:type="spellEnd"/>
            <w:r w:rsidRPr="00B73699">
              <w:rPr>
                <w:rFonts w:ascii="Arial Narrow" w:eastAsia="Calibri" w:hAnsi="Arial Narrow"/>
                <w:sz w:val="20"/>
                <w:szCs w:val="20"/>
              </w:rPr>
              <w:t xml:space="preserve"> Schedule (Code GE)</w:t>
            </w:r>
          </w:p>
        </w:tc>
      </w:tr>
      <w:tr w:rsidR="00832C22" w14:paraId="6E01954A" w14:textId="77777777">
        <w:trPr>
          <w:trHeight w:val="20"/>
        </w:trPr>
        <w:tc>
          <w:tcPr>
            <w:tcW w:w="1270" w:type="dxa"/>
            <w:gridSpan w:val="2"/>
            <w:vMerge/>
            <w:tcBorders>
              <w:top w:val="single" w:sz="4" w:space="0" w:color="auto"/>
              <w:left w:val="single" w:sz="4" w:space="0" w:color="auto"/>
              <w:bottom w:val="single" w:sz="4" w:space="0" w:color="auto"/>
              <w:right w:val="single" w:sz="4" w:space="0" w:color="auto"/>
            </w:tcBorders>
            <w:vAlign w:val="center"/>
            <w:hideMark/>
          </w:tcPr>
          <w:p w14:paraId="4294170E" w14:textId="77777777" w:rsidR="00832C22" w:rsidRDefault="00832C22">
            <w:pPr>
              <w:rPr>
                <w:rFonts w:ascii="Arial Narrow" w:hAnsi="Arial Narrow"/>
                <w:b/>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6455CB0" w14:textId="77777777" w:rsidR="00832C22" w:rsidRPr="0048020E" w:rsidRDefault="00832C22">
            <w:pPr>
              <w:keepLines/>
              <w:rPr>
                <w:rFonts w:ascii="Arial Narrow" w:hAnsi="Arial Narrow"/>
                <w:b/>
                <w:kern w:val="2"/>
                <w:sz w:val="20"/>
                <w:szCs w:val="20"/>
              </w:rPr>
            </w:pPr>
            <w:r w:rsidRPr="0048020E">
              <w:rPr>
                <w:rFonts w:ascii="Arial Narrow" w:hAnsi="Arial Narrow"/>
                <w:b/>
                <w:kern w:val="2"/>
                <w:sz w:val="20"/>
                <w:szCs w:val="20"/>
              </w:rPr>
              <w:t xml:space="preserve">Prescriber type: </w:t>
            </w:r>
            <w:r w:rsidRPr="0048020E">
              <w:rPr>
                <w:rFonts w:ascii="Arial Narrow" w:hAnsi="Arial Narrow"/>
                <w:kern w:val="2"/>
                <w:sz w:val="20"/>
                <w:szCs w:val="20"/>
              </w:rPr>
              <w:fldChar w:fldCharType="begin">
                <w:ffData>
                  <w:name w:val=""/>
                  <w:enabled/>
                  <w:calcOnExit w:val="0"/>
                  <w:checkBox>
                    <w:sizeAuto/>
                    <w:default w:val="1"/>
                  </w:checkBox>
                </w:ffData>
              </w:fldChar>
            </w:r>
            <w:r w:rsidRPr="0048020E">
              <w:rPr>
                <w:rFonts w:ascii="Arial Narrow" w:hAnsi="Arial Narrow"/>
                <w:kern w:val="2"/>
                <w:sz w:val="20"/>
                <w:szCs w:val="20"/>
              </w:rPr>
              <w:instrText xml:space="preserve"> FORMCHECKBOX </w:instrText>
            </w:r>
            <w:r w:rsidRPr="0048020E">
              <w:rPr>
                <w:rFonts w:ascii="Arial Narrow" w:hAnsi="Arial Narrow"/>
                <w:kern w:val="2"/>
                <w:sz w:val="20"/>
                <w:szCs w:val="20"/>
              </w:rPr>
            </w:r>
            <w:r w:rsidRPr="0048020E">
              <w:rPr>
                <w:rFonts w:ascii="Arial Narrow" w:hAnsi="Arial Narrow"/>
                <w:kern w:val="2"/>
                <w:sz w:val="20"/>
                <w:szCs w:val="20"/>
              </w:rPr>
              <w:fldChar w:fldCharType="separate"/>
            </w:r>
            <w:r w:rsidRPr="0048020E">
              <w:rPr>
                <w:rFonts w:ascii="Arial Narrow" w:hAnsi="Arial Narrow"/>
                <w:kern w:val="2"/>
                <w:sz w:val="20"/>
                <w:szCs w:val="20"/>
              </w:rPr>
              <w:fldChar w:fldCharType="end"/>
            </w:r>
            <w:r w:rsidRPr="0048020E">
              <w:rPr>
                <w:rFonts w:ascii="Arial Narrow" w:hAnsi="Arial Narrow"/>
                <w:kern w:val="2"/>
                <w:sz w:val="20"/>
                <w:szCs w:val="20"/>
              </w:rPr>
              <w:t xml:space="preserve"> Medical Practitioners </w:t>
            </w:r>
          </w:p>
        </w:tc>
      </w:tr>
      <w:tr w:rsidR="00832C22" w14:paraId="672EC39E" w14:textId="77777777">
        <w:trPr>
          <w:trHeight w:val="20"/>
        </w:trPr>
        <w:tc>
          <w:tcPr>
            <w:tcW w:w="1270" w:type="dxa"/>
            <w:gridSpan w:val="2"/>
            <w:vMerge/>
            <w:tcBorders>
              <w:top w:val="single" w:sz="4" w:space="0" w:color="auto"/>
              <w:left w:val="single" w:sz="4" w:space="0" w:color="auto"/>
              <w:bottom w:val="single" w:sz="4" w:space="0" w:color="auto"/>
              <w:right w:val="single" w:sz="4" w:space="0" w:color="auto"/>
            </w:tcBorders>
            <w:vAlign w:val="center"/>
            <w:hideMark/>
          </w:tcPr>
          <w:p w14:paraId="4DC9316A" w14:textId="77777777" w:rsidR="00832C22" w:rsidRDefault="00832C22">
            <w:pPr>
              <w:rPr>
                <w:rFonts w:ascii="Arial Narrow" w:hAnsi="Arial Narrow"/>
                <w:b/>
                <w:kern w:val="2"/>
                <w:sz w:val="20"/>
                <w:szCs w:val="20"/>
                <w:lang w:eastAsia="en-US"/>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A79A153" w14:textId="77777777" w:rsidR="00832C22" w:rsidRPr="0066042F" w:rsidRDefault="00832C22">
            <w:pPr>
              <w:keepLines/>
              <w:jc w:val="left"/>
              <w:rPr>
                <w:rFonts w:ascii="Arial Narrow" w:hAnsi="Arial Narrow"/>
                <w:i/>
                <w:iCs/>
                <w:kern w:val="2"/>
                <w:sz w:val="20"/>
                <w:szCs w:val="20"/>
              </w:rPr>
            </w:pPr>
            <w:r w:rsidRPr="0066042F">
              <w:rPr>
                <w:rFonts w:ascii="Arial Narrow" w:hAnsi="Arial Narrow"/>
                <w:b/>
                <w:kern w:val="2"/>
                <w:sz w:val="20"/>
                <w:szCs w:val="20"/>
              </w:rPr>
              <w:t xml:space="preserve">Benefit type: </w:t>
            </w:r>
            <w:r w:rsidRPr="0066042F">
              <w:rPr>
                <w:rFonts w:ascii="Arial Narrow" w:hAnsi="Arial Narrow"/>
                <w:kern w:val="2"/>
                <w:sz w:val="20"/>
                <w:szCs w:val="20"/>
              </w:rPr>
              <w:fldChar w:fldCharType="begin">
                <w:ffData>
                  <w:name w:val=""/>
                  <w:enabled/>
                  <w:calcOnExit w:val="0"/>
                  <w:checkBox>
                    <w:sizeAuto/>
                    <w:default w:val="1"/>
                  </w:checkBox>
                </w:ffData>
              </w:fldChar>
            </w:r>
            <w:r w:rsidRPr="0066042F">
              <w:rPr>
                <w:rFonts w:ascii="Arial Narrow" w:hAnsi="Arial Narrow"/>
                <w:kern w:val="2"/>
                <w:sz w:val="20"/>
                <w:szCs w:val="20"/>
              </w:rPr>
              <w:instrText xml:space="preserve"> FORMCHECKBOX </w:instrText>
            </w:r>
            <w:r w:rsidRPr="0066042F">
              <w:rPr>
                <w:rFonts w:ascii="Arial Narrow" w:hAnsi="Arial Narrow"/>
                <w:kern w:val="2"/>
                <w:sz w:val="20"/>
                <w:szCs w:val="20"/>
              </w:rPr>
            </w:r>
            <w:r w:rsidRPr="0066042F">
              <w:rPr>
                <w:rFonts w:ascii="Arial Narrow" w:hAnsi="Arial Narrow"/>
                <w:kern w:val="2"/>
                <w:sz w:val="20"/>
                <w:szCs w:val="20"/>
              </w:rPr>
              <w:fldChar w:fldCharType="separate"/>
            </w:r>
            <w:r w:rsidRPr="0066042F">
              <w:rPr>
                <w:rFonts w:ascii="Arial Narrow" w:hAnsi="Arial Narrow"/>
                <w:kern w:val="2"/>
                <w:sz w:val="20"/>
                <w:szCs w:val="20"/>
              </w:rPr>
              <w:fldChar w:fldCharType="end"/>
            </w:r>
            <w:r w:rsidRPr="0066042F">
              <w:rPr>
                <w:rFonts w:ascii="Arial Narrow" w:hAnsi="Arial Narrow"/>
                <w:kern w:val="2"/>
                <w:sz w:val="20"/>
                <w:szCs w:val="20"/>
              </w:rPr>
              <w:t xml:space="preserve"> </w:t>
            </w:r>
            <w:r w:rsidRPr="0048020E">
              <w:rPr>
                <w:rFonts w:ascii="Arial Narrow" w:eastAsia="Calibri" w:hAnsi="Arial Narrow"/>
                <w:kern w:val="2"/>
                <w:sz w:val="20"/>
                <w:szCs w:val="20"/>
              </w:rPr>
              <w:t xml:space="preserve">Authority Required </w:t>
            </w:r>
            <w:r>
              <w:rPr>
                <w:rFonts w:ascii="Arial Narrow" w:eastAsia="Calibri" w:hAnsi="Arial Narrow"/>
                <w:kern w:val="2"/>
                <w:sz w:val="20"/>
                <w:szCs w:val="20"/>
              </w:rPr>
              <w:t xml:space="preserve">(Telephone/Online PBS Authorities System) </w:t>
            </w:r>
          </w:p>
        </w:tc>
      </w:tr>
      <w:tr w:rsidR="00832C22" w14:paraId="56A979FD" w14:textId="77777777">
        <w:trPr>
          <w:trHeight w:val="100"/>
        </w:trPr>
        <w:tc>
          <w:tcPr>
            <w:tcW w:w="420" w:type="dxa"/>
            <w:vMerge w:val="restart"/>
            <w:textDirection w:val="btLr"/>
          </w:tcPr>
          <w:p w14:paraId="081375C5" w14:textId="77777777" w:rsidR="00832C22" w:rsidRPr="00E745C2" w:rsidRDefault="00832C22">
            <w:pPr>
              <w:jc w:val="center"/>
              <w:rPr>
                <w:rFonts w:ascii="Arial Narrow" w:hAnsi="Arial Narrow"/>
                <w:sz w:val="20"/>
                <w:szCs w:val="20"/>
              </w:rPr>
            </w:pPr>
            <w:r w:rsidRPr="00E745C2">
              <w:rPr>
                <w:rFonts w:ascii="Arial Narrow" w:hAnsi="Arial Narrow"/>
                <w:sz w:val="20"/>
                <w:szCs w:val="20"/>
              </w:rPr>
              <w:t>Prescribing rule</w:t>
            </w:r>
            <w:r>
              <w:rPr>
                <w:rFonts w:ascii="Arial Narrow" w:hAnsi="Arial Narrow"/>
                <w:sz w:val="20"/>
                <w:szCs w:val="20"/>
              </w:rPr>
              <w:t xml:space="preserve"> level</w:t>
            </w: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D99B339" w14:textId="4776F4C8" w:rsidR="00832C22" w:rsidRPr="00067A2C"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C7D7570" w14:textId="77777777" w:rsidR="00832C22" w:rsidRPr="00067A2C" w:rsidRDefault="00832C22">
            <w:pPr>
              <w:rPr>
                <w:rFonts w:ascii="Arial Narrow" w:hAnsi="Arial Narrow"/>
                <w:b/>
                <w:bCs/>
                <w:kern w:val="2"/>
                <w:sz w:val="20"/>
                <w:szCs w:val="20"/>
              </w:rPr>
            </w:pPr>
            <w:r w:rsidRPr="00067A2C">
              <w:rPr>
                <w:rFonts w:ascii="Arial Narrow" w:hAnsi="Arial Narrow"/>
                <w:b/>
                <w:bCs/>
                <w:kern w:val="2"/>
                <w:sz w:val="20"/>
                <w:szCs w:val="20"/>
              </w:rPr>
              <w:t xml:space="preserve">Administrative Advice: </w:t>
            </w:r>
          </w:p>
          <w:p w14:paraId="340F1A89" w14:textId="77777777" w:rsidR="00832C22" w:rsidRPr="00067A2C" w:rsidRDefault="00832C22">
            <w:pPr>
              <w:rPr>
                <w:rFonts w:ascii="Arial Narrow" w:hAnsi="Arial Narrow"/>
                <w:kern w:val="2"/>
                <w:sz w:val="20"/>
                <w:szCs w:val="20"/>
              </w:rPr>
            </w:pPr>
            <w:r w:rsidRPr="00067A2C">
              <w:rPr>
                <w:rFonts w:ascii="Arial Narrow" w:hAnsi="Arial Narrow"/>
                <w:kern w:val="2"/>
                <w:sz w:val="20"/>
                <w:szCs w:val="20"/>
              </w:rPr>
              <w:t>TREATMENT OF COMPLEX REFRACTORY FISTULISING CROHN DISEASE</w:t>
            </w:r>
          </w:p>
          <w:p w14:paraId="4279D33C" w14:textId="77777777" w:rsidR="00832C22" w:rsidRPr="00067A2C" w:rsidRDefault="00832C22">
            <w:pPr>
              <w:rPr>
                <w:rFonts w:ascii="Arial Narrow" w:hAnsi="Arial Narrow"/>
                <w:b/>
                <w:bCs/>
                <w:kern w:val="2"/>
                <w:sz w:val="20"/>
                <w:szCs w:val="20"/>
              </w:rPr>
            </w:pPr>
            <w:hyperlink w:anchor="_Overarching_administrative_advice" w:history="1">
              <w:r w:rsidRPr="00067A2C">
                <w:rPr>
                  <w:rStyle w:val="Hyperlink"/>
                  <w:rFonts w:ascii="Arial Narrow" w:hAnsi="Arial Narrow"/>
                  <w:kern w:val="2"/>
                  <w:sz w:val="20"/>
                  <w:szCs w:val="20"/>
                </w:rPr>
                <w:t>See below for overarching AA</w:t>
              </w:r>
            </w:hyperlink>
          </w:p>
        </w:tc>
      </w:tr>
      <w:tr w:rsidR="00832C22" w14:paraId="65941E0B" w14:textId="77777777">
        <w:trPr>
          <w:trHeight w:val="100"/>
        </w:trPr>
        <w:tc>
          <w:tcPr>
            <w:tcW w:w="420" w:type="dxa"/>
            <w:vMerge/>
            <w:textDirection w:val="btLr"/>
          </w:tcPr>
          <w:p w14:paraId="3EB9CCE8" w14:textId="77777777" w:rsidR="00832C22" w:rsidRPr="004549FF" w:rsidRDefault="00832C22">
            <w:pPr>
              <w:jc w:val="center"/>
              <w:rPr>
                <w:rFonts w:ascii="Arial Narrow" w:hAnsi="Arial Narrow"/>
                <w:kern w:val="2"/>
                <w:sz w:val="20"/>
                <w:szCs w:val="20"/>
              </w:rPr>
            </w:pP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8F6ACA1" w14:textId="39998136" w:rsidR="00832C22" w:rsidRPr="004549FF"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A49A037" w14:textId="77777777" w:rsidR="00832C22" w:rsidRPr="004549FF" w:rsidRDefault="00832C22">
            <w:pPr>
              <w:rPr>
                <w:rFonts w:ascii="Arial Narrow" w:hAnsi="Arial Narrow"/>
                <w:b/>
                <w:kern w:val="2"/>
                <w:sz w:val="20"/>
                <w:szCs w:val="20"/>
                <w:lang w:eastAsia="en-US"/>
              </w:rPr>
            </w:pPr>
            <w:r w:rsidRPr="004549FF">
              <w:rPr>
                <w:rFonts w:ascii="Arial Narrow" w:hAnsi="Arial Narrow"/>
                <w:b/>
                <w:bCs/>
                <w:kern w:val="2"/>
                <w:sz w:val="20"/>
                <w:szCs w:val="20"/>
              </w:rPr>
              <w:t xml:space="preserve">Administrative Advice: </w:t>
            </w:r>
            <w:r w:rsidRPr="004549FF">
              <w:rPr>
                <w:rFonts w:ascii="Arial Narrow" w:hAnsi="Arial Narrow"/>
                <w:kern w:val="2"/>
                <w:sz w:val="20"/>
                <w:szCs w:val="20"/>
              </w:rPr>
              <w:t>No increase in the maximum quantity or number of units may be authorised.</w:t>
            </w:r>
          </w:p>
        </w:tc>
      </w:tr>
      <w:tr w:rsidR="00832C22" w14:paraId="5BECD814" w14:textId="77777777">
        <w:trPr>
          <w:trHeight w:val="100"/>
        </w:trPr>
        <w:tc>
          <w:tcPr>
            <w:tcW w:w="420" w:type="dxa"/>
            <w:vMerge/>
          </w:tcPr>
          <w:p w14:paraId="7E517172" w14:textId="77777777" w:rsidR="00832C22" w:rsidRPr="00971A03" w:rsidRDefault="00832C22">
            <w:pPr>
              <w:jc w:val="center"/>
              <w:rPr>
                <w:rFonts w:ascii="Arial Narrow" w:hAnsi="Arial Narrow"/>
                <w:kern w:val="2"/>
                <w:sz w:val="20"/>
                <w:szCs w:val="20"/>
              </w:rPr>
            </w:pP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57A205F" w14:textId="7359AED3" w:rsidR="00832C22" w:rsidRPr="00971A03"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9389D07" w14:textId="77777777" w:rsidR="00832C22" w:rsidRPr="00971A03" w:rsidRDefault="00832C22">
            <w:pPr>
              <w:rPr>
                <w:rFonts w:ascii="Arial Narrow" w:hAnsi="Arial Narrow"/>
                <w:b/>
                <w:kern w:val="2"/>
                <w:sz w:val="20"/>
                <w:szCs w:val="20"/>
                <w:lang w:eastAsia="en-US"/>
              </w:rPr>
            </w:pPr>
            <w:r w:rsidRPr="00971A03">
              <w:rPr>
                <w:rFonts w:ascii="Arial Narrow" w:hAnsi="Arial Narrow"/>
                <w:b/>
                <w:bCs/>
                <w:kern w:val="2"/>
                <w:sz w:val="20"/>
                <w:szCs w:val="20"/>
              </w:rPr>
              <w:t xml:space="preserve">Administrative Advice: </w:t>
            </w:r>
            <w:r w:rsidRPr="00971A03">
              <w:rPr>
                <w:rFonts w:ascii="Arial Narrow" w:hAnsi="Arial Narrow"/>
                <w:kern w:val="2"/>
                <w:sz w:val="20"/>
                <w:szCs w:val="20"/>
              </w:rPr>
              <w:t>No increase in the maximum number of repeats may be authorised.</w:t>
            </w:r>
          </w:p>
        </w:tc>
      </w:tr>
      <w:tr w:rsidR="00832C22" w14:paraId="067102AD" w14:textId="77777777">
        <w:trPr>
          <w:trHeight w:val="100"/>
        </w:trPr>
        <w:tc>
          <w:tcPr>
            <w:tcW w:w="420" w:type="dxa"/>
            <w:vMerge/>
          </w:tcPr>
          <w:p w14:paraId="282A5C7F" w14:textId="77777777" w:rsidR="00832C22" w:rsidRPr="004549FF" w:rsidRDefault="00832C22">
            <w:pPr>
              <w:jc w:val="center"/>
              <w:rPr>
                <w:rFonts w:ascii="Arial Narrow" w:hAnsi="Arial Narrow"/>
                <w:kern w:val="2"/>
                <w:sz w:val="20"/>
                <w:szCs w:val="20"/>
              </w:rPr>
            </w:pP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0E30975" w14:textId="3F4A1134" w:rsidR="00832C22" w:rsidRPr="00D22D4F"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0EE8806" w14:textId="77777777" w:rsidR="00832C22" w:rsidRPr="005354DC" w:rsidRDefault="00832C22">
            <w:pPr>
              <w:rPr>
                <w:rFonts w:ascii="Arial Narrow" w:hAnsi="Arial Narrow"/>
                <w:b/>
                <w:bCs/>
                <w:kern w:val="2"/>
                <w:sz w:val="20"/>
                <w:szCs w:val="20"/>
              </w:rPr>
            </w:pPr>
            <w:r w:rsidRPr="005354DC">
              <w:rPr>
                <w:rFonts w:ascii="Arial Narrow" w:hAnsi="Arial Narrow"/>
                <w:b/>
                <w:bCs/>
                <w:kern w:val="2"/>
                <w:sz w:val="20"/>
                <w:szCs w:val="20"/>
              </w:rPr>
              <w:t>Administrative Advice:</w:t>
            </w:r>
          </w:p>
          <w:p w14:paraId="19E522B4" w14:textId="77777777" w:rsidR="00832C22" w:rsidRPr="00D22D4F" w:rsidRDefault="00832C22">
            <w:pPr>
              <w:pStyle w:val="pf0"/>
              <w:spacing w:before="0" w:beforeAutospacing="0" w:after="0" w:afterAutospacing="0" w:line="256" w:lineRule="auto"/>
              <w:rPr>
                <w:rFonts w:ascii="Arial Narrow" w:hAnsi="Arial Narrow" w:cs="Arial"/>
                <w:b/>
                <w:kern w:val="2"/>
                <w:sz w:val="20"/>
                <w:szCs w:val="20"/>
                <w:lang w:eastAsia="en-US"/>
                <w14:ligatures w14:val="standardContextual"/>
              </w:rPr>
            </w:pPr>
            <w:r w:rsidRPr="005354DC">
              <w:rPr>
                <w:rFonts w:ascii="Arial Narrow" w:hAnsi="Arial Narrow"/>
                <w:kern w:val="2"/>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832C22" w14:paraId="1C084295" w14:textId="77777777">
        <w:trPr>
          <w:trHeight w:val="20"/>
        </w:trPr>
        <w:tc>
          <w:tcPr>
            <w:tcW w:w="127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38804B90" w14:textId="77777777" w:rsidR="00832C22" w:rsidRDefault="00832C22">
            <w:pPr>
              <w:jc w:val="center"/>
              <w:rPr>
                <w:rFonts w:ascii="Arial Narrow" w:hAnsi="Arial Narrow" w:cs="Times New Roman"/>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vAlign w:val="center"/>
            <w:hideMark/>
          </w:tcPr>
          <w:p w14:paraId="2CDFAD4E" w14:textId="734CB28B" w:rsidR="00832C22" w:rsidRDefault="00832C22">
            <w:pPr>
              <w:keepLines/>
              <w:rPr>
                <w:rFonts w:ascii="Arial Narrow" w:hAnsi="Arial Narrow"/>
                <w:b/>
                <w:bCs/>
                <w:color w:val="333333"/>
                <w:kern w:val="2"/>
                <w:sz w:val="20"/>
                <w:szCs w:val="20"/>
              </w:rPr>
            </w:pPr>
          </w:p>
        </w:tc>
      </w:tr>
      <w:tr w:rsidR="00832C22" w14:paraId="2F3D0B47"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3EF1F48" w14:textId="79ABCE8A" w:rsidR="00832C22" w:rsidRDefault="00832C22">
            <w:pPr>
              <w:keepLines/>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78FB5C5" w14:textId="77777777" w:rsidR="00832C22" w:rsidRPr="00E14909" w:rsidRDefault="00832C22">
            <w:pPr>
              <w:keepLines/>
              <w:rPr>
                <w:rFonts w:ascii="Arial Narrow" w:hAnsi="Arial Narrow"/>
                <w:kern w:val="2"/>
                <w:sz w:val="20"/>
                <w:szCs w:val="20"/>
              </w:rPr>
            </w:pPr>
            <w:r>
              <w:rPr>
                <w:rFonts w:ascii="Arial Narrow" w:hAnsi="Arial Narrow"/>
                <w:b/>
                <w:bCs/>
                <w:color w:val="333333"/>
                <w:kern w:val="2"/>
                <w:sz w:val="20"/>
                <w:szCs w:val="20"/>
              </w:rPr>
              <w:t>Indication:</w:t>
            </w:r>
            <w:r>
              <w:rPr>
                <w:rFonts w:ascii="Arial Narrow" w:hAnsi="Arial Narrow"/>
                <w:color w:val="333333"/>
                <w:kern w:val="2"/>
                <w:sz w:val="20"/>
                <w:szCs w:val="20"/>
              </w:rPr>
              <w:t xml:space="preserve"> </w:t>
            </w:r>
            <w:r>
              <w:rPr>
                <w:rFonts w:ascii="Arial Narrow" w:hAnsi="Arial Narrow"/>
                <w:bCs/>
                <w:sz w:val="20"/>
                <w:szCs w:val="20"/>
              </w:rPr>
              <w:t>Complex refractory fistulising Crohn disease</w:t>
            </w:r>
          </w:p>
        </w:tc>
      </w:tr>
      <w:tr w:rsidR="00832C22" w14:paraId="7757C473"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3E66BEC" w14:textId="77777777" w:rsidR="00832C22" w:rsidRDefault="00832C22">
            <w:pP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9C7215D" w14:textId="275DC95A" w:rsidR="00832C22" w:rsidRDefault="00832C22">
            <w:pPr>
              <w:rPr>
                <w:rFonts w:ascii="Arial Narrow" w:hAnsi="Arial Narrow" w:cs="Times New Roman"/>
                <w:kern w:val="2"/>
                <w:sz w:val="20"/>
                <w:szCs w:val="20"/>
              </w:rPr>
            </w:pPr>
            <w:r>
              <w:rPr>
                <w:rFonts w:ascii="Arial Narrow" w:hAnsi="Arial Narrow"/>
                <w:b/>
                <w:bCs/>
                <w:color w:val="333333"/>
                <w:kern w:val="2"/>
                <w:sz w:val="20"/>
                <w:szCs w:val="20"/>
              </w:rPr>
              <w:t>Treatment Phase:</w:t>
            </w:r>
            <w:r>
              <w:rPr>
                <w:rFonts w:ascii="Arial Narrow" w:hAnsi="Arial Narrow"/>
                <w:color w:val="FF0000"/>
                <w:kern w:val="2"/>
                <w:sz w:val="20"/>
                <w:szCs w:val="20"/>
              </w:rPr>
              <w:t xml:space="preserve"> </w:t>
            </w:r>
            <w:r w:rsidRPr="2A26E699">
              <w:rPr>
                <w:rFonts w:ascii="Arial Narrow" w:hAnsi="Arial Narrow"/>
                <w:sz w:val="20"/>
                <w:szCs w:val="20"/>
              </w:rPr>
              <w:t>Transitioning from non</w:t>
            </w:r>
            <w:r w:rsidR="00FC7500">
              <w:rPr>
                <w:rFonts w:ascii="Arial Narrow" w:hAnsi="Arial Narrow"/>
                <w:sz w:val="20"/>
                <w:szCs w:val="20"/>
              </w:rPr>
              <w:noBreakHyphen/>
            </w:r>
            <w:r w:rsidRPr="2A26E699">
              <w:rPr>
                <w:rFonts w:ascii="Arial Narrow" w:hAnsi="Arial Narrow"/>
                <w:sz w:val="20"/>
                <w:szCs w:val="20"/>
              </w:rPr>
              <w:t>PBS to PBS</w:t>
            </w:r>
            <w:r w:rsidR="00FC7500">
              <w:rPr>
                <w:rFonts w:ascii="Arial Narrow" w:hAnsi="Arial Narrow"/>
                <w:sz w:val="20"/>
                <w:szCs w:val="20"/>
              </w:rPr>
              <w:noBreakHyphen/>
            </w:r>
            <w:r w:rsidRPr="2A26E699">
              <w:rPr>
                <w:rFonts w:ascii="Arial Narrow" w:hAnsi="Arial Narrow"/>
                <w:sz w:val="20"/>
                <w:szCs w:val="20"/>
              </w:rPr>
              <w:t xml:space="preserve">subsidised treatment </w:t>
            </w:r>
            <w:r w:rsidR="00FC7500">
              <w:rPr>
                <w:rFonts w:ascii="Arial Narrow" w:hAnsi="Arial Narrow"/>
                <w:sz w:val="20"/>
                <w:szCs w:val="20"/>
              </w:rPr>
              <w:noBreakHyphen/>
            </w:r>
            <w:r w:rsidRPr="2A26E699">
              <w:rPr>
                <w:rFonts w:ascii="Arial Narrow" w:hAnsi="Arial Narrow"/>
                <w:sz w:val="20"/>
                <w:szCs w:val="20"/>
              </w:rPr>
              <w:t xml:space="preserve"> Grandfather arrangements</w:t>
            </w:r>
          </w:p>
        </w:tc>
      </w:tr>
      <w:tr w:rsidR="00832C22" w14:paraId="144EE6CB"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D185D8B" w14:textId="26466185" w:rsidR="00832C22" w:rsidRDefault="00832C22">
            <w:pPr>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AC9A1BF" w14:textId="77777777" w:rsidR="00832C22" w:rsidRDefault="00832C22">
            <w:pPr>
              <w:rPr>
                <w:rFonts w:ascii="Arial Narrow" w:hAnsi="Arial Narrow"/>
                <w:b/>
                <w:bCs/>
                <w:color w:val="333333"/>
                <w:kern w:val="2"/>
                <w:sz w:val="20"/>
                <w:szCs w:val="20"/>
              </w:rPr>
            </w:pPr>
            <w:r>
              <w:rPr>
                <w:rFonts w:ascii="Arial Narrow" w:hAnsi="Arial Narrow"/>
                <w:b/>
                <w:bCs/>
                <w:color w:val="333333"/>
                <w:kern w:val="2"/>
                <w:sz w:val="20"/>
                <w:szCs w:val="20"/>
              </w:rPr>
              <w:t>Clinical criteria:</w:t>
            </w:r>
          </w:p>
        </w:tc>
      </w:tr>
      <w:tr w:rsidR="00832C22" w14:paraId="6E7AD0F6"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1F8BB62" w14:textId="4DA4A735" w:rsidR="00832C22" w:rsidRDefault="00832C22">
            <w:pPr>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E397CF0" w14:textId="73A931B7" w:rsidR="00832C22" w:rsidRDefault="00832C22">
            <w:pPr>
              <w:rPr>
                <w:rFonts w:ascii="Arial Narrow" w:hAnsi="Arial Narrow"/>
                <w:b/>
                <w:bCs/>
                <w:color w:val="333333"/>
                <w:kern w:val="2"/>
                <w:sz w:val="20"/>
                <w:szCs w:val="20"/>
              </w:rPr>
            </w:pPr>
            <w:r w:rsidRPr="2A26E699">
              <w:rPr>
                <w:rFonts w:ascii="Arial Narrow" w:hAnsi="Arial Narrow"/>
                <w:sz w:val="20"/>
                <w:szCs w:val="20"/>
              </w:rPr>
              <w:t>Patient must have received non</w:t>
            </w:r>
            <w:r w:rsidR="00FC7500">
              <w:rPr>
                <w:rFonts w:ascii="Arial Narrow" w:hAnsi="Arial Narrow"/>
                <w:sz w:val="20"/>
                <w:szCs w:val="20"/>
              </w:rPr>
              <w:noBreakHyphen/>
            </w:r>
            <w:r w:rsidRPr="2A26E699">
              <w:rPr>
                <w:rFonts w:ascii="Arial Narrow" w:hAnsi="Arial Narrow"/>
                <w:sz w:val="20"/>
                <w:szCs w:val="20"/>
              </w:rPr>
              <w:t>PBS</w:t>
            </w:r>
            <w:r w:rsidR="00FC7500">
              <w:rPr>
                <w:rFonts w:ascii="Arial Narrow" w:hAnsi="Arial Narrow"/>
                <w:sz w:val="20"/>
                <w:szCs w:val="20"/>
              </w:rPr>
              <w:noBreakHyphen/>
            </w:r>
            <w:r w:rsidRPr="2A26E699">
              <w:rPr>
                <w:rFonts w:ascii="Arial Narrow" w:hAnsi="Arial Narrow"/>
                <w:sz w:val="20"/>
                <w:szCs w:val="20"/>
              </w:rPr>
              <w:t>subsidised treatment with this drug for this PBS indication prior to</w:t>
            </w:r>
            <w:r>
              <w:rPr>
                <w:rFonts w:ascii="Arial Narrow" w:hAnsi="Arial Narrow"/>
                <w:sz w:val="20"/>
                <w:szCs w:val="20"/>
              </w:rPr>
              <w:t xml:space="preserve"> [LISTING DATE]</w:t>
            </w:r>
          </w:p>
        </w:tc>
      </w:tr>
      <w:tr w:rsidR="00832C22" w14:paraId="690A7409"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8AF5C08" w14:textId="77777777" w:rsidR="00832C22" w:rsidRDefault="00832C22">
            <w:pP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A6AAA0B" w14:textId="77777777" w:rsidR="00832C22" w:rsidRPr="00F3534B" w:rsidRDefault="00832C22">
            <w:pPr>
              <w:rPr>
                <w:rFonts w:ascii="Arial Narrow" w:hAnsi="Arial Narrow"/>
                <w:b/>
                <w:bCs/>
                <w:color w:val="333333"/>
                <w:kern w:val="2"/>
                <w:sz w:val="20"/>
                <w:szCs w:val="20"/>
              </w:rPr>
            </w:pPr>
            <w:r>
              <w:rPr>
                <w:rFonts w:ascii="Arial Narrow" w:hAnsi="Arial Narrow"/>
                <w:b/>
                <w:bCs/>
                <w:color w:val="333333"/>
                <w:kern w:val="2"/>
                <w:sz w:val="20"/>
                <w:szCs w:val="20"/>
              </w:rPr>
              <w:t>AND</w:t>
            </w:r>
          </w:p>
        </w:tc>
      </w:tr>
      <w:tr w:rsidR="00832C22" w14:paraId="42320686"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11269D7" w14:textId="033C2C9A" w:rsidR="00832C22" w:rsidRPr="00EF54F8" w:rsidRDefault="00832C22">
            <w:pPr>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A733E83" w14:textId="77777777" w:rsidR="00832C22" w:rsidRPr="001560F5" w:rsidRDefault="00832C22">
            <w:pPr>
              <w:rPr>
                <w:rFonts w:ascii="Arial Narrow" w:hAnsi="Arial Narrow"/>
                <w:kern w:val="2"/>
                <w:sz w:val="20"/>
                <w:szCs w:val="20"/>
              </w:rPr>
            </w:pPr>
            <w:r>
              <w:rPr>
                <w:rFonts w:ascii="Arial Narrow" w:hAnsi="Arial Narrow"/>
                <w:b/>
                <w:bCs/>
                <w:color w:val="333333"/>
                <w:kern w:val="2"/>
                <w:sz w:val="20"/>
                <w:szCs w:val="20"/>
              </w:rPr>
              <w:t>Clinical criteria:</w:t>
            </w:r>
          </w:p>
        </w:tc>
      </w:tr>
      <w:tr w:rsidR="00832C22" w14:paraId="68348089"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43121D7" w14:textId="436D8895" w:rsidR="00832C22" w:rsidRPr="00EF54F8" w:rsidRDefault="00832C22">
            <w:pPr>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BEC02CF" w14:textId="77777777" w:rsidR="00832C22" w:rsidRPr="001560F5" w:rsidRDefault="00832C22">
            <w:pPr>
              <w:widowControl w:val="0"/>
              <w:rPr>
                <w:rFonts w:ascii="Arial Narrow" w:hAnsi="Arial Narrow"/>
                <w:kern w:val="2"/>
                <w:sz w:val="20"/>
                <w:szCs w:val="20"/>
              </w:rPr>
            </w:pPr>
            <w:r w:rsidRPr="00B43F76">
              <w:rPr>
                <w:rFonts w:ascii="Arial Narrow" w:hAnsi="Arial Narrow"/>
                <w:kern w:val="2"/>
                <w:sz w:val="20"/>
                <w:szCs w:val="20"/>
              </w:rPr>
              <w:t>Patient must have</w:t>
            </w:r>
            <w:r>
              <w:rPr>
                <w:rFonts w:ascii="Arial Narrow" w:hAnsi="Arial Narrow"/>
                <w:kern w:val="2"/>
                <w:sz w:val="20"/>
                <w:szCs w:val="20"/>
              </w:rPr>
              <w:t>, prior to initiating treatment with this drug for this condition,</w:t>
            </w:r>
            <w:r w:rsidRPr="00B43F76">
              <w:rPr>
                <w:rFonts w:ascii="Arial Narrow" w:hAnsi="Arial Narrow"/>
                <w:kern w:val="2"/>
                <w:sz w:val="20"/>
                <w:szCs w:val="20"/>
              </w:rPr>
              <w:t xml:space="preserve"> confirmed Crohn disease, defined by standard clinical, endoscopic and/or imaging features, including histological evidence, with the diagnosis confirmed by a gastroenterologist or a consultant physician</w:t>
            </w:r>
          </w:p>
        </w:tc>
      </w:tr>
      <w:tr w:rsidR="00832C22" w14:paraId="5B87967D"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133F098" w14:textId="77777777" w:rsidR="00832C22" w:rsidRDefault="00832C22">
            <w:pPr>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0A1D57C" w14:textId="77777777" w:rsidR="00832C22" w:rsidRPr="00B43F76" w:rsidRDefault="00832C22">
            <w:pPr>
              <w:widowControl w:val="0"/>
              <w:rPr>
                <w:rFonts w:ascii="Arial Narrow" w:hAnsi="Arial Narrow"/>
                <w:kern w:val="2"/>
                <w:sz w:val="20"/>
                <w:szCs w:val="20"/>
              </w:rPr>
            </w:pPr>
            <w:r>
              <w:rPr>
                <w:rFonts w:ascii="Arial Narrow" w:hAnsi="Arial Narrow"/>
                <w:b/>
                <w:bCs/>
                <w:color w:val="333333"/>
                <w:kern w:val="2"/>
                <w:sz w:val="20"/>
                <w:szCs w:val="20"/>
              </w:rPr>
              <w:t>AND</w:t>
            </w:r>
          </w:p>
        </w:tc>
      </w:tr>
      <w:tr w:rsidR="00832C22" w14:paraId="59B673ED"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BA52C33" w14:textId="095F5BB6" w:rsidR="00832C22" w:rsidRDefault="00832C22">
            <w:pPr>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A9D9053" w14:textId="77777777" w:rsidR="00832C22" w:rsidRPr="00B43F76" w:rsidRDefault="00832C22">
            <w:pPr>
              <w:widowControl w:val="0"/>
              <w:rPr>
                <w:rFonts w:ascii="Arial Narrow" w:hAnsi="Arial Narrow"/>
                <w:kern w:val="2"/>
                <w:sz w:val="20"/>
                <w:szCs w:val="20"/>
              </w:rPr>
            </w:pPr>
            <w:r>
              <w:rPr>
                <w:rFonts w:ascii="Arial Narrow" w:hAnsi="Arial Narrow"/>
                <w:b/>
                <w:bCs/>
                <w:color w:val="333333"/>
                <w:kern w:val="2"/>
                <w:sz w:val="20"/>
                <w:szCs w:val="20"/>
              </w:rPr>
              <w:t>Clinical criteria:</w:t>
            </w:r>
          </w:p>
        </w:tc>
      </w:tr>
      <w:tr w:rsidR="00832C22" w14:paraId="07F7868F"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78A38A5" w14:textId="0321FA9F" w:rsidR="00832C22" w:rsidRDefault="00832C22">
            <w:pPr>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CABDAD9" w14:textId="77777777" w:rsidR="00832C22" w:rsidRPr="00B43F76" w:rsidRDefault="00832C22">
            <w:pPr>
              <w:widowControl w:val="0"/>
              <w:rPr>
                <w:rFonts w:ascii="Arial Narrow" w:hAnsi="Arial Narrow"/>
                <w:kern w:val="2"/>
                <w:sz w:val="20"/>
                <w:szCs w:val="20"/>
              </w:rPr>
            </w:pPr>
            <w:r w:rsidRPr="00EE49D2">
              <w:rPr>
                <w:rFonts w:ascii="Arial Narrow" w:hAnsi="Arial Narrow"/>
                <w:kern w:val="2"/>
                <w:sz w:val="20"/>
                <w:szCs w:val="20"/>
              </w:rPr>
              <w:t>Patient must have</w:t>
            </w:r>
            <w:r>
              <w:rPr>
                <w:rFonts w:ascii="Arial Narrow" w:hAnsi="Arial Narrow"/>
                <w:kern w:val="2"/>
                <w:sz w:val="20"/>
                <w:szCs w:val="20"/>
              </w:rPr>
              <w:t>/have had</w:t>
            </w:r>
            <w:r w:rsidRPr="00EE49D2">
              <w:rPr>
                <w:rFonts w:ascii="Arial Narrow" w:hAnsi="Arial Narrow"/>
                <w:kern w:val="2"/>
                <w:sz w:val="20"/>
                <w:szCs w:val="20"/>
              </w:rPr>
              <w:t xml:space="preserve"> an externally draining enterocutaneous or rectovaginal fistula</w:t>
            </w:r>
          </w:p>
        </w:tc>
      </w:tr>
      <w:tr w:rsidR="00832C22" w14:paraId="778F2395"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DF1D99E" w14:textId="77777777" w:rsidR="00832C22" w:rsidRDefault="00832C22">
            <w:pPr>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23648AF" w14:textId="77777777" w:rsidR="00832C22" w:rsidRPr="00B43F76" w:rsidRDefault="00832C22">
            <w:pPr>
              <w:widowControl w:val="0"/>
              <w:rPr>
                <w:rFonts w:ascii="Arial Narrow" w:hAnsi="Arial Narrow"/>
                <w:kern w:val="2"/>
                <w:sz w:val="20"/>
                <w:szCs w:val="20"/>
              </w:rPr>
            </w:pPr>
            <w:r>
              <w:rPr>
                <w:rFonts w:ascii="Arial Narrow" w:hAnsi="Arial Narrow"/>
                <w:b/>
                <w:bCs/>
                <w:color w:val="333333"/>
                <w:kern w:val="2"/>
                <w:sz w:val="20"/>
                <w:szCs w:val="20"/>
              </w:rPr>
              <w:t>AND</w:t>
            </w:r>
          </w:p>
        </w:tc>
      </w:tr>
      <w:tr w:rsidR="00832C22" w14:paraId="6D6BEC5B"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9550C4F" w14:textId="6E0F92FB" w:rsidR="00832C22" w:rsidRDefault="00832C22">
            <w:pPr>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EC602F2" w14:textId="77777777" w:rsidR="00832C22" w:rsidRPr="00B43F76" w:rsidRDefault="00832C22">
            <w:pPr>
              <w:widowControl w:val="0"/>
              <w:rPr>
                <w:rFonts w:ascii="Arial Narrow" w:hAnsi="Arial Narrow"/>
                <w:kern w:val="2"/>
                <w:sz w:val="20"/>
                <w:szCs w:val="20"/>
              </w:rPr>
            </w:pPr>
            <w:r>
              <w:rPr>
                <w:rFonts w:ascii="Arial Narrow" w:hAnsi="Arial Narrow"/>
                <w:b/>
                <w:bCs/>
                <w:color w:val="333333"/>
                <w:kern w:val="2"/>
                <w:sz w:val="20"/>
                <w:szCs w:val="20"/>
              </w:rPr>
              <w:t xml:space="preserve">Clinical criteria: </w:t>
            </w:r>
          </w:p>
        </w:tc>
      </w:tr>
      <w:tr w:rsidR="00832C22" w14:paraId="24E74201"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0575538" w14:textId="7DB4ED96" w:rsidR="00832C22" w:rsidRDefault="00832C22">
            <w:pPr>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16D306B" w14:textId="77777777" w:rsidR="00832C22" w:rsidRPr="00B43F76" w:rsidRDefault="00832C22">
            <w:pPr>
              <w:widowControl w:val="0"/>
              <w:rPr>
                <w:rFonts w:ascii="Arial Narrow" w:hAnsi="Arial Narrow"/>
                <w:kern w:val="2"/>
                <w:sz w:val="20"/>
                <w:szCs w:val="20"/>
              </w:rPr>
            </w:pPr>
            <w:r w:rsidRPr="00CE3331">
              <w:rPr>
                <w:rFonts w:ascii="Arial Narrow" w:hAnsi="Arial Narrow"/>
                <w:kern w:val="2"/>
                <w:sz w:val="20"/>
                <w:szCs w:val="20"/>
              </w:rPr>
              <w:t>Patient must have demonstrated an adequate response to treatment with this drug</w:t>
            </w:r>
          </w:p>
        </w:tc>
      </w:tr>
      <w:tr w:rsidR="00832C22" w14:paraId="1BD82BF1"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6DBDEA1" w14:textId="6E97515B" w:rsidR="00832C22" w:rsidRDefault="00832C22">
            <w:pPr>
              <w:jc w:val="center"/>
              <w:rPr>
                <w:rFonts w:ascii="Arial Narrow" w:hAnsi="Arial Narrow"/>
                <w:color w:val="333333"/>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BF89E27" w14:textId="77777777" w:rsidR="00832C22" w:rsidRDefault="00832C22">
            <w:pPr>
              <w:rPr>
                <w:rFonts w:ascii="Arial Narrow" w:hAnsi="Arial Narrow"/>
                <w:color w:val="333333"/>
                <w:kern w:val="2"/>
                <w:sz w:val="20"/>
                <w:szCs w:val="20"/>
              </w:rPr>
            </w:pPr>
            <w:r>
              <w:rPr>
                <w:rFonts w:ascii="Arial Narrow" w:hAnsi="Arial Narrow"/>
                <w:b/>
                <w:bCs/>
                <w:color w:val="333333"/>
                <w:kern w:val="2"/>
                <w:sz w:val="20"/>
                <w:szCs w:val="20"/>
              </w:rPr>
              <w:t>Treatment criteria:</w:t>
            </w:r>
          </w:p>
        </w:tc>
      </w:tr>
      <w:tr w:rsidR="00832C22" w14:paraId="03189994"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F1A73FF" w14:textId="56A701D1"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4E0E75C" w14:textId="77777777" w:rsidR="00832C22" w:rsidRPr="00C365BE" w:rsidRDefault="00832C22">
            <w:pPr>
              <w:jc w:val="left"/>
              <w:rPr>
                <w:rFonts w:ascii="Arial Narrow" w:hAnsi="Arial Narrow" w:cs="Arial Narrow"/>
                <w:iCs/>
                <w:kern w:val="2"/>
                <w:sz w:val="20"/>
                <w:szCs w:val="20"/>
              </w:rPr>
            </w:pPr>
            <w:r w:rsidRPr="00E15563">
              <w:rPr>
                <w:rFonts w:ascii="Arial Narrow" w:hAnsi="Arial Narrow"/>
                <w:kern w:val="2"/>
                <w:sz w:val="20"/>
                <w:szCs w:val="20"/>
              </w:rPr>
              <w:t>Must be treated by a gastroenterologist; OR</w:t>
            </w:r>
          </w:p>
        </w:tc>
      </w:tr>
      <w:tr w:rsidR="00832C22" w14:paraId="6C08C087"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1C87E7B" w14:textId="139B9143"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3A92BF8" w14:textId="77777777" w:rsidR="00832C22" w:rsidRPr="00C365BE" w:rsidRDefault="00832C22">
            <w:pPr>
              <w:jc w:val="left"/>
              <w:rPr>
                <w:rFonts w:ascii="Arial Narrow" w:hAnsi="Arial Narrow" w:cs="Arial Narrow"/>
                <w:iCs/>
                <w:kern w:val="2"/>
                <w:sz w:val="20"/>
                <w:szCs w:val="20"/>
              </w:rPr>
            </w:pPr>
            <w:r w:rsidRPr="00C50D47">
              <w:rPr>
                <w:rFonts w:ascii="Arial Narrow" w:hAnsi="Arial Narrow"/>
                <w:kern w:val="2"/>
                <w:sz w:val="20"/>
                <w:szCs w:val="20"/>
              </w:rPr>
              <w:t>Must be treated by a consultant physician [internal medicine specialising in gastroenterology]; OR</w:t>
            </w:r>
          </w:p>
        </w:tc>
      </w:tr>
      <w:tr w:rsidR="00832C22" w14:paraId="4762C23B"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6CEE96A" w14:textId="3AE4F198"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ADD5069" w14:textId="77777777" w:rsidR="00832C22" w:rsidRPr="00C365BE" w:rsidRDefault="00832C22">
            <w:pPr>
              <w:jc w:val="left"/>
              <w:rPr>
                <w:rFonts w:ascii="Arial Narrow" w:hAnsi="Arial Narrow" w:cs="Arial Narrow"/>
                <w:iCs/>
                <w:kern w:val="2"/>
                <w:sz w:val="20"/>
                <w:szCs w:val="20"/>
              </w:rPr>
            </w:pPr>
            <w:r w:rsidRPr="003D2625">
              <w:rPr>
                <w:rFonts w:ascii="Arial Narrow" w:hAnsi="Arial Narrow"/>
                <w:kern w:val="2"/>
                <w:sz w:val="20"/>
                <w:szCs w:val="20"/>
              </w:rPr>
              <w:t>Must be treated by a consultant physician [general medicine specialising in gastroenterology].</w:t>
            </w:r>
          </w:p>
        </w:tc>
      </w:tr>
      <w:tr w:rsidR="00832C22" w14:paraId="18CCF817"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2C23577" w14:textId="51637B74" w:rsidR="00832C22" w:rsidRPr="00BD532F"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F89DC83" w14:textId="77777777" w:rsidR="00832C22" w:rsidRPr="00E0334D" w:rsidRDefault="00832C22">
            <w:pPr>
              <w:rPr>
                <w:rFonts w:ascii="Arial Narrow" w:hAnsi="Arial Narrow"/>
                <w:b/>
                <w:bCs/>
                <w:kern w:val="2"/>
                <w:sz w:val="20"/>
                <w:szCs w:val="20"/>
              </w:rPr>
            </w:pPr>
            <w:r w:rsidRPr="00E0334D">
              <w:rPr>
                <w:rFonts w:ascii="Arial Narrow" w:hAnsi="Arial Narrow"/>
                <w:b/>
                <w:bCs/>
                <w:kern w:val="2"/>
                <w:sz w:val="20"/>
                <w:szCs w:val="20"/>
              </w:rPr>
              <w:t>Prescribing Instructions:</w:t>
            </w:r>
          </w:p>
          <w:p w14:paraId="39035F8B" w14:textId="71102362" w:rsidR="00832C22" w:rsidRDefault="00832C22">
            <w:pPr>
              <w:rPr>
                <w:rFonts w:ascii="Arial Narrow" w:hAnsi="Arial Narrow"/>
                <w:kern w:val="2"/>
                <w:sz w:val="20"/>
                <w:szCs w:val="20"/>
              </w:rPr>
            </w:pPr>
            <w:r>
              <w:rPr>
                <w:rFonts w:ascii="Arial Narrow" w:hAnsi="Arial Narrow"/>
                <w:kern w:val="2"/>
                <w:sz w:val="20"/>
                <w:szCs w:val="20"/>
              </w:rPr>
              <w:t xml:space="preserve">The </w:t>
            </w:r>
            <w:r w:rsidR="00CF6B78">
              <w:rPr>
                <w:rFonts w:ascii="Arial Narrow" w:hAnsi="Arial Narrow"/>
                <w:kern w:val="2"/>
                <w:sz w:val="20"/>
                <w:szCs w:val="20"/>
              </w:rPr>
              <w:t xml:space="preserve">baseline and current </w:t>
            </w:r>
            <w:r w:rsidRPr="00484DBE">
              <w:rPr>
                <w:rFonts w:ascii="Arial Narrow" w:hAnsi="Arial Narrow"/>
                <w:kern w:val="2"/>
                <w:sz w:val="20"/>
                <w:szCs w:val="20"/>
              </w:rPr>
              <w:t>number of externally draining complex fistulae</w:t>
            </w:r>
            <w:r w:rsidR="004E6914">
              <w:rPr>
                <w:rFonts w:ascii="Arial Narrow" w:hAnsi="Arial Narrow"/>
                <w:kern w:val="2"/>
                <w:sz w:val="20"/>
                <w:szCs w:val="20"/>
              </w:rPr>
              <w:t>,</w:t>
            </w:r>
            <w:r w:rsidR="002E16A1">
              <w:rPr>
                <w:rFonts w:ascii="Arial Narrow" w:hAnsi="Arial Narrow"/>
                <w:kern w:val="2"/>
                <w:sz w:val="20"/>
                <w:szCs w:val="20"/>
              </w:rPr>
              <w:t xml:space="preserve"> fistula symptom grading scores</w:t>
            </w:r>
            <w:r w:rsidR="005D3DAF">
              <w:rPr>
                <w:rFonts w:ascii="Arial Narrow" w:hAnsi="Arial Narrow"/>
                <w:kern w:val="2"/>
                <w:sz w:val="20"/>
                <w:szCs w:val="20"/>
              </w:rPr>
              <w:t xml:space="preserve"> (discharge</w:t>
            </w:r>
            <w:r w:rsidR="00717692">
              <w:rPr>
                <w:rFonts w:ascii="Arial Narrow" w:hAnsi="Arial Narrow"/>
                <w:kern w:val="2"/>
                <w:sz w:val="20"/>
                <w:szCs w:val="20"/>
              </w:rPr>
              <w:t>/pain/induration)</w:t>
            </w:r>
            <w:r w:rsidRPr="00484DBE">
              <w:rPr>
                <w:rFonts w:ascii="Arial Narrow" w:hAnsi="Arial Narrow"/>
                <w:kern w:val="2"/>
                <w:sz w:val="20"/>
                <w:szCs w:val="20"/>
              </w:rPr>
              <w:t xml:space="preserve"> and the date of assessment of the patient’s condition</w:t>
            </w:r>
            <w:r w:rsidR="002E13C0">
              <w:rPr>
                <w:rFonts w:ascii="Arial Narrow" w:hAnsi="Arial Narrow"/>
                <w:kern w:val="2"/>
                <w:sz w:val="20"/>
                <w:szCs w:val="20"/>
              </w:rPr>
              <w:t xml:space="preserve"> </w:t>
            </w:r>
            <w:r>
              <w:rPr>
                <w:rFonts w:ascii="Arial Narrow" w:hAnsi="Arial Narrow"/>
                <w:kern w:val="2"/>
                <w:sz w:val="20"/>
                <w:szCs w:val="20"/>
              </w:rPr>
              <w:t>must be provided by the prescriber at the time of application and documented in the patient’s medical records.</w:t>
            </w:r>
          </w:p>
          <w:p w14:paraId="51753707" w14:textId="2972E296" w:rsidR="00832C22" w:rsidRPr="009804D0" w:rsidRDefault="00832C22">
            <w:pPr>
              <w:rPr>
                <w:rFonts w:ascii="Arial Narrow" w:hAnsi="Arial Narrow"/>
                <w:b/>
                <w:bCs/>
                <w:color w:val="333333"/>
                <w:kern w:val="2"/>
                <w:sz w:val="20"/>
                <w:szCs w:val="20"/>
              </w:rPr>
            </w:pPr>
            <w:r>
              <w:rPr>
                <w:rFonts w:ascii="Arial Narrow" w:hAnsi="Arial Narrow"/>
                <w:kern w:val="2"/>
                <w:sz w:val="20"/>
                <w:szCs w:val="20"/>
              </w:rPr>
              <w:t>All information</w:t>
            </w:r>
            <w:r w:rsidR="00CF6B78">
              <w:rPr>
                <w:rFonts w:ascii="Arial Narrow" w:hAnsi="Arial Narrow"/>
                <w:kern w:val="2"/>
                <w:sz w:val="20"/>
                <w:szCs w:val="20"/>
              </w:rPr>
              <w:t xml:space="preserve"> for current results</w:t>
            </w:r>
            <w:r>
              <w:rPr>
                <w:rFonts w:ascii="Arial Narrow" w:hAnsi="Arial Narrow"/>
                <w:kern w:val="2"/>
                <w:sz w:val="20"/>
                <w:szCs w:val="20"/>
              </w:rPr>
              <w:t xml:space="preserve"> should, where possible, be no more than 4 weeks old at the time of application.</w:t>
            </w:r>
          </w:p>
        </w:tc>
      </w:tr>
      <w:tr w:rsidR="00832C22" w14:paraId="6C6E199D"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A563717" w14:textId="5ED3FEE1" w:rsidR="00832C22"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88C31B1" w14:textId="77777777" w:rsidR="00832C22" w:rsidRPr="009804D0" w:rsidRDefault="00832C22">
            <w:pPr>
              <w:rPr>
                <w:rFonts w:ascii="Arial Narrow" w:hAnsi="Arial Narrow"/>
                <w:b/>
                <w:bCs/>
                <w:color w:val="333333"/>
                <w:kern w:val="2"/>
                <w:sz w:val="20"/>
                <w:szCs w:val="20"/>
              </w:rPr>
            </w:pPr>
            <w:r w:rsidRPr="009804D0">
              <w:rPr>
                <w:rFonts w:ascii="Arial Narrow" w:hAnsi="Arial Narrow"/>
                <w:b/>
                <w:bCs/>
                <w:color w:val="333333"/>
                <w:kern w:val="2"/>
                <w:sz w:val="20"/>
                <w:szCs w:val="20"/>
              </w:rPr>
              <w:t>Prescribing Instruction:</w:t>
            </w:r>
          </w:p>
          <w:p w14:paraId="255B1FF4" w14:textId="77777777" w:rsidR="00832C22" w:rsidRPr="008128B0" w:rsidRDefault="00832C22">
            <w:pPr>
              <w:widowControl w:val="0"/>
              <w:rPr>
                <w:rFonts w:ascii="Arial Narrow" w:hAnsi="Arial Narrow"/>
                <w:kern w:val="2"/>
                <w:sz w:val="20"/>
                <w:szCs w:val="20"/>
              </w:rPr>
            </w:pPr>
            <w:r w:rsidRPr="008128B0">
              <w:rPr>
                <w:rFonts w:ascii="Arial Narrow" w:hAnsi="Arial Narrow"/>
                <w:kern w:val="2"/>
                <w:sz w:val="20"/>
                <w:szCs w:val="20"/>
              </w:rPr>
              <w:t>An adequate response is defined as:</w:t>
            </w:r>
          </w:p>
          <w:p w14:paraId="33E5A683" w14:textId="77777777" w:rsidR="00832C22" w:rsidRPr="008128B0" w:rsidRDefault="00832C22">
            <w:pPr>
              <w:widowControl w:val="0"/>
              <w:rPr>
                <w:rFonts w:ascii="Arial Narrow" w:hAnsi="Arial Narrow"/>
                <w:kern w:val="2"/>
                <w:sz w:val="20"/>
                <w:szCs w:val="20"/>
              </w:rPr>
            </w:pPr>
            <w:r w:rsidRPr="008128B0">
              <w:rPr>
                <w:rFonts w:ascii="Arial Narrow" w:hAnsi="Arial Narrow"/>
                <w:kern w:val="2"/>
                <w:sz w:val="20"/>
                <w:szCs w:val="20"/>
              </w:rPr>
              <w:t>a) a decrease from baseline in the number of open draining fistulae of greater than or equal to 50%; AND/OR</w:t>
            </w:r>
          </w:p>
          <w:p w14:paraId="0C31C563" w14:textId="77777777" w:rsidR="00832C22" w:rsidRPr="003D2625" w:rsidRDefault="00832C22">
            <w:pPr>
              <w:jc w:val="left"/>
              <w:rPr>
                <w:rFonts w:ascii="Arial Narrow" w:hAnsi="Arial Narrow"/>
                <w:kern w:val="2"/>
                <w:sz w:val="20"/>
                <w:szCs w:val="20"/>
              </w:rPr>
            </w:pPr>
            <w:r w:rsidRPr="008128B0">
              <w:rPr>
                <w:rFonts w:ascii="Arial Narrow" w:hAnsi="Arial Narrow"/>
                <w:kern w:val="2"/>
                <w:sz w:val="20"/>
                <w:szCs w:val="20"/>
              </w:rPr>
              <w:t xml:space="preserve">b) a marked reduction in drainage of all fistula(e) from baseline, together with less pain and induration as reported by the patient. </w:t>
            </w:r>
          </w:p>
        </w:tc>
      </w:tr>
      <w:tr w:rsidR="00832C22" w14:paraId="36D884EF"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6D99425" w14:textId="205DF449" w:rsidR="00832C22" w:rsidRPr="001433EE"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4152FDF" w14:textId="77777777" w:rsidR="00832C22" w:rsidRPr="00E0334D" w:rsidRDefault="00832C22">
            <w:pPr>
              <w:rPr>
                <w:rFonts w:ascii="Arial Narrow" w:hAnsi="Arial Narrow"/>
                <w:b/>
                <w:bCs/>
                <w:kern w:val="2"/>
                <w:sz w:val="20"/>
                <w:szCs w:val="20"/>
              </w:rPr>
            </w:pPr>
            <w:r w:rsidRPr="00E0334D">
              <w:rPr>
                <w:rFonts w:ascii="Arial Narrow" w:hAnsi="Arial Narrow"/>
                <w:b/>
                <w:bCs/>
                <w:kern w:val="2"/>
                <w:sz w:val="20"/>
                <w:szCs w:val="20"/>
              </w:rPr>
              <w:t>Prescribing Instructions:</w:t>
            </w:r>
          </w:p>
          <w:p w14:paraId="6BDA7572" w14:textId="77777777" w:rsidR="00832C22" w:rsidRPr="00852D0E" w:rsidRDefault="00832C22">
            <w:pPr>
              <w:rPr>
                <w:rFonts w:ascii="Arial Narrow" w:hAnsi="Arial Narrow"/>
                <w:kern w:val="2"/>
                <w:sz w:val="20"/>
                <w:szCs w:val="20"/>
              </w:rPr>
            </w:pPr>
            <w:r w:rsidRPr="00E0334D">
              <w:rPr>
                <w:rFonts w:ascii="Arial Narrow" w:hAnsi="Arial Narrow"/>
                <w:kern w:val="2"/>
                <w:sz w:val="20"/>
                <w:szCs w:val="20"/>
              </w:rPr>
              <w:t>To demonstrate a response to treatment</w:t>
            </w:r>
            <w:r>
              <w:rPr>
                <w:rFonts w:ascii="Arial Narrow" w:hAnsi="Arial Narrow"/>
                <w:kern w:val="2"/>
                <w:sz w:val="20"/>
                <w:szCs w:val="20"/>
              </w:rPr>
              <w:t>,</w:t>
            </w:r>
            <w:r w:rsidRPr="00E0334D">
              <w:rPr>
                <w:rFonts w:ascii="Arial Narrow" w:hAnsi="Arial Narrow"/>
                <w:kern w:val="2"/>
                <w:sz w:val="20"/>
                <w:szCs w:val="20"/>
              </w:rPr>
              <w:t xml:space="preserve"> the application </w:t>
            </w:r>
            <w:r>
              <w:rPr>
                <w:rFonts w:ascii="Arial Narrow" w:hAnsi="Arial Narrow"/>
                <w:kern w:val="2"/>
                <w:sz w:val="20"/>
                <w:szCs w:val="20"/>
              </w:rPr>
              <w:t>should, where possible,</w:t>
            </w:r>
            <w:r w:rsidRPr="00E0334D">
              <w:rPr>
                <w:rFonts w:ascii="Arial Narrow" w:hAnsi="Arial Narrow"/>
                <w:kern w:val="2"/>
                <w:sz w:val="20"/>
                <w:szCs w:val="20"/>
              </w:rPr>
              <w:t xml:space="preserve"> be accompanied with the assessment of response, conducted no later than 4 weeks from cessation of the most recent course of </w:t>
            </w:r>
            <w:r>
              <w:rPr>
                <w:rFonts w:ascii="Arial Narrow" w:hAnsi="Arial Narrow"/>
                <w:kern w:val="2"/>
                <w:sz w:val="20"/>
                <w:szCs w:val="20"/>
              </w:rPr>
              <w:t>targeted therapy</w:t>
            </w:r>
            <w:r w:rsidRPr="00E0334D">
              <w:rPr>
                <w:rFonts w:ascii="Arial Narrow" w:hAnsi="Arial Narrow"/>
                <w:kern w:val="2"/>
                <w:sz w:val="20"/>
                <w:szCs w:val="20"/>
              </w:rPr>
              <w:t xml:space="preserve">. </w:t>
            </w:r>
          </w:p>
        </w:tc>
      </w:tr>
      <w:tr w:rsidR="00832C22" w14:paraId="65869CCF"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B709BAB" w14:textId="40227EC2" w:rsidR="00832C22" w:rsidRPr="001433EE"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A10B69B" w14:textId="77777777" w:rsidR="00832C22" w:rsidRPr="00E0334D" w:rsidRDefault="00832C22">
            <w:pPr>
              <w:rPr>
                <w:rFonts w:ascii="Arial Narrow" w:hAnsi="Arial Narrow"/>
                <w:b/>
                <w:bCs/>
                <w:kern w:val="2"/>
                <w:sz w:val="20"/>
                <w:szCs w:val="20"/>
              </w:rPr>
            </w:pPr>
            <w:r w:rsidRPr="00E0334D">
              <w:rPr>
                <w:rFonts w:ascii="Arial Narrow" w:hAnsi="Arial Narrow"/>
                <w:b/>
                <w:bCs/>
                <w:kern w:val="2"/>
                <w:sz w:val="20"/>
                <w:szCs w:val="20"/>
              </w:rPr>
              <w:t>Prescribing Instructions:</w:t>
            </w:r>
          </w:p>
          <w:p w14:paraId="0E3A16BA" w14:textId="77777777" w:rsidR="00832C22" w:rsidRPr="001433EE" w:rsidRDefault="00832C22">
            <w:pPr>
              <w:rPr>
                <w:rFonts w:ascii="Arial Narrow" w:hAnsi="Arial Narrow"/>
                <w:b/>
                <w:bCs/>
                <w:kern w:val="2"/>
                <w:sz w:val="20"/>
                <w:szCs w:val="20"/>
              </w:rPr>
            </w:pPr>
            <w:r w:rsidRPr="00E0334D">
              <w:rPr>
                <w:rFonts w:ascii="Arial Narrow" w:hAnsi="Arial Narrow"/>
                <w:kern w:val="2"/>
                <w:sz w:val="20"/>
                <w:szCs w:val="20"/>
              </w:rPr>
              <w:t xml:space="preserve">Where a response assessment is not conducted, the patient will be deemed to have </w:t>
            </w:r>
            <w:r>
              <w:rPr>
                <w:rFonts w:ascii="Arial Narrow" w:hAnsi="Arial Narrow"/>
                <w:kern w:val="2"/>
                <w:sz w:val="20"/>
                <w:szCs w:val="20"/>
              </w:rPr>
              <w:t>not</w:t>
            </w:r>
            <w:r w:rsidRPr="00E0334D">
              <w:rPr>
                <w:rFonts w:ascii="Arial Narrow" w:hAnsi="Arial Narrow"/>
                <w:kern w:val="2"/>
                <w:sz w:val="20"/>
                <w:szCs w:val="20"/>
              </w:rPr>
              <w:t xml:space="preserve"> respond</w:t>
            </w:r>
            <w:r>
              <w:rPr>
                <w:rFonts w:ascii="Arial Narrow" w:hAnsi="Arial Narrow"/>
                <w:kern w:val="2"/>
                <w:sz w:val="20"/>
                <w:szCs w:val="20"/>
              </w:rPr>
              <w:t>ed</w:t>
            </w:r>
            <w:r w:rsidRPr="00E0334D">
              <w:rPr>
                <w:rFonts w:ascii="Arial Narrow" w:hAnsi="Arial Narrow"/>
                <w:kern w:val="2"/>
                <w:sz w:val="20"/>
                <w:szCs w:val="20"/>
              </w:rPr>
              <w:t xml:space="preserve"> to treatment with this drug, unless the patient has experienced a serious adverse reaction of a severity resulting in the necessity for permanent withdrawal of treatment.</w:t>
            </w:r>
          </w:p>
        </w:tc>
      </w:tr>
      <w:tr w:rsidR="00832C22" w14:paraId="7FB6623D"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83A96B9" w14:textId="3065418A" w:rsidR="00832C22" w:rsidRPr="00E0334D"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AB53C20" w14:textId="77777777" w:rsidR="00832C22" w:rsidRDefault="00832C22">
            <w:pPr>
              <w:rPr>
                <w:rFonts w:ascii="Arial Narrow" w:hAnsi="Arial Narrow"/>
                <w:b/>
                <w:bCs/>
                <w:sz w:val="20"/>
                <w:szCs w:val="20"/>
              </w:rPr>
            </w:pPr>
            <w:r w:rsidRPr="2A26E699">
              <w:rPr>
                <w:rFonts w:ascii="Arial Narrow" w:hAnsi="Arial Narrow"/>
                <w:b/>
                <w:bCs/>
                <w:sz w:val="20"/>
                <w:szCs w:val="20"/>
              </w:rPr>
              <w:t>Administrative Advice:</w:t>
            </w:r>
          </w:p>
          <w:p w14:paraId="15D0A0D2" w14:textId="68F6301E" w:rsidR="00832C22" w:rsidRPr="00E0334D" w:rsidRDefault="00832C22">
            <w:pPr>
              <w:rPr>
                <w:rFonts w:ascii="Arial Narrow" w:hAnsi="Arial Narrow"/>
                <w:b/>
                <w:bCs/>
                <w:kern w:val="2"/>
                <w:sz w:val="20"/>
                <w:szCs w:val="20"/>
              </w:rPr>
            </w:pPr>
            <w:r w:rsidRPr="2A26E699">
              <w:rPr>
                <w:rFonts w:ascii="Arial Narrow" w:hAnsi="Arial Narrow"/>
                <w:sz w:val="20"/>
                <w:szCs w:val="20"/>
              </w:rPr>
              <w:t>Patients may qualify for PBS</w:t>
            </w:r>
            <w:r w:rsidR="00FC7500">
              <w:rPr>
                <w:rFonts w:ascii="Arial Narrow" w:hAnsi="Arial Narrow"/>
                <w:sz w:val="20"/>
                <w:szCs w:val="20"/>
              </w:rPr>
              <w:noBreakHyphen/>
            </w:r>
            <w:r w:rsidRPr="2A26E699">
              <w:rPr>
                <w:rFonts w:ascii="Arial Narrow" w:hAnsi="Arial Narrow"/>
                <w:sz w:val="20"/>
                <w:szCs w:val="20"/>
              </w:rPr>
              <w:t>subsidised treatment under this restriction once only. For continuing PBS</w:t>
            </w:r>
            <w:r w:rsidR="00FC7500">
              <w:rPr>
                <w:rFonts w:ascii="Arial Narrow" w:hAnsi="Arial Narrow"/>
                <w:sz w:val="20"/>
                <w:szCs w:val="20"/>
              </w:rPr>
              <w:noBreakHyphen/>
            </w:r>
            <w:r w:rsidRPr="2A26E699">
              <w:rPr>
                <w:rFonts w:ascii="Arial Narrow" w:hAnsi="Arial Narrow"/>
                <w:sz w:val="20"/>
                <w:szCs w:val="20"/>
              </w:rPr>
              <w:t>subsidised treatment, a 'Grandfathered' patient must qualify under the 'Continuing treatment' criteria.</w:t>
            </w:r>
          </w:p>
        </w:tc>
      </w:tr>
      <w:tr w:rsidR="00832C22" w14:paraId="182D3C32" w14:textId="77777777">
        <w:trPr>
          <w:cantSplit/>
          <w:trHeight w:val="20"/>
        </w:trPr>
        <w:tc>
          <w:tcPr>
            <w:tcW w:w="1270"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2E3C915" w14:textId="52BD9CB2" w:rsidR="00832C22" w:rsidRPr="00E0334D" w:rsidRDefault="00832C22">
            <w:pPr>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7A5D51D" w14:textId="77777777" w:rsidR="00832C22" w:rsidRDefault="00832C22">
            <w:pPr>
              <w:rPr>
                <w:rFonts w:ascii="Arial Narrow" w:hAnsi="Arial Narrow"/>
                <w:b/>
                <w:bCs/>
                <w:sz w:val="20"/>
                <w:szCs w:val="20"/>
              </w:rPr>
            </w:pPr>
            <w:r w:rsidRPr="2A26E699">
              <w:rPr>
                <w:rFonts w:ascii="Arial Narrow" w:hAnsi="Arial Narrow"/>
                <w:b/>
                <w:bCs/>
                <w:sz w:val="20"/>
                <w:szCs w:val="20"/>
              </w:rPr>
              <w:t>Administrative Advice:</w:t>
            </w:r>
          </w:p>
          <w:p w14:paraId="3FED9300" w14:textId="77777777" w:rsidR="00832C22" w:rsidRPr="00E0334D" w:rsidRDefault="00832C22">
            <w:pPr>
              <w:rPr>
                <w:rFonts w:ascii="Arial Narrow" w:hAnsi="Arial Narrow"/>
                <w:b/>
                <w:bCs/>
                <w:kern w:val="2"/>
                <w:sz w:val="20"/>
                <w:szCs w:val="20"/>
              </w:rPr>
            </w:pPr>
            <w:r w:rsidRPr="2A26E699">
              <w:rPr>
                <w:rFonts w:ascii="Arial Narrow" w:hAnsi="Arial Narrow"/>
                <w:sz w:val="20"/>
                <w:szCs w:val="20"/>
              </w:rPr>
              <w:t>This grandfather restriction will cease to operate from 12 months after the date specified in the clinical criteria.</w:t>
            </w:r>
          </w:p>
        </w:tc>
      </w:tr>
    </w:tbl>
    <w:p w14:paraId="1A6B11CC" w14:textId="77777777" w:rsidR="00832C22" w:rsidRDefault="00832C22" w:rsidP="00832C22"/>
    <w:p w14:paraId="68ADE04A" w14:textId="0357F1C0" w:rsidR="00832C22" w:rsidRPr="006C06BE" w:rsidRDefault="00504B47" w:rsidP="00832C22">
      <w:pPr>
        <w:widowControl w:val="0"/>
        <w:numPr>
          <w:ilvl w:val="1"/>
          <w:numId w:val="1"/>
        </w:numPr>
        <w:spacing w:after="120"/>
        <w:contextualSpacing/>
        <w:rPr>
          <w:rFonts w:asciiTheme="minorHAnsi" w:hAnsiTheme="minorHAnsi"/>
          <w:b/>
          <w:bCs/>
          <w:snapToGrid w:val="0"/>
        </w:rPr>
      </w:pPr>
      <w:r>
        <w:rPr>
          <w:rFonts w:asciiTheme="minorHAnsi" w:hAnsiTheme="minorHAnsi"/>
          <w:bCs/>
          <w:snapToGrid w:val="0"/>
        </w:rPr>
        <w:t>Flow</w:t>
      </w:r>
      <w:r w:rsidR="00FC7500">
        <w:rPr>
          <w:rFonts w:asciiTheme="minorHAnsi" w:hAnsiTheme="minorHAnsi"/>
          <w:bCs/>
          <w:snapToGrid w:val="0"/>
        </w:rPr>
        <w:noBreakHyphen/>
      </w:r>
      <w:r>
        <w:rPr>
          <w:rFonts w:asciiTheme="minorHAnsi" w:hAnsiTheme="minorHAnsi"/>
          <w:bCs/>
          <w:snapToGrid w:val="0"/>
        </w:rPr>
        <w:t>on changes to u</w:t>
      </w:r>
      <w:r w:rsidR="00832C22">
        <w:rPr>
          <w:rFonts w:asciiTheme="minorHAnsi" w:hAnsiTheme="minorHAnsi"/>
          <w:bCs/>
          <w:snapToGrid w:val="0"/>
        </w:rPr>
        <w:t xml:space="preserve">pdate </w:t>
      </w:r>
      <w:r w:rsidR="00B16EE6">
        <w:rPr>
          <w:rFonts w:asciiTheme="minorHAnsi" w:hAnsiTheme="minorHAnsi"/>
          <w:bCs/>
          <w:snapToGrid w:val="0"/>
        </w:rPr>
        <w:t xml:space="preserve">the </w:t>
      </w:r>
      <w:r w:rsidR="00832C22">
        <w:rPr>
          <w:rFonts w:asciiTheme="minorHAnsi" w:hAnsiTheme="minorHAnsi"/>
          <w:bCs/>
          <w:snapToGrid w:val="0"/>
        </w:rPr>
        <w:t xml:space="preserve">overarching administrative advice for </w:t>
      </w:r>
      <w:r>
        <w:rPr>
          <w:rFonts w:asciiTheme="minorHAnsi" w:hAnsiTheme="minorHAnsi"/>
          <w:bCs/>
          <w:snapToGrid w:val="0"/>
        </w:rPr>
        <w:t>adalimumab, infliximab and ustekinumab for FCD</w:t>
      </w:r>
      <w:r w:rsidR="00832C22" w:rsidRPr="006C06BE">
        <w:rPr>
          <w:rFonts w:asciiTheme="minorHAnsi" w:hAnsiTheme="minorHAnsi"/>
          <w:bCs/>
          <w:snapToGrid w:val="0"/>
        </w:rPr>
        <w:t>:</w:t>
      </w:r>
    </w:p>
    <w:p w14:paraId="18968B77" w14:textId="77777777" w:rsidR="00832C22" w:rsidRPr="0088593B" w:rsidRDefault="00832C22" w:rsidP="000C7C45">
      <w:pPr>
        <w:pStyle w:val="Heading2"/>
        <w:keepNext/>
        <w:rPr>
          <w:b w:val="0"/>
          <w:bCs/>
        </w:rPr>
      </w:pPr>
      <w:r w:rsidRPr="0088593B">
        <w:rPr>
          <w:bCs/>
          <w:sz w:val="24"/>
        </w:rPr>
        <w:lastRenderedPageBreak/>
        <w:t>Overarching administrative advice note:</w:t>
      </w:r>
    </w:p>
    <w:tbl>
      <w:tblPr>
        <w:tblStyle w:val="TableGrid"/>
        <w:tblW w:w="0" w:type="auto"/>
        <w:tblLook w:val="04A0" w:firstRow="1" w:lastRow="0" w:firstColumn="1" w:lastColumn="0" w:noHBand="0" w:noVBand="1"/>
        <w:tblCaption w:val="Overarching administrative advice note:"/>
      </w:tblPr>
      <w:tblGrid>
        <w:gridCol w:w="1271"/>
        <w:gridCol w:w="7745"/>
      </w:tblGrid>
      <w:tr w:rsidR="00832C22" w:rsidRPr="00A22BB7" w14:paraId="2AAEA4DC" w14:textId="77777777">
        <w:tc>
          <w:tcPr>
            <w:tcW w:w="1271" w:type="dxa"/>
          </w:tcPr>
          <w:p w14:paraId="62710B3A" w14:textId="04A87F69" w:rsidR="00832C22" w:rsidRPr="00617333" w:rsidRDefault="00832C22" w:rsidP="000C7C45">
            <w:pPr>
              <w:keepNext/>
              <w:jc w:val="center"/>
              <w:rPr>
                <w:rFonts w:ascii="Arial Narrow" w:hAnsi="Arial Narrow"/>
                <w:kern w:val="2"/>
                <w:sz w:val="20"/>
                <w:szCs w:val="20"/>
              </w:rPr>
            </w:pPr>
          </w:p>
        </w:tc>
        <w:tc>
          <w:tcPr>
            <w:tcW w:w="7745" w:type="dxa"/>
          </w:tcPr>
          <w:p w14:paraId="25C89659" w14:textId="77777777" w:rsidR="00832C22" w:rsidRPr="00A22BB7" w:rsidRDefault="00832C22" w:rsidP="000C7C45">
            <w:pPr>
              <w:keepNext/>
              <w:rPr>
                <w:rFonts w:ascii="Arial Narrow" w:hAnsi="Arial Narrow"/>
                <w:b/>
                <w:bCs/>
                <w:kern w:val="2"/>
                <w:sz w:val="20"/>
                <w:szCs w:val="20"/>
              </w:rPr>
            </w:pPr>
            <w:r w:rsidRPr="00A22BB7">
              <w:rPr>
                <w:rFonts w:ascii="Arial Narrow" w:hAnsi="Arial Narrow"/>
                <w:b/>
                <w:bCs/>
                <w:kern w:val="2"/>
                <w:sz w:val="20"/>
                <w:szCs w:val="20"/>
              </w:rPr>
              <w:t>Administrative Advice:</w:t>
            </w:r>
          </w:p>
          <w:p w14:paraId="1B3CABDA" w14:textId="77777777" w:rsidR="00832C22" w:rsidRPr="00617333" w:rsidRDefault="00832C22" w:rsidP="000C7C45">
            <w:pPr>
              <w:keepNext/>
              <w:rPr>
                <w:rFonts w:ascii="Arial Narrow" w:hAnsi="Arial Narrow"/>
                <w:b/>
                <w:bCs/>
                <w:kern w:val="2"/>
                <w:sz w:val="20"/>
                <w:szCs w:val="20"/>
              </w:rPr>
            </w:pPr>
            <w:r w:rsidRPr="00A22BB7">
              <w:rPr>
                <w:rFonts w:ascii="Arial Narrow" w:hAnsi="Arial Narrow"/>
                <w:b/>
                <w:bCs/>
                <w:kern w:val="2"/>
                <w:sz w:val="20"/>
                <w:szCs w:val="20"/>
              </w:rPr>
              <w:t>TREATMENT OF COMPLEX REFRACTORY FISTULISING CROHN DISEASE</w:t>
            </w:r>
          </w:p>
          <w:p w14:paraId="019983AB" w14:textId="7EF5BB24" w:rsidR="00832C22" w:rsidRPr="00617333" w:rsidRDefault="00832C22" w:rsidP="000C7C45">
            <w:pPr>
              <w:keepNext/>
              <w:rPr>
                <w:rFonts w:ascii="Arial Narrow" w:hAnsi="Arial Narrow"/>
                <w:kern w:val="2"/>
                <w:sz w:val="20"/>
                <w:szCs w:val="20"/>
              </w:rPr>
            </w:pPr>
            <w:r w:rsidRPr="00617333">
              <w:rPr>
                <w:rFonts w:ascii="Arial Narrow" w:hAnsi="Arial Narrow"/>
                <w:kern w:val="2"/>
                <w:sz w:val="20"/>
                <w:szCs w:val="20"/>
              </w:rPr>
              <w:t>The following information applies to the prescribing of targeted therapies under the Pharmaceutical Benefits Scheme (PBS) for benefits with a stated indication of ‘complex refractory fistulising Crohn disease’. For PBS administration, the term targeted therapy includes biological and targeted synthetic disease modifying anti</w:t>
            </w:r>
            <w:r w:rsidR="00FC7500">
              <w:rPr>
                <w:rFonts w:ascii="Arial Narrow" w:hAnsi="Arial Narrow"/>
                <w:kern w:val="2"/>
                <w:sz w:val="20"/>
                <w:szCs w:val="20"/>
              </w:rPr>
              <w:noBreakHyphen/>
            </w:r>
            <w:r w:rsidRPr="00617333">
              <w:rPr>
                <w:rFonts w:ascii="Arial Narrow" w:hAnsi="Arial Narrow"/>
                <w:kern w:val="2"/>
                <w:sz w:val="20"/>
                <w:szCs w:val="20"/>
              </w:rPr>
              <w:t>rheumatic drugs.</w:t>
            </w:r>
          </w:p>
          <w:p w14:paraId="795CF6CF" w14:textId="77777777" w:rsidR="00832C22" w:rsidRPr="00617333" w:rsidRDefault="00832C22" w:rsidP="000C7C45">
            <w:pPr>
              <w:keepNext/>
              <w:rPr>
                <w:rFonts w:ascii="Arial Narrow" w:hAnsi="Arial Narrow"/>
                <w:kern w:val="2"/>
                <w:sz w:val="20"/>
                <w:szCs w:val="20"/>
              </w:rPr>
            </w:pPr>
          </w:p>
          <w:p w14:paraId="7E754C2C" w14:textId="4B0AFC98" w:rsidR="00832C22" w:rsidRPr="00617333" w:rsidRDefault="00832C22" w:rsidP="000C7C45">
            <w:pPr>
              <w:keepNext/>
              <w:rPr>
                <w:rFonts w:ascii="Arial Narrow" w:hAnsi="Arial Narrow"/>
                <w:kern w:val="2"/>
                <w:sz w:val="20"/>
                <w:szCs w:val="20"/>
              </w:rPr>
            </w:pPr>
            <w:r w:rsidRPr="00617333">
              <w:rPr>
                <w:rFonts w:ascii="Arial Narrow" w:hAnsi="Arial Narrow"/>
                <w:kern w:val="2"/>
                <w:sz w:val="20"/>
                <w:szCs w:val="20"/>
              </w:rPr>
              <w:t>A patient is eligible for PBS</w:t>
            </w:r>
            <w:r w:rsidR="00FC7500">
              <w:rPr>
                <w:rFonts w:ascii="Arial Narrow" w:hAnsi="Arial Narrow"/>
                <w:kern w:val="2"/>
                <w:sz w:val="20"/>
                <w:szCs w:val="20"/>
              </w:rPr>
              <w:noBreakHyphen/>
            </w:r>
            <w:r w:rsidRPr="00617333">
              <w:rPr>
                <w:rFonts w:ascii="Arial Narrow" w:hAnsi="Arial Narrow"/>
                <w:kern w:val="2"/>
                <w:sz w:val="20"/>
                <w:szCs w:val="20"/>
              </w:rPr>
              <w:t>subsidised treatment with only one targeted therapy for this condition at any one time. </w:t>
            </w:r>
          </w:p>
          <w:p w14:paraId="74F82BCB" w14:textId="77777777" w:rsidR="00832C22" w:rsidRPr="00617333" w:rsidRDefault="00832C22" w:rsidP="000C7C45">
            <w:pPr>
              <w:keepNext/>
              <w:rPr>
                <w:rFonts w:ascii="Arial Narrow" w:hAnsi="Arial Narrow"/>
                <w:kern w:val="2"/>
                <w:sz w:val="20"/>
                <w:szCs w:val="20"/>
              </w:rPr>
            </w:pPr>
          </w:p>
          <w:p w14:paraId="6FB4F5AB" w14:textId="63DBD241" w:rsidR="00832C22" w:rsidRPr="00617333" w:rsidRDefault="00832C22" w:rsidP="000C7C45">
            <w:pPr>
              <w:keepNext/>
              <w:rPr>
                <w:rFonts w:ascii="Arial Narrow" w:hAnsi="Arial Narrow"/>
                <w:kern w:val="2"/>
                <w:sz w:val="20"/>
                <w:szCs w:val="20"/>
              </w:rPr>
            </w:pPr>
            <w:r w:rsidRPr="00617333">
              <w:rPr>
                <w:rFonts w:ascii="Arial Narrow" w:hAnsi="Arial Narrow"/>
                <w:kern w:val="2"/>
                <w:sz w:val="20"/>
                <w:szCs w:val="20"/>
              </w:rPr>
              <w:t>Treatment cycle: </w:t>
            </w:r>
          </w:p>
          <w:p w14:paraId="0C4182C2" w14:textId="460DB4B5" w:rsidR="00832C22" w:rsidRPr="00617333" w:rsidRDefault="00832C22" w:rsidP="000C7C45">
            <w:pPr>
              <w:keepNext/>
              <w:rPr>
                <w:rFonts w:ascii="Arial Narrow" w:hAnsi="Arial Narrow"/>
                <w:kern w:val="2"/>
                <w:sz w:val="20"/>
                <w:szCs w:val="20"/>
              </w:rPr>
            </w:pPr>
            <w:r w:rsidRPr="00617333">
              <w:rPr>
                <w:rFonts w:ascii="Arial Narrow" w:hAnsi="Arial Narrow"/>
                <w:kern w:val="2"/>
                <w:sz w:val="20"/>
                <w:szCs w:val="20"/>
              </w:rPr>
              <w:t>A treatment cycle begins when an authority application is approved under the Initial 1 restriction. Treatment must not continue with the same targeted therapy if it has not provided an adequate response as defined in the continuing treatment phase. A patient may trial different targeted therapies within a cycle; however, if 3 separate targeted therapies do not provide an adequate response, the treatment cycle ends and a 5</w:t>
            </w:r>
            <w:r w:rsidR="00FC7500">
              <w:rPr>
                <w:rFonts w:ascii="Arial Narrow" w:hAnsi="Arial Narrow"/>
                <w:kern w:val="2"/>
                <w:sz w:val="20"/>
                <w:szCs w:val="20"/>
              </w:rPr>
              <w:noBreakHyphen/>
            </w:r>
            <w:r w:rsidRPr="00617333">
              <w:rPr>
                <w:rFonts w:ascii="Arial Narrow" w:hAnsi="Arial Narrow"/>
                <w:kern w:val="2"/>
                <w:sz w:val="20"/>
                <w:szCs w:val="20"/>
              </w:rPr>
              <w:t>year PBS exclusion period applies.</w:t>
            </w:r>
          </w:p>
          <w:p w14:paraId="4841F3AA" w14:textId="16DA6803" w:rsidR="00832C22" w:rsidRPr="00617333" w:rsidRDefault="00832C22" w:rsidP="000C7C45">
            <w:pPr>
              <w:keepNext/>
              <w:rPr>
                <w:rFonts w:ascii="Arial Narrow" w:hAnsi="Arial Narrow"/>
                <w:kern w:val="2"/>
                <w:sz w:val="20"/>
                <w:szCs w:val="20"/>
              </w:rPr>
            </w:pPr>
          </w:p>
          <w:p w14:paraId="252D9A86" w14:textId="7C97D014" w:rsidR="00832C22" w:rsidRPr="00617333" w:rsidRDefault="00832C22" w:rsidP="000C7C45">
            <w:pPr>
              <w:keepNext/>
              <w:rPr>
                <w:rFonts w:ascii="Arial Narrow" w:hAnsi="Arial Narrow"/>
                <w:kern w:val="2"/>
                <w:sz w:val="20"/>
                <w:szCs w:val="20"/>
              </w:rPr>
            </w:pPr>
            <w:r w:rsidRPr="00617333">
              <w:rPr>
                <w:rFonts w:ascii="Arial Narrow" w:hAnsi="Arial Narrow"/>
                <w:kern w:val="2"/>
                <w:sz w:val="20"/>
                <w:szCs w:val="20"/>
              </w:rPr>
              <w:t>The 5</w:t>
            </w:r>
            <w:r w:rsidR="00FC7500">
              <w:rPr>
                <w:rFonts w:ascii="Arial Narrow" w:hAnsi="Arial Narrow"/>
                <w:kern w:val="2"/>
                <w:sz w:val="20"/>
                <w:szCs w:val="20"/>
              </w:rPr>
              <w:noBreakHyphen/>
            </w:r>
            <w:r w:rsidRPr="00617333">
              <w:rPr>
                <w:rFonts w:ascii="Arial Narrow" w:hAnsi="Arial Narrow"/>
                <w:kern w:val="2"/>
                <w:sz w:val="20"/>
                <w:szCs w:val="20"/>
              </w:rPr>
              <w:t>year break is measured from the date of the last PBS approval for a targeted therapy in the most recent cycle to the date of first initial treatment application under the next treatment cycle.</w:t>
            </w:r>
          </w:p>
          <w:p w14:paraId="618DD162" w14:textId="67168EDE" w:rsidR="00832C22" w:rsidRPr="00617333" w:rsidRDefault="00832C22" w:rsidP="000C7C45">
            <w:pPr>
              <w:keepNext/>
              <w:rPr>
                <w:rFonts w:ascii="Arial Narrow" w:hAnsi="Arial Narrow"/>
                <w:kern w:val="2"/>
                <w:sz w:val="20"/>
                <w:szCs w:val="20"/>
              </w:rPr>
            </w:pPr>
          </w:p>
          <w:p w14:paraId="18A67A1D" w14:textId="2AB0CCA3" w:rsidR="00832C22" w:rsidRPr="00617333" w:rsidRDefault="00832C22" w:rsidP="000C7C45">
            <w:pPr>
              <w:keepNext/>
              <w:rPr>
                <w:rFonts w:ascii="Arial Narrow" w:hAnsi="Arial Narrow"/>
                <w:kern w:val="2"/>
                <w:sz w:val="20"/>
                <w:szCs w:val="20"/>
              </w:rPr>
            </w:pPr>
            <w:r w:rsidRPr="00617333">
              <w:rPr>
                <w:rFonts w:ascii="Arial Narrow" w:hAnsi="Arial Narrow"/>
                <w:kern w:val="2"/>
                <w:sz w:val="20"/>
                <w:szCs w:val="20"/>
              </w:rPr>
              <w:t>If a new targeted therapy with a different pharmacological mechanism of action becomes available on the PBS during a 5</w:t>
            </w:r>
            <w:r w:rsidR="00FC7500">
              <w:rPr>
                <w:rFonts w:ascii="Arial Narrow" w:hAnsi="Arial Narrow"/>
                <w:kern w:val="2"/>
                <w:sz w:val="20"/>
                <w:szCs w:val="20"/>
              </w:rPr>
              <w:noBreakHyphen/>
            </w:r>
            <w:r w:rsidRPr="00617333">
              <w:rPr>
                <w:rFonts w:ascii="Arial Narrow" w:hAnsi="Arial Narrow"/>
                <w:kern w:val="2"/>
                <w:sz w:val="20"/>
                <w:szCs w:val="20"/>
              </w:rPr>
              <w:t>year break, a patient may be prescribed the newly listed targeted therapy, through the initial 2 treatment phase, if they have never received that medicine previously. If the newly listed targeted therapy does not provide an adequate response, the treatment cycle ends and the 5</w:t>
            </w:r>
            <w:r w:rsidR="00FC7500">
              <w:rPr>
                <w:rFonts w:ascii="Arial Narrow" w:hAnsi="Arial Narrow"/>
                <w:kern w:val="2"/>
                <w:sz w:val="20"/>
                <w:szCs w:val="20"/>
              </w:rPr>
              <w:noBreakHyphen/>
            </w:r>
            <w:r w:rsidRPr="00617333">
              <w:rPr>
                <w:rFonts w:ascii="Arial Narrow" w:hAnsi="Arial Narrow"/>
                <w:kern w:val="2"/>
                <w:sz w:val="20"/>
                <w:szCs w:val="20"/>
              </w:rPr>
              <w:t>year break recommences. This will not be considered a new treatment phase. </w:t>
            </w:r>
          </w:p>
          <w:p w14:paraId="45A77863" w14:textId="5BA75305" w:rsidR="00832C22" w:rsidRPr="00617333" w:rsidRDefault="00832C22" w:rsidP="000C7C45">
            <w:pPr>
              <w:keepNext/>
              <w:rPr>
                <w:rFonts w:ascii="Arial Narrow" w:hAnsi="Arial Narrow"/>
                <w:kern w:val="2"/>
                <w:sz w:val="20"/>
                <w:szCs w:val="20"/>
              </w:rPr>
            </w:pPr>
          </w:p>
          <w:p w14:paraId="44C23D3D" w14:textId="5EF82443" w:rsidR="00832C22" w:rsidRPr="00617333" w:rsidRDefault="00832C22" w:rsidP="000C7C45">
            <w:pPr>
              <w:keepNext/>
              <w:rPr>
                <w:rFonts w:ascii="Arial Narrow" w:hAnsi="Arial Narrow"/>
                <w:kern w:val="2"/>
                <w:sz w:val="20"/>
                <w:szCs w:val="20"/>
              </w:rPr>
            </w:pPr>
            <w:r w:rsidRPr="00617333">
              <w:rPr>
                <w:rFonts w:ascii="Arial Narrow" w:hAnsi="Arial Narrow"/>
                <w:kern w:val="2"/>
                <w:sz w:val="20"/>
                <w:szCs w:val="20"/>
              </w:rPr>
              <w:t>There is no limit to the number of treatment cycles a patient may undertake in their lifetime.</w:t>
            </w:r>
          </w:p>
          <w:p w14:paraId="6AB42DBE" w14:textId="77777777" w:rsidR="00832C22" w:rsidRPr="00617333" w:rsidRDefault="00832C22" w:rsidP="000C7C45">
            <w:pPr>
              <w:keepNext/>
              <w:rPr>
                <w:rFonts w:ascii="Arial Narrow" w:hAnsi="Arial Narrow"/>
                <w:kern w:val="2"/>
                <w:sz w:val="20"/>
                <w:szCs w:val="20"/>
              </w:rPr>
            </w:pPr>
          </w:p>
          <w:p w14:paraId="1D4BB109" w14:textId="77777777" w:rsidR="00832C22" w:rsidRPr="00617333" w:rsidRDefault="00832C22" w:rsidP="000C7C45">
            <w:pPr>
              <w:keepNext/>
              <w:rPr>
                <w:rFonts w:ascii="Arial Narrow" w:hAnsi="Arial Narrow"/>
                <w:kern w:val="2"/>
                <w:sz w:val="20"/>
                <w:szCs w:val="20"/>
              </w:rPr>
            </w:pPr>
            <w:r w:rsidRPr="00617333">
              <w:rPr>
                <w:rFonts w:ascii="Arial Narrow" w:hAnsi="Arial Narrow"/>
                <w:kern w:val="2"/>
                <w:sz w:val="20"/>
                <w:szCs w:val="20"/>
              </w:rPr>
              <w:t>Treatment phases: </w:t>
            </w:r>
          </w:p>
          <w:p w14:paraId="7BD36608" w14:textId="76E8A752" w:rsidR="00832C22" w:rsidRPr="00617333" w:rsidRDefault="00832C22" w:rsidP="000C7C45">
            <w:pPr>
              <w:keepNext/>
              <w:rPr>
                <w:rFonts w:ascii="Arial Narrow" w:hAnsi="Arial Narrow"/>
                <w:kern w:val="2"/>
                <w:sz w:val="20"/>
                <w:szCs w:val="20"/>
              </w:rPr>
            </w:pPr>
            <w:r w:rsidRPr="00617333">
              <w:rPr>
                <w:rFonts w:ascii="Arial Narrow" w:hAnsi="Arial Narrow"/>
                <w:kern w:val="2"/>
                <w:sz w:val="20"/>
                <w:szCs w:val="20"/>
              </w:rPr>
              <w:t>Initial treatment authorisations will be limited to provide for a maximum of 16 weeks of therapy for adalimumab and ustekinumab, 12 weeks of therapy for upadacitinib and 14 weeks of therapy for infliximab.</w:t>
            </w:r>
          </w:p>
          <w:p w14:paraId="77FE30D9" w14:textId="4C99EF80" w:rsidR="00832C22" w:rsidRPr="00617333" w:rsidRDefault="00832C22" w:rsidP="000C7C45">
            <w:pPr>
              <w:keepNext/>
              <w:numPr>
                <w:ilvl w:val="0"/>
                <w:numId w:val="12"/>
              </w:numPr>
              <w:rPr>
                <w:rFonts w:ascii="Arial Narrow" w:hAnsi="Arial Narrow"/>
                <w:kern w:val="2"/>
                <w:sz w:val="20"/>
                <w:szCs w:val="20"/>
              </w:rPr>
            </w:pPr>
            <w:r w:rsidRPr="00617333">
              <w:rPr>
                <w:rFonts w:ascii="Arial Narrow" w:hAnsi="Arial Narrow"/>
                <w:kern w:val="2"/>
                <w:sz w:val="20"/>
                <w:szCs w:val="20"/>
              </w:rPr>
              <w:t>Initial 1 – use when the patient has never received a targeted therapy for this indication or if the patient has had a break in targeted therapy of at least 5 years. Patients who have had a break in treatment of at least 5 years must requalify for treatment with respect to the indices of disease severity.</w:t>
            </w:r>
          </w:p>
          <w:p w14:paraId="6DA4DD0E" w14:textId="77777777" w:rsidR="00832C22" w:rsidRPr="00617333" w:rsidRDefault="00832C22" w:rsidP="000C7C45">
            <w:pPr>
              <w:keepNext/>
              <w:numPr>
                <w:ilvl w:val="0"/>
                <w:numId w:val="13"/>
              </w:numPr>
              <w:rPr>
                <w:rFonts w:ascii="Arial Narrow" w:hAnsi="Arial Narrow"/>
                <w:kern w:val="2"/>
                <w:sz w:val="20"/>
                <w:szCs w:val="20"/>
              </w:rPr>
            </w:pPr>
            <w:r w:rsidRPr="00617333">
              <w:rPr>
                <w:rFonts w:ascii="Arial Narrow" w:hAnsi="Arial Narrow"/>
                <w:kern w:val="2"/>
                <w:sz w:val="20"/>
                <w:szCs w:val="20"/>
              </w:rPr>
              <w:t>Initial 2 – use when: </w:t>
            </w:r>
          </w:p>
          <w:p w14:paraId="68C15566" w14:textId="54365384" w:rsidR="00832C22" w:rsidRPr="00617333" w:rsidRDefault="00832C22" w:rsidP="000C7C45">
            <w:pPr>
              <w:keepNext/>
              <w:numPr>
                <w:ilvl w:val="0"/>
                <w:numId w:val="14"/>
              </w:numPr>
              <w:rPr>
                <w:rFonts w:ascii="Arial Narrow" w:hAnsi="Arial Narrow"/>
                <w:kern w:val="2"/>
                <w:sz w:val="20"/>
                <w:szCs w:val="20"/>
              </w:rPr>
            </w:pPr>
            <w:r w:rsidRPr="00617333">
              <w:rPr>
                <w:rFonts w:ascii="Arial Narrow" w:hAnsi="Arial Narrow"/>
                <w:kern w:val="2"/>
                <w:sz w:val="20"/>
                <w:szCs w:val="20"/>
              </w:rPr>
              <w:t>an alternative targeted therapy is prescribed for this indication, or</w:t>
            </w:r>
          </w:p>
          <w:p w14:paraId="5BF618DF" w14:textId="75529FFC" w:rsidR="00832C22" w:rsidRPr="00617333" w:rsidRDefault="00832C22" w:rsidP="000C7C45">
            <w:pPr>
              <w:keepNext/>
              <w:numPr>
                <w:ilvl w:val="0"/>
                <w:numId w:val="15"/>
              </w:numPr>
              <w:rPr>
                <w:rFonts w:ascii="Arial Narrow" w:hAnsi="Arial Narrow"/>
                <w:kern w:val="2"/>
                <w:sz w:val="20"/>
                <w:szCs w:val="20"/>
              </w:rPr>
            </w:pPr>
            <w:r w:rsidRPr="00617333">
              <w:rPr>
                <w:rFonts w:ascii="Arial Narrow" w:hAnsi="Arial Narrow"/>
                <w:kern w:val="2"/>
                <w:sz w:val="20"/>
                <w:szCs w:val="20"/>
              </w:rPr>
              <w:t>the patient has previously been treated with this targeted therapy, or</w:t>
            </w:r>
          </w:p>
          <w:p w14:paraId="0B2515A8" w14:textId="6111F141" w:rsidR="00832C22" w:rsidRPr="00617333" w:rsidRDefault="00832C22" w:rsidP="000C7C45">
            <w:pPr>
              <w:keepNext/>
              <w:numPr>
                <w:ilvl w:val="0"/>
                <w:numId w:val="16"/>
              </w:numPr>
              <w:rPr>
                <w:rFonts w:ascii="Arial Narrow" w:hAnsi="Arial Narrow"/>
                <w:kern w:val="2"/>
                <w:sz w:val="20"/>
                <w:szCs w:val="20"/>
              </w:rPr>
            </w:pPr>
            <w:r w:rsidRPr="00617333">
              <w:rPr>
                <w:rFonts w:ascii="Arial Narrow" w:hAnsi="Arial Narrow"/>
                <w:kern w:val="2"/>
                <w:sz w:val="20"/>
                <w:szCs w:val="20"/>
              </w:rPr>
              <w:t>treatment is resuming after a break of less than 5 years.</w:t>
            </w:r>
          </w:p>
          <w:p w14:paraId="28BC7E10" w14:textId="6EC5A1C7" w:rsidR="00832C22" w:rsidRPr="00617333" w:rsidRDefault="00832C22" w:rsidP="000C7C45">
            <w:pPr>
              <w:keepNext/>
              <w:rPr>
                <w:rFonts w:ascii="Arial Narrow" w:hAnsi="Arial Narrow"/>
                <w:kern w:val="2"/>
                <w:sz w:val="20"/>
                <w:szCs w:val="20"/>
              </w:rPr>
            </w:pPr>
            <w:r w:rsidRPr="00617333">
              <w:rPr>
                <w:rFonts w:ascii="Arial Narrow" w:hAnsi="Arial Narrow"/>
                <w:kern w:val="2"/>
                <w:sz w:val="20"/>
                <w:szCs w:val="20"/>
              </w:rPr>
              <w:t>Baseline disease activity do</w:t>
            </w:r>
            <w:r w:rsidR="005E5979">
              <w:rPr>
                <w:rFonts w:ascii="Arial Narrow" w:hAnsi="Arial Narrow"/>
                <w:kern w:val="2"/>
                <w:sz w:val="20"/>
                <w:szCs w:val="20"/>
              </w:rPr>
              <w:t>es</w:t>
            </w:r>
            <w:r w:rsidRPr="00617333">
              <w:rPr>
                <w:rFonts w:ascii="Arial Narrow" w:hAnsi="Arial Narrow"/>
                <w:kern w:val="2"/>
                <w:sz w:val="20"/>
                <w:szCs w:val="20"/>
              </w:rPr>
              <w:t xml:space="preserve"> not need to be re</w:t>
            </w:r>
            <w:r w:rsidR="00FC7500">
              <w:rPr>
                <w:rFonts w:ascii="Arial Narrow" w:hAnsi="Arial Narrow"/>
                <w:kern w:val="2"/>
                <w:sz w:val="20"/>
                <w:szCs w:val="20"/>
              </w:rPr>
              <w:noBreakHyphen/>
            </w:r>
            <w:r w:rsidRPr="00617333">
              <w:rPr>
                <w:rFonts w:ascii="Arial Narrow" w:hAnsi="Arial Narrow"/>
                <w:kern w:val="2"/>
                <w:sz w:val="20"/>
                <w:szCs w:val="20"/>
              </w:rPr>
              <w:t>demonstrated; however, an assessment of response to the preceding supply must be provided if a response has been demonstrated.</w:t>
            </w:r>
          </w:p>
          <w:p w14:paraId="623CEFD8" w14:textId="77777777" w:rsidR="00832C22" w:rsidRPr="00617333" w:rsidRDefault="00832C22" w:rsidP="000C7C45">
            <w:pPr>
              <w:keepNext/>
              <w:rPr>
                <w:rFonts w:ascii="Arial Narrow" w:hAnsi="Arial Narrow"/>
                <w:kern w:val="2"/>
                <w:sz w:val="20"/>
                <w:szCs w:val="20"/>
              </w:rPr>
            </w:pPr>
          </w:p>
          <w:p w14:paraId="56CA2EF9" w14:textId="59BA21E0" w:rsidR="00832C22" w:rsidRPr="00617333" w:rsidRDefault="00832C22" w:rsidP="000C7C45">
            <w:pPr>
              <w:keepNext/>
              <w:rPr>
                <w:rFonts w:ascii="Arial Narrow" w:hAnsi="Arial Narrow"/>
                <w:kern w:val="2"/>
                <w:sz w:val="20"/>
                <w:szCs w:val="20"/>
              </w:rPr>
            </w:pPr>
            <w:r w:rsidRPr="00617333">
              <w:rPr>
                <w:rFonts w:ascii="Arial Narrow" w:hAnsi="Arial Narrow"/>
                <w:kern w:val="2"/>
                <w:sz w:val="20"/>
                <w:szCs w:val="20"/>
              </w:rPr>
              <w:t>Continuing treatment – use when patient has demonstrated an adequate response to the preceding supply. A response to treatment is determined by comparison of current disease activity measurements relative to the baseline measurements. Prescribers may provide new baseline measurements any time that an initial treatment authority application is made within a treatment cycle and eligibility will be assessed against the revised baseline measurements. Continuing treatment authority scripts must not be written on the same day as Initial treatment authority applications.</w:t>
            </w:r>
          </w:p>
          <w:p w14:paraId="2578E9D0" w14:textId="77777777" w:rsidR="00832C22" w:rsidRPr="00A22BB7" w:rsidRDefault="00832C22" w:rsidP="000C7C45">
            <w:pPr>
              <w:keepNext/>
              <w:rPr>
                <w:rFonts w:ascii="Arial Narrow" w:hAnsi="Arial Narrow"/>
                <w:kern w:val="2"/>
                <w:sz w:val="20"/>
                <w:szCs w:val="20"/>
              </w:rPr>
            </w:pPr>
          </w:p>
        </w:tc>
      </w:tr>
    </w:tbl>
    <w:p w14:paraId="23EDD9A9" w14:textId="77777777" w:rsidR="00443A05" w:rsidRPr="00443A05" w:rsidRDefault="00443A05" w:rsidP="000F4062">
      <w:pPr>
        <w:rPr>
          <w:rFonts w:asciiTheme="minorHAnsi" w:hAnsiTheme="minorHAnsi" w:cstheme="minorHAnsi"/>
          <w:b/>
          <w:bCs/>
          <w:kern w:val="2"/>
          <w:sz w:val="20"/>
        </w:rPr>
      </w:pPr>
    </w:p>
    <w:p w14:paraId="6CB95BD7" w14:textId="5105B95F" w:rsidR="00A6030E" w:rsidRPr="006C06BE" w:rsidRDefault="00A6030E" w:rsidP="00A6030E">
      <w:pPr>
        <w:widowControl w:val="0"/>
        <w:numPr>
          <w:ilvl w:val="1"/>
          <w:numId w:val="1"/>
        </w:numPr>
        <w:spacing w:after="120"/>
        <w:contextualSpacing/>
        <w:rPr>
          <w:rFonts w:asciiTheme="minorHAnsi" w:hAnsiTheme="minorHAnsi"/>
          <w:b/>
          <w:bCs/>
          <w:snapToGrid w:val="0"/>
        </w:rPr>
      </w:pPr>
      <w:r>
        <w:rPr>
          <w:rFonts w:asciiTheme="minorHAnsi" w:hAnsiTheme="minorHAnsi"/>
          <w:bCs/>
          <w:snapToGrid w:val="0"/>
        </w:rPr>
        <w:t>Flow</w:t>
      </w:r>
      <w:r w:rsidR="00FC7500">
        <w:rPr>
          <w:rFonts w:asciiTheme="minorHAnsi" w:hAnsiTheme="minorHAnsi"/>
          <w:bCs/>
          <w:snapToGrid w:val="0"/>
        </w:rPr>
        <w:noBreakHyphen/>
      </w:r>
      <w:r>
        <w:rPr>
          <w:rFonts w:asciiTheme="minorHAnsi" w:hAnsiTheme="minorHAnsi"/>
          <w:bCs/>
          <w:snapToGrid w:val="0"/>
        </w:rPr>
        <w:t>on changes to add a 30</w:t>
      </w:r>
      <w:r w:rsidR="007E007F">
        <w:rPr>
          <w:rFonts w:asciiTheme="minorHAnsi" w:hAnsiTheme="minorHAnsi"/>
          <w:bCs/>
          <w:snapToGrid w:val="0"/>
        </w:rPr>
        <w:t xml:space="preserve"> </w:t>
      </w:r>
      <w:r>
        <w:rPr>
          <w:rFonts w:asciiTheme="minorHAnsi" w:hAnsiTheme="minorHAnsi"/>
          <w:bCs/>
          <w:snapToGrid w:val="0"/>
        </w:rPr>
        <w:t xml:space="preserve">mg dose </w:t>
      </w:r>
      <w:r w:rsidR="00D07D46">
        <w:rPr>
          <w:rFonts w:asciiTheme="minorHAnsi" w:hAnsiTheme="minorHAnsi"/>
          <w:bCs/>
          <w:snapToGrid w:val="0"/>
        </w:rPr>
        <w:t xml:space="preserve">for </w:t>
      </w:r>
      <w:r w:rsidR="00E4314C">
        <w:rPr>
          <w:rFonts w:asciiTheme="minorHAnsi" w:hAnsiTheme="minorHAnsi"/>
          <w:bCs/>
          <w:snapToGrid w:val="0"/>
        </w:rPr>
        <w:t xml:space="preserve">induction therapy for </w:t>
      </w:r>
      <w:r w:rsidR="00D07D46">
        <w:rPr>
          <w:rFonts w:asciiTheme="minorHAnsi" w:hAnsiTheme="minorHAnsi"/>
          <w:bCs/>
          <w:snapToGrid w:val="0"/>
        </w:rPr>
        <w:t>severe Crohn disease and ulcerative colitis</w:t>
      </w:r>
      <w:r w:rsidR="004D5B16">
        <w:rPr>
          <w:rFonts w:asciiTheme="minorHAnsi" w:hAnsiTheme="minorHAnsi"/>
          <w:bCs/>
          <w:snapToGrid w:val="0"/>
        </w:rPr>
        <w:t xml:space="preserve"> (additions shown in </w:t>
      </w:r>
      <w:r w:rsidR="004D5B16" w:rsidRPr="004D5B16">
        <w:rPr>
          <w:rFonts w:asciiTheme="minorHAnsi" w:hAnsiTheme="minorHAnsi"/>
          <w:bCs/>
          <w:i/>
          <w:iCs/>
          <w:snapToGrid w:val="0"/>
        </w:rPr>
        <w:t>italics</w:t>
      </w:r>
      <w:r w:rsidR="004D5B16">
        <w:rPr>
          <w:rFonts w:asciiTheme="minorHAnsi" w:hAnsiTheme="minorHAnsi"/>
          <w:bCs/>
          <w:snapToGrid w:val="0"/>
        </w:rPr>
        <w:t>)</w:t>
      </w:r>
      <w:r w:rsidRPr="006C06BE">
        <w:rPr>
          <w:rFonts w:asciiTheme="minorHAnsi" w:hAnsiTheme="minorHAnsi"/>
          <w:bCs/>
          <w:snapToGrid w:val="0"/>
        </w:rPr>
        <w:t>:</w:t>
      </w:r>
    </w:p>
    <w:p w14:paraId="40F8ADC5" w14:textId="77777777" w:rsidR="00905B19" w:rsidRDefault="00905B19" w:rsidP="000F4062">
      <w:pPr>
        <w:rPr>
          <w:rFonts w:asciiTheme="minorHAnsi" w:hAnsiTheme="minorHAnsi" w:cstheme="minorHAnsi"/>
          <w:b/>
          <w:bCs/>
          <w:kern w:val="2"/>
          <w:highlight w:val="yellow"/>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Flow on changes"/>
      </w:tblPr>
      <w:tblGrid>
        <w:gridCol w:w="1271"/>
        <w:gridCol w:w="2268"/>
        <w:gridCol w:w="1276"/>
        <w:gridCol w:w="992"/>
        <w:gridCol w:w="851"/>
        <w:gridCol w:w="708"/>
        <w:gridCol w:w="1701"/>
      </w:tblGrid>
      <w:tr w:rsidR="006C2818" w:rsidRPr="001B1DB5" w14:paraId="21E38AFA" w14:textId="77777777" w:rsidTr="006C2818">
        <w:trPr>
          <w:cantSplit/>
          <w:trHeight w:val="20"/>
        </w:trPr>
        <w:tc>
          <w:tcPr>
            <w:tcW w:w="3539" w:type="dxa"/>
            <w:gridSpan w:val="2"/>
            <w:tcBorders>
              <w:top w:val="single" w:sz="4" w:space="0" w:color="auto"/>
              <w:left w:val="single" w:sz="4" w:space="0" w:color="auto"/>
              <w:bottom w:val="single" w:sz="4" w:space="0" w:color="auto"/>
              <w:right w:val="single" w:sz="4" w:space="0" w:color="auto"/>
            </w:tcBorders>
            <w:vAlign w:val="center"/>
            <w:hideMark/>
          </w:tcPr>
          <w:p w14:paraId="6EE0085A" w14:textId="77777777" w:rsidR="006C2818" w:rsidRDefault="006C2818">
            <w:pPr>
              <w:keepLines/>
              <w:rPr>
                <w:rFonts w:ascii="Arial Narrow" w:hAnsi="Arial Narrow"/>
                <w:b/>
                <w:bCs/>
                <w:kern w:val="2"/>
                <w:sz w:val="20"/>
                <w:szCs w:val="20"/>
              </w:rPr>
            </w:pPr>
            <w:r>
              <w:rPr>
                <w:rFonts w:ascii="Arial Narrow" w:hAnsi="Arial Narrow"/>
                <w:b/>
                <w:bCs/>
                <w:kern w:val="2"/>
                <w:sz w:val="20"/>
                <w:szCs w:val="20"/>
              </w:rPr>
              <w:t>MEDICINAL PRODUCT</w:t>
            </w:r>
          </w:p>
          <w:p w14:paraId="23AD4B20" w14:textId="77777777" w:rsidR="006C2818" w:rsidRDefault="006C2818">
            <w:pPr>
              <w:keepLines/>
              <w:rPr>
                <w:rFonts w:ascii="Arial Narrow" w:hAnsi="Arial Narrow"/>
                <w:b/>
                <w:kern w:val="2"/>
                <w:sz w:val="20"/>
                <w:szCs w:val="20"/>
              </w:rPr>
            </w:pPr>
            <w:r>
              <w:rPr>
                <w:rFonts w:ascii="Arial Narrow" w:hAnsi="Arial Narrow"/>
                <w:b/>
                <w:bCs/>
                <w:kern w:val="2"/>
                <w:sz w:val="20"/>
                <w:szCs w:val="20"/>
              </w:rPr>
              <w:t>medicinal product pack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27C9CA" w14:textId="77777777" w:rsidR="006C2818" w:rsidRDefault="006C2818">
            <w:pPr>
              <w:keepLines/>
              <w:jc w:val="center"/>
              <w:rPr>
                <w:rFonts w:ascii="Arial Narrow" w:hAnsi="Arial Narrow"/>
                <w:b/>
                <w:kern w:val="2"/>
                <w:sz w:val="20"/>
                <w:szCs w:val="20"/>
              </w:rPr>
            </w:pPr>
            <w:r>
              <w:rPr>
                <w:rFonts w:ascii="Arial Narrow" w:hAnsi="Arial Narrow"/>
                <w:b/>
                <w:kern w:val="2"/>
                <w:sz w:val="20"/>
                <w:szCs w:val="20"/>
              </w:rPr>
              <w:t>PBS item code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7528F1" w14:textId="77777777" w:rsidR="006C2818" w:rsidRDefault="006C2818">
            <w:pPr>
              <w:keepLines/>
              <w:jc w:val="center"/>
              <w:rPr>
                <w:rFonts w:ascii="Arial Narrow" w:hAnsi="Arial Narrow"/>
                <w:b/>
                <w:kern w:val="2"/>
                <w:sz w:val="20"/>
                <w:szCs w:val="20"/>
              </w:rPr>
            </w:pPr>
            <w:r>
              <w:rPr>
                <w:rFonts w:ascii="Arial Narrow" w:hAnsi="Arial Narrow"/>
                <w:b/>
                <w:kern w:val="2"/>
                <w:sz w:val="20"/>
                <w:szCs w:val="20"/>
              </w:rPr>
              <w:t>Max. qty packs</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B0883B" w14:textId="77777777" w:rsidR="006C2818" w:rsidRDefault="006C2818">
            <w:pPr>
              <w:keepLines/>
              <w:jc w:val="center"/>
              <w:rPr>
                <w:rFonts w:ascii="Arial Narrow" w:hAnsi="Arial Narrow"/>
                <w:b/>
                <w:kern w:val="2"/>
                <w:sz w:val="20"/>
                <w:szCs w:val="20"/>
              </w:rPr>
            </w:pPr>
            <w:r>
              <w:rPr>
                <w:rFonts w:ascii="Arial Narrow" w:hAnsi="Arial Narrow"/>
                <w:b/>
                <w:kern w:val="2"/>
                <w:sz w:val="20"/>
                <w:szCs w:val="20"/>
              </w:rPr>
              <w:t>Max. qty units</w:t>
            </w:r>
          </w:p>
        </w:tc>
        <w:tc>
          <w:tcPr>
            <w:tcW w:w="708" w:type="dxa"/>
            <w:tcBorders>
              <w:top w:val="single" w:sz="4" w:space="0" w:color="auto"/>
              <w:left w:val="single" w:sz="4" w:space="0" w:color="auto"/>
              <w:bottom w:val="single" w:sz="4" w:space="0" w:color="auto"/>
              <w:right w:val="single" w:sz="4" w:space="0" w:color="auto"/>
            </w:tcBorders>
            <w:vAlign w:val="center"/>
            <w:hideMark/>
          </w:tcPr>
          <w:p w14:paraId="3F6721D1" w14:textId="77777777" w:rsidR="006C2818" w:rsidRDefault="006C2818">
            <w:pPr>
              <w:keepLines/>
              <w:jc w:val="center"/>
              <w:rPr>
                <w:rFonts w:ascii="Arial Narrow" w:hAnsi="Arial Narrow"/>
                <w:b/>
                <w:kern w:val="2"/>
                <w:sz w:val="20"/>
                <w:szCs w:val="20"/>
              </w:rPr>
            </w:pPr>
            <w:r>
              <w:rPr>
                <w:rFonts w:ascii="Arial Narrow" w:hAnsi="Arial Narrow"/>
                <w:b/>
                <w:kern w:val="2"/>
                <w:sz w:val="20"/>
                <w:szCs w:val="20"/>
              </w:rPr>
              <w:t>№.of</w:t>
            </w:r>
          </w:p>
          <w:p w14:paraId="7289156E" w14:textId="77777777" w:rsidR="006C2818" w:rsidRDefault="006C2818">
            <w:pPr>
              <w:keepLines/>
              <w:jc w:val="center"/>
              <w:rPr>
                <w:rFonts w:ascii="Arial Narrow" w:hAnsi="Arial Narrow"/>
                <w:b/>
                <w:kern w:val="2"/>
                <w:sz w:val="20"/>
                <w:szCs w:val="20"/>
              </w:rPr>
            </w:pPr>
            <w:r>
              <w:rPr>
                <w:rFonts w:ascii="Arial Narrow" w:hAnsi="Arial Narrow"/>
                <w:b/>
                <w:kern w:val="2"/>
                <w:sz w:val="20"/>
                <w:szCs w:val="20"/>
              </w:rPr>
              <w:t>Rpts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081A3F" w14:textId="77777777" w:rsidR="006C2818" w:rsidRDefault="006C2818">
            <w:pPr>
              <w:keepLines/>
              <w:rPr>
                <w:rFonts w:ascii="Arial Narrow" w:hAnsi="Arial Narrow"/>
                <w:b/>
                <w:kern w:val="2"/>
                <w:sz w:val="20"/>
                <w:szCs w:val="20"/>
                <w:lang w:val="fr-FR"/>
              </w:rPr>
            </w:pPr>
            <w:r>
              <w:rPr>
                <w:rFonts w:ascii="Arial Narrow" w:hAnsi="Arial Narrow"/>
                <w:b/>
                <w:kern w:val="2"/>
                <w:sz w:val="20"/>
                <w:szCs w:val="20"/>
              </w:rPr>
              <w:t>Available brands</w:t>
            </w:r>
          </w:p>
        </w:tc>
      </w:tr>
      <w:tr w:rsidR="006C2818" w:rsidRPr="001B1DB5" w14:paraId="7E1C6582" w14:textId="77777777" w:rsidTr="006C2818">
        <w:trPr>
          <w:cantSplit/>
          <w:trHeight w:val="20"/>
        </w:trPr>
        <w:tc>
          <w:tcPr>
            <w:tcW w:w="9067" w:type="dxa"/>
            <w:gridSpan w:val="7"/>
            <w:tcBorders>
              <w:top w:val="single" w:sz="4" w:space="0" w:color="auto"/>
              <w:left w:val="single" w:sz="4" w:space="0" w:color="auto"/>
              <w:bottom w:val="single" w:sz="4" w:space="0" w:color="auto"/>
              <w:right w:val="single" w:sz="4" w:space="0" w:color="auto"/>
            </w:tcBorders>
            <w:vAlign w:val="center"/>
            <w:hideMark/>
          </w:tcPr>
          <w:p w14:paraId="3157531E" w14:textId="77777777" w:rsidR="006C2818" w:rsidRDefault="006C2818">
            <w:pPr>
              <w:keepLines/>
              <w:rPr>
                <w:rFonts w:ascii="Arial Narrow" w:hAnsi="Arial Narrow"/>
                <w:kern w:val="2"/>
                <w:sz w:val="20"/>
                <w:szCs w:val="20"/>
              </w:rPr>
            </w:pPr>
            <w:r>
              <w:rPr>
                <w:rFonts w:ascii="Arial Narrow" w:hAnsi="Arial Narrow"/>
                <w:kern w:val="2"/>
                <w:sz w:val="20"/>
                <w:szCs w:val="20"/>
              </w:rPr>
              <w:t xml:space="preserve">UPADACITINIB </w:t>
            </w:r>
          </w:p>
        </w:tc>
      </w:tr>
      <w:tr w:rsidR="006C2818" w:rsidRPr="001B1DB5" w14:paraId="01C38FD4" w14:textId="77777777" w:rsidTr="006C2818">
        <w:trPr>
          <w:cantSplit/>
          <w:trHeight w:val="20"/>
        </w:trPr>
        <w:tc>
          <w:tcPr>
            <w:tcW w:w="3539" w:type="dxa"/>
            <w:gridSpan w:val="2"/>
            <w:tcBorders>
              <w:top w:val="single" w:sz="4" w:space="0" w:color="auto"/>
              <w:left w:val="single" w:sz="4" w:space="0" w:color="auto"/>
              <w:bottom w:val="single" w:sz="4" w:space="0" w:color="auto"/>
              <w:right w:val="single" w:sz="4" w:space="0" w:color="auto"/>
            </w:tcBorders>
            <w:vAlign w:val="center"/>
          </w:tcPr>
          <w:p w14:paraId="226F3499" w14:textId="77777777" w:rsidR="006C2818" w:rsidRPr="0048020E" w:rsidRDefault="006C2818">
            <w:pPr>
              <w:keepLines/>
              <w:rPr>
                <w:rFonts w:ascii="Arial Narrow" w:hAnsi="Arial Narrow"/>
                <w:kern w:val="2"/>
                <w:sz w:val="20"/>
                <w:szCs w:val="20"/>
              </w:rPr>
            </w:pPr>
            <w:r>
              <w:rPr>
                <w:rFonts w:ascii="Arial Narrow" w:hAnsi="Arial Narrow"/>
                <w:kern w:val="2"/>
                <w:sz w:val="20"/>
                <w:szCs w:val="20"/>
              </w:rPr>
              <w:t xml:space="preserve">upadacitinib 45 mg oral tablet, 28 </w:t>
            </w:r>
          </w:p>
        </w:tc>
        <w:tc>
          <w:tcPr>
            <w:tcW w:w="1276" w:type="dxa"/>
            <w:tcBorders>
              <w:top w:val="single" w:sz="4" w:space="0" w:color="auto"/>
              <w:left w:val="single" w:sz="4" w:space="0" w:color="auto"/>
              <w:bottom w:val="single" w:sz="4" w:space="0" w:color="auto"/>
              <w:right w:val="single" w:sz="4" w:space="0" w:color="auto"/>
            </w:tcBorders>
            <w:vAlign w:val="center"/>
          </w:tcPr>
          <w:p w14:paraId="1F419B8A" w14:textId="677807CE" w:rsidR="006C2818" w:rsidRPr="0048020E" w:rsidRDefault="005A79AD" w:rsidP="006C2818">
            <w:pPr>
              <w:keepLines/>
              <w:jc w:val="center"/>
              <w:rPr>
                <w:rFonts w:ascii="Arial Narrow" w:hAnsi="Arial Narrow"/>
                <w:kern w:val="2"/>
                <w:sz w:val="20"/>
                <w:szCs w:val="20"/>
              </w:rPr>
            </w:pPr>
            <w:r>
              <w:rPr>
                <w:rFonts w:ascii="Arial Narrow" w:hAnsi="Arial Narrow"/>
                <w:kern w:val="2"/>
                <w:sz w:val="20"/>
                <w:szCs w:val="20"/>
              </w:rPr>
              <w:t>13771T</w:t>
            </w:r>
          </w:p>
        </w:tc>
        <w:tc>
          <w:tcPr>
            <w:tcW w:w="992" w:type="dxa"/>
            <w:tcBorders>
              <w:top w:val="single" w:sz="4" w:space="0" w:color="auto"/>
              <w:left w:val="single" w:sz="4" w:space="0" w:color="auto"/>
              <w:bottom w:val="single" w:sz="4" w:space="0" w:color="auto"/>
              <w:right w:val="single" w:sz="4" w:space="0" w:color="auto"/>
            </w:tcBorders>
            <w:vAlign w:val="center"/>
          </w:tcPr>
          <w:p w14:paraId="32F8BB53" w14:textId="77777777" w:rsidR="006C2818" w:rsidRPr="0048020E" w:rsidRDefault="006C2818">
            <w:pPr>
              <w:keepLines/>
              <w:jc w:val="center"/>
              <w:rPr>
                <w:rFonts w:ascii="Arial Narrow" w:hAnsi="Arial Narrow"/>
                <w:kern w:val="2"/>
                <w:sz w:val="20"/>
                <w:szCs w:val="20"/>
              </w:rPr>
            </w:pPr>
            <w:r w:rsidRPr="0048020E">
              <w:rPr>
                <w:rFonts w:ascii="Arial Narrow" w:hAnsi="Arial Narrow"/>
                <w:kern w:val="2"/>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0B372FDB" w14:textId="77777777" w:rsidR="006C2818" w:rsidRPr="006D26AB" w:rsidRDefault="006C2818">
            <w:pPr>
              <w:keepLines/>
              <w:jc w:val="center"/>
              <w:rPr>
                <w:rFonts w:ascii="Arial Narrow" w:hAnsi="Arial Narrow"/>
                <w:kern w:val="2"/>
                <w:sz w:val="20"/>
                <w:szCs w:val="20"/>
              </w:rPr>
            </w:pPr>
            <w:r>
              <w:rPr>
                <w:rFonts w:ascii="Arial Narrow" w:hAnsi="Arial Narrow"/>
                <w:kern w:val="2"/>
                <w:sz w:val="20"/>
                <w:szCs w:val="20"/>
              </w:rPr>
              <w:t>28</w:t>
            </w:r>
          </w:p>
        </w:tc>
        <w:tc>
          <w:tcPr>
            <w:tcW w:w="708" w:type="dxa"/>
            <w:tcBorders>
              <w:top w:val="single" w:sz="4" w:space="0" w:color="auto"/>
              <w:left w:val="single" w:sz="4" w:space="0" w:color="auto"/>
              <w:bottom w:val="single" w:sz="4" w:space="0" w:color="auto"/>
              <w:right w:val="single" w:sz="4" w:space="0" w:color="auto"/>
            </w:tcBorders>
            <w:vAlign w:val="center"/>
          </w:tcPr>
          <w:p w14:paraId="5F3389B9" w14:textId="77777777" w:rsidR="006C2818" w:rsidRPr="006D26AB" w:rsidRDefault="006C2818">
            <w:pPr>
              <w:keepLines/>
              <w:jc w:val="center"/>
              <w:rPr>
                <w:rFonts w:ascii="Arial Narrow" w:hAnsi="Arial Narrow"/>
                <w:kern w:val="2"/>
                <w:sz w:val="20"/>
                <w:szCs w:val="20"/>
              </w:rPr>
            </w:pPr>
            <w:r>
              <w:rPr>
                <w:rFonts w:ascii="Arial Narrow" w:hAnsi="Arial Narrow"/>
                <w:kern w:val="2"/>
                <w:sz w:val="20"/>
                <w:szCs w:val="20"/>
              </w:rPr>
              <w:t>2</w:t>
            </w:r>
          </w:p>
        </w:tc>
        <w:tc>
          <w:tcPr>
            <w:tcW w:w="1701" w:type="dxa"/>
            <w:vMerge w:val="restart"/>
            <w:tcBorders>
              <w:top w:val="single" w:sz="4" w:space="0" w:color="auto"/>
              <w:left w:val="single" w:sz="4" w:space="0" w:color="auto"/>
              <w:right w:val="single" w:sz="4" w:space="0" w:color="auto"/>
            </w:tcBorders>
            <w:vAlign w:val="center"/>
          </w:tcPr>
          <w:p w14:paraId="57375BA4" w14:textId="77777777" w:rsidR="006C2818" w:rsidRPr="0048020E" w:rsidRDefault="006C2818">
            <w:pPr>
              <w:keepLines/>
              <w:jc w:val="center"/>
              <w:rPr>
                <w:rFonts w:ascii="Arial Narrow" w:hAnsi="Arial Narrow"/>
                <w:kern w:val="2"/>
                <w:sz w:val="20"/>
                <w:szCs w:val="20"/>
              </w:rPr>
            </w:pPr>
            <w:r>
              <w:rPr>
                <w:rFonts w:ascii="Arial Narrow" w:hAnsi="Arial Narrow"/>
                <w:kern w:val="2"/>
                <w:sz w:val="20"/>
                <w:szCs w:val="20"/>
              </w:rPr>
              <w:t>Rinvoq</w:t>
            </w:r>
          </w:p>
        </w:tc>
      </w:tr>
      <w:tr w:rsidR="006C2818" w:rsidRPr="001B1DB5" w14:paraId="7CE30A70" w14:textId="77777777" w:rsidTr="006C2818">
        <w:trPr>
          <w:cantSplit/>
          <w:trHeight w:val="20"/>
        </w:trPr>
        <w:tc>
          <w:tcPr>
            <w:tcW w:w="3539" w:type="dxa"/>
            <w:gridSpan w:val="2"/>
            <w:tcBorders>
              <w:top w:val="single" w:sz="4" w:space="0" w:color="auto"/>
              <w:left w:val="single" w:sz="4" w:space="0" w:color="auto"/>
              <w:bottom w:val="single" w:sz="4" w:space="0" w:color="auto"/>
              <w:right w:val="single" w:sz="4" w:space="0" w:color="auto"/>
            </w:tcBorders>
            <w:vAlign w:val="center"/>
          </w:tcPr>
          <w:p w14:paraId="4671650C" w14:textId="77777777" w:rsidR="006C2818" w:rsidRPr="005A79AD" w:rsidRDefault="006C2818">
            <w:pPr>
              <w:keepLines/>
              <w:rPr>
                <w:rFonts w:ascii="Arial Narrow" w:hAnsi="Arial Narrow"/>
                <w:i/>
                <w:kern w:val="2"/>
                <w:sz w:val="20"/>
                <w:szCs w:val="20"/>
              </w:rPr>
            </w:pPr>
            <w:r w:rsidRPr="005A79AD">
              <w:rPr>
                <w:rFonts w:ascii="Arial Narrow" w:hAnsi="Arial Narrow"/>
                <w:i/>
                <w:kern w:val="2"/>
                <w:sz w:val="20"/>
                <w:szCs w:val="20"/>
              </w:rPr>
              <w:t xml:space="preserve">upadacitinib 30 mg oral tablet, 28 </w:t>
            </w:r>
          </w:p>
        </w:tc>
        <w:tc>
          <w:tcPr>
            <w:tcW w:w="1276" w:type="dxa"/>
            <w:tcBorders>
              <w:top w:val="single" w:sz="4" w:space="0" w:color="auto"/>
              <w:left w:val="single" w:sz="4" w:space="0" w:color="auto"/>
              <w:bottom w:val="single" w:sz="4" w:space="0" w:color="auto"/>
              <w:right w:val="single" w:sz="4" w:space="0" w:color="auto"/>
            </w:tcBorders>
            <w:vAlign w:val="center"/>
          </w:tcPr>
          <w:p w14:paraId="073E5D93" w14:textId="77777777" w:rsidR="006C2818" w:rsidRPr="005A79AD" w:rsidRDefault="006C2818">
            <w:pPr>
              <w:keepLines/>
              <w:jc w:val="center"/>
              <w:rPr>
                <w:rFonts w:ascii="Arial Narrow" w:hAnsi="Arial Narrow"/>
                <w:i/>
                <w:kern w:val="2"/>
                <w:sz w:val="20"/>
                <w:szCs w:val="20"/>
              </w:rPr>
            </w:pPr>
            <w:r w:rsidRPr="005A79AD">
              <w:rPr>
                <w:rFonts w:ascii="Arial Narrow" w:hAnsi="Arial Narrow"/>
                <w:i/>
                <w:kern w:val="2"/>
                <w:sz w:val="20"/>
                <w:szCs w:val="20"/>
              </w:rPr>
              <w:t xml:space="preserve">NEW </w:t>
            </w:r>
          </w:p>
        </w:tc>
        <w:tc>
          <w:tcPr>
            <w:tcW w:w="992" w:type="dxa"/>
            <w:tcBorders>
              <w:top w:val="single" w:sz="4" w:space="0" w:color="auto"/>
              <w:left w:val="single" w:sz="4" w:space="0" w:color="auto"/>
              <w:bottom w:val="single" w:sz="4" w:space="0" w:color="auto"/>
              <w:right w:val="single" w:sz="4" w:space="0" w:color="auto"/>
            </w:tcBorders>
            <w:vAlign w:val="center"/>
          </w:tcPr>
          <w:p w14:paraId="7E987D35" w14:textId="77777777" w:rsidR="006C2818" w:rsidRPr="005A79AD" w:rsidRDefault="006C2818">
            <w:pPr>
              <w:keepLines/>
              <w:jc w:val="center"/>
              <w:rPr>
                <w:rFonts w:ascii="Arial Narrow" w:hAnsi="Arial Narrow"/>
                <w:i/>
                <w:kern w:val="2"/>
                <w:sz w:val="20"/>
                <w:szCs w:val="20"/>
              </w:rPr>
            </w:pPr>
            <w:r w:rsidRPr="005A79AD">
              <w:rPr>
                <w:rFonts w:ascii="Arial Narrow" w:hAnsi="Arial Narrow"/>
                <w:i/>
                <w:kern w:val="2"/>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3B084BEC" w14:textId="77777777" w:rsidR="006C2818" w:rsidRPr="005A79AD" w:rsidRDefault="006C2818">
            <w:pPr>
              <w:keepLines/>
              <w:jc w:val="center"/>
              <w:rPr>
                <w:rFonts w:ascii="Arial Narrow" w:hAnsi="Arial Narrow"/>
                <w:i/>
                <w:kern w:val="2"/>
                <w:sz w:val="20"/>
                <w:szCs w:val="20"/>
              </w:rPr>
            </w:pPr>
            <w:r w:rsidRPr="005A79AD">
              <w:rPr>
                <w:rFonts w:ascii="Arial Narrow" w:hAnsi="Arial Narrow"/>
                <w:i/>
                <w:kern w:val="2"/>
                <w:sz w:val="20"/>
                <w:szCs w:val="20"/>
              </w:rPr>
              <w:t>28</w:t>
            </w:r>
          </w:p>
        </w:tc>
        <w:tc>
          <w:tcPr>
            <w:tcW w:w="708" w:type="dxa"/>
            <w:tcBorders>
              <w:top w:val="single" w:sz="4" w:space="0" w:color="auto"/>
              <w:left w:val="single" w:sz="4" w:space="0" w:color="auto"/>
              <w:bottom w:val="single" w:sz="4" w:space="0" w:color="auto"/>
              <w:right w:val="single" w:sz="4" w:space="0" w:color="auto"/>
            </w:tcBorders>
            <w:vAlign w:val="center"/>
          </w:tcPr>
          <w:p w14:paraId="48556557" w14:textId="77777777" w:rsidR="006C2818" w:rsidRPr="005A79AD" w:rsidRDefault="006C2818">
            <w:pPr>
              <w:keepLines/>
              <w:jc w:val="center"/>
              <w:rPr>
                <w:rFonts w:ascii="Arial Narrow" w:hAnsi="Arial Narrow"/>
                <w:i/>
                <w:kern w:val="2"/>
                <w:sz w:val="20"/>
                <w:szCs w:val="20"/>
              </w:rPr>
            </w:pPr>
            <w:r w:rsidRPr="005A79AD">
              <w:rPr>
                <w:rFonts w:ascii="Arial Narrow" w:hAnsi="Arial Narrow"/>
                <w:i/>
                <w:kern w:val="2"/>
                <w:sz w:val="20"/>
                <w:szCs w:val="20"/>
              </w:rPr>
              <w:t>2</w:t>
            </w:r>
          </w:p>
        </w:tc>
        <w:tc>
          <w:tcPr>
            <w:tcW w:w="1701" w:type="dxa"/>
            <w:vMerge/>
            <w:tcBorders>
              <w:left w:val="single" w:sz="4" w:space="0" w:color="auto"/>
              <w:right w:val="single" w:sz="4" w:space="0" w:color="auto"/>
            </w:tcBorders>
            <w:vAlign w:val="center"/>
          </w:tcPr>
          <w:p w14:paraId="0F1D94D3" w14:textId="77777777" w:rsidR="006C2818" w:rsidRDefault="006C2818">
            <w:pPr>
              <w:keepLines/>
              <w:jc w:val="center"/>
              <w:rPr>
                <w:rFonts w:ascii="Arial Narrow" w:hAnsi="Arial Narrow"/>
                <w:kern w:val="2"/>
                <w:sz w:val="20"/>
                <w:szCs w:val="20"/>
              </w:rPr>
            </w:pPr>
          </w:p>
        </w:tc>
      </w:tr>
      <w:tr w:rsidR="006C2818" w:rsidRPr="001B1DB5" w14:paraId="002DC2FF" w14:textId="77777777" w:rsidTr="006C2818">
        <w:trPr>
          <w:trHeight w:val="20"/>
        </w:trPr>
        <w:tc>
          <w:tcPr>
            <w:tcW w:w="9067"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D1455D6" w14:textId="77777777" w:rsidR="006C2818" w:rsidRPr="0048020E" w:rsidRDefault="006C2818">
            <w:pPr>
              <w:rPr>
                <w:rFonts w:ascii="Arial Narrow" w:hAnsi="Arial Narrow"/>
                <w:kern w:val="2"/>
                <w:sz w:val="20"/>
                <w:szCs w:val="20"/>
              </w:rPr>
            </w:pPr>
          </w:p>
        </w:tc>
      </w:tr>
      <w:tr w:rsidR="006C2818" w:rsidRPr="001B1DB5" w14:paraId="72313B1C" w14:textId="77777777" w:rsidTr="006C2818">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60491C9" w14:textId="7EB32974" w:rsidR="006C2818" w:rsidRPr="001B1DB5" w:rsidRDefault="006C2818">
            <w:pPr>
              <w:keepLines/>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859A590" w14:textId="71FA175F" w:rsidR="006C2818" w:rsidRPr="00E0334D" w:rsidRDefault="006C2818">
            <w:pPr>
              <w:keepLines/>
              <w:rPr>
                <w:rFonts w:ascii="Arial Narrow" w:hAnsi="Arial Narrow"/>
                <w:kern w:val="2"/>
                <w:sz w:val="20"/>
                <w:szCs w:val="20"/>
              </w:rPr>
            </w:pPr>
            <w:r w:rsidRPr="001B1DB5">
              <w:rPr>
                <w:rFonts w:ascii="Arial Narrow" w:hAnsi="Arial Narrow"/>
                <w:b/>
                <w:kern w:val="2"/>
                <w:sz w:val="20"/>
                <w:szCs w:val="20"/>
              </w:rPr>
              <w:t>Indication:</w:t>
            </w:r>
            <w:r w:rsidRPr="001B1DB5">
              <w:rPr>
                <w:rFonts w:ascii="Arial Narrow" w:hAnsi="Arial Narrow"/>
                <w:kern w:val="2"/>
                <w:sz w:val="20"/>
                <w:szCs w:val="20"/>
              </w:rPr>
              <w:t xml:space="preserve"> </w:t>
            </w:r>
            <w:r w:rsidR="005A79AD" w:rsidRPr="005A79AD">
              <w:rPr>
                <w:rFonts w:ascii="Arial Narrow" w:hAnsi="Arial Narrow"/>
                <w:bCs/>
                <w:sz w:val="20"/>
                <w:szCs w:val="20"/>
              </w:rPr>
              <w:t>Severe</w:t>
            </w:r>
            <w:r w:rsidRPr="00E0334D">
              <w:rPr>
                <w:rFonts w:ascii="Arial Narrow" w:hAnsi="Arial Narrow"/>
                <w:bCs/>
                <w:sz w:val="20"/>
                <w:szCs w:val="20"/>
              </w:rPr>
              <w:t xml:space="preserve"> Crohn disease</w:t>
            </w:r>
          </w:p>
        </w:tc>
      </w:tr>
    </w:tbl>
    <w:p w14:paraId="7AC61052" w14:textId="77777777" w:rsidR="00B553E6" w:rsidRDefault="00B553E6" w:rsidP="000F4062">
      <w:pPr>
        <w:rPr>
          <w:rFonts w:asciiTheme="minorHAnsi" w:hAnsiTheme="minorHAnsi" w:cstheme="minorHAnsi"/>
          <w:b/>
          <w:bCs/>
          <w:kern w:val="2"/>
          <w:highlight w:val="yellow"/>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Flow on changes"/>
      </w:tblPr>
      <w:tblGrid>
        <w:gridCol w:w="1271"/>
        <w:gridCol w:w="2268"/>
        <w:gridCol w:w="1276"/>
        <w:gridCol w:w="992"/>
        <w:gridCol w:w="851"/>
        <w:gridCol w:w="708"/>
        <w:gridCol w:w="1701"/>
      </w:tblGrid>
      <w:tr w:rsidR="005A79AD" w:rsidRPr="001B1DB5" w14:paraId="61990F22" w14:textId="77777777">
        <w:trPr>
          <w:cantSplit/>
          <w:trHeight w:val="20"/>
        </w:trPr>
        <w:tc>
          <w:tcPr>
            <w:tcW w:w="3539" w:type="dxa"/>
            <w:gridSpan w:val="2"/>
            <w:tcBorders>
              <w:top w:val="single" w:sz="4" w:space="0" w:color="auto"/>
              <w:left w:val="single" w:sz="4" w:space="0" w:color="auto"/>
              <w:bottom w:val="single" w:sz="4" w:space="0" w:color="auto"/>
              <w:right w:val="single" w:sz="4" w:space="0" w:color="auto"/>
            </w:tcBorders>
            <w:vAlign w:val="center"/>
            <w:hideMark/>
          </w:tcPr>
          <w:p w14:paraId="5FEC0F57" w14:textId="77777777" w:rsidR="005A79AD" w:rsidRDefault="005A79AD">
            <w:pPr>
              <w:keepLines/>
              <w:rPr>
                <w:rFonts w:ascii="Arial Narrow" w:hAnsi="Arial Narrow"/>
                <w:b/>
                <w:bCs/>
                <w:kern w:val="2"/>
                <w:sz w:val="20"/>
                <w:szCs w:val="20"/>
              </w:rPr>
            </w:pPr>
            <w:r>
              <w:rPr>
                <w:rFonts w:ascii="Arial Narrow" w:hAnsi="Arial Narrow"/>
                <w:b/>
                <w:bCs/>
                <w:kern w:val="2"/>
                <w:sz w:val="20"/>
                <w:szCs w:val="20"/>
              </w:rPr>
              <w:t>MEDICINAL PRODUCT</w:t>
            </w:r>
          </w:p>
          <w:p w14:paraId="7E156008" w14:textId="77777777" w:rsidR="005A79AD" w:rsidRDefault="005A79AD">
            <w:pPr>
              <w:keepLines/>
              <w:rPr>
                <w:rFonts w:ascii="Arial Narrow" w:hAnsi="Arial Narrow"/>
                <w:b/>
                <w:kern w:val="2"/>
                <w:sz w:val="20"/>
                <w:szCs w:val="20"/>
              </w:rPr>
            </w:pPr>
            <w:r>
              <w:rPr>
                <w:rFonts w:ascii="Arial Narrow" w:hAnsi="Arial Narrow"/>
                <w:b/>
                <w:bCs/>
                <w:kern w:val="2"/>
                <w:sz w:val="20"/>
                <w:szCs w:val="20"/>
              </w:rPr>
              <w:t>medicinal product pack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121489" w14:textId="77777777" w:rsidR="005A79AD" w:rsidRDefault="005A79AD">
            <w:pPr>
              <w:keepLines/>
              <w:jc w:val="center"/>
              <w:rPr>
                <w:rFonts w:ascii="Arial Narrow" w:hAnsi="Arial Narrow"/>
                <w:b/>
                <w:kern w:val="2"/>
                <w:sz w:val="20"/>
                <w:szCs w:val="20"/>
              </w:rPr>
            </w:pPr>
            <w:r>
              <w:rPr>
                <w:rFonts w:ascii="Arial Narrow" w:hAnsi="Arial Narrow"/>
                <w:b/>
                <w:kern w:val="2"/>
                <w:sz w:val="20"/>
                <w:szCs w:val="20"/>
              </w:rPr>
              <w:t>PBS item code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AA8889" w14:textId="77777777" w:rsidR="005A79AD" w:rsidRDefault="005A79AD">
            <w:pPr>
              <w:keepLines/>
              <w:jc w:val="center"/>
              <w:rPr>
                <w:rFonts w:ascii="Arial Narrow" w:hAnsi="Arial Narrow"/>
                <w:b/>
                <w:kern w:val="2"/>
                <w:sz w:val="20"/>
                <w:szCs w:val="20"/>
              </w:rPr>
            </w:pPr>
            <w:r>
              <w:rPr>
                <w:rFonts w:ascii="Arial Narrow" w:hAnsi="Arial Narrow"/>
                <w:b/>
                <w:kern w:val="2"/>
                <w:sz w:val="20"/>
                <w:szCs w:val="20"/>
              </w:rPr>
              <w:t>Max. qty packs</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44D586" w14:textId="77777777" w:rsidR="005A79AD" w:rsidRDefault="005A79AD">
            <w:pPr>
              <w:keepLines/>
              <w:jc w:val="center"/>
              <w:rPr>
                <w:rFonts w:ascii="Arial Narrow" w:hAnsi="Arial Narrow"/>
                <w:b/>
                <w:kern w:val="2"/>
                <w:sz w:val="20"/>
                <w:szCs w:val="20"/>
              </w:rPr>
            </w:pPr>
            <w:r>
              <w:rPr>
                <w:rFonts w:ascii="Arial Narrow" w:hAnsi="Arial Narrow"/>
                <w:b/>
                <w:kern w:val="2"/>
                <w:sz w:val="20"/>
                <w:szCs w:val="20"/>
              </w:rPr>
              <w:t>Max. qty units</w:t>
            </w:r>
          </w:p>
        </w:tc>
        <w:tc>
          <w:tcPr>
            <w:tcW w:w="708" w:type="dxa"/>
            <w:tcBorders>
              <w:top w:val="single" w:sz="4" w:space="0" w:color="auto"/>
              <w:left w:val="single" w:sz="4" w:space="0" w:color="auto"/>
              <w:bottom w:val="single" w:sz="4" w:space="0" w:color="auto"/>
              <w:right w:val="single" w:sz="4" w:space="0" w:color="auto"/>
            </w:tcBorders>
            <w:vAlign w:val="center"/>
            <w:hideMark/>
          </w:tcPr>
          <w:p w14:paraId="09C042EF" w14:textId="77777777" w:rsidR="005A79AD" w:rsidRDefault="005A79AD">
            <w:pPr>
              <w:keepLines/>
              <w:jc w:val="center"/>
              <w:rPr>
                <w:rFonts w:ascii="Arial Narrow" w:hAnsi="Arial Narrow"/>
                <w:b/>
                <w:kern w:val="2"/>
                <w:sz w:val="20"/>
                <w:szCs w:val="20"/>
              </w:rPr>
            </w:pPr>
            <w:r>
              <w:rPr>
                <w:rFonts w:ascii="Arial Narrow" w:hAnsi="Arial Narrow"/>
                <w:b/>
                <w:kern w:val="2"/>
                <w:sz w:val="20"/>
                <w:szCs w:val="20"/>
              </w:rPr>
              <w:t>№.of</w:t>
            </w:r>
          </w:p>
          <w:p w14:paraId="2FD488B7" w14:textId="77777777" w:rsidR="005A79AD" w:rsidRDefault="005A79AD">
            <w:pPr>
              <w:keepLines/>
              <w:jc w:val="center"/>
              <w:rPr>
                <w:rFonts w:ascii="Arial Narrow" w:hAnsi="Arial Narrow"/>
                <w:b/>
                <w:kern w:val="2"/>
                <w:sz w:val="20"/>
                <w:szCs w:val="20"/>
              </w:rPr>
            </w:pPr>
            <w:r>
              <w:rPr>
                <w:rFonts w:ascii="Arial Narrow" w:hAnsi="Arial Narrow"/>
                <w:b/>
                <w:kern w:val="2"/>
                <w:sz w:val="20"/>
                <w:szCs w:val="20"/>
              </w:rPr>
              <w:t>Rpts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8DAFAC" w14:textId="77777777" w:rsidR="005A79AD" w:rsidRDefault="005A79AD">
            <w:pPr>
              <w:keepLines/>
              <w:rPr>
                <w:rFonts w:ascii="Arial Narrow" w:hAnsi="Arial Narrow"/>
                <w:b/>
                <w:kern w:val="2"/>
                <w:sz w:val="20"/>
                <w:szCs w:val="20"/>
                <w:lang w:val="fr-FR"/>
              </w:rPr>
            </w:pPr>
            <w:r>
              <w:rPr>
                <w:rFonts w:ascii="Arial Narrow" w:hAnsi="Arial Narrow"/>
                <w:b/>
                <w:kern w:val="2"/>
                <w:sz w:val="20"/>
                <w:szCs w:val="20"/>
              </w:rPr>
              <w:t>Available brands</w:t>
            </w:r>
          </w:p>
        </w:tc>
      </w:tr>
      <w:tr w:rsidR="005A79AD" w:rsidRPr="001B1DB5" w14:paraId="6D1556D9" w14:textId="77777777">
        <w:trPr>
          <w:cantSplit/>
          <w:trHeight w:val="20"/>
        </w:trPr>
        <w:tc>
          <w:tcPr>
            <w:tcW w:w="9067" w:type="dxa"/>
            <w:gridSpan w:val="7"/>
            <w:tcBorders>
              <w:top w:val="single" w:sz="4" w:space="0" w:color="auto"/>
              <w:left w:val="single" w:sz="4" w:space="0" w:color="auto"/>
              <w:bottom w:val="single" w:sz="4" w:space="0" w:color="auto"/>
              <w:right w:val="single" w:sz="4" w:space="0" w:color="auto"/>
            </w:tcBorders>
            <w:vAlign w:val="center"/>
            <w:hideMark/>
          </w:tcPr>
          <w:p w14:paraId="47E6674A" w14:textId="77777777" w:rsidR="005A79AD" w:rsidRDefault="005A79AD">
            <w:pPr>
              <w:keepLines/>
              <w:rPr>
                <w:rFonts w:ascii="Arial Narrow" w:hAnsi="Arial Narrow"/>
                <w:kern w:val="2"/>
                <w:sz w:val="20"/>
                <w:szCs w:val="20"/>
              </w:rPr>
            </w:pPr>
            <w:r>
              <w:rPr>
                <w:rFonts w:ascii="Arial Narrow" w:hAnsi="Arial Narrow"/>
                <w:kern w:val="2"/>
                <w:sz w:val="20"/>
                <w:szCs w:val="20"/>
              </w:rPr>
              <w:t xml:space="preserve">UPADACITINIB </w:t>
            </w:r>
          </w:p>
        </w:tc>
      </w:tr>
      <w:tr w:rsidR="005A79AD" w:rsidRPr="001B1DB5" w14:paraId="1AEA2590" w14:textId="77777777">
        <w:trPr>
          <w:cantSplit/>
          <w:trHeight w:val="20"/>
        </w:trPr>
        <w:tc>
          <w:tcPr>
            <w:tcW w:w="3539" w:type="dxa"/>
            <w:gridSpan w:val="2"/>
            <w:tcBorders>
              <w:top w:val="single" w:sz="4" w:space="0" w:color="auto"/>
              <w:left w:val="single" w:sz="4" w:space="0" w:color="auto"/>
              <w:bottom w:val="single" w:sz="4" w:space="0" w:color="auto"/>
              <w:right w:val="single" w:sz="4" w:space="0" w:color="auto"/>
            </w:tcBorders>
            <w:vAlign w:val="center"/>
          </w:tcPr>
          <w:p w14:paraId="66B1C248" w14:textId="77777777" w:rsidR="005A79AD" w:rsidRPr="0048020E" w:rsidRDefault="005A79AD">
            <w:pPr>
              <w:keepLines/>
              <w:rPr>
                <w:rFonts w:ascii="Arial Narrow" w:hAnsi="Arial Narrow"/>
                <w:kern w:val="2"/>
                <w:sz w:val="20"/>
                <w:szCs w:val="20"/>
              </w:rPr>
            </w:pPr>
            <w:r>
              <w:rPr>
                <w:rFonts w:ascii="Arial Narrow" w:hAnsi="Arial Narrow"/>
                <w:kern w:val="2"/>
                <w:sz w:val="20"/>
                <w:szCs w:val="20"/>
              </w:rPr>
              <w:t xml:space="preserve">upadacitinib 45 mg oral tablet, 28 </w:t>
            </w:r>
          </w:p>
        </w:tc>
        <w:tc>
          <w:tcPr>
            <w:tcW w:w="1276" w:type="dxa"/>
            <w:tcBorders>
              <w:top w:val="single" w:sz="4" w:space="0" w:color="auto"/>
              <w:left w:val="single" w:sz="4" w:space="0" w:color="auto"/>
              <w:bottom w:val="single" w:sz="4" w:space="0" w:color="auto"/>
              <w:right w:val="single" w:sz="4" w:space="0" w:color="auto"/>
            </w:tcBorders>
            <w:vAlign w:val="center"/>
          </w:tcPr>
          <w:p w14:paraId="4C77434F" w14:textId="5CF3ADC6" w:rsidR="005A79AD" w:rsidRPr="0048020E" w:rsidRDefault="00CA6801">
            <w:pPr>
              <w:keepLines/>
              <w:jc w:val="center"/>
              <w:rPr>
                <w:rFonts w:ascii="Arial Narrow" w:hAnsi="Arial Narrow"/>
                <w:kern w:val="2"/>
                <w:sz w:val="20"/>
                <w:szCs w:val="20"/>
              </w:rPr>
            </w:pPr>
            <w:r w:rsidRPr="00CA6801">
              <w:rPr>
                <w:rFonts w:ascii="Arial Narrow" w:hAnsi="Arial Narrow"/>
                <w:kern w:val="2"/>
                <w:sz w:val="20"/>
                <w:szCs w:val="20"/>
              </w:rPr>
              <w:t>13262B</w:t>
            </w:r>
          </w:p>
        </w:tc>
        <w:tc>
          <w:tcPr>
            <w:tcW w:w="992" w:type="dxa"/>
            <w:tcBorders>
              <w:top w:val="single" w:sz="4" w:space="0" w:color="auto"/>
              <w:left w:val="single" w:sz="4" w:space="0" w:color="auto"/>
              <w:bottom w:val="single" w:sz="4" w:space="0" w:color="auto"/>
              <w:right w:val="single" w:sz="4" w:space="0" w:color="auto"/>
            </w:tcBorders>
            <w:vAlign w:val="center"/>
          </w:tcPr>
          <w:p w14:paraId="165E10E8" w14:textId="77777777" w:rsidR="005A79AD" w:rsidRPr="0048020E" w:rsidRDefault="005A79AD">
            <w:pPr>
              <w:keepLines/>
              <w:jc w:val="center"/>
              <w:rPr>
                <w:rFonts w:ascii="Arial Narrow" w:hAnsi="Arial Narrow"/>
                <w:kern w:val="2"/>
                <w:sz w:val="20"/>
                <w:szCs w:val="20"/>
              </w:rPr>
            </w:pPr>
            <w:r w:rsidRPr="0048020E">
              <w:rPr>
                <w:rFonts w:ascii="Arial Narrow" w:hAnsi="Arial Narrow"/>
                <w:kern w:val="2"/>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31BB5AA4" w14:textId="77777777" w:rsidR="005A79AD" w:rsidRPr="006D26AB" w:rsidRDefault="005A79AD">
            <w:pPr>
              <w:keepLines/>
              <w:jc w:val="center"/>
              <w:rPr>
                <w:rFonts w:ascii="Arial Narrow" w:hAnsi="Arial Narrow"/>
                <w:kern w:val="2"/>
                <w:sz w:val="20"/>
                <w:szCs w:val="20"/>
              </w:rPr>
            </w:pPr>
            <w:r>
              <w:rPr>
                <w:rFonts w:ascii="Arial Narrow" w:hAnsi="Arial Narrow"/>
                <w:kern w:val="2"/>
                <w:sz w:val="20"/>
                <w:szCs w:val="20"/>
              </w:rPr>
              <w:t>28</w:t>
            </w:r>
          </w:p>
        </w:tc>
        <w:tc>
          <w:tcPr>
            <w:tcW w:w="708" w:type="dxa"/>
            <w:tcBorders>
              <w:top w:val="single" w:sz="4" w:space="0" w:color="auto"/>
              <w:left w:val="single" w:sz="4" w:space="0" w:color="auto"/>
              <w:bottom w:val="single" w:sz="4" w:space="0" w:color="auto"/>
              <w:right w:val="single" w:sz="4" w:space="0" w:color="auto"/>
            </w:tcBorders>
            <w:vAlign w:val="center"/>
          </w:tcPr>
          <w:p w14:paraId="7B910E8E" w14:textId="2047B795" w:rsidR="005A79AD" w:rsidRPr="006D26AB" w:rsidRDefault="004F643C">
            <w:pPr>
              <w:keepLines/>
              <w:jc w:val="center"/>
              <w:rPr>
                <w:rFonts w:ascii="Arial Narrow" w:hAnsi="Arial Narrow"/>
                <w:kern w:val="2"/>
                <w:sz w:val="20"/>
                <w:szCs w:val="20"/>
              </w:rPr>
            </w:pPr>
            <w:r>
              <w:rPr>
                <w:rFonts w:ascii="Arial Narrow" w:hAnsi="Arial Narrow"/>
                <w:kern w:val="2"/>
                <w:sz w:val="20"/>
                <w:szCs w:val="20"/>
              </w:rPr>
              <w:t>3</w:t>
            </w:r>
          </w:p>
        </w:tc>
        <w:tc>
          <w:tcPr>
            <w:tcW w:w="1701" w:type="dxa"/>
            <w:vMerge w:val="restart"/>
            <w:tcBorders>
              <w:top w:val="single" w:sz="4" w:space="0" w:color="auto"/>
              <w:left w:val="single" w:sz="4" w:space="0" w:color="auto"/>
              <w:right w:val="single" w:sz="4" w:space="0" w:color="auto"/>
            </w:tcBorders>
            <w:vAlign w:val="center"/>
          </w:tcPr>
          <w:p w14:paraId="06E85AA5" w14:textId="77777777" w:rsidR="005A79AD" w:rsidRPr="0048020E" w:rsidRDefault="005A79AD">
            <w:pPr>
              <w:keepLines/>
              <w:jc w:val="center"/>
              <w:rPr>
                <w:rFonts w:ascii="Arial Narrow" w:hAnsi="Arial Narrow"/>
                <w:kern w:val="2"/>
                <w:sz w:val="20"/>
                <w:szCs w:val="20"/>
              </w:rPr>
            </w:pPr>
            <w:r>
              <w:rPr>
                <w:rFonts w:ascii="Arial Narrow" w:hAnsi="Arial Narrow"/>
                <w:kern w:val="2"/>
                <w:sz w:val="20"/>
                <w:szCs w:val="20"/>
              </w:rPr>
              <w:t>Rinvoq</w:t>
            </w:r>
          </w:p>
        </w:tc>
      </w:tr>
      <w:tr w:rsidR="005A79AD" w:rsidRPr="001B1DB5" w14:paraId="325C29F4" w14:textId="77777777">
        <w:trPr>
          <w:cantSplit/>
          <w:trHeight w:val="20"/>
        </w:trPr>
        <w:tc>
          <w:tcPr>
            <w:tcW w:w="3539" w:type="dxa"/>
            <w:gridSpan w:val="2"/>
            <w:tcBorders>
              <w:top w:val="single" w:sz="4" w:space="0" w:color="auto"/>
              <w:left w:val="single" w:sz="4" w:space="0" w:color="auto"/>
              <w:bottom w:val="single" w:sz="4" w:space="0" w:color="auto"/>
              <w:right w:val="single" w:sz="4" w:space="0" w:color="auto"/>
            </w:tcBorders>
            <w:vAlign w:val="center"/>
          </w:tcPr>
          <w:p w14:paraId="23AFD2F1" w14:textId="77777777" w:rsidR="005A79AD" w:rsidRPr="005A79AD" w:rsidRDefault="005A79AD">
            <w:pPr>
              <w:keepLines/>
              <w:rPr>
                <w:rFonts w:ascii="Arial Narrow" w:hAnsi="Arial Narrow"/>
                <w:i/>
                <w:iCs/>
                <w:kern w:val="2"/>
                <w:sz w:val="20"/>
                <w:szCs w:val="20"/>
              </w:rPr>
            </w:pPr>
            <w:r w:rsidRPr="005A79AD">
              <w:rPr>
                <w:rFonts w:ascii="Arial Narrow" w:hAnsi="Arial Narrow"/>
                <w:i/>
                <w:iCs/>
                <w:kern w:val="2"/>
                <w:sz w:val="20"/>
                <w:szCs w:val="20"/>
              </w:rPr>
              <w:t xml:space="preserve">upadacitinib 30 mg oral tablet, 28 </w:t>
            </w:r>
          </w:p>
        </w:tc>
        <w:tc>
          <w:tcPr>
            <w:tcW w:w="1276" w:type="dxa"/>
            <w:tcBorders>
              <w:top w:val="single" w:sz="4" w:space="0" w:color="auto"/>
              <w:left w:val="single" w:sz="4" w:space="0" w:color="auto"/>
              <w:bottom w:val="single" w:sz="4" w:space="0" w:color="auto"/>
              <w:right w:val="single" w:sz="4" w:space="0" w:color="auto"/>
            </w:tcBorders>
            <w:vAlign w:val="center"/>
          </w:tcPr>
          <w:p w14:paraId="2B3C21EC" w14:textId="77777777" w:rsidR="005A79AD" w:rsidRPr="005A79AD" w:rsidRDefault="005A79AD">
            <w:pPr>
              <w:keepLines/>
              <w:jc w:val="center"/>
              <w:rPr>
                <w:rFonts w:ascii="Arial Narrow" w:hAnsi="Arial Narrow"/>
                <w:i/>
                <w:iCs/>
                <w:kern w:val="2"/>
                <w:sz w:val="20"/>
                <w:szCs w:val="20"/>
              </w:rPr>
            </w:pPr>
            <w:r w:rsidRPr="005A79AD">
              <w:rPr>
                <w:rFonts w:ascii="Arial Narrow" w:hAnsi="Arial Narrow"/>
                <w:i/>
                <w:iCs/>
                <w:kern w:val="2"/>
                <w:sz w:val="20"/>
                <w:szCs w:val="20"/>
              </w:rPr>
              <w:t xml:space="preserve">NEW </w:t>
            </w:r>
          </w:p>
        </w:tc>
        <w:tc>
          <w:tcPr>
            <w:tcW w:w="992" w:type="dxa"/>
            <w:tcBorders>
              <w:top w:val="single" w:sz="4" w:space="0" w:color="auto"/>
              <w:left w:val="single" w:sz="4" w:space="0" w:color="auto"/>
              <w:bottom w:val="single" w:sz="4" w:space="0" w:color="auto"/>
              <w:right w:val="single" w:sz="4" w:space="0" w:color="auto"/>
            </w:tcBorders>
            <w:vAlign w:val="center"/>
          </w:tcPr>
          <w:p w14:paraId="3CEE2151" w14:textId="77777777" w:rsidR="005A79AD" w:rsidRPr="005A79AD" w:rsidRDefault="005A79AD">
            <w:pPr>
              <w:keepLines/>
              <w:jc w:val="center"/>
              <w:rPr>
                <w:rFonts w:ascii="Arial Narrow" w:hAnsi="Arial Narrow"/>
                <w:i/>
                <w:iCs/>
                <w:kern w:val="2"/>
                <w:sz w:val="20"/>
                <w:szCs w:val="20"/>
              </w:rPr>
            </w:pPr>
            <w:r w:rsidRPr="005A79AD">
              <w:rPr>
                <w:rFonts w:ascii="Arial Narrow" w:hAnsi="Arial Narrow"/>
                <w:i/>
                <w:iCs/>
                <w:kern w:val="2"/>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14:paraId="1680FE50" w14:textId="77777777" w:rsidR="005A79AD" w:rsidRPr="005A79AD" w:rsidRDefault="005A79AD">
            <w:pPr>
              <w:keepLines/>
              <w:jc w:val="center"/>
              <w:rPr>
                <w:rFonts w:ascii="Arial Narrow" w:hAnsi="Arial Narrow"/>
                <w:i/>
                <w:iCs/>
                <w:kern w:val="2"/>
                <w:sz w:val="20"/>
                <w:szCs w:val="20"/>
              </w:rPr>
            </w:pPr>
            <w:r w:rsidRPr="005A79AD">
              <w:rPr>
                <w:rFonts w:ascii="Arial Narrow" w:hAnsi="Arial Narrow"/>
                <w:i/>
                <w:iCs/>
                <w:kern w:val="2"/>
                <w:sz w:val="20"/>
                <w:szCs w:val="20"/>
              </w:rPr>
              <w:t>28</w:t>
            </w:r>
          </w:p>
        </w:tc>
        <w:tc>
          <w:tcPr>
            <w:tcW w:w="708" w:type="dxa"/>
            <w:tcBorders>
              <w:top w:val="single" w:sz="4" w:space="0" w:color="auto"/>
              <w:left w:val="single" w:sz="4" w:space="0" w:color="auto"/>
              <w:bottom w:val="single" w:sz="4" w:space="0" w:color="auto"/>
              <w:right w:val="single" w:sz="4" w:space="0" w:color="auto"/>
            </w:tcBorders>
            <w:vAlign w:val="center"/>
          </w:tcPr>
          <w:p w14:paraId="6DA90D64" w14:textId="310438D7" w:rsidR="005A79AD" w:rsidRPr="005A79AD" w:rsidRDefault="004F643C">
            <w:pPr>
              <w:keepLines/>
              <w:jc w:val="center"/>
              <w:rPr>
                <w:rFonts w:ascii="Arial Narrow" w:hAnsi="Arial Narrow"/>
                <w:i/>
                <w:iCs/>
                <w:kern w:val="2"/>
                <w:sz w:val="20"/>
                <w:szCs w:val="20"/>
              </w:rPr>
            </w:pPr>
            <w:r>
              <w:rPr>
                <w:rFonts w:ascii="Arial Narrow" w:hAnsi="Arial Narrow"/>
                <w:i/>
                <w:iCs/>
                <w:kern w:val="2"/>
                <w:sz w:val="20"/>
                <w:szCs w:val="20"/>
              </w:rPr>
              <w:t>3</w:t>
            </w:r>
          </w:p>
        </w:tc>
        <w:tc>
          <w:tcPr>
            <w:tcW w:w="1701" w:type="dxa"/>
            <w:vMerge/>
            <w:tcBorders>
              <w:left w:val="single" w:sz="4" w:space="0" w:color="auto"/>
              <w:right w:val="single" w:sz="4" w:space="0" w:color="auto"/>
            </w:tcBorders>
            <w:vAlign w:val="center"/>
          </w:tcPr>
          <w:p w14:paraId="0973965D" w14:textId="77777777" w:rsidR="005A79AD" w:rsidRDefault="005A79AD">
            <w:pPr>
              <w:keepLines/>
              <w:jc w:val="center"/>
              <w:rPr>
                <w:rFonts w:ascii="Arial Narrow" w:hAnsi="Arial Narrow"/>
                <w:kern w:val="2"/>
                <w:sz w:val="20"/>
                <w:szCs w:val="20"/>
              </w:rPr>
            </w:pPr>
          </w:p>
        </w:tc>
      </w:tr>
      <w:tr w:rsidR="005A79AD" w:rsidRPr="001B1DB5" w14:paraId="7C9E1CCB" w14:textId="77777777">
        <w:trPr>
          <w:trHeight w:val="20"/>
        </w:trPr>
        <w:tc>
          <w:tcPr>
            <w:tcW w:w="9067"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4C24A03" w14:textId="77777777" w:rsidR="005A79AD" w:rsidRPr="0048020E" w:rsidRDefault="005A79AD">
            <w:pPr>
              <w:rPr>
                <w:rFonts w:ascii="Arial Narrow" w:hAnsi="Arial Narrow"/>
                <w:kern w:val="2"/>
                <w:sz w:val="20"/>
                <w:szCs w:val="20"/>
              </w:rPr>
            </w:pPr>
          </w:p>
        </w:tc>
      </w:tr>
      <w:tr w:rsidR="005A79AD" w:rsidRPr="001B1DB5" w14:paraId="11F4452F" w14:textId="77777777">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8C3916E" w14:textId="6BBA54F9" w:rsidR="005A79AD" w:rsidRPr="001B1DB5" w:rsidRDefault="005A79AD">
            <w:pPr>
              <w:keepLines/>
              <w:jc w:val="center"/>
              <w:rPr>
                <w:rFonts w:ascii="Arial Narrow" w:hAnsi="Arial Narrow"/>
                <w:kern w:val="2"/>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1AF0233" w14:textId="44C7FFF3" w:rsidR="005A79AD" w:rsidRPr="00E0334D" w:rsidRDefault="005A79AD">
            <w:pPr>
              <w:keepLines/>
              <w:rPr>
                <w:rFonts w:ascii="Arial Narrow" w:hAnsi="Arial Narrow"/>
                <w:kern w:val="2"/>
                <w:sz w:val="20"/>
                <w:szCs w:val="20"/>
              </w:rPr>
            </w:pPr>
            <w:r w:rsidRPr="001B1DB5">
              <w:rPr>
                <w:rFonts w:ascii="Arial Narrow" w:hAnsi="Arial Narrow"/>
                <w:b/>
                <w:kern w:val="2"/>
                <w:sz w:val="20"/>
                <w:szCs w:val="20"/>
              </w:rPr>
              <w:t>Indication:</w:t>
            </w:r>
            <w:r w:rsidRPr="001B1DB5">
              <w:rPr>
                <w:rFonts w:ascii="Arial Narrow" w:hAnsi="Arial Narrow"/>
                <w:kern w:val="2"/>
                <w:sz w:val="20"/>
                <w:szCs w:val="20"/>
              </w:rPr>
              <w:t xml:space="preserve"> </w:t>
            </w:r>
            <w:r w:rsidR="008270C6" w:rsidRPr="008270C6">
              <w:rPr>
                <w:rFonts w:ascii="Arial Narrow" w:hAnsi="Arial Narrow"/>
                <w:bCs/>
                <w:sz w:val="20"/>
                <w:szCs w:val="20"/>
              </w:rPr>
              <w:t>Moderate to severe ulcerative colitis</w:t>
            </w:r>
          </w:p>
        </w:tc>
      </w:tr>
    </w:tbl>
    <w:p w14:paraId="7F1F4365" w14:textId="66411FCD" w:rsidR="000C033F" w:rsidRDefault="00DF02A8" w:rsidP="00C503C2">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r w:rsidR="00C503C2">
        <w:rPr>
          <w:rFonts w:asciiTheme="minorHAnsi" w:hAnsiTheme="minorHAnsi"/>
          <w:b/>
          <w:i/>
          <w:iCs/>
          <w:snapToGrid w:val="0"/>
          <w:lang w:val="en-GB"/>
        </w:rPr>
        <w:t>.</w:t>
      </w:r>
    </w:p>
    <w:p w14:paraId="031D4505" w14:textId="0EB778F2" w:rsidR="00A84554" w:rsidRPr="00A84554" w:rsidRDefault="00A84554" w:rsidP="00A84554">
      <w:pPr>
        <w:keepNext/>
        <w:spacing w:before="240" w:after="120"/>
        <w:ind w:left="720" w:hanging="720"/>
        <w:jc w:val="left"/>
        <w:outlineLvl w:val="0"/>
        <w:rPr>
          <w:rFonts w:asciiTheme="minorHAnsi" w:hAnsiTheme="minorHAnsi"/>
          <w:b/>
          <w:snapToGrid w:val="0"/>
          <w:sz w:val="32"/>
          <w:szCs w:val="32"/>
          <w:lang w:val="en-GB" w:eastAsia="en-US"/>
        </w:rPr>
      </w:pPr>
      <w:r>
        <w:rPr>
          <w:rFonts w:asciiTheme="minorHAnsi" w:hAnsiTheme="minorHAnsi"/>
          <w:b/>
          <w:snapToGrid w:val="0"/>
          <w:sz w:val="32"/>
          <w:szCs w:val="32"/>
          <w:lang w:eastAsia="en-US"/>
        </w:rPr>
        <w:t>9</w:t>
      </w:r>
      <w:r w:rsidRPr="00A84554">
        <w:rPr>
          <w:rFonts w:asciiTheme="minorHAnsi" w:hAnsiTheme="minorHAnsi"/>
          <w:b/>
          <w:snapToGrid w:val="0"/>
          <w:sz w:val="32"/>
          <w:szCs w:val="32"/>
          <w:lang w:eastAsia="en-US"/>
        </w:rPr>
        <w:tab/>
        <w:t>Context for Decision</w:t>
      </w:r>
    </w:p>
    <w:p w14:paraId="14ED7B61" w14:textId="77777777" w:rsidR="00A84554" w:rsidRPr="00A84554" w:rsidRDefault="00A84554" w:rsidP="00A84554">
      <w:pPr>
        <w:spacing w:after="120"/>
        <w:ind w:left="720"/>
        <w:rPr>
          <w:rFonts w:cs="Calibri"/>
          <w:bCs/>
          <w:szCs w:val="22"/>
          <w:lang w:val="en-GB"/>
        </w:rPr>
      </w:pPr>
      <w:r w:rsidRPr="00A84554">
        <w:rPr>
          <w:rFonts w:cs="Calibri"/>
          <w:bCs/>
          <w:szCs w:val="22"/>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5A2F24F" w14:textId="7621876E" w:rsidR="00A84554" w:rsidRPr="00A84554" w:rsidRDefault="00A84554" w:rsidP="00A84554">
      <w:pPr>
        <w:keepNext/>
        <w:spacing w:before="240" w:after="120"/>
        <w:ind w:left="720" w:hanging="720"/>
        <w:jc w:val="left"/>
        <w:outlineLvl w:val="0"/>
        <w:rPr>
          <w:rFonts w:asciiTheme="minorHAnsi" w:hAnsiTheme="minorHAnsi"/>
          <w:b/>
          <w:snapToGrid w:val="0"/>
          <w:sz w:val="32"/>
          <w:szCs w:val="32"/>
          <w:lang w:eastAsia="en-US"/>
        </w:rPr>
      </w:pPr>
      <w:r>
        <w:rPr>
          <w:rFonts w:asciiTheme="minorHAnsi" w:hAnsiTheme="minorHAnsi"/>
          <w:b/>
          <w:snapToGrid w:val="0"/>
          <w:sz w:val="32"/>
          <w:szCs w:val="32"/>
          <w:lang w:eastAsia="en-US"/>
        </w:rPr>
        <w:t>10</w:t>
      </w:r>
      <w:r w:rsidRPr="00A84554">
        <w:rPr>
          <w:rFonts w:asciiTheme="minorHAnsi" w:hAnsiTheme="minorHAnsi"/>
          <w:b/>
          <w:snapToGrid w:val="0"/>
          <w:sz w:val="32"/>
          <w:szCs w:val="32"/>
          <w:lang w:eastAsia="en-US"/>
        </w:rPr>
        <w:tab/>
        <w:t>Sponsor’s Comment</w:t>
      </w:r>
    </w:p>
    <w:p w14:paraId="129F809A" w14:textId="50B60967" w:rsidR="003132E5" w:rsidRPr="003224A0" w:rsidRDefault="0027745D" w:rsidP="003224A0">
      <w:pPr>
        <w:ind w:left="720"/>
      </w:pPr>
      <w:r w:rsidRPr="00552D88">
        <w:t xml:space="preserve">AbbVie acknowledges the Committee’s pragmatic approach to evaluating elements of this submission in the context of the significant unmet need for patients with fistulising Crohn’s disease, and the willingness to address inconsistencies in authority requirements across IBD. However, AbbVie considers that the lowest-cost comparator convention applied in this </w:t>
      </w:r>
      <w:proofErr w:type="spellStart"/>
      <w:r w:rsidRPr="00552D88">
        <w:t>insta</w:t>
      </w:r>
      <w:r w:rsidR="004E64E7">
        <w:t>a</w:t>
      </w:r>
      <w:r w:rsidRPr="00552D88">
        <w:t>nce</w:t>
      </w:r>
      <w:proofErr w:type="spellEnd"/>
      <w:r w:rsidRPr="00552D88">
        <w:t xml:space="preserve"> does not reflect upadacitinib’s likely use in clinical practice. Notwithstanding this, AbbVie remains committed to working constructively with the Department to progress this listing and maintains that, where comparator prices have been significantly eroded over time, future evaluations should adopt more flexible approaches aligned with current clinical practice </w:t>
      </w:r>
      <w:proofErr w:type="gramStart"/>
      <w:r w:rsidRPr="00552D88">
        <w:t>in order to</w:t>
      </w:r>
      <w:proofErr w:type="gramEnd"/>
      <w:r w:rsidRPr="00552D88">
        <w:t xml:space="preserve"> support patient access</w:t>
      </w:r>
      <w:r w:rsidR="00411DED" w:rsidRPr="00552D88">
        <w:t>.</w:t>
      </w:r>
    </w:p>
    <w:sectPr w:rsidR="003132E5" w:rsidRPr="003224A0" w:rsidSect="009958E0">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DE4B7" w14:textId="77777777" w:rsidR="00F10242" w:rsidRDefault="00F10242" w:rsidP="00124A51">
      <w:r>
        <w:separator/>
      </w:r>
    </w:p>
    <w:p w14:paraId="098C1381" w14:textId="77777777" w:rsidR="00F10242" w:rsidRDefault="00F10242"/>
  </w:endnote>
  <w:endnote w:type="continuationSeparator" w:id="0">
    <w:p w14:paraId="4E6A1D35" w14:textId="77777777" w:rsidR="00F10242" w:rsidRDefault="00F10242" w:rsidP="00124A51">
      <w:r>
        <w:continuationSeparator/>
      </w:r>
    </w:p>
    <w:p w14:paraId="57EF4CC0" w14:textId="77777777" w:rsidR="00F10242" w:rsidRDefault="00F10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97C6" w14:textId="301E5C2F" w:rsidR="00A64C71" w:rsidRDefault="00530C0B">
    <w:pPr>
      <w:pStyle w:val="Footer"/>
    </w:pPr>
    <w:r>
      <w:rPr>
        <w:noProof/>
      </w:rPr>
      <mc:AlternateContent>
        <mc:Choice Requires="wps">
          <w:drawing>
            <wp:anchor distT="0" distB="0" distL="0" distR="0" simplePos="0" relativeHeight="251658244" behindDoc="0" locked="0" layoutInCell="1" allowOverlap="1" wp14:anchorId="17C33617" wp14:editId="52B2E5A5">
              <wp:simplePos x="635" y="635"/>
              <wp:positionH relativeFrom="page">
                <wp:align>center</wp:align>
              </wp:positionH>
              <wp:positionV relativeFrom="page">
                <wp:align>bottom</wp:align>
              </wp:positionV>
              <wp:extent cx="622300" cy="376555"/>
              <wp:effectExtent l="0" t="0" r="6350" b="0"/>
              <wp:wrapNone/>
              <wp:docPr id="18592909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B09C1BE" w14:textId="705A7794" w:rsidR="00530C0B" w:rsidRPr="00530C0B" w:rsidRDefault="00530C0B" w:rsidP="00530C0B">
                          <w:pPr>
                            <w:rPr>
                              <w:rFonts w:ascii="Aptos" w:eastAsia="Aptos" w:hAnsi="Aptos" w:cs="Aptos"/>
                              <w:noProof/>
                              <w:color w:val="FF0000"/>
                            </w:rPr>
                          </w:pPr>
                          <w:r w:rsidRPr="00530C0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C33617"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6B09C1BE" w14:textId="705A7794" w:rsidR="00530C0B" w:rsidRPr="00530C0B" w:rsidRDefault="00530C0B" w:rsidP="00530C0B">
                    <w:pPr>
                      <w:rPr>
                        <w:rFonts w:ascii="Aptos" w:eastAsia="Aptos" w:hAnsi="Aptos" w:cs="Aptos"/>
                        <w:noProof/>
                        <w:color w:val="FF0000"/>
                      </w:rPr>
                    </w:pPr>
                    <w:r w:rsidRPr="00530C0B">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698B8E6B" w:rsidR="00D843F2" w:rsidRDefault="00530C0B" w:rsidP="00753B29">
    <w:pPr>
      <w:pStyle w:val="Footer"/>
      <w:jc w:val="center"/>
    </w:pPr>
    <w:r>
      <w:rPr>
        <w:noProof/>
      </w:rPr>
      <mc:AlternateContent>
        <mc:Choice Requires="wps">
          <w:drawing>
            <wp:anchor distT="0" distB="0" distL="0" distR="0" simplePos="0" relativeHeight="251658245" behindDoc="0" locked="0" layoutInCell="1" allowOverlap="1" wp14:anchorId="29E39675" wp14:editId="0F295077">
              <wp:simplePos x="635" y="635"/>
              <wp:positionH relativeFrom="page">
                <wp:align>center</wp:align>
              </wp:positionH>
              <wp:positionV relativeFrom="page">
                <wp:align>bottom</wp:align>
              </wp:positionV>
              <wp:extent cx="622300" cy="376555"/>
              <wp:effectExtent l="0" t="0" r="6350" b="0"/>
              <wp:wrapNone/>
              <wp:docPr id="42454042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A88E85D" w14:textId="014727A8" w:rsidR="00530C0B" w:rsidRPr="00530C0B" w:rsidRDefault="00530C0B" w:rsidP="00530C0B">
                          <w:pPr>
                            <w:rPr>
                              <w:rFonts w:ascii="Aptos" w:eastAsia="Aptos" w:hAnsi="Aptos" w:cs="Aptos"/>
                              <w:noProof/>
                              <w:color w:val="FF0000"/>
                            </w:rPr>
                          </w:pPr>
                          <w:r w:rsidRPr="00530C0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E39675"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4A88E85D" w14:textId="014727A8" w:rsidR="00530C0B" w:rsidRPr="00530C0B" w:rsidRDefault="00530C0B" w:rsidP="00530C0B">
                    <w:pPr>
                      <w:rPr>
                        <w:rFonts w:ascii="Aptos" w:eastAsia="Aptos" w:hAnsi="Aptos" w:cs="Aptos"/>
                        <w:noProof/>
                        <w:color w:val="FF0000"/>
                      </w:rPr>
                    </w:pPr>
                    <w:r w:rsidRPr="00530C0B">
                      <w:rPr>
                        <w:rFonts w:ascii="Aptos" w:eastAsia="Aptos" w:hAnsi="Aptos" w:cs="Aptos"/>
                        <w:noProof/>
                        <w:color w:val="FF0000"/>
                      </w:rPr>
                      <w:t>OFFICIAL</w:t>
                    </w:r>
                  </w:p>
                </w:txbxContent>
              </v:textbox>
              <w10:wrap anchorx="page" anchory="page"/>
            </v:shape>
          </w:pict>
        </mc:Fallback>
      </mc:AlternateContent>
    </w:r>
  </w:p>
  <w:bookmarkStart w:id="54" w:name="_Hlk76375156"/>
  <w:p w14:paraId="37484CD3" w14:textId="5B8A5436" w:rsidR="00D843F2" w:rsidRPr="00F27005" w:rsidRDefault="004707DD" w:rsidP="004707DD">
    <w:pPr>
      <w:pStyle w:val="Footer"/>
      <w:keepNext/>
      <w:ind w:left="360"/>
      <w:jc w:val="center"/>
      <w:rPr>
        <w:rFonts w:ascii="Aptos" w:hAnsi="Aptos"/>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bookmarkEnd w:id="5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A8FD" w14:textId="43546169" w:rsidR="00A64C71" w:rsidRDefault="00530C0B">
    <w:pPr>
      <w:pStyle w:val="Footer"/>
    </w:pPr>
    <w:r>
      <w:rPr>
        <w:noProof/>
      </w:rPr>
      <mc:AlternateContent>
        <mc:Choice Requires="wps">
          <w:drawing>
            <wp:anchor distT="0" distB="0" distL="0" distR="0" simplePos="0" relativeHeight="251658243" behindDoc="0" locked="0" layoutInCell="1" allowOverlap="1" wp14:anchorId="1729E1BF" wp14:editId="5814A395">
              <wp:simplePos x="635" y="635"/>
              <wp:positionH relativeFrom="page">
                <wp:align>center</wp:align>
              </wp:positionH>
              <wp:positionV relativeFrom="page">
                <wp:align>bottom</wp:align>
              </wp:positionV>
              <wp:extent cx="622300" cy="376555"/>
              <wp:effectExtent l="0" t="0" r="6350" b="0"/>
              <wp:wrapNone/>
              <wp:docPr id="3888641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A2BD32" w14:textId="3640F278" w:rsidR="00530C0B" w:rsidRPr="00530C0B" w:rsidRDefault="00530C0B" w:rsidP="00530C0B">
                          <w:pPr>
                            <w:rPr>
                              <w:rFonts w:ascii="Aptos" w:eastAsia="Aptos" w:hAnsi="Aptos" w:cs="Aptos"/>
                              <w:noProof/>
                              <w:color w:val="FF0000"/>
                            </w:rPr>
                          </w:pPr>
                          <w:r w:rsidRPr="00530C0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29E1BF"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18A2BD32" w14:textId="3640F278" w:rsidR="00530C0B" w:rsidRPr="00530C0B" w:rsidRDefault="00530C0B" w:rsidP="00530C0B">
                    <w:pPr>
                      <w:rPr>
                        <w:rFonts w:ascii="Aptos" w:eastAsia="Aptos" w:hAnsi="Aptos" w:cs="Aptos"/>
                        <w:noProof/>
                        <w:color w:val="FF0000"/>
                      </w:rPr>
                    </w:pPr>
                    <w:r w:rsidRPr="00530C0B">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4C865" w14:textId="77777777" w:rsidR="00F10242" w:rsidRDefault="00F10242">
      <w:r>
        <w:separator/>
      </w:r>
    </w:p>
  </w:footnote>
  <w:footnote w:type="continuationSeparator" w:id="0">
    <w:p w14:paraId="3F791602" w14:textId="77777777" w:rsidR="00F10242" w:rsidRDefault="00F10242" w:rsidP="00124A51">
      <w:r>
        <w:continuationSeparator/>
      </w:r>
    </w:p>
    <w:p w14:paraId="234E162E" w14:textId="77777777" w:rsidR="00F10242" w:rsidRDefault="00F10242"/>
  </w:footnote>
  <w:footnote w:id="1">
    <w:p w14:paraId="75198CB4" w14:textId="77777777" w:rsidR="00620C4B" w:rsidRDefault="00620C4B" w:rsidP="00620C4B">
      <w:pPr>
        <w:pStyle w:val="FootnoteText"/>
      </w:pPr>
      <w:r w:rsidRPr="00ED59C1">
        <w:rPr>
          <w:rStyle w:val="FootnoteTextChar"/>
          <w:vertAlign w:val="superscript"/>
        </w:rPr>
        <w:footnoteRef/>
      </w:r>
      <w:r w:rsidRPr="00ED59C1">
        <w:rPr>
          <w:vertAlign w:val="superscript"/>
        </w:rPr>
        <w:t xml:space="preserve"> </w:t>
      </w:r>
      <w:r w:rsidRPr="007F3BBF">
        <w:t xml:space="preserve">Therapeutic Goods Administration (TGA). </w:t>
      </w:r>
      <w:r>
        <w:t>Important safety information for Janus kinase (JAK) inhibitors</w:t>
      </w:r>
    </w:p>
    <w:p w14:paraId="7037CEC6" w14:textId="61225725" w:rsidR="00620C4B" w:rsidRPr="008B4DC5" w:rsidRDefault="00620C4B" w:rsidP="005D29C9">
      <w:pPr>
        <w:pStyle w:val="FootnoteText"/>
        <w:jc w:val="left"/>
        <w:rPr>
          <w:lang w:val="en-US"/>
        </w:rPr>
      </w:pPr>
      <w:r>
        <w:t xml:space="preserve">Medicines Safety Update (2023). Accessed: 21 November 2025. </w:t>
      </w:r>
      <w:hyperlink r:id="rId1" w:history="1">
        <w:r w:rsidRPr="00A95331">
          <w:rPr>
            <w:rStyle w:val="Hyperlink"/>
          </w:rPr>
          <w:t>https://www.tga.gov.au/news/safety</w:t>
        </w:r>
        <w:r w:rsidR="00FC7500">
          <w:rPr>
            <w:rStyle w:val="Hyperlink"/>
          </w:rPr>
          <w:noBreakHyphen/>
        </w:r>
        <w:r w:rsidRPr="00A95331">
          <w:rPr>
            <w:rStyle w:val="Hyperlink"/>
          </w:rPr>
          <w:t>updates/important</w:t>
        </w:r>
        <w:r w:rsidR="00FC7500">
          <w:rPr>
            <w:rStyle w:val="Hyperlink"/>
          </w:rPr>
          <w:noBreakHyphen/>
        </w:r>
        <w:r w:rsidRPr="00A95331">
          <w:rPr>
            <w:rStyle w:val="Hyperlink"/>
          </w:rPr>
          <w:t>safety</w:t>
        </w:r>
        <w:r w:rsidR="00FC7500">
          <w:rPr>
            <w:rStyle w:val="Hyperlink"/>
          </w:rPr>
          <w:noBreakHyphen/>
        </w:r>
        <w:r w:rsidRPr="00A95331">
          <w:rPr>
            <w:rStyle w:val="Hyperlink"/>
          </w:rPr>
          <w:t>information</w:t>
        </w:r>
        <w:r w:rsidR="00FC7500">
          <w:rPr>
            <w:rStyle w:val="Hyperlink"/>
          </w:rPr>
          <w:noBreakHyphen/>
        </w:r>
        <w:r w:rsidRPr="00A95331">
          <w:rPr>
            <w:rStyle w:val="Hyperlink"/>
          </w:rPr>
          <w:t>janus</w:t>
        </w:r>
        <w:r w:rsidR="00FC7500">
          <w:rPr>
            <w:rStyle w:val="Hyperlink"/>
          </w:rPr>
          <w:noBreakHyphen/>
        </w:r>
        <w:r w:rsidRPr="00A95331">
          <w:rPr>
            <w:rStyle w:val="Hyperlink"/>
          </w:rPr>
          <w:t>kinase</w:t>
        </w:r>
        <w:r w:rsidR="00FC7500">
          <w:rPr>
            <w:rStyle w:val="Hyperlink"/>
          </w:rPr>
          <w:noBreakHyphen/>
        </w:r>
        <w:r w:rsidRPr="00A95331">
          <w:rPr>
            <w:rStyle w:val="Hyperlink"/>
          </w:rPr>
          <w:t>jak</w:t>
        </w:r>
        <w:r w:rsidR="00FC7500">
          <w:rPr>
            <w:rStyle w:val="Hyperlink"/>
          </w:rPr>
          <w:noBreakHyphen/>
        </w:r>
        <w:r w:rsidRPr="00A95331">
          <w:rPr>
            <w:rStyle w:val="Hyperlink"/>
          </w:rPr>
          <w:t>inhibitors</w:t>
        </w:r>
      </w:hyperlink>
    </w:p>
  </w:footnote>
  <w:footnote w:id="2">
    <w:p w14:paraId="497F0316" w14:textId="3365B6C9" w:rsidR="00C0119B" w:rsidRPr="00C0119B" w:rsidRDefault="00C0119B">
      <w:pPr>
        <w:pStyle w:val="FootnoteText"/>
        <w:rPr>
          <w:lang w:val="en-US"/>
        </w:rPr>
      </w:pPr>
      <w:r>
        <w:rPr>
          <w:rStyle w:val="FootnoteReference"/>
        </w:rPr>
        <w:footnoteRef/>
      </w:r>
      <w:r>
        <w:t xml:space="preserve"> </w:t>
      </w:r>
      <w:r w:rsidR="0059264F" w:rsidRPr="0059264F">
        <w:t>Lichtenstein, G. R., Loftus, E. V.,</w:t>
      </w:r>
      <w:r w:rsidR="002546F0">
        <w:t xml:space="preserve"> et al. </w:t>
      </w:r>
      <w:r w:rsidR="0059264F" w:rsidRPr="0059264F">
        <w:t>(2025). ACG Clinical Guideline: Management of Crohn's Disease in Adults. Am J Gastroenterol, 120(6), 1225</w:t>
      </w:r>
      <w:r w:rsidR="00FC7500">
        <w:noBreakHyphen/>
      </w:r>
      <w:r w:rsidR="0059264F" w:rsidRPr="0059264F">
        <w:t xml:space="preserve">1264. </w:t>
      </w:r>
      <w:hyperlink r:id="rId2" w:history="1">
        <w:r w:rsidR="00F7551F" w:rsidRPr="004E4FC4">
          <w:rPr>
            <w:rStyle w:val="Hyperlink"/>
          </w:rPr>
          <w:t>https://doi.org/10.14309/ajg.0000000000003465</w:t>
        </w:r>
      </w:hyperlink>
      <w:r w:rsidR="00F7551F">
        <w:t xml:space="preserve"> </w:t>
      </w:r>
    </w:p>
  </w:footnote>
  <w:footnote w:id="3">
    <w:p w14:paraId="11397E7D" w14:textId="2F9F9937" w:rsidR="0059264F" w:rsidRPr="0059264F" w:rsidRDefault="0059264F">
      <w:pPr>
        <w:pStyle w:val="FootnoteText"/>
        <w:rPr>
          <w:lang w:val="en-US"/>
        </w:rPr>
      </w:pPr>
      <w:r>
        <w:rPr>
          <w:rStyle w:val="FootnoteReference"/>
        </w:rPr>
        <w:footnoteRef/>
      </w:r>
      <w:r>
        <w:t xml:space="preserve"> </w:t>
      </w:r>
      <w:r w:rsidR="00C45DF1" w:rsidRPr="00C45DF1">
        <w:t xml:space="preserve">Gordon, H., Minozzi, S., </w:t>
      </w:r>
      <w:r w:rsidR="00BC6EBD">
        <w:t xml:space="preserve">et al. </w:t>
      </w:r>
      <w:r w:rsidR="00C45DF1" w:rsidRPr="00C45DF1">
        <w:t>(2024). ECCO Guidelines on Therapeutics in Crohn’s Disease: Medical Treatment. Journal of Crohn's and Colitis, 18(10), 1531</w:t>
      </w:r>
      <w:r w:rsidR="00FC7500">
        <w:noBreakHyphen/>
      </w:r>
      <w:r w:rsidR="00C45DF1" w:rsidRPr="00C45DF1">
        <w:t>1555.</w:t>
      </w:r>
      <w:r w:rsidR="00BC6EBD" w:rsidRPr="00BC6EBD">
        <w:t xml:space="preserve"> https://doi.org/10.1093/ecco</w:t>
      </w:r>
      <w:r w:rsidR="00FC7500">
        <w:noBreakHyphen/>
      </w:r>
      <w:r w:rsidR="00BC6EBD" w:rsidRPr="00BC6EBD">
        <w:t>jcc/jjae091</w:t>
      </w:r>
    </w:p>
  </w:footnote>
  <w:footnote w:id="4">
    <w:p w14:paraId="280465A9" w14:textId="77777777" w:rsidR="00620C4B" w:rsidRPr="005E52DD" w:rsidRDefault="00620C4B" w:rsidP="00620C4B">
      <w:pPr>
        <w:pStyle w:val="FootnoteText"/>
        <w:rPr>
          <w:lang w:val="en-US"/>
        </w:rPr>
      </w:pPr>
      <w:r>
        <w:rPr>
          <w:rStyle w:val="FootnoteReference"/>
        </w:rPr>
        <w:footnoteRef/>
      </w:r>
      <w:r>
        <w:t xml:space="preserve"> </w:t>
      </w:r>
      <w:r w:rsidRPr="004624FF">
        <w:t xml:space="preserve">Colombel et al. </w:t>
      </w:r>
      <w:r>
        <w:t>(</w:t>
      </w:r>
      <w:r w:rsidRPr="004624FF">
        <w:t>2025</w:t>
      </w:r>
      <w:r>
        <w:t>),</w:t>
      </w:r>
      <w:r w:rsidRPr="004624FF">
        <w:t xml:space="preserve"> Efficacy and Safety of Upadacitinib for Perianal Fistulizing Crohn’s Disease: A Post Hoc Analysis of 3 Phase 3 Trials</w:t>
      </w:r>
      <w:r>
        <w:t>,</w:t>
      </w:r>
      <w:r w:rsidRPr="004624FF">
        <w:t xml:space="preserve"> Clinical gastroenterology and hepatology: the official clinical practice journal of the American Gastroenterological Association, 23(6), 1019–1029. https://doi.org/10.1016/j.cgh.2024.08.032</w:t>
      </w:r>
    </w:p>
  </w:footnote>
  <w:footnote w:id="5">
    <w:p w14:paraId="4BBCD53E" w14:textId="4B77D8D3" w:rsidR="00620C4B" w:rsidRPr="0096361D" w:rsidRDefault="00620C4B" w:rsidP="00620C4B">
      <w:pPr>
        <w:pStyle w:val="FootnoteText"/>
        <w:rPr>
          <w:lang w:val="en-US"/>
        </w:rPr>
      </w:pPr>
      <w:r>
        <w:rPr>
          <w:rStyle w:val="FootnoteReference"/>
        </w:rPr>
        <w:footnoteRef/>
      </w:r>
      <w:r>
        <w:t xml:space="preserve"> </w:t>
      </w:r>
      <w:r w:rsidR="009533BB">
        <w:rPr>
          <w:lang w:val="en-US"/>
        </w:rPr>
        <w:t>D</w:t>
      </w:r>
      <w:r>
        <w:rPr>
          <w:lang w:val="en-US"/>
        </w:rPr>
        <w:t>raining FCD</w:t>
      </w:r>
    </w:p>
  </w:footnote>
  <w:footnote w:id="6">
    <w:p w14:paraId="264D84FD" w14:textId="77777777" w:rsidR="00620C4B" w:rsidRPr="00542131" w:rsidRDefault="00620C4B" w:rsidP="00620C4B">
      <w:pPr>
        <w:pStyle w:val="FootnoteText"/>
        <w:rPr>
          <w:lang w:val="en-US"/>
        </w:rPr>
      </w:pPr>
      <w:r>
        <w:rPr>
          <w:rStyle w:val="FootnoteReference"/>
        </w:rPr>
        <w:footnoteRef/>
      </w:r>
      <w:r>
        <w:t xml:space="preserve"> </w:t>
      </w:r>
      <w:r w:rsidRPr="00542131">
        <w:t>Dose relevant arms: infliximab 5 mg/kg; placebo</w:t>
      </w:r>
    </w:p>
  </w:footnote>
  <w:footnote w:id="7">
    <w:p w14:paraId="06F3B31C" w14:textId="77777777" w:rsidR="00620C4B" w:rsidRPr="00EE783D" w:rsidRDefault="00620C4B" w:rsidP="00620C4B">
      <w:pPr>
        <w:pStyle w:val="FootnoteText"/>
        <w:rPr>
          <w:lang w:val="en-US"/>
        </w:rPr>
      </w:pPr>
      <w:r>
        <w:rPr>
          <w:rStyle w:val="FootnoteReference"/>
        </w:rPr>
        <w:footnoteRef/>
      </w:r>
      <w:r>
        <w:t xml:space="preserve"> </w:t>
      </w:r>
      <w:bookmarkStart w:id="36" w:name="_Hlk216695008"/>
      <w:r>
        <w:rPr>
          <w:lang w:val="en-US"/>
        </w:rPr>
        <w:t>Dose relevant arms: adalimumab 160 mg at Week 0 and 80 mg at Week 2; placebo</w:t>
      </w:r>
      <w:bookmarkEnd w:id="36"/>
    </w:p>
  </w:footnote>
  <w:footnote w:id="8">
    <w:p w14:paraId="4E2ADA71" w14:textId="77777777" w:rsidR="00620C4B" w:rsidRPr="00EE783D" w:rsidRDefault="00620C4B" w:rsidP="00620C4B">
      <w:pPr>
        <w:pStyle w:val="FootnoteText"/>
        <w:rPr>
          <w:lang w:val="en-US"/>
        </w:rPr>
      </w:pPr>
      <w:r>
        <w:rPr>
          <w:rStyle w:val="FootnoteReference"/>
        </w:rPr>
        <w:footnoteRef/>
      </w:r>
      <w:r>
        <w:t xml:space="preserve"> </w:t>
      </w:r>
      <w:r>
        <w:rPr>
          <w:lang w:val="en-US"/>
        </w:rPr>
        <w:t>Randomly assigned</w:t>
      </w:r>
    </w:p>
  </w:footnote>
  <w:footnote w:id="9">
    <w:p w14:paraId="5D0AED67" w14:textId="77777777" w:rsidR="00620C4B" w:rsidRPr="00EE783D" w:rsidRDefault="00620C4B" w:rsidP="00620C4B">
      <w:pPr>
        <w:pStyle w:val="FootnoteText"/>
        <w:rPr>
          <w:lang w:val="en-US"/>
        </w:rPr>
      </w:pPr>
      <w:r>
        <w:rPr>
          <w:rStyle w:val="FootnoteReference"/>
        </w:rPr>
        <w:footnoteRef/>
      </w:r>
      <w:r>
        <w:t xml:space="preserve"> </w:t>
      </w:r>
      <w:r>
        <w:rPr>
          <w:lang w:val="en-US"/>
        </w:rPr>
        <w:t xml:space="preserve">Dose relevant </w:t>
      </w:r>
      <w:bookmarkStart w:id="37" w:name="_Hlk216695140"/>
      <w:r>
        <w:rPr>
          <w:lang w:val="en-US"/>
        </w:rPr>
        <w:t>arms: ustekinumab 6 mg/kg; placebo</w:t>
      </w:r>
      <w:bookmarkEnd w:id="37"/>
    </w:p>
  </w:footnote>
  <w:footnote w:id="10">
    <w:p w14:paraId="074265C8" w14:textId="77777777" w:rsidR="00620C4B" w:rsidRPr="00EE783D" w:rsidRDefault="00620C4B" w:rsidP="00620C4B">
      <w:pPr>
        <w:pStyle w:val="FootnoteText"/>
        <w:rPr>
          <w:lang w:val="en-US"/>
        </w:rPr>
      </w:pPr>
      <w:r>
        <w:rPr>
          <w:rStyle w:val="FootnoteReference"/>
        </w:rPr>
        <w:footnoteRef/>
      </w:r>
      <w:r>
        <w:t xml:space="preserve"> </w:t>
      </w:r>
      <w:r>
        <w:rPr>
          <w:lang w:val="en-US"/>
        </w:rPr>
        <w:t xml:space="preserve">Dose relevant </w:t>
      </w:r>
      <w:bookmarkStart w:id="38" w:name="_Hlk216695198"/>
      <w:r>
        <w:rPr>
          <w:lang w:val="en-US"/>
        </w:rPr>
        <w:t>arms: ustekinumab 6 mg/kg; placebo</w:t>
      </w:r>
      <w:bookmarkEnd w:id="38"/>
    </w:p>
  </w:footnote>
  <w:footnote w:id="11">
    <w:p w14:paraId="19476993" w14:textId="727E0638" w:rsidR="00620C4B" w:rsidRPr="00EE783D" w:rsidRDefault="00620C4B" w:rsidP="00620C4B">
      <w:pPr>
        <w:pStyle w:val="FootnoteText"/>
        <w:rPr>
          <w:lang w:val="en-US"/>
        </w:rPr>
      </w:pPr>
      <w:r>
        <w:rPr>
          <w:rStyle w:val="FootnoteReference"/>
        </w:rPr>
        <w:footnoteRef/>
      </w:r>
      <w:r>
        <w:rPr>
          <w:lang w:val="en-US"/>
        </w:rPr>
        <w:t xml:space="preserve"> </w:t>
      </w:r>
      <w:bookmarkStart w:id="39" w:name="_Hlk216695457"/>
      <w:r w:rsidRPr="00656AE0">
        <w:rPr>
          <w:lang w:val="en-US"/>
        </w:rPr>
        <w:t xml:space="preserve">306 patients received </w:t>
      </w:r>
      <w:r>
        <w:rPr>
          <w:lang w:val="en-US"/>
        </w:rPr>
        <w:t>infliximab</w:t>
      </w:r>
      <w:r w:rsidRPr="00656AE0">
        <w:rPr>
          <w:lang w:val="en-US"/>
        </w:rPr>
        <w:t xml:space="preserve"> in an </w:t>
      </w:r>
      <w:r>
        <w:rPr>
          <w:lang w:val="en-US"/>
        </w:rPr>
        <w:t>open label</w:t>
      </w:r>
      <w:r w:rsidRPr="00656AE0">
        <w:rPr>
          <w:lang w:val="en-US"/>
        </w:rPr>
        <w:t xml:space="preserve"> induction phase; 282 patients (non</w:t>
      </w:r>
      <w:r w:rsidR="00FC7500">
        <w:rPr>
          <w:lang w:val="en-US"/>
        </w:rPr>
        <w:noBreakHyphen/>
      </w:r>
      <w:r w:rsidRPr="00656AE0">
        <w:rPr>
          <w:lang w:val="en-US"/>
        </w:rPr>
        <w:t xml:space="preserve">responders and responders) were randomised to </w:t>
      </w:r>
      <w:r>
        <w:rPr>
          <w:lang w:val="en-US"/>
        </w:rPr>
        <w:t xml:space="preserve">infliximab </w:t>
      </w:r>
      <w:r w:rsidRPr="00656AE0">
        <w:rPr>
          <w:lang w:val="en-US"/>
        </w:rPr>
        <w:t xml:space="preserve">and </w:t>
      </w:r>
      <w:r>
        <w:rPr>
          <w:lang w:val="en-US"/>
        </w:rPr>
        <w:t>placebo</w:t>
      </w:r>
      <w:r w:rsidRPr="00656AE0">
        <w:rPr>
          <w:lang w:val="en-US"/>
        </w:rPr>
        <w:t xml:space="preserve"> </w:t>
      </w:r>
      <w:r>
        <w:rPr>
          <w:lang w:val="en-US"/>
        </w:rPr>
        <w:t xml:space="preserve">arms </w:t>
      </w:r>
      <w:r w:rsidRPr="00656AE0">
        <w:rPr>
          <w:lang w:val="en-US"/>
        </w:rPr>
        <w:t>at Week 14</w:t>
      </w:r>
      <w:bookmarkStart w:id="40" w:name="_Hlk216699215"/>
      <w:bookmarkEnd w:id="39"/>
      <w:r>
        <w:rPr>
          <w:lang w:val="en-US"/>
        </w:rPr>
        <w:t xml:space="preserve">; </w:t>
      </w:r>
      <w:bookmarkStart w:id="41" w:name="_Hlk216699459"/>
      <w:r>
        <w:rPr>
          <w:lang w:val="en-US"/>
        </w:rPr>
        <w:t xml:space="preserve">276 patients </w:t>
      </w:r>
      <w:r w:rsidRPr="00E511DF">
        <w:rPr>
          <w:lang w:val="en-US"/>
        </w:rPr>
        <w:t>w</w:t>
      </w:r>
      <w:r>
        <w:rPr>
          <w:lang w:val="en-US"/>
        </w:rPr>
        <w:t>ere</w:t>
      </w:r>
      <w:r w:rsidRPr="00E511DF">
        <w:rPr>
          <w:lang w:val="en-US"/>
        </w:rPr>
        <w:t xml:space="preserve"> consistent with paragraph 6.21, ustekinumab PSD, July 2023 PBAC Meeting (Table 5, p19; n=282) however was unable to be verified in publication (Sands et al., 2004)</w:t>
      </w:r>
    </w:p>
    <w:bookmarkEnd w:id="40"/>
    <w:bookmarkEnd w:id="41"/>
  </w:footnote>
  <w:footnote w:id="12">
    <w:p w14:paraId="63A9DD8E" w14:textId="77777777" w:rsidR="00620C4B" w:rsidRPr="00EE783D" w:rsidRDefault="00620C4B" w:rsidP="00620C4B">
      <w:pPr>
        <w:pStyle w:val="FootnoteText"/>
        <w:rPr>
          <w:lang w:val="en-US"/>
        </w:rPr>
      </w:pPr>
      <w:r>
        <w:rPr>
          <w:rStyle w:val="FootnoteReference"/>
        </w:rPr>
        <w:footnoteRef/>
      </w:r>
      <w:r>
        <w:t xml:space="preserve"> </w:t>
      </w:r>
      <w:r>
        <w:rPr>
          <w:lang w:val="en-US"/>
        </w:rPr>
        <w:t xml:space="preserve">Dose relevant </w:t>
      </w:r>
      <w:bookmarkStart w:id="42" w:name="_Hlk216699234"/>
      <w:r>
        <w:rPr>
          <w:lang w:val="en-US"/>
        </w:rPr>
        <w:t xml:space="preserve">arms: adalimumab 40 mg every other week; placebo </w:t>
      </w:r>
      <w:bookmarkEnd w:id="42"/>
    </w:p>
  </w:footnote>
  <w:footnote w:id="13">
    <w:p w14:paraId="06A5706C" w14:textId="77777777" w:rsidR="00620C4B" w:rsidRPr="00E04645" w:rsidRDefault="00620C4B" w:rsidP="00620C4B">
      <w:pPr>
        <w:pStyle w:val="FootnoteText"/>
        <w:rPr>
          <w:lang w:val="en-US"/>
        </w:rPr>
      </w:pPr>
      <w:r>
        <w:rPr>
          <w:rStyle w:val="FootnoteReference"/>
        </w:rPr>
        <w:footnoteRef/>
      </w:r>
      <w:r>
        <w:t xml:space="preserve"> n=59 at baseline (paragraph 6.8, ustekinumab PSD, July 2023 PBAC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5310" w14:textId="520CBAC7" w:rsidR="00A64C71" w:rsidRDefault="00530C0B">
    <w:pPr>
      <w:pStyle w:val="Header"/>
    </w:pPr>
    <w:r>
      <w:rPr>
        <w:noProof/>
      </w:rPr>
      <mc:AlternateContent>
        <mc:Choice Requires="wps">
          <w:drawing>
            <wp:anchor distT="0" distB="0" distL="0" distR="0" simplePos="0" relativeHeight="251658241" behindDoc="0" locked="0" layoutInCell="1" allowOverlap="1" wp14:anchorId="4D663A9C" wp14:editId="6F8A50EE">
              <wp:simplePos x="635" y="635"/>
              <wp:positionH relativeFrom="page">
                <wp:align>center</wp:align>
              </wp:positionH>
              <wp:positionV relativeFrom="page">
                <wp:align>top</wp:align>
              </wp:positionV>
              <wp:extent cx="622300" cy="376555"/>
              <wp:effectExtent l="0" t="0" r="6350" b="4445"/>
              <wp:wrapNone/>
              <wp:docPr id="3077481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D6AFEB5" w14:textId="6CBA48BB" w:rsidR="00530C0B" w:rsidRPr="00530C0B" w:rsidRDefault="00530C0B" w:rsidP="00530C0B">
                          <w:pPr>
                            <w:rPr>
                              <w:rFonts w:ascii="Aptos" w:eastAsia="Aptos" w:hAnsi="Aptos" w:cs="Aptos"/>
                              <w:noProof/>
                              <w:color w:val="FF0000"/>
                            </w:rPr>
                          </w:pPr>
                          <w:r w:rsidRPr="00530C0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663A9C"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5D6AFEB5" w14:textId="6CBA48BB" w:rsidR="00530C0B" w:rsidRPr="00530C0B" w:rsidRDefault="00530C0B" w:rsidP="00530C0B">
                    <w:pPr>
                      <w:rPr>
                        <w:rFonts w:ascii="Aptos" w:eastAsia="Aptos" w:hAnsi="Aptos" w:cs="Aptos"/>
                        <w:noProof/>
                        <w:color w:val="FF0000"/>
                      </w:rPr>
                    </w:pPr>
                    <w:r w:rsidRPr="00530C0B">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91A6" w14:textId="24DAA4EC" w:rsidR="006706BE" w:rsidRPr="00F27005" w:rsidRDefault="00530C0B" w:rsidP="006706BE">
    <w:pPr>
      <w:pStyle w:val="Header"/>
      <w:ind w:left="360"/>
      <w:rPr>
        <w:rFonts w:cs="Calibri"/>
        <w:i w:val="0"/>
        <w:color w:val="808080"/>
      </w:rPr>
    </w:pPr>
    <w:bookmarkStart w:id="53" w:name="_Hlk76375146"/>
    <w:r>
      <w:rPr>
        <w:rFonts w:cs="Calibri"/>
        <w:noProof/>
        <w:color w:val="808080"/>
      </w:rPr>
      <mc:AlternateContent>
        <mc:Choice Requires="wps">
          <w:drawing>
            <wp:anchor distT="0" distB="0" distL="0" distR="0" simplePos="0" relativeHeight="251658242" behindDoc="0" locked="0" layoutInCell="1" allowOverlap="1" wp14:anchorId="371ED3A3" wp14:editId="577995F2">
              <wp:simplePos x="635" y="635"/>
              <wp:positionH relativeFrom="page">
                <wp:align>center</wp:align>
              </wp:positionH>
              <wp:positionV relativeFrom="page">
                <wp:align>top</wp:align>
              </wp:positionV>
              <wp:extent cx="622300" cy="376555"/>
              <wp:effectExtent l="0" t="0" r="6350" b="4445"/>
              <wp:wrapNone/>
              <wp:docPr id="80772980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504AD6E" w14:textId="4F7E4295" w:rsidR="00530C0B" w:rsidRPr="00530C0B" w:rsidRDefault="00530C0B" w:rsidP="00530C0B">
                          <w:pPr>
                            <w:rPr>
                              <w:rFonts w:ascii="Aptos" w:eastAsia="Aptos" w:hAnsi="Aptos" w:cs="Aptos"/>
                              <w:noProof/>
                              <w:color w:val="FF0000"/>
                            </w:rPr>
                          </w:pPr>
                          <w:r w:rsidRPr="00530C0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1ED3A3"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504AD6E" w14:textId="4F7E4295" w:rsidR="00530C0B" w:rsidRPr="00530C0B" w:rsidRDefault="00530C0B" w:rsidP="00530C0B">
                    <w:pPr>
                      <w:rPr>
                        <w:rFonts w:ascii="Aptos" w:eastAsia="Aptos" w:hAnsi="Aptos" w:cs="Aptos"/>
                        <w:noProof/>
                        <w:color w:val="FF0000"/>
                      </w:rPr>
                    </w:pPr>
                    <w:r w:rsidRPr="00530C0B">
                      <w:rPr>
                        <w:rFonts w:ascii="Aptos" w:eastAsia="Aptos" w:hAnsi="Aptos" w:cs="Aptos"/>
                        <w:noProof/>
                        <w:color w:val="FF0000"/>
                      </w:rPr>
                      <w:t>OFFICIAL</w:t>
                    </w:r>
                  </w:p>
                </w:txbxContent>
              </v:textbox>
              <w10:wrap anchorx="page" anchory="page"/>
            </v:shape>
          </w:pict>
        </mc:Fallback>
      </mc:AlternateContent>
    </w:r>
    <w:r w:rsidR="003132E5">
      <w:rPr>
        <w:rFonts w:cs="Calibri"/>
        <w:color w:val="808080"/>
      </w:rPr>
      <w:t xml:space="preserve">Public Summary Document </w:t>
    </w:r>
    <w:r w:rsidR="006706BE" w:rsidRPr="00F27005">
      <w:rPr>
        <w:rFonts w:cs="Calibri"/>
        <w:color w:val="808080"/>
      </w:rPr>
      <w:t>– March 2026 PBAC Meeting</w:t>
    </w:r>
  </w:p>
  <w:bookmarkEnd w:id="53"/>
  <w:p w14:paraId="1AEC8354" w14:textId="2B143403" w:rsidR="00D843F2" w:rsidRPr="00F27005" w:rsidRDefault="00D843F2" w:rsidP="006706BE">
    <w:pPr>
      <w:pStyle w:val="Header"/>
      <w:ind w:left="360"/>
      <w:rPr>
        <w:rFonts w:ascii="Aptos" w:hAnsi="Aptos"/>
        <w:i w:val="0"/>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69AA" w14:textId="3530D058" w:rsidR="00A64C71" w:rsidRDefault="00530C0B">
    <w:pPr>
      <w:pStyle w:val="Header"/>
    </w:pPr>
    <w:r>
      <w:rPr>
        <w:noProof/>
      </w:rPr>
      <mc:AlternateContent>
        <mc:Choice Requires="wps">
          <w:drawing>
            <wp:anchor distT="0" distB="0" distL="0" distR="0" simplePos="0" relativeHeight="251658240" behindDoc="0" locked="0" layoutInCell="1" allowOverlap="1" wp14:anchorId="2CB58EA5" wp14:editId="05545411">
              <wp:simplePos x="635" y="635"/>
              <wp:positionH relativeFrom="page">
                <wp:align>center</wp:align>
              </wp:positionH>
              <wp:positionV relativeFrom="page">
                <wp:align>top</wp:align>
              </wp:positionV>
              <wp:extent cx="622300" cy="376555"/>
              <wp:effectExtent l="0" t="0" r="6350" b="4445"/>
              <wp:wrapNone/>
              <wp:docPr id="7604438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06D81B2" w14:textId="2415466F" w:rsidR="00530C0B" w:rsidRPr="00530C0B" w:rsidRDefault="00530C0B" w:rsidP="00530C0B">
                          <w:pPr>
                            <w:rPr>
                              <w:rFonts w:ascii="Aptos" w:eastAsia="Aptos" w:hAnsi="Aptos" w:cs="Aptos"/>
                              <w:noProof/>
                              <w:color w:val="FF0000"/>
                            </w:rPr>
                          </w:pPr>
                          <w:r w:rsidRPr="00530C0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B58EA5"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06D81B2" w14:textId="2415466F" w:rsidR="00530C0B" w:rsidRPr="00530C0B" w:rsidRDefault="00530C0B" w:rsidP="00530C0B">
                    <w:pPr>
                      <w:rPr>
                        <w:rFonts w:ascii="Aptos" w:eastAsia="Aptos" w:hAnsi="Aptos" w:cs="Aptos"/>
                        <w:noProof/>
                        <w:color w:val="FF0000"/>
                      </w:rPr>
                    </w:pPr>
                    <w:r w:rsidRPr="00530C0B">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840518"/>
    <w:multiLevelType w:val="hybridMultilevel"/>
    <w:tmpl w:val="39A86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4F2C76"/>
    <w:multiLevelType w:val="hybridMultilevel"/>
    <w:tmpl w:val="48266C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AC0914"/>
    <w:multiLevelType w:val="hybridMultilevel"/>
    <w:tmpl w:val="FA7C1F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1743C87"/>
    <w:multiLevelType w:val="multilevel"/>
    <w:tmpl w:val="8C8E8902"/>
    <w:styleLink w:val="CurrentList15"/>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DC117E"/>
    <w:multiLevelType w:val="multilevel"/>
    <w:tmpl w:val="9CF615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72648C6"/>
    <w:multiLevelType w:val="hybridMultilevel"/>
    <w:tmpl w:val="3F621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6D2667"/>
    <w:multiLevelType w:val="hybridMultilevel"/>
    <w:tmpl w:val="498E24B2"/>
    <w:styleLink w:val="CurrentList152"/>
    <w:lvl w:ilvl="0" w:tplc="47EECE06">
      <w:start w:val="1"/>
      <w:numFmt w:val="bullet"/>
      <w:lvlText w:val=""/>
      <w:lvlJc w:val="left"/>
      <w:pPr>
        <w:ind w:left="720" w:hanging="360"/>
      </w:pPr>
      <w:rPr>
        <w:rFonts w:ascii="Symbol" w:hAnsi="Symbol" w:hint="default"/>
        <w:color w:val="auto"/>
      </w:rPr>
    </w:lvl>
    <w:lvl w:ilvl="1" w:tplc="60087902">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346AD7"/>
    <w:multiLevelType w:val="hybridMultilevel"/>
    <w:tmpl w:val="6AE682DE"/>
    <w:lvl w:ilvl="0" w:tplc="CFBE442A">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440" w:hanging="360"/>
      </w:pPr>
      <w:rPr>
        <w:rFonts w:ascii="Courier New" w:hAnsi="Courier New" w:cs="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970CA3"/>
    <w:multiLevelType w:val="multilevel"/>
    <w:tmpl w:val="FE8E42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00222"/>
    <w:multiLevelType w:val="multilevel"/>
    <w:tmpl w:val="E37E0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433F70"/>
    <w:multiLevelType w:val="hybridMultilevel"/>
    <w:tmpl w:val="FC5AB8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5F353647"/>
    <w:multiLevelType w:val="multilevel"/>
    <w:tmpl w:val="FDAC7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BAF68DF"/>
    <w:multiLevelType w:val="hybridMultilevel"/>
    <w:tmpl w:val="48266C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5D542E"/>
    <w:multiLevelType w:val="multilevel"/>
    <w:tmpl w:val="47BE96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784D033C"/>
    <w:multiLevelType w:val="multilevel"/>
    <w:tmpl w:val="2EA27ED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6186631">
    <w:abstractNumId w:val="17"/>
  </w:num>
  <w:num w:numId="2" w16cid:durableId="917793048">
    <w:abstractNumId w:val="10"/>
  </w:num>
  <w:num w:numId="3" w16cid:durableId="263461728">
    <w:abstractNumId w:val="0"/>
  </w:num>
  <w:num w:numId="4" w16cid:durableId="220360847">
    <w:abstractNumId w:val="14"/>
  </w:num>
  <w:num w:numId="5" w16cid:durableId="268196418">
    <w:abstractNumId w:val="8"/>
  </w:num>
  <w:num w:numId="6" w16cid:durableId="1048839230">
    <w:abstractNumId w:val="17"/>
  </w:num>
  <w:num w:numId="7" w16cid:durableId="1694109783">
    <w:abstractNumId w:val="7"/>
  </w:num>
  <w:num w:numId="8" w16cid:durableId="434980314">
    <w:abstractNumId w:val="4"/>
  </w:num>
  <w:num w:numId="9" w16cid:durableId="2093354204">
    <w:abstractNumId w:val="6"/>
  </w:num>
  <w:num w:numId="10" w16cid:durableId="569123925">
    <w:abstractNumId w:val="3"/>
  </w:num>
  <w:num w:numId="11" w16cid:durableId="1004092106">
    <w:abstractNumId w:val="1"/>
  </w:num>
  <w:num w:numId="12" w16cid:durableId="98646228">
    <w:abstractNumId w:val="11"/>
  </w:num>
  <w:num w:numId="13" w16cid:durableId="737483617">
    <w:abstractNumId w:val="13"/>
  </w:num>
  <w:num w:numId="14" w16cid:durableId="762412301">
    <w:abstractNumId w:val="5"/>
  </w:num>
  <w:num w:numId="15" w16cid:durableId="546573074">
    <w:abstractNumId w:val="9"/>
  </w:num>
  <w:num w:numId="16" w16cid:durableId="758675485">
    <w:abstractNumId w:val="16"/>
  </w:num>
  <w:num w:numId="17" w16cid:durableId="1589971128">
    <w:abstractNumId w:val="2"/>
  </w:num>
  <w:num w:numId="18" w16cid:durableId="46880457">
    <w:abstractNumId w:val="15"/>
  </w:num>
  <w:num w:numId="19" w16cid:durableId="1007901010">
    <w:abstractNumId w:val="12"/>
  </w:num>
  <w:num w:numId="20" w16cid:durableId="1076511407">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M0MTIyMTcxNzY0MDVW0lEKTi0uzszPAykwNa4FAFOlgSQtAAAA"/>
  </w:docVars>
  <w:rsids>
    <w:rsidRoot w:val="00E65E79"/>
    <w:rsid w:val="00000790"/>
    <w:rsid w:val="00000ACC"/>
    <w:rsid w:val="0000110B"/>
    <w:rsid w:val="000025D3"/>
    <w:rsid w:val="00003499"/>
    <w:rsid w:val="000039B7"/>
    <w:rsid w:val="000040EA"/>
    <w:rsid w:val="00004917"/>
    <w:rsid w:val="000056B9"/>
    <w:rsid w:val="00006360"/>
    <w:rsid w:val="0000639A"/>
    <w:rsid w:val="0000690D"/>
    <w:rsid w:val="000069C0"/>
    <w:rsid w:val="00006B0E"/>
    <w:rsid w:val="00006F17"/>
    <w:rsid w:val="0001086D"/>
    <w:rsid w:val="000111E3"/>
    <w:rsid w:val="00011A4A"/>
    <w:rsid w:val="0001223E"/>
    <w:rsid w:val="00013247"/>
    <w:rsid w:val="00014EB7"/>
    <w:rsid w:val="00015886"/>
    <w:rsid w:val="00015E8B"/>
    <w:rsid w:val="000162EF"/>
    <w:rsid w:val="0001675A"/>
    <w:rsid w:val="00016D2E"/>
    <w:rsid w:val="000178DB"/>
    <w:rsid w:val="00020362"/>
    <w:rsid w:val="000207C9"/>
    <w:rsid w:val="00020858"/>
    <w:rsid w:val="000211FF"/>
    <w:rsid w:val="000214D3"/>
    <w:rsid w:val="00021BF1"/>
    <w:rsid w:val="00021D85"/>
    <w:rsid w:val="0002225F"/>
    <w:rsid w:val="00022FA8"/>
    <w:rsid w:val="0002310E"/>
    <w:rsid w:val="000236A7"/>
    <w:rsid w:val="00023763"/>
    <w:rsid w:val="00023BDF"/>
    <w:rsid w:val="00023EE9"/>
    <w:rsid w:val="00024EB5"/>
    <w:rsid w:val="000260C1"/>
    <w:rsid w:val="000266B6"/>
    <w:rsid w:val="00026936"/>
    <w:rsid w:val="00026E01"/>
    <w:rsid w:val="000274B8"/>
    <w:rsid w:val="000301E2"/>
    <w:rsid w:val="000303EA"/>
    <w:rsid w:val="00030CCA"/>
    <w:rsid w:val="0003111D"/>
    <w:rsid w:val="0003119D"/>
    <w:rsid w:val="000312B1"/>
    <w:rsid w:val="00031482"/>
    <w:rsid w:val="000318AE"/>
    <w:rsid w:val="00033632"/>
    <w:rsid w:val="00033863"/>
    <w:rsid w:val="000339F6"/>
    <w:rsid w:val="00034DA7"/>
    <w:rsid w:val="00035DC0"/>
    <w:rsid w:val="0003662E"/>
    <w:rsid w:val="0003681D"/>
    <w:rsid w:val="00036829"/>
    <w:rsid w:val="00036A2C"/>
    <w:rsid w:val="00036CB6"/>
    <w:rsid w:val="000371C3"/>
    <w:rsid w:val="0003771A"/>
    <w:rsid w:val="00037B23"/>
    <w:rsid w:val="000405B4"/>
    <w:rsid w:val="00040895"/>
    <w:rsid w:val="00040D9C"/>
    <w:rsid w:val="000410A0"/>
    <w:rsid w:val="000417F3"/>
    <w:rsid w:val="00041A61"/>
    <w:rsid w:val="000432DE"/>
    <w:rsid w:val="0004346A"/>
    <w:rsid w:val="000435EE"/>
    <w:rsid w:val="00043C37"/>
    <w:rsid w:val="00044017"/>
    <w:rsid w:val="00044041"/>
    <w:rsid w:val="00045017"/>
    <w:rsid w:val="00045A2B"/>
    <w:rsid w:val="00046516"/>
    <w:rsid w:val="00046892"/>
    <w:rsid w:val="0004698F"/>
    <w:rsid w:val="00046A48"/>
    <w:rsid w:val="00046D64"/>
    <w:rsid w:val="000508C2"/>
    <w:rsid w:val="0005113A"/>
    <w:rsid w:val="0005148D"/>
    <w:rsid w:val="000529CC"/>
    <w:rsid w:val="00052D84"/>
    <w:rsid w:val="000531C3"/>
    <w:rsid w:val="00053448"/>
    <w:rsid w:val="000539D0"/>
    <w:rsid w:val="00053F22"/>
    <w:rsid w:val="000541A8"/>
    <w:rsid w:val="00054621"/>
    <w:rsid w:val="000546D7"/>
    <w:rsid w:val="00054A8D"/>
    <w:rsid w:val="00054C41"/>
    <w:rsid w:val="0005578F"/>
    <w:rsid w:val="00055A82"/>
    <w:rsid w:val="000560D2"/>
    <w:rsid w:val="00056ECF"/>
    <w:rsid w:val="000572FE"/>
    <w:rsid w:val="0006007D"/>
    <w:rsid w:val="00060378"/>
    <w:rsid w:val="000603A4"/>
    <w:rsid w:val="000604DF"/>
    <w:rsid w:val="000619AE"/>
    <w:rsid w:val="00062161"/>
    <w:rsid w:val="00062324"/>
    <w:rsid w:val="00062367"/>
    <w:rsid w:val="00062728"/>
    <w:rsid w:val="00064300"/>
    <w:rsid w:val="000653B5"/>
    <w:rsid w:val="00065E55"/>
    <w:rsid w:val="00065EDD"/>
    <w:rsid w:val="0006607F"/>
    <w:rsid w:val="00066360"/>
    <w:rsid w:val="00066409"/>
    <w:rsid w:val="00066AF8"/>
    <w:rsid w:val="00066CCE"/>
    <w:rsid w:val="000671BB"/>
    <w:rsid w:val="00067797"/>
    <w:rsid w:val="00070C50"/>
    <w:rsid w:val="00071248"/>
    <w:rsid w:val="00071F6B"/>
    <w:rsid w:val="000720B9"/>
    <w:rsid w:val="000727FF"/>
    <w:rsid w:val="00072ED0"/>
    <w:rsid w:val="00073579"/>
    <w:rsid w:val="000737F7"/>
    <w:rsid w:val="000743BF"/>
    <w:rsid w:val="00074A18"/>
    <w:rsid w:val="000751DE"/>
    <w:rsid w:val="00075750"/>
    <w:rsid w:val="00075997"/>
    <w:rsid w:val="000766A1"/>
    <w:rsid w:val="0007672F"/>
    <w:rsid w:val="00076B54"/>
    <w:rsid w:val="000774F0"/>
    <w:rsid w:val="0008025B"/>
    <w:rsid w:val="00080909"/>
    <w:rsid w:val="00080AAF"/>
    <w:rsid w:val="00080C7D"/>
    <w:rsid w:val="0008109C"/>
    <w:rsid w:val="000812CA"/>
    <w:rsid w:val="0008148C"/>
    <w:rsid w:val="00081E63"/>
    <w:rsid w:val="000820E7"/>
    <w:rsid w:val="0008258D"/>
    <w:rsid w:val="00083ABE"/>
    <w:rsid w:val="00083E99"/>
    <w:rsid w:val="00084E6F"/>
    <w:rsid w:val="00084FA8"/>
    <w:rsid w:val="00084FC9"/>
    <w:rsid w:val="000856C5"/>
    <w:rsid w:val="00085C31"/>
    <w:rsid w:val="00086665"/>
    <w:rsid w:val="00086773"/>
    <w:rsid w:val="00086BB0"/>
    <w:rsid w:val="00086DB8"/>
    <w:rsid w:val="000902D9"/>
    <w:rsid w:val="0009052F"/>
    <w:rsid w:val="00090C7E"/>
    <w:rsid w:val="000910A5"/>
    <w:rsid w:val="000911AC"/>
    <w:rsid w:val="00091B08"/>
    <w:rsid w:val="00091EF5"/>
    <w:rsid w:val="0009213F"/>
    <w:rsid w:val="00092600"/>
    <w:rsid w:val="0009262B"/>
    <w:rsid w:val="00093310"/>
    <w:rsid w:val="00093E1E"/>
    <w:rsid w:val="000942F1"/>
    <w:rsid w:val="0009445C"/>
    <w:rsid w:val="00095200"/>
    <w:rsid w:val="000956D6"/>
    <w:rsid w:val="00095FE5"/>
    <w:rsid w:val="00096284"/>
    <w:rsid w:val="0009656D"/>
    <w:rsid w:val="000974C2"/>
    <w:rsid w:val="000A013B"/>
    <w:rsid w:val="000A08F4"/>
    <w:rsid w:val="000A0A63"/>
    <w:rsid w:val="000A1684"/>
    <w:rsid w:val="000A1BC0"/>
    <w:rsid w:val="000A1C2A"/>
    <w:rsid w:val="000A1FB3"/>
    <w:rsid w:val="000A2927"/>
    <w:rsid w:val="000A2F9E"/>
    <w:rsid w:val="000A32DF"/>
    <w:rsid w:val="000A3306"/>
    <w:rsid w:val="000A33B5"/>
    <w:rsid w:val="000A3A02"/>
    <w:rsid w:val="000A3BE6"/>
    <w:rsid w:val="000A3E47"/>
    <w:rsid w:val="000A522B"/>
    <w:rsid w:val="000A5837"/>
    <w:rsid w:val="000A6039"/>
    <w:rsid w:val="000A6B75"/>
    <w:rsid w:val="000A7453"/>
    <w:rsid w:val="000A7D08"/>
    <w:rsid w:val="000A7D6E"/>
    <w:rsid w:val="000B0121"/>
    <w:rsid w:val="000B0670"/>
    <w:rsid w:val="000B0E75"/>
    <w:rsid w:val="000B0E95"/>
    <w:rsid w:val="000B0FFA"/>
    <w:rsid w:val="000B2DCB"/>
    <w:rsid w:val="000B3104"/>
    <w:rsid w:val="000B3153"/>
    <w:rsid w:val="000B32F2"/>
    <w:rsid w:val="000B3504"/>
    <w:rsid w:val="000B4129"/>
    <w:rsid w:val="000B46F0"/>
    <w:rsid w:val="000B48BC"/>
    <w:rsid w:val="000B5615"/>
    <w:rsid w:val="000B58DD"/>
    <w:rsid w:val="000B5CE0"/>
    <w:rsid w:val="000B63F3"/>
    <w:rsid w:val="000B67C5"/>
    <w:rsid w:val="000B6CAC"/>
    <w:rsid w:val="000B7612"/>
    <w:rsid w:val="000B78AE"/>
    <w:rsid w:val="000C033F"/>
    <w:rsid w:val="000C13F4"/>
    <w:rsid w:val="000C15BC"/>
    <w:rsid w:val="000C1E8A"/>
    <w:rsid w:val="000C23DC"/>
    <w:rsid w:val="000C28AA"/>
    <w:rsid w:val="000C2A8C"/>
    <w:rsid w:val="000C3CC5"/>
    <w:rsid w:val="000C3D10"/>
    <w:rsid w:val="000C3DF9"/>
    <w:rsid w:val="000C3F10"/>
    <w:rsid w:val="000C40E8"/>
    <w:rsid w:val="000C41DA"/>
    <w:rsid w:val="000C45EB"/>
    <w:rsid w:val="000C4CF2"/>
    <w:rsid w:val="000C6713"/>
    <w:rsid w:val="000C6EC4"/>
    <w:rsid w:val="000C756E"/>
    <w:rsid w:val="000C798C"/>
    <w:rsid w:val="000C7C45"/>
    <w:rsid w:val="000C7CF4"/>
    <w:rsid w:val="000D065E"/>
    <w:rsid w:val="000D0FA2"/>
    <w:rsid w:val="000D0FF6"/>
    <w:rsid w:val="000D147E"/>
    <w:rsid w:val="000D169E"/>
    <w:rsid w:val="000D1A05"/>
    <w:rsid w:val="000D1B27"/>
    <w:rsid w:val="000D1BFC"/>
    <w:rsid w:val="000D1D5D"/>
    <w:rsid w:val="000D2438"/>
    <w:rsid w:val="000D281A"/>
    <w:rsid w:val="000D2848"/>
    <w:rsid w:val="000D2DB8"/>
    <w:rsid w:val="000D2DD2"/>
    <w:rsid w:val="000D326A"/>
    <w:rsid w:val="000D35B8"/>
    <w:rsid w:val="000D3645"/>
    <w:rsid w:val="000D36BA"/>
    <w:rsid w:val="000D51FB"/>
    <w:rsid w:val="000D60FA"/>
    <w:rsid w:val="000D630A"/>
    <w:rsid w:val="000D6B4E"/>
    <w:rsid w:val="000D711E"/>
    <w:rsid w:val="000D7481"/>
    <w:rsid w:val="000D7B16"/>
    <w:rsid w:val="000E0640"/>
    <w:rsid w:val="000E0BE2"/>
    <w:rsid w:val="000E0FC6"/>
    <w:rsid w:val="000E135D"/>
    <w:rsid w:val="000E2C60"/>
    <w:rsid w:val="000E33D7"/>
    <w:rsid w:val="000E57DB"/>
    <w:rsid w:val="000E66F6"/>
    <w:rsid w:val="000E6C65"/>
    <w:rsid w:val="000E6EB9"/>
    <w:rsid w:val="000E79BD"/>
    <w:rsid w:val="000F00BA"/>
    <w:rsid w:val="000F0EAB"/>
    <w:rsid w:val="000F2B54"/>
    <w:rsid w:val="000F316A"/>
    <w:rsid w:val="000F394C"/>
    <w:rsid w:val="000F3C74"/>
    <w:rsid w:val="000F3FEF"/>
    <w:rsid w:val="000F4062"/>
    <w:rsid w:val="000F437F"/>
    <w:rsid w:val="000F4BB8"/>
    <w:rsid w:val="000F4FA9"/>
    <w:rsid w:val="000F53FB"/>
    <w:rsid w:val="000F5865"/>
    <w:rsid w:val="000F6BA2"/>
    <w:rsid w:val="000F7127"/>
    <w:rsid w:val="000F71C9"/>
    <w:rsid w:val="000F7B54"/>
    <w:rsid w:val="001000B3"/>
    <w:rsid w:val="00100F8A"/>
    <w:rsid w:val="00101125"/>
    <w:rsid w:val="001015BE"/>
    <w:rsid w:val="0010160E"/>
    <w:rsid w:val="00102C84"/>
    <w:rsid w:val="001041D9"/>
    <w:rsid w:val="0010452E"/>
    <w:rsid w:val="00104689"/>
    <w:rsid w:val="00104A5A"/>
    <w:rsid w:val="00104F75"/>
    <w:rsid w:val="00105522"/>
    <w:rsid w:val="00105AE2"/>
    <w:rsid w:val="001060C6"/>
    <w:rsid w:val="00106B80"/>
    <w:rsid w:val="00106C4D"/>
    <w:rsid w:val="001074BE"/>
    <w:rsid w:val="00107710"/>
    <w:rsid w:val="00107911"/>
    <w:rsid w:val="001100A6"/>
    <w:rsid w:val="0011032E"/>
    <w:rsid w:val="00110748"/>
    <w:rsid w:val="001108E4"/>
    <w:rsid w:val="00110A03"/>
    <w:rsid w:val="00111F62"/>
    <w:rsid w:val="00112171"/>
    <w:rsid w:val="00112A0A"/>
    <w:rsid w:val="0011348B"/>
    <w:rsid w:val="00113F77"/>
    <w:rsid w:val="00114568"/>
    <w:rsid w:val="00114EFF"/>
    <w:rsid w:val="00115982"/>
    <w:rsid w:val="001161B2"/>
    <w:rsid w:val="001163B0"/>
    <w:rsid w:val="00116C53"/>
    <w:rsid w:val="00116E07"/>
    <w:rsid w:val="0011704A"/>
    <w:rsid w:val="0011709F"/>
    <w:rsid w:val="00120D57"/>
    <w:rsid w:val="00121799"/>
    <w:rsid w:val="001222FC"/>
    <w:rsid w:val="00122D10"/>
    <w:rsid w:val="00123490"/>
    <w:rsid w:val="00123902"/>
    <w:rsid w:val="00124071"/>
    <w:rsid w:val="00124A51"/>
    <w:rsid w:val="00125A7A"/>
    <w:rsid w:val="00126621"/>
    <w:rsid w:val="00126B1D"/>
    <w:rsid w:val="00126C79"/>
    <w:rsid w:val="001279B5"/>
    <w:rsid w:val="00127E79"/>
    <w:rsid w:val="001301E9"/>
    <w:rsid w:val="00130E07"/>
    <w:rsid w:val="00131A9A"/>
    <w:rsid w:val="00131D82"/>
    <w:rsid w:val="001323B7"/>
    <w:rsid w:val="00132B22"/>
    <w:rsid w:val="00133257"/>
    <w:rsid w:val="00133739"/>
    <w:rsid w:val="00133D36"/>
    <w:rsid w:val="00134C74"/>
    <w:rsid w:val="00136364"/>
    <w:rsid w:val="001364B6"/>
    <w:rsid w:val="00136C9F"/>
    <w:rsid w:val="00137645"/>
    <w:rsid w:val="00137706"/>
    <w:rsid w:val="0013784E"/>
    <w:rsid w:val="00137DDC"/>
    <w:rsid w:val="0014015A"/>
    <w:rsid w:val="0014023C"/>
    <w:rsid w:val="00140C9A"/>
    <w:rsid w:val="00140E56"/>
    <w:rsid w:val="00140E99"/>
    <w:rsid w:val="0014295B"/>
    <w:rsid w:val="00142EE9"/>
    <w:rsid w:val="00143224"/>
    <w:rsid w:val="00143352"/>
    <w:rsid w:val="00143660"/>
    <w:rsid w:val="001438E6"/>
    <w:rsid w:val="00143F67"/>
    <w:rsid w:val="001444C0"/>
    <w:rsid w:val="001447AA"/>
    <w:rsid w:val="00145058"/>
    <w:rsid w:val="00145234"/>
    <w:rsid w:val="00145540"/>
    <w:rsid w:val="001456B0"/>
    <w:rsid w:val="00145A1A"/>
    <w:rsid w:val="001466B4"/>
    <w:rsid w:val="00146C28"/>
    <w:rsid w:val="00146E90"/>
    <w:rsid w:val="00147AAC"/>
    <w:rsid w:val="00147DFA"/>
    <w:rsid w:val="001509DF"/>
    <w:rsid w:val="00150AD2"/>
    <w:rsid w:val="00153B92"/>
    <w:rsid w:val="00154623"/>
    <w:rsid w:val="001547AB"/>
    <w:rsid w:val="00154AA1"/>
    <w:rsid w:val="00155CE6"/>
    <w:rsid w:val="00156213"/>
    <w:rsid w:val="0015644D"/>
    <w:rsid w:val="001564A9"/>
    <w:rsid w:val="001566F1"/>
    <w:rsid w:val="001567C4"/>
    <w:rsid w:val="00156DAF"/>
    <w:rsid w:val="00156F5F"/>
    <w:rsid w:val="00156F8F"/>
    <w:rsid w:val="00157130"/>
    <w:rsid w:val="001574C9"/>
    <w:rsid w:val="001576B1"/>
    <w:rsid w:val="00157EAE"/>
    <w:rsid w:val="001601AC"/>
    <w:rsid w:val="0016047B"/>
    <w:rsid w:val="00160847"/>
    <w:rsid w:val="00160A4C"/>
    <w:rsid w:val="00160B78"/>
    <w:rsid w:val="0016121E"/>
    <w:rsid w:val="00161446"/>
    <w:rsid w:val="0016243A"/>
    <w:rsid w:val="00162913"/>
    <w:rsid w:val="001633D3"/>
    <w:rsid w:val="00163BA7"/>
    <w:rsid w:val="00163D42"/>
    <w:rsid w:val="00163EFF"/>
    <w:rsid w:val="00163F66"/>
    <w:rsid w:val="0016478E"/>
    <w:rsid w:val="00164BFF"/>
    <w:rsid w:val="001651A1"/>
    <w:rsid w:val="00165923"/>
    <w:rsid w:val="00165A82"/>
    <w:rsid w:val="00165EC4"/>
    <w:rsid w:val="001661FB"/>
    <w:rsid w:val="00166472"/>
    <w:rsid w:val="001670B2"/>
    <w:rsid w:val="001671A0"/>
    <w:rsid w:val="0016765E"/>
    <w:rsid w:val="0016767F"/>
    <w:rsid w:val="00167AE8"/>
    <w:rsid w:val="001700D3"/>
    <w:rsid w:val="00170412"/>
    <w:rsid w:val="00170D19"/>
    <w:rsid w:val="001712F4"/>
    <w:rsid w:val="001718C6"/>
    <w:rsid w:val="00172285"/>
    <w:rsid w:val="0017244A"/>
    <w:rsid w:val="0017338E"/>
    <w:rsid w:val="001733B1"/>
    <w:rsid w:val="00173565"/>
    <w:rsid w:val="00173575"/>
    <w:rsid w:val="00173B07"/>
    <w:rsid w:val="00174E13"/>
    <w:rsid w:val="001751FA"/>
    <w:rsid w:val="00175361"/>
    <w:rsid w:val="00175D43"/>
    <w:rsid w:val="00175DC0"/>
    <w:rsid w:val="00177933"/>
    <w:rsid w:val="0018021B"/>
    <w:rsid w:val="00180A66"/>
    <w:rsid w:val="00180C28"/>
    <w:rsid w:val="001813DD"/>
    <w:rsid w:val="00181C10"/>
    <w:rsid w:val="00181D80"/>
    <w:rsid w:val="00181D9C"/>
    <w:rsid w:val="001828F8"/>
    <w:rsid w:val="00182E78"/>
    <w:rsid w:val="00182ECC"/>
    <w:rsid w:val="001837FF"/>
    <w:rsid w:val="0018488B"/>
    <w:rsid w:val="00184B0E"/>
    <w:rsid w:val="00184B57"/>
    <w:rsid w:val="00184E0A"/>
    <w:rsid w:val="00184FDC"/>
    <w:rsid w:val="00186212"/>
    <w:rsid w:val="00186213"/>
    <w:rsid w:val="0018752F"/>
    <w:rsid w:val="00187878"/>
    <w:rsid w:val="00187929"/>
    <w:rsid w:val="00187B76"/>
    <w:rsid w:val="00193838"/>
    <w:rsid w:val="00194AD8"/>
    <w:rsid w:val="00194F19"/>
    <w:rsid w:val="00195222"/>
    <w:rsid w:val="00195452"/>
    <w:rsid w:val="0019606C"/>
    <w:rsid w:val="001975D8"/>
    <w:rsid w:val="00197D7C"/>
    <w:rsid w:val="001A0361"/>
    <w:rsid w:val="001A03E2"/>
    <w:rsid w:val="001A1393"/>
    <w:rsid w:val="001A178E"/>
    <w:rsid w:val="001A1CCD"/>
    <w:rsid w:val="001A22FE"/>
    <w:rsid w:val="001A27D5"/>
    <w:rsid w:val="001A2C27"/>
    <w:rsid w:val="001A3D4E"/>
    <w:rsid w:val="001A43FA"/>
    <w:rsid w:val="001A444D"/>
    <w:rsid w:val="001A47C5"/>
    <w:rsid w:val="001A4956"/>
    <w:rsid w:val="001A59FB"/>
    <w:rsid w:val="001A5E9E"/>
    <w:rsid w:val="001A6354"/>
    <w:rsid w:val="001A6366"/>
    <w:rsid w:val="001A68A8"/>
    <w:rsid w:val="001A7AE8"/>
    <w:rsid w:val="001B01D1"/>
    <w:rsid w:val="001B02DB"/>
    <w:rsid w:val="001B0DB6"/>
    <w:rsid w:val="001B0F7C"/>
    <w:rsid w:val="001B1DB5"/>
    <w:rsid w:val="001B204E"/>
    <w:rsid w:val="001B2372"/>
    <w:rsid w:val="001B28D7"/>
    <w:rsid w:val="001B2ABA"/>
    <w:rsid w:val="001B2C43"/>
    <w:rsid w:val="001B3443"/>
    <w:rsid w:val="001B4D20"/>
    <w:rsid w:val="001B4D5A"/>
    <w:rsid w:val="001B5B3C"/>
    <w:rsid w:val="001B630F"/>
    <w:rsid w:val="001B64D8"/>
    <w:rsid w:val="001B739B"/>
    <w:rsid w:val="001B7423"/>
    <w:rsid w:val="001B7642"/>
    <w:rsid w:val="001B7F84"/>
    <w:rsid w:val="001C01F7"/>
    <w:rsid w:val="001C057C"/>
    <w:rsid w:val="001C0B51"/>
    <w:rsid w:val="001C0E3D"/>
    <w:rsid w:val="001C1A21"/>
    <w:rsid w:val="001C295F"/>
    <w:rsid w:val="001C2A9B"/>
    <w:rsid w:val="001C3DD6"/>
    <w:rsid w:val="001C426A"/>
    <w:rsid w:val="001C4299"/>
    <w:rsid w:val="001C4874"/>
    <w:rsid w:val="001C4A8A"/>
    <w:rsid w:val="001C4CFC"/>
    <w:rsid w:val="001C52DD"/>
    <w:rsid w:val="001C5378"/>
    <w:rsid w:val="001C55D2"/>
    <w:rsid w:val="001C5854"/>
    <w:rsid w:val="001C5F94"/>
    <w:rsid w:val="001C60C3"/>
    <w:rsid w:val="001C6E66"/>
    <w:rsid w:val="001C6E98"/>
    <w:rsid w:val="001C7C56"/>
    <w:rsid w:val="001C7CF8"/>
    <w:rsid w:val="001C7DCA"/>
    <w:rsid w:val="001D03BD"/>
    <w:rsid w:val="001D05B8"/>
    <w:rsid w:val="001D0D14"/>
    <w:rsid w:val="001D1100"/>
    <w:rsid w:val="001D1337"/>
    <w:rsid w:val="001D1391"/>
    <w:rsid w:val="001D2313"/>
    <w:rsid w:val="001D25D7"/>
    <w:rsid w:val="001D2CEB"/>
    <w:rsid w:val="001D2DB7"/>
    <w:rsid w:val="001D2E25"/>
    <w:rsid w:val="001D3AE5"/>
    <w:rsid w:val="001D3F7B"/>
    <w:rsid w:val="001D4B54"/>
    <w:rsid w:val="001D4EB0"/>
    <w:rsid w:val="001D5048"/>
    <w:rsid w:val="001D50B2"/>
    <w:rsid w:val="001D5444"/>
    <w:rsid w:val="001D55BC"/>
    <w:rsid w:val="001D6283"/>
    <w:rsid w:val="001D6AA4"/>
    <w:rsid w:val="001D71F4"/>
    <w:rsid w:val="001D7645"/>
    <w:rsid w:val="001D7B66"/>
    <w:rsid w:val="001D7B7B"/>
    <w:rsid w:val="001E02E2"/>
    <w:rsid w:val="001E0488"/>
    <w:rsid w:val="001E1418"/>
    <w:rsid w:val="001E18EF"/>
    <w:rsid w:val="001E1C4F"/>
    <w:rsid w:val="001E1E74"/>
    <w:rsid w:val="001E1E86"/>
    <w:rsid w:val="001E238E"/>
    <w:rsid w:val="001E2483"/>
    <w:rsid w:val="001E28CD"/>
    <w:rsid w:val="001E2998"/>
    <w:rsid w:val="001E2B1E"/>
    <w:rsid w:val="001E2CFF"/>
    <w:rsid w:val="001E2F24"/>
    <w:rsid w:val="001E30D4"/>
    <w:rsid w:val="001E34DF"/>
    <w:rsid w:val="001E3B0B"/>
    <w:rsid w:val="001E3B58"/>
    <w:rsid w:val="001E3DC7"/>
    <w:rsid w:val="001E52EB"/>
    <w:rsid w:val="001E5D63"/>
    <w:rsid w:val="001E60A1"/>
    <w:rsid w:val="001E61D2"/>
    <w:rsid w:val="001E638E"/>
    <w:rsid w:val="001E6543"/>
    <w:rsid w:val="001E6748"/>
    <w:rsid w:val="001E740C"/>
    <w:rsid w:val="001F03A8"/>
    <w:rsid w:val="001F1235"/>
    <w:rsid w:val="001F153C"/>
    <w:rsid w:val="001F1563"/>
    <w:rsid w:val="001F1CB3"/>
    <w:rsid w:val="001F1D42"/>
    <w:rsid w:val="001F204B"/>
    <w:rsid w:val="001F250E"/>
    <w:rsid w:val="001F257F"/>
    <w:rsid w:val="001F38B5"/>
    <w:rsid w:val="001F4081"/>
    <w:rsid w:val="001F550B"/>
    <w:rsid w:val="001F646B"/>
    <w:rsid w:val="001F6514"/>
    <w:rsid w:val="001F7337"/>
    <w:rsid w:val="001F7361"/>
    <w:rsid w:val="00200596"/>
    <w:rsid w:val="00200B76"/>
    <w:rsid w:val="00200CD6"/>
    <w:rsid w:val="002011B0"/>
    <w:rsid w:val="00203181"/>
    <w:rsid w:val="00203783"/>
    <w:rsid w:val="0020382D"/>
    <w:rsid w:val="0020385F"/>
    <w:rsid w:val="00203B28"/>
    <w:rsid w:val="0020582D"/>
    <w:rsid w:val="00205965"/>
    <w:rsid w:val="002068A0"/>
    <w:rsid w:val="00207021"/>
    <w:rsid w:val="00207023"/>
    <w:rsid w:val="00207293"/>
    <w:rsid w:val="0020732F"/>
    <w:rsid w:val="002075DC"/>
    <w:rsid w:val="00207D00"/>
    <w:rsid w:val="00207E5F"/>
    <w:rsid w:val="00207ECF"/>
    <w:rsid w:val="002103BA"/>
    <w:rsid w:val="002105C1"/>
    <w:rsid w:val="00211070"/>
    <w:rsid w:val="002116FD"/>
    <w:rsid w:val="00212FF3"/>
    <w:rsid w:val="0021359F"/>
    <w:rsid w:val="00213EF5"/>
    <w:rsid w:val="00214598"/>
    <w:rsid w:val="00214B5B"/>
    <w:rsid w:val="00215135"/>
    <w:rsid w:val="0021551E"/>
    <w:rsid w:val="00216BF5"/>
    <w:rsid w:val="00216D74"/>
    <w:rsid w:val="00216DE7"/>
    <w:rsid w:val="00220797"/>
    <w:rsid w:val="00221410"/>
    <w:rsid w:val="00221A74"/>
    <w:rsid w:val="00221F46"/>
    <w:rsid w:val="00222D19"/>
    <w:rsid w:val="00223B49"/>
    <w:rsid w:val="00223D5A"/>
    <w:rsid w:val="00224119"/>
    <w:rsid w:val="00224DD4"/>
    <w:rsid w:val="002254F9"/>
    <w:rsid w:val="00225BC1"/>
    <w:rsid w:val="00227152"/>
    <w:rsid w:val="002276A9"/>
    <w:rsid w:val="002276B6"/>
    <w:rsid w:val="002278A0"/>
    <w:rsid w:val="00227BA7"/>
    <w:rsid w:val="002309CC"/>
    <w:rsid w:val="00230A7E"/>
    <w:rsid w:val="00230F36"/>
    <w:rsid w:val="00231BA9"/>
    <w:rsid w:val="00231CA4"/>
    <w:rsid w:val="0023209F"/>
    <w:rsid w:val="00232735"/>
    <w:rsid w:val="00233315"/>
    <w:rsid w:val="00233C01"/>
    <w:rsid w:val="0023413C"/>
    <w:rsid w:val="002346F0"/>
    <w:rsid w:val="002352C9"/>
    <w:rsid w:val="00235A2B"/>
    <w:rsid w:val="0023629D"/>
    <w:rsid w:val="00236995"/>
    <w:rsid w:val="00237255"/>
    <w:rsid w:val="00237754"/>
    <w:rsid w:val="00237D8D"/>
    <w:rsid w:val="00241F72"/>
    <w:rsid w:val="00242450"/>
    <w:rsid w:val="00242478"/>
    <w:rsid w:val="002424AF"/>
    <w:rsid w:val="002427F4"/>
    <w:rsid w:val="00242A67"/>
    <w:rsid w:val="00243066"/>
    <w:rsid w:val="002439DC"/>
    <w:rsid w:val="00243BAA"/>
    <w:rsid w:val="002441D2"/>
    <w:rsid w:val="002442C9"/>
    <w:rsid w:val="002443E4"/>
    <w:rsid w:val="00244497"/>
    <w:rsid w:val="00244B9E"/>
    <w:rsid w:val="00244DC8"/>
    <w:rsid w:val="002458BA"/>
    <w:rsid w:val="00245CB9"/>
    <w:rsid w:val="00245CE9"/>
    <w:rsid w:val="0024636C"/>
    <w:rsid w:val="00247298"/>
    <w:rsid w:val="00247925"/>
    <w:rsid w:val="00247FD4"/>
    <w:rsid w:val="00251006"/>
    <w:rsid w:val="00252056"/>
    <w:rsid w:val="002524D5"/>
    <w:rsid w:val="0025345E"/>
    <w:rsid w:val="00253615"/>
    <w:rsid w:val="00253B1D"/>
    <w:rsid w:val="00254131"/>
    <w:rsid w:val="002546F0"/>
    <w:rsid w:val="00254DCF"/>
    <w:rsid w:val="0025500D"/>
    <w:rsid w:val="0025521E"/>
    <w:rsid w:val="0025534B"/>
    <w:rsid w:val="00255BB7"/>
    <w:rsid w:val="00255DB6"/>
    <w:rsid w:val="002565B5"/>
    <w:rsid w:val="00256952"/>
    <w:rsid w:val="00256D08"/>
    <w:rsid w:val="00257541"/>
    <w:rsid w:val="00257A39"/>
    <w:rsid w:val="00257AC4"/>
    <w:rsid w:val="00257BBE"/>
    <w:rsid w:val="00260634"/>
    <w:rsid w:val="00261EEF"/>
    <w:rsid w:val="002620C8"/>
    <w:rsid w:val="00262384"/>
    <w:rsid w:val="00262654"/>
    <w:rsid w:val="00262A1A"/>
    <w:rsid w:val="00262A87"/>
    <w:rsid w:val="00263CA5"/>
    <w:rsid w:val="002644B1"/>
    <w:rsid w:val="00264C62"/>
    <w:rsid w:val="00264D26"/>
    <w:rsid w:val="00266DE5"/>
    <w:rsid w:val="00266E22"/>
    <w:rsid w:val="00267642"/>
    <w:rsid w:val="00267731"/>
    <w:rsid w:val="00267AEA"/>
    <w:rsid w:val="002700E6"/>
    <w:rsid w:val="00271BB9"/>
    <w:rsid w:val="0027218A"/>
    <w:rsid w:val="002724D7"/>
    <w:rsid w:val="00272544"/>
    <w:rsid w:val="0027294B"/>
    <w:rsid w:val="00272AC2"/>
    <w:rsid w:val="00273E58"/>
    <w:rsid w:val="00273EB4"/>
    <w:rsid w:val="00274142"/>
    <w:rsid w:val="00274682"/>
    <w:rsid w:val="00274E04"/>
    <w:rsid w:val="00275158"/>
    <w:rsid w:val="002753DC"/>
    <w:rsid w:val="002755AF"/>
    <w:rsid w:val="00275781"/>
    <w:rsid w:val="00275C5A"/>
    <w:rsid w:val="0027602B"/>
    <w:rsid w:val="0027611B"/>
    <w:rsid w:val="00276688"/>
    <w:rsid w:val="00276851"/>
    <w:rsid w:val="00277025"/>
    <w:rsid w:val="0027745D"/>
    <w:rsid w:val="002778C1"/>
    <w:rsid w:val="00277A88"/>
    <w:rsid w:val="00280651"/>
    <w:rsid w:val="00281014"/>
    <w:rsid w:val="00281294"/>
    <w:rsid w:val="0028218A"/>
    <w:rsid w:val="00282197"/>
    <w:rsid w:val="002827B8"/>
    <w:rsid w:val="00282BBC"/>
    <w:rsid w:val="00283333"/>
    <w:rsid w:val="002837B3"/>
    <w:rsid w:val="00283C53"/>
    <w:rsid w:val="002842E5"/>
    <w:rsid w:val="002842F7"/>
    <w:rsid w:val="00284BCE"/>
    <w:rsid w:val="00285BCE"/>
    <w:rsid w:val="0028665D"/>
    <w:rsid w:val="00286C3B"/>
    <w:rsid w:val="002875FB"/>
    <w:rsid w:val="0029064D"/>
    <w:rsid w:val="0029067F"/>
    <w:rsid w:val="002909D1"/>
    <w:rsid w:val="002912A3"/>
    <w:rsid w:val="00291583"/>
    <w:rsid w:val="002915F0"/>
    <w:rsid w:val="002920A0"/>
    <w:rsid w:val="00292921"/>
    <w:rsid w:val="00292C1E"/>
    <w:rsid w:val="00292C37"/>
    <w:rsid w:val="00293696"/>
    <w:rsid w:val="00293EC3"/>
    <w:rsid w:val="002943CB"/>
    <w:rsid w:val="002946C6"/>
    <w:rsid w:val="00294DE3"/>
    <w:rsid w:val="002967D4"/>
    <w:rsid w:val="002969E5"/>
    <w:rsid w:val="00297702"/>
    <w:rsid w:val="002A031B"/>
    <w:rsid w:val="002A069E"/>
    <w:rsid w:val="002A14AB"/>
    <w:rsid w:val="002A1515"/>
    <w:rsid w:val="002A1A69"/>
    <w:rsid w:val="002A2931"/>
    <w:rsid w:val="002A2ADE"/>
    <w:rsid w:val="002A2BA3"/>
    <w:rsid w:val="002A2D14"/>
    <w:rsid w:val="002A2F50"/>
    <w:rsid w:val="002A33F3"/>
    <w:rsid w:val="002A3746"/>
    <w:rsid w:val="002A3890"/>
    <w:rsid w:val="002A389D"/>
    <w:rsid w:val="002A4452"/>
    <w:rsid w:val="002A4623"/>
    <w:rsid w:val="002A4773"/>
    <w:rsid w:val="002A67DD"/>
    <w:rsid w:val="002A7943"/>
    <w:rsid w:val="002A799B"/>
    <w:rsid w:val="002B04D1"/>
    <w:rsid w:val="002B05A1"/>
    <w:rsid w:val="002B09A4"/>
    <w:rsid w:val="002B0F8F"/>
    <w:rsid w:val="002B177B"/>
    <w:rsid w:val="002B1C1F"/>
    <w:rsid w:val="002B2008"/>
    <w:rsid w:val="002B2D85"/>
    <w:rsid w:val="002B3F91"/>
    <w:rsid w:val="002B432F"/>
    <w:rsid w:val="002B4D36"/>
    <w:rsid w:val="002B544F"/>
    <w:rsid w:val="002B5FCC"/>
    <w:rsid w:val="002B62B3"/>
    <w:rsid w:val="002B6754"/>
    <w:rsid w:val="002B6CCE"/>
    <w:rsid w:val="002B7B22"/>
    <w:rsid w:val="002C08D6"/>
    <w:rsid w:val="002C119C"/>
    <w:rsid w:val="002C202C"/>
    <w:rsid w:val="002C23EA"/>
    <w:rsid w:val="002C2510"/>
    <w:rsid w:val="002C2775"/>
    <w:rsid w:val="002C27C1"/>
    <w:rsid w:val="002C36E3"/>
    <w:rsid w:val="002C3760"/>
    <w:rsid w:val="002C40CE"/>
    <w:rsid w:val="002C4445"/>
    <w:rsid w:val="002C4ACD"/>
    <w:rsid w:val="002C5099"/>
    <w:rsid w:val="002C51D1"/>
    <w:rsid w:val="002C527C"/>
    <w:rsid w:val="002C5677"/>
    <w:rsid w:val="002C5889"/>
    <w:rsid w:val="002C5A56"/>
    <w:rsid w:val="002C5AEE"/>
    <w:rsid w:val="002C5B39"/>
    <w:rsid w:val="002C5C71"/>
    <w:rsid w:val="002C6367"/>
    <w:rsid w:val="002C6460"/>
    <w:rsid w:val="002C6CED"/>
    <w:rsid w:val="002C71CE"/>
    <w:rsid w:val="002C7550"/>
    <w:rsid w:val="002C75FF"/>
    <w:rsid w:val="002C7EE2"/>
    <w:rsid w:val="002D08F8"/>
    <w:rsid w:val="002D0CA9"/>
    <w:rsid w:val="002D0F2A"/>
    <w:rsid w:val="002D2216"/>
    <w:rsid w:val="002D2B88"/>
    <w:rsid w:val="002D2DEC"/>
    <w:rsid w:val="002D2F09"/>
    <w:rsid w:val="002D4C20"/>
    <w:rsid w:val="002D55AF"/>
    <w:rsid w:val="002D577C"/>
    <w:rsid w:val="002D5A47"/>
    <w:rsid w:val="002D61A8"/>
    <w:rsid w:val="002D6577"/>
    <w:rsid w:val="002D677B"/>
    <w:rsid w:val="002D6FDF"/>
    <w:rsid w:val="002D76E2"/>
    <w:rsid w:val="002D7832"/>
    <w:rsid w:val="002D794B"/>
    <w:rsid w:val="002D7FCD"/>
    <w:rsid w:val="002E0060"/>
    <w:rsid w:val="002E1071"/>
    <w:rsid w:val="002E13C0"/>
    <w:rsid w:val="002E15B9"/>
    <w:rsid w:val="002E16A1"/>
    <w:rsid w:val="002E1F97"/>
    <w:rsid w:val="002E2158"/>
    <w:rsid w:val="002E23AF"/>
    <w:rsid w:val="002E2FE7"/>
    <w:rsid w:val="002E36D4"/>
    <w:rsid w:val="002E4F02"/>
    <w:rsid w:val="002E52DF"/>
    <w:rsid w:val="002E5714"/>
    <w:rsid w:val="002E5F9C"/>
    <w:rsid w:val="002E6AB2"/>
    <w:rsid w:val="002E6FD4"/>
    <w:rsid w:val="002E76A9"/>
    <w:rsid w:val="002E7722"/>
    <w:rsid w:val="002E77FE"/>
    <w:rsid w:val="002F00B5"/>
    <w:rsid w:val="002F07BA"/>
    <w:rsid w:val="002F0DA9"/>
    <w:rsid w:val="002F1014"/>
    <w:rsid w:val="002F11E4"/>
    <w:rsid w:val="002F17CD"/>
    <w:rsid w:val="002F185F"/>
    <w:rsid w:val="002F1E3B"/>
    <w:rsid w:val="002F2293"/>
    <w:rsid w:val="002F2C8F"/>
    <w:rsid w:val="002F2F9A"/>
    <w:rsid w:val="002F37A5"/>
    <w:rsid w:val="002F39B0"/>
    <w:rsid w:val="002F3C95"/>
    <w:rsid w:val="002F3E9B"/>
    <w:rsid w:val="002F486C"/>
    <w:rsid w:val="002F48A0"/>
    <w:rsid w:val="002F574E"/>
    <w:rsid w:val="002F643C"/>
    <w:rsid w:val="002F65D2"/>
    <w:rsid w:val="002F681A"/>
    <w:rsid w:val="002F71C0"/>
    <w:rsid w:val="002F74F1"/>
    <w:rsid w:val="00300245"/>
    <w:rsid w:val="00300330"/>
    <w:rsid w:val="0030053E"/>
    <w:rsid w:val="00300DCD"/>
    <w:rsid w:val="00301017"/>
    <w:rsid w:val="0030155F"/>
    <w:rsid w:val="003015AC"/>
    <w:rsid w:val="00302D87"/>
    <w:rsid w:val="0030429A"/>
    <w:rsid w:val="0030587B"/>
    <w:rsid w:val="00305D2D"/>
    <w:rsid w:val="00305FF0"/>
    <w:rsid w:val="00306378"/>
    <w:rsid w:val="00306654"/>
    <w:rsid w:val="00306D98"/>
    <w:rsid w:val="0030786C"/>
    <w:rsid w:val="0031031A"/>
    <w:rsid w:val="003104BC"/>
    <w:rsid w:val="00310981"/>
    <w:rsid w:val="00310ADC"/>
    <w:rsid w:val="00310B88"/>
    <w:rsid w:val="00311C89"/>
    <w:rsid w:val="00311D9B"/>
    <w:rsid w:val="00312423"/>
    <w:rsid w:val="003124D9"/>
    <w:rsid w:val="00312594"/>
    <w:rsid w:val="003132E5"/>
    <w:rsid w:val="00313D6B"/>
    <w:rsid w:val="0031447A"/>
    <w:rsid w:val="00314CE0"/>
    <w:rsid w:val="003152AE"/>
    <w:rsid w:val="00315498"/>
    <w:rsid w:val="00315ABA"/>
    <w:rsid w:val="00316474"/>
    <w:rsid w:val="00316D71"/>
    <w:rsid w:val="0031781E"/>
    <w:rsid w:val="00317A11"/>
    <w:rsid w:val="0032042C"/>
    <w:rsid w:val="00320C75"/>
    <w:rsid w:val="003215AB"/>
    <w:rsid w:val="00321834"/>
    <w:rsid w:val="00322107"/>
    <w:rsid w:val="00322355"/>
    <w:rsid w:val="003224A0"/>
    <w:rsid w:val="0032272D"/>
    <w:rsid w:val="0032282C"/>
    <w:rsid w:val="00322846"/>
    <w:rsid w:val="00322BE1"/>
    <w:rsid w:val="00322DC0"/>
    <w:rsid w:val="00322E54"/>
    <w:rsid w:val="00323F66"/>
    <w:rsid w:val="003245A4"/>
    <w:rsid w:val="00324C1F"/>
    <w:rsid w:val="00325103"/>
    <w:rsid w:val="00326AF7"/>
    <w:rsid w:val="00326DA7"/>
    <w:rsid w:val="003270E4"/>
    <w:rsid w:val="003279DC"/>
    <w:rsid w:val="00330004"/>
    <w:rsid w:val="00330A3A"/>
    <w:rsid w:val="00330BD5"/>
    <w:rsid w:val="00330DAA"/>
    <w:rsid w:val="00330F5C"/>
    <w:rsid w:val="00331712"/>
    <w:rsid w:val="00331CA7"/>
    <w:rsid w:val="00332287"/>
    <w:rsid w:val="00332D27"/>
    <w:rsid w:val="0033322A"/>
    <w:rsid w:val="00333C66"/>
    <w:rsid w:val="00333CC2"/>
    <w:rsid w:val="00333F92"/>
    <w:rsid w:val="00334F8A"/>
    <w:rsid w:val="00335272"/>
    <w:rsid w:val="0033593C"/>
    <w:rsid w:val="00335A45"/>
    <w:rsid w:val="003366C9"/>
    <w:rsid w:val="0033683F"/>
    <w:rsid w:val="003371B0"/>
    <w:rsid w:val="00337846"/>
    <w:rsid w:val="00337B9F"/>
    <w:rsid w:val="00340AC4"/>
    <w:rsid w:val="00340DF1"/>
    <w:rsid w:val="00341A99"/>
    <w:rsid w:val="00343DFC"/>
    <w:rsid w:val="00344699"/>
    <w:rsid w:val="00344AE8"/>
    <w:rsid w:val="00344DE6"/>
    <w:rsid w:val="003467FC"/>
    <w:rsid w:val="00346A22"/>
    <w:rsid w:val="00346A4E"/>
    <w:rsid w:val="00346C01"/>
    <w:rsid w:val="003470C7"/>
    <w:rsid w:val="00347465"/>
    <w:rsid w:val="00347989"/>
    <w:rsid w:val="003479D3"/>
    <w:rsid w:val="00347D3F"/>
    <w:rsid w:val="0035090D"/>
    <w:rsid w:val="00350C73"/>
    <w:rsid w:val="00350FE3"/>
    <w:rsid w:val="00351529"/>
    <w:rsid w:val="003517F9"/>
    <w:rsid w:val="00351BA9"/>
    <w:rsid w:val="00351FFC"/>
    <w:rsid w:val="00352186"/>
    <w:rsid w:val="00352EC0"/>
    <w:rsid w:val="0035351F"/>
    <w:rsid w:val="00354732"/>
    <w:rsid w:val="00354880"/>
    <w:rsid w:val="00354EA3"/>
    <w:rsid w:val="00354F64"/>
    <w:rsid w:val="003553E6"/>
    <w:rsid w:val="0035620E"/>
    <w:rsid w:val="003569FD"/>
    <w:rsid w:val="0035735E"/>
    <w:rsid w:val="003575BE"/>
    <w:rsid w:val="0035781C"/>
    <w:rsid w:val="00357DEE"/>
    <w:rsid w:val="00357F5B"/>
    <w:rsid w:val="00360345"/>
    <w:rsid w:val="00360DB6"/>
    <w:rsid w:val="003614EE"/>
    <w:rsid w:val="003616B2"/>
    <w:rsid w:val="00361A05"/>
    <w:rsid w:val="00362244"/>
    <w:rsid w:val="003623A9"/>
    <w:rsid w:val="003624C4"/>
    <w:rsid w:val="00362A7C"/>
    <w:rsid w:val="003635B9"/>
    <w:rsid w:val="00363B00"/>
    <w:rsid w:val="00363C41"/>
    <w:rsid w:val="00363F94"/>
    <w:rsid w:val="003650DD"/>
    <w:rsid w:val="003653F5"/>
    <w:rsid w:val="003654AC"/>
    <w:rsid w:val="003661B4"/>
    <w:rsid w:val="00366299"/>
    <w:rsid w:val="00366D42"/>
    <w:rsid w:val="00367243"/>
    <w:rsid w:val="003710CF"/>
    <w:rsid w:val="0037113D"/>
    <w:rsid w:val="0037154C"/>
    <w:rsid w:val="0037247E"/>
    <w:rsid w:val="00372B39"/>
    <w:rsid w:val="0037358A"/>
    <w:rsid w:val="00373923"/>
    <w:rsid w:val="003750F6"/>
    <w:rsid w:val="00375655"/>
    <w:rsid w:val="00375E39"/>
    <w:rsid w:val="003760FC"/>
    <w:rsid w:val="00377146"/>
    <w:rsid w:val="003772C8"/>
    <w:rsid w:val="0037785A"/>
    <w:rsid w:val="003779B6"/>
    <w:rsid w:val="003801E0"/>
    <w:rsid w:val="003807EC"/>
    <w:rsid w:val="00380F21"/>
    <w:rsid w:val="00381883"/>
    <w:rsid w:val="00381B76"/>
    <w:rsid w:val="00382ACD"/>
    <w:rsid w:val="00383116"/>
    <w:rsid w:val="0038365C"/>
    <w:rsid w:val="0038369B"/>
    <w:rsid w:val="00383B78"/>
    <w:rsid w:val="003840EE"/>
    <w:rsid w:val="00384E2F"/>
    <w:rsid w:val="00385253"/>
    <w:rsid w:val="00385531"/>
    <w:rsid w:val="00385A9D"/>
    <w:rsid w:val="00385AC9"/>
    <w:rsid w:val="00386A60"/>
    <w:rsid w:val="003870FD"/>
    <w:rsid w:val="00387121"/>
    <w:rsid w:val="0038718F"/>
    <w:rsid w:val="003902B1"/>
    <w:rsid w:val="0039179C"/>
    <w:rsid w:val="00391D03"/>
    <w:rsid w:val="00392B09"/>
    <w:rsid w:val="00393D51"/>
    <w:rsid w:val="00393E4F"/>
    <w:rsid w:val="00394D2F"/>
    <w:rsid w:val="00395143"/>
    <w:rsid w:val="003957EF"/>
    <w:rsid w:val="00396267"/>
    <w:rsid w:val="00396896"/>
    <w:rsid w:val="00396FD0"/>
    <w:rsid w:val="00397545"/>
    <w:rsid w:val="00397946"/>
    <w:rsid w:val="00397A52"/>
    <w:rsid w:val="003A00F3"/>
    <w:rsid w:val="003A1926"/>
    <w:rsid w:val="003A1A7A"/>
    <w:rsid w:val="003A217C"/>
    <w:rsid w:val="003A2392"/>
    <w:rsid w:val="003A23BE"/>
    <w:rsid w:val="003A27FF"/>
    <w:rsid w:val="003A2831"/>
    <w:rsid w:val="003A329E"/>
    <w:rsid w:val="003A38C3"/>
    <w:rsid w:val="003A3CB6"/>
    <w:rsid w:val="003A3D60"/>
    <w:rsid w:val="003A3ED1"/>
    <w:rsid w:val="003A44DB"/>
    <w:rsid w:val="003A45A7"/>
    <w:rsid w:val="003A4C14"/>
    <w:rsid w:val="003A53E1"/>
    <w:rsid w:val="003A57BB"/>
    <w:rsid w:val="003A5811"/>
    <w:rsid w:val="003A5DA6"/>
    <w:rsid w:val="003A6628"/>
    <w:rsid w:val="003B047B"/>
    <w:rsid w:val="003B09D8"/>
    <w:rsid w:val="003B0A6A"/>
    <w:rsid w:val="003B0D12"/>
    <w:rsid w:val="003B1855"/>
    <w:rsid w:val="003B2BF2"/>
    <w:rsid w:val="003B2D93"/>
    <w:rsid w:val="003B317E"/>
    <w:rsid w:val="003B3971"/>
    <w:rsid w:val="003B4425"/>
    <w:rsid w:val="003B51FB"/>
    <w:rsid w:val="003B55D1"/>
    <w:rsid w:val="003B5A4C"/>
    <w:rsid w:val="003B5B61"/>
    <w:rsid w:val="003B6AB6"/>
    <w:rsid w:val="003B702F"/>
    <w:rsid w:val="003C007C"/>
    <w:rsid w:val="003C1351"/>
    <w:rsid w:val="003C1587"/>
    <w:rsid w:val="003C1654"/>
    <w:rsid w:val="003C1D43"/>
    <w:rsid w:val="003C3556"/>
    <w:rsid w:val="003C362E"/>
    <w:rsid w:val="003C37C7"/>
    <w:rsid w:val="003C4004"/>
    <w:rsid w:val="003C43EF"/>
    <w:rsid w:val="003C4B05"/>
    <w:rsid w:val="003C4F72"/>
    <w:rsid w:val="003C5542"/>
    <w:rsid w:val="003C58E8"/>
    <w:rsid w:val="003C5A2E"/>
    <w:rsid w:val="003C6CAB"/>
    <w:rsid w:val="003C7181"/>
    <w:rsid w:val="003C7C15"/>
    <w:rsid w:val="003C7D19"/>
    <w:rsid w:val="003C7D2F"/>
    <w:rsid w:val="003C7E84"/>
    <w:rsid w:val="003D0743"/>
    <w:rsid w:val="003D096C"/>
    <w:rsid w:val="003D0C5A"/>
    <w:rsid w:val="003D0E14"/>
    <w:rsid w:val="003D180C"/>
    <w:rsid w:val="003D1828"/>
    <w:rsid w:val="003D1DE4"/>
    <w:rsid w:val="003D1E9A"/>
    <w:rsid w:val="003D21D8"/>
    <w:rsid w:val="003D22B7"/>
    <w:rsid w:val="003D232D"/>
    <w:rsid w:val="003D2422"/>
    <w:rsid w:val="003D37BA"/>
    <w:rsid w:val="003D39A1"/>
    <w:rsid w:val="003D3D5C"/>
    <w:rsid w:val="003D3F74"/>
    <w:rsid w:val="003D3FBF"/>
    <w:rsid w:val="003D4384"/>
    <w:rsid w:val="003D4A30"/>
    <w:rsid w:val="003D54F4"/>
    <w:rsid w:val="003D71E3"/>
    <w:rsid w:val="003D7384"/>
    <w:rsid w:val="003D7452"/>
    <w:rsid w:val="003D79BB"/>
    <w:rsid w:val="003D7C98"/>
    <w:rsid w:val="003D7D9D"/>
    <w:rsid w:val="003E0543"/>
    <w:rsid w:val="003E1257"/>
    <w:rsid w:val="003E2667"/>
    <w:rsid w:val="003E2DB4"/>
    <w:rsid w:val="003E3FFE"/>
    <w:rsid w:val="003E442C"/>
    <w:rsid w:val="003E4B59"/>
    <w:rsid w:val="003E5603"/>
    <w:rsid w:val="003E61D0"/>
    <w:rsid w:val="003E6484"/>
    <w:rsid w:val="003E6BE4"/>
    <w:rsid w:val="003E749E"/>
    <w:rsid w:val="003E7AF5"/>
    <w:rsid w:val="003F177E"/>
    <w:rsid w:val="003F18CD"/>
    <w:rsid w:val="003F2010"/>
    <w:rsid w:val="003F3371"/>
    <w:rsid w:val="003F3C0C"/>
    <w:rsid w:val="003F4156"/>
    <w:rsid w:val="003F419E"/>
    <w:rsid w:val="003F4D3E"/>
    <w:rsid w:val="003F50EE"/>
    <w:rsid w:val="003F575C"/>
    <w:rsid w:val="003F5ADF"/>
    <w:rsid w:val="003F5E16"/>
    <w:rsid w:val="003F6038"/>
    <w:rsid w:val="003F7800"/>
    <w:rsid w:val="00400B29"/>
    <w:rsid w:val="00400EF4"/>
    <w:rsid w:val="00401847"/>
    <w:rsid w:val="00402130"/>
    <w:rsid w:val="004021E4"/>
    <w:rsid w:val="00402812"/>
    <w:rsid w:val="00402EB7"/>
    <w:rsid w:val="00403ACA"/>
    <w:rsid w:val="00403DF5"/>
    <w:rsid w:val="004045EB"/>
    <w:rsid w:val="00404E29"/>
    <w:rsid w:val="0040504B"/>
    <w:rsid w:val="0040557D"/>
    <w:rsid w:val="004059F4"/>
    <w:rsid w:val="00405AF3"/>
    <w:rsid w:val="00405D5A"/>
    <w:rsid w:val="00405F43"/>
    <w:rsid w:val="00406AD5"/>
    <w:rsid w:val="00407261"/>
    <w:rsid w:val="00407B2A"/>
    <w:rsid w:val="00407FE5"/>
    <w:rsid w:val="0041008A"/>
    <w:rsid w:val="004101B0"/>
    <w:rsid w:val="00410326"/>
    <w:rsid w:val="00410708"/>
    <w:rsid w:val="00410EC7"/>
    <w:rsid w:val="00411AB2"/>
    <w:rsid w:val="00411B39"/>
    <w:rsid w:val="00411DED"/>
    <w:rsid w:val="00411E06"/>
    <w:rsid w:val="004127A7"/>
    <w:rsid w:val="00412DAA"/>
    <w:rsid w:val="0041317C"/>
    <w:rsid w:val="00413A1E"/>
    <w:rsid w:val="00414476"/>
    <w:rsid w:val="004144D7"/>
    <w:rsid w:val="0041487A"/>
    <w:rsid w:val="00414C2E"/>
    <w:rsid w:val="004151CF"/>
    <w:rsid w:val="00415BC7"/>
    <w:rsid w:val="00416364"/>
    <w:rsid w:val="004173EC"/>
    <w:rsid w:val="0042047F"/>
    <w:rsid w:val="00420AA6"/>
    <w:rsid w:val="00420B9F"/>
    <w:rsid w:val="00421418"/>
    <w:rsid w:val="00421745"/>
    <w:rsid w:val="0042192C"/>
    <w:rsid w:val="00422260"/>
    <w:rsid w:val="00422300"/>
    <w:rsid w:val="004223A2"/>
    <w:rsid w:val="00422A5D"/>
    <w:rsid w:val="00422E71"/>
    <w:rsid w:val="0042318B"/>
    <w:rsid w:val="004234A5"/>
    <w:rsid w:val="00423D73"/>
    <w:rsid w:val="004240C3"/>
    <w:rsid w:val="0042413F"/>
    <w:rsid w:val="004248B2"/>
    <w:rsid w:val="00424DEC"/>
    <w:rsid w:val="004250E5"/>
    <w:rsid w:val="0042529A"/>
    <w:rsid w:val="004254A9"/>
    <w:rsid w:val="00425589"/>
    <w:rsid w:val="00425B2B"/>
    <w:rsid w:val="00425F28"/>
    <w:rsid w:val="004308D7"/>
    <w:rsid w:val="004314FF"/>
    <w:rsid w:val="0043163C"/>
    <w:rsid w:val="004319F8"/>
    <w:rsid w:val="00431E55"/>
    <w:rsid w:val="004321F6"/>
    <w:rsid w:val="00432475"/>
    <w:rsid w:val="0043288C"/>
    <w:rsid w:val="00432CF7"/>
    <w:rsid w:val="00433044"/>
    <w:rsid w:val="004333D3"/>
    <w:rsid w:val="00433764"/>
    <w:rsid w:val="00433853"/>
    <w:rsid w:val="00433FCD"/>
    <w:rsid w:val="00434088"/>
    <w:rsid w:val="0043414B"/>
    <w:rsid w:val="004347FB"/>
    <w:rsid w:val="00435DE1"/>
    <w:rsid w:val="00436AAE"/>
    <w:rsid w:val="004375B9"/>
    <w:rsid w:val="004376C4"/>
    <w:rsid w:val="004402C0"/>
    <w:rsid w:val="00440317"/>
    <w:rsid w:val="0044089D"/>
    <w:rsid w:val="00442020"/>
    <w:rsid w:val="004428B2"/>
    <w:rsid w:val="004428D0"/>
    <w:rsid w:val="00442B63"/>
    <w:rsid w:val="00443A05"/>
    <w:rsid w:val="00444185"/>
    <w:rsid w:val="004443A7"/>
    <w:rsid w:val="0044442C"/>
    <w:rsid w:val="004447B0"/>
    <w:rsid w:val="00445941"/>
    <w:rsid w:val="004464EB"/>
    <w:rsid w:val="00446F89"/>
    <w:rsid w:val="004474E5"/>
    <w:rsid w:val="004477A5"/>
    <w:rsid w:val="00447D26"/>
    <w:rsid w:val="00447DFC"/>
    <w:rsid w:val="00451928"/>
    <w:rsid w:val="00451A85"/>
    <w:rsid w:val="00452454"/>
    <w:rsid w:val="00452677"/>
    <w:rsid w:val="00453788"/>
    <w:rsid w:val="00453DB9"/>
    <w:rsid w:val="0045484E"/>
    <w:rsid w:val="00455D45"/>
    <w:rsid w:val="00457354"/>
    <w:rsid w:val="00457BB9"/>
    <w:rsid w:val="00457F81"/>
    <w:rsid w:val="00460007"/>
    <w:rsid w:val="00460234"/>
    <w:rsid w:val="0046124B"/>
    <w:rsid w:val="004612C3"/>
    <w:rsid w:val="004617DE"/>
    <w:rsid w:val="00461E09"/>
    <w:rsid w:val="004631A3"/>
    <w:rsid w:val="00463787"/>
    <w:rsid w:val="004637ED"/>
    <w:rsid w:val="0046384C"/>
    <w:rsid w:val="00463CFA"/>
    <w:rsid w:val="00463EFA"/>
    <w:rsid w:val="0046401A"/>
    <w:rsid w:val="00464595"/>
    <w:rsid w:val="00464729"/>
    <w:rsid w:val="00464799"/>
    <w:rsid w:val="004658B5"/>
    <w:rsid w:val="00466786"/>
    <w:rsid w:val="0046767C"/>
    <w:rsid w:val="00470145"/>
    <w:rsid w:val="0047032C"/>
    <w:rsid w:val="004707DD"/>
    <w:rsid w:val="00470DD7"/>
    <w:rsid w:val="00471709"/>
    <w:rsid w:val="00471EA5"/>
    <w:rsid w:val="00472225"/>
    <w:rsid w:val="00472294"/>
    <w:rsid w:val="004724C9"/>
    <w:rsid w:val="00472A79"/>
    <w:rsid w:val="00473F19"/>
    <w:rsid w:val="00474AA9"/>
    <w:rsid w:val="004754EB"/>
    <w:rsid w:val="00475AAB"/>
    <w:rsid w:val="00475E22"/>
    <w:rsid w:val="0047600D"/>
    <w:rsid w:val="00476427"/>
    <w:rsid w:val="004764DD"/>
    <w:rsid w:val="00477761"/>
    <w:rsid w:val="0048088E"/>
    <w:rsid w:val="00480B93"/>
    <w:rsid w:val="00480F2B"/>
    <w:rsid w:val="0048139B"/>
    <w:rsid w:val="00482187"/>
    <w:rsid w:val="00482720"/>
    <w:rsid w:val="00483584"/>
    <w:rsid w:val="004835E7"/>
    <w:rsid w:val="0048383E"/>
    <w:rsid w:val="00484968"/>
    <w:rsid w:val="00484BF6"/>
    <w:rsid w:val="0048546A"/>
    <w:rsid w:val="004859E1"/>
    <w:rsid w:val="004860D3"/>
    <w:rsid w:val="004867E2"/>
    <w:rsid w:val="00486BF6"/>
    <w:rsid w:val="00486CA5"/>
    <w:rsid w:val="00487536"/>
    <w:rsid w:val="0048761F"/>
    <w:rsid w:val="004906CB"/>
    <w:rsid w:val="00490B17"/>
    <w:rsid w:val="0049179C"/>
    <w:rsid w:val="00491B3A"/>
    <w:rsid w:val="00492AF7"/>
    <w:rsid w:val="00492CFD"/>
    <w:rsid w:val="004934C7"/>
    <w:rsid w:val="00493ABD"/>
    <w:rsid w:val="00493E21"/>
    <w:rsid w:val="00493ED1"/>
    <w:rsid w:val="00494207"/>
    <w:rsid w:val="0049429D"/>
    <w:rsid w:val="00494DD5"/>
    <w:rsid w:val="004962D2"/>
    <w:rsid w:val="00497222"/>
    <w:rsid w:val="00497876"/>
    <w:rsid w:val="00497DE9"/>
    <w:rsid w:val="004A0DA1"/>
    <w:rsid w:val="004A1333"/>
    <w:rsid w:val="004A13D6"/>
    <w:rsid w:val="004A19BE"/>
    <w:rsid w:val="004A1BE9"/>
    <w:rsid w:val="004A3786"/>
    <w:rsid w:val="004A3D02"/>
    <w:rsid w:val="004A4D80"/>
    <w:rsid w:val="004A52E9"/>
    <w:rsid w:val="004A53C7"/>
    <w:rsid w:val="004A6040"/>
    <w:rsid w:val="004A6597"/>
    <w:rsid w:val="004A6CED"/>
    <w:rsid w:val="004A747C"/>
    <w:rsid w:val="004A7848"/>
    <w:rsid w:val="004A793B"/>
    <w:rsid w:val="004B0D14"/>
    <w:rsid w:val="004B1150"/>
    <w:rsid w:val="004B1B62"/>
    <w:rsid w:val="004B1CB4"/>
    <w:rsid w:val="004B2A1F"/>
    <w:rsid w:val="004B2F18"/>
    <w:rsid w:val="004B2FBD"/>
    <w:rsid w:val="004B36D9"/>
    <w:rsid w:val="004B375D"/>
    <w:rsid w:val="004B3DDB"/>
    <w:rsid w:val="004B40EC"/>
    <w:rsid w:val="004B44FD"/>
    <w:rsid w:val="004B4E5D"/>
    <w:rsid w:val="004B4EC7"/>
    <w:rsid w:val="004B5CFC"/>
    <w:rsid w:val="004B6BA5"/>
    <w:rsid w:val="004B6BDB"/>
    <w:rsid w:val="004B6CF6"/>
    <w:rsid w:val="004B6DFC"/>
    <w:rsid w:val="004B6F79"/>
    <w:rsid w:val="004B76F6"/>
    <w:rsid w:val="004B774D"/>
    <w:rsid w:val="004B7772"/>
    <w:rsid w:val="004B77B4"/>
    <w:rsid w:val="004B7DF1"/>
    <w:rsid w:val="004C0D95"/>
    <w:rsid w:val="004C10FA"/>
    <w:rsid w:val="004C18BB"/>
    <w:rsid w:val="004C1A85"/>
    <w:rsid w:val="004C2AC2"/>
    <w:rsid w:val="004C2AE9"/>
    <w:rsid w:val="004C3523"/>
    <w:rsid w:val="004C3B02"/>
    <w:rsid w:val="004C4000"/>
    <w:rsid w:val="004C4AED"/>
    <w:rsid w:val="004C507F"/>
    <w:rsid w:val="004C5F30"/>
    <w:rsid w:val="004C60A5"/>
    <w:rsid w:val="004C7F12"/>
    <w:rsid w:val="004D0040"/>
    <w:rsid w:val="004D2C2D"/>
    <w:rsid w:val="004D3076"/>
    <w:rsid w:val="004D36C1"/>
    <w:rsid w:val="004D4463"/>
    <w:rsid w:val="004D46E3"/>
    <w:rsid w:val="004D4B2C"/>
    <w:rsid w:val="004D582F"/>
    <w:rsid w:val="004D5B16"/>
    <w:rsid w:val="004D65A5"/>
    <w:rsid w:val="004D69B5"/>
    <w:rsid w:val="004D6F72"/>
    <w:rsid w:val="004D6F84"/>
    <w:rsid w:val="004D7227"/>
    <w:rsid w:val="004D7861"/>
    <w:rsid w:val="004D7B02"/>
    <w:rsid w:val="004D7B5E"/>
    <w:rsid w:val="004E0594"/>
    <w:rsid w:val="004E0E7F"/>
    <w:rsid w:val="004E0EB8"/>
    <w:rsid w:val="004E18E9"/>
    <w:rsid w:val="004E23F8"/>
    <w:rsid w:val="004E28AE"/>
    <w:rsid w:val="004E2ADC"/>
    <w:rsid w:val="004E2C2A"/>
    <w:rsid w:val="004E3899"/>
    <w:rsid w:val="004E3AB4"/>
    <w:rsid w:val="004E3AC9"/>
    <w:rsid w:val="004E43B2"/>
    <w:rsid w:val="004E47FA"/>
    <w:rsid w:val="004E50EF"/>
    <w:rsid w:val="004E5287"/>
    <w:rsid w:val="004E529B"/>
    <w:rsid w:val="004E5A0C"/>
    <w:rsid w:val="004E5F0F"/>
    <w:rsid w:val="004E64E7"/>
    <w:rsid w:val="004E6914"/>
    <w:rsid w:val="004E6BA9"/>
    <w:rsid w:val="004F137C"/>
    <w:rsid w:val="004F1390"/>
    <w:rsid w:val="004F1D02"/>
    <w:rsid w:val="004F2679"/>
    <w:rsid w:val="004F2F21"/>
    <w:rsid w:val="004F3DE5"/>
    <w:rsid w:val="004F4540"/>
    <w:rsid w:val="004F4584"/>
    <w:rsid w:val="004F5EA3"/>
    <w:rsid w:val="004F6403"/>
    <w:rsid w:val="004F643C"/>
    <w:rsid w:val="004F6913"/>
    <w:rsid w:val="004F70D1"/>
    <w:rsid w:val="004F7283"/>
    <w:rsid w:val="004F7865"/>
    <w:rsid w:val="00500CB6"/>
    <w:rsid w:val="00500E89"/>
    <w:rsid w:val="0050153C"/>
    <w:rsid w:val="005016FB"/>
    <w:rsid w:val="0050174E"/>
    <w:rsid w:val="005017AB"/>
    <w:rsid w:val="00501854"/>
    <w:rsid w:val="00501937"/>
    <w:rsid w:val="00501CD4"/>
    <w:rsid w:val="0050219B"/>
    <w:rsid w:val="00502FB1"/>
    <w:rsid w:val="0050364A"/>
    <w:rsid w:val="00503F17"/>
    <w:rsid w:val="00503F3A"/>
    <w:rsid w:val="005041F7"/>
    <w:rsid w:val="00504B47"/>
    <w:rsid w:val="00504C36"/>
    <w:rsid w:val="005051F5"/>
    <w:rsid w:val="00505B53"/>
    <w:rsid w:val="00506928"/>
    <w:rsid w:val="00506C5D"/>
    <w:rsid w:val="00506DDD"/>
    <w:rsid w:val="00507076"/>
    <w:rsid w:val="005077EF"/>
    <w:rsid w:val="0051019B"/>
    <w:rsid w:val="00510598"/>
    <w:rsid w:val="0051185E"/>
    <w:rsid w:val="00511AD5"/>
    <w:rsid w:val="00511DC7"/>
    <w:rsid w:val="00512973"/>
    <w:rsid w:val="005142C5"/>
    <w:rsid w:val="0051501B"/>
    <w:rsid w:val="005152B5"/>
    <w:rsid w:val="00515886"/>
    <w:rsid w:val="00515A5D"/>
    <w:rsid w:val="00516791"/>
    <w:rsid w:val="00517282"/>
    <w:rsid w:val="00517A86"/>
    <w:rsid w:val="005205F6"/>
    <w:rsid w:val="005208FA"/>
    <w:rsid w:val="00520E8D"/>
    <w:rsid w:val="0052123C"/>
    <w:rsid w:val="00521319"/>
    <w:rsid w:val="00522BC8"/>
    <w:rsid w:val="00522F9F"/>
    <w:rsid w:val="00523350"/>
    <w:rsid w:val="00523720"/>
    <w:rsid w:val="00523C28"/>
    <w:rsid w:val="005240A0"/>
    <w:rsid w:val="00525346"/>
    <w:rsid w:val="00525696"/>
    <w:rsid w:val="00525EFA"/>
    <w:rsid w:val="005260EC"/>
    <w:rsid w:val="00526272"/>
    <w:rsid w:val="0052643B"/>
    <w:rsid w:val="00526662"/>
    <w:rsid w:val="00526F24"/>
    <w:rsid w:val="00527080"/>
    <w:rsid w:val="0053030A"/>
    <w:rsid w:val="00530C0B"/>
    <w:rsid w:val="00530E8E"/>
    <w:rsid w:val="00530F17"/>
    <w:rsid w:val="005316AA"/>
    <w:rsid w:val="0053176B"/>
    <w:rsid w:val="00531E38"/>
    <w:rsid w:val="00531EB1"/>
    <w:rsid w:val="00532F27"/>
    <w:rsid w:val="005341B3"/>
    <w:rsid w:val="005344E1"/>
    <w:rsid w:val="00534E92"/>
    <w:rsid w:val="005352D9"/>
    <w:rsid w:val="00536BB9"/>
    <w:rsid w:val="00536E97"/>
    <w:rsid w:val="00536F42"/>
    <w:rsid w:val="005370B9"/>
    <w:rsid w:val="00537182"/>
    <w:rsid w:val="0053749D"/>
    <w:rsid w:val="00537E47"/>
    <w:rsid w:val="00540144"/>
    <w:rsid w:val="00540A90"/>
    <w:rsid w:val="00541975"/>
    <w:rsid w:val="00541EDD"/>
    <w:rsid w:val="00542404"/>
    <w:rsid w:val="00542743"/>
    <w:rsid w:val="00542C2D"/>
    <w:rsid w:val="00542F28"/>
    <w:rsid w:val="00542F3F"/>
    <w:rsid w:val="005439E4"/>
    <w:rsid w:val="00543D7A"/>
    <w:rsid w:val="0054497B"/>
    <w:rsid w:val="00544EEE"/>
    <w:rsid w:val="005452AA"/>
    <w:rsid w:val="005471CA"/>
    <w:rsid w:val="005478BD"/>
    <w:rsid w:val="005479E3"/>
    <w:rsid w:val="005501D5"/>
    <w:rsid w:val="005508DC"/>
    <w:rsid w:val="00550960"/>
    <w:rsid w:val="00550DFD"/>
    <w:rsid w:val="00550FDE"/>
    <w:rsid w:val="00550FE4"/>
    <w:rsid w:val="0055114B"/>
    <w:rsid w:val="00551985"/>
    <w:rsid w:val="00551D89"/>
    <w:rsid w:val="00551E80"/>
    <w:rsid w:val="00551F4A"/>
    <w:rsid w:val="00552BD3"/>
    <w:rsid w:val="00552D88"/>
    <w:rsid w:val="005532A0"/>
    <w:rsid w:val="0055399C"/>
    <w:rsid w:val="00554634"/>
    <w:rsid w:val="005549C2"/>
    <w:rsid w:val="00554FC2"/>
    <w:rsid w:val="00555109"/>
    <w:rsid w:val="00555277"/>
    <w:rsid w:val="00556400"/>
    <w:rsid w:val="00556B35"/>
    <w:rsid w:val="0055741A"/>
    <w:rsid w:val="00557EBF"/>
    <w:rsid w:val="00560120"/>
    <w:rsid w:val="00560160"/>
    <w:rsid w:val="005611B7"/>
    <w:rsid w:val="00561487"/>
    <w:rsid w:val="005618D4"/>
    <w:rsid w:val="005619BF"/>
    <w:rsid w:val="00561BAD"/>
    <w:rsid w:val="0056214B"/>
    <w:rsid w:val="0056312A"/>
    <w:rsid w:val="00563791"/>
    <w:rsid w:val="00563BF3"/>
    <w:rsid w:val="00563DAC"/>
    <w:rsid w:val="0056412A"/>
    <w:rsid w:val="00564385"/>
    <w:rsid w:val="00564867"/>
    <w:rsid w:val="0056594F"/>
    <w:rsid w:val="00565A6C"/>
    <w:rsid w:val="00565C79"/>
    <w:rsid w:val="00565DF0"/>
    <w:rsid w:val="00566062"/>
    <w:rsid w:val="005663FA"/>
    <w:rsid w:val="0056696F"/>
    <w:rsid w:val="00566BA5"/>
    <w:rsid w:val="00567445"/>
    <w:rsid w:val="00567E98"/>
    <w:rsid w:val="00570624"/>
    <w:rsid w:val="0057078C"/>
    <w:rsid w:val="00571069"/>
    <w:rsid w:val="005717B0"/>
    <w:rsid w:val="00572181"/>
    <w:rsid w:val="0057218C"/>
    <w:rsid w:val="00572269"/>
    <w:rsid w:val="0057244A"/>
    <w:rsid w:val="00572F26"/>
    <w:rsid w:val="005734EF"/>
    <w:rsid w:val="0057356A"/>
    <w:rsid w:val="005738E8"/>
    <w:rsid w:val="005742C7"/>
    <w:rsid w:val="00574386"/>
    <w:rsid w:val="00574861"/>
    <w:rsid w:val="00574E57"/>
    <w:rsid w:val="00574F15"/>
    <w:rsid w:val="005750C5"/>
    <w:rsid w:val="005752DE"/>
    <w:rsid w:val="00575D60"/>
    <w:rsid w:val="00575D8D"/>
    <w:rsid w:val="00576972"/>
    <w:rsid w:val="00577248"/>
    <w:rsid w:val="00577255"/>
    <w:rsid w:val="00580624"/>
    <w:rsid w:val="00582FF0"/>
    <w:rsid w:val="00583699"/>
    <w:rsid w:val="00584477"/>
    <w:rsid w:val="00584EAF"/>
    <w:rsid w:val="00584F14"/>
    <w:rsid w:val="005857B8"/>
    <w:rsid w:val="00585CDD"/>
    <w:rsid w:val="00586527"/>
    <w:rsid w:val="00586969"/>
    <w:rsid w:val="00587058"/>
    <w:rsid w:val="0058767E"/>
    <w:rsid w:val="00587942"/>
    <w:rsid w:val="00587C0F"/>
    <w:rsid w:val="00587C80"/>
    <w:rsid w:val="00587CCB"/>
    <w:rsid w:val="00590109"/>
    <w:rsid w:val="00591502"/>
    <w:rsid w:val="00591957"/>
    <w:rsid w:val="00591E76"/>
    <w:rsid w:val="005922D0"/>
    <w:rsid w:val="0059264F"/>
    <w:rsid w:val="00592718"/>
    <w:rsid w:val="00592B91"/>
    <w:rsid w:val="005936CF"/>
    <w:rsid w:val="0059374E"/>
    <w:rsid w:val="005950C1"/>
    <w:rsid w:val="0059555A"/>
    <w:rsid w:val="00595681"/>
    <w:rsid w:val="00595DD4"/>
    <w:rsid w:val="00596CD8"/>
    <w:rsid w:val="00597802"/>
    <w:rsid w:val="00597BE6"/>
    <w:rsid w:val="00597BF9"/>
    <w:rsid w:val="005A07CE"/>
    <w:rsid w:val="005A09AD"/>
    <w:rsid w:val="005A0C11"/>
    <w:rsid w:val="005A1A3E"/>
    <w:rsid w:val="005A1F63"/>
    <w:rsid w:val="005A309A"/>
    <w:rsid w:val="005A32C1"/>
    <w:rsid w:val="005A373D"/>
    <w:rsid w:val="005A408E"/>
    <w:rsid w:val="005A4646"/>
    <w:rsid w:val="005A5969"/>
    <w:rsid w:val="005A6A62"/>
    <w:rsid w:val="005A79AD"/>
    <w:rsid w:val="005A7CCD"/>
    <w:rsid w:val="005A7D5D"/>
    <w:rsid w:val="005B0019"/>
    <w:rsid w:val="005B0226"/>
    <w:rsid w:val="005B05CE"/>
    <w:rsid w:val="005B0B58"/>
    <w:rsid w:val="005B0CD7"/>
    <w:rsid w:val="005B110E"/>
    <w:rsid w:val="005B11ED"/>
    <w:rsid w:val="005B27E2"/>
    <w:rsid w:val="005B30C6"/>
    <w:rsid w:val="005B316D"/>
    <w:rsid w:val="005B4E53"/>
    <w:rsid w:val="005B5732"/>
    <w:rsid w:val="005B5857"/>
    <w:rsid w:val="005B68BA"/>
    <w:rsid w:val="005C19C4"/>
    <w:rsid w:val="005C1B83"/>
    <w:rsid w:val="005C235F"/>
    <w:rsid w:val="005C25FF"/>
    <w:rsid w:val="005C2D55"/>
    <w:rsid w:val="005C2E2D"/>
    <w:rsid w:val="005C346B"/>
    <w:rsid w:val="005C3574"/>
    <w:rsid w:val="005C39EA"/>
    <w:rsid w:val="005C494E"/>
    <w:rsid w:val="005C4C1E"/>
    <w:rsid w:val="005C4C24"/>
    <w:rsid w:val="005C571E"/>
    <w:rsid w:val="005C587B"/>
    <w:rsid w:val="005C5ABC"/>
    <w:rsid w:val="005C5D77"/>
    <w:rsid w:val="005C694B"/>
    <w:rsid w:val="005C78F5"/>
    <w:rsid w:val="005D044D"/>
    <w:rsid w:val="005D055C"/>
    <w:rsid w:val="005D0ABD"/>
    <w:rsid w:val="005D18AD"/>
    <w:rsid w:val="005D1FD6"/>
    <w:rsid w:val="005D26B4"/>
    <w:rsid w:val="005D29C9"/>
    <w:rsid w:val="005D30E8"/>
    <w:rsid w:val="005D3626"/>
    <w:rsid w:val="005D3D00"/>
    <w:rsid w:val="005D3DAF"/>
    <w:rsid w:val="005D43D2"/>
    <w:rsid w:val="005D535B"/>
    <w:rsid w:val="005D6B38"/>
    <w:rsid w:val="005D6E54"/>
    <w:rsid w:val="005D76C3"/>
    <w:rsid w:val="005E17D4"/>
    <w:rsid w:val="005E1995"/>
    <w:rsid w:val="005E28C1"/>
    <w:rsid w:val="005E3191"/>
    <w:rsid w:val="005E370B"/>
    <w:rsid w:val="005E398C"/>
    <w:rsid w:val="005E3BA6"/>
    <w:rsid w:val="005E432D"/>
    <w:rsid w:val="005E4846"/>
    <w:rsid w:val="005E53C8"/>
    <w:rsid w:val="005E57AF"/>
    <w:rsid w:val="005E5979"/>
    <w:rsid w:val="005E5BE7"/>
    <w:rsid w:val="005E6B1B"/>
    <w:rsid w:val="005E6CBC"/>
    <w:rsid w:val="005E72FF"/>
    <w:rsid w:val="005E73C0"/>
    <w:rsid w:val="005E7ABA"/>
    <w:rsid w:val="005F07ED"/>
    <w:rsid w:val="005F0DED"/>
    <w:rsid w:val="005F1E2E"/>
    <w:rsid w:val="005F2706"/>
    <w:rsid w:val="005F2732"/>
    <w:rsid w:val="005F4688"/>
    <w:rsid w:val="005F4884"/>
    <w:rsid w:val="005F55BC"/>
    <w:rsid w:val="005F561B"/>
    <w:rsid w:val="005F6A8F"/>
    <w:rsid w:val="005F6BB7"/>
    <w:rsid w:val="005F7588"/>
    <w:rsid w:val="0060050A"/>
    <w:rsid w:val="00600A50"/>
    <w:rsid w:val="00600BD7"/>
    <w:rsid w:val="00602022"/>
    <w:rsid w:val="0060215F"/>
    <w:rsid w:val="006028D3"/>
    <w:rsid w:val="0060333A"/>
    <w:rsid w:val="006034A4"/>
    <w:rsid w:val="00603C0C"/>
    <w:rsid w:val="00603DB9"/>
    <w:rsid w:val="006040CE"/>
    <w:rsid w:val="006055FF"/>
    <w:rsid w:val="0060565E"/>
    <w:rsid w:val="006058FC"/>
    <w:rsid w:val="00605B04"/>
    <w:rsid w:val="00605CEB"/>
    <w:rsid w:val="00606AEA"/>
    <w:rsid w:val="00606FBA"/>
    <w:rsid w:val="0060761A"/>
    <w:rsid w:val="00607669"/>
    <w:rsid w:val="006076F4"/>
    <w:rsid w:val="0060794A"/>
    <w:rsid w:val="00607967"/>
    <w:rsid w:val="00607AFD"/>
    <w:rsid w:val="00607F95"/>
    <w:rsid w:val="0061070A"/>
    <w:rsid w:val="0061122A"/>
    <w:rsid w:val="00611B12"/>
    <w:rsid w:val="00611B3E"/>
    <w:rsid w:val="00611E07"/>
    <w:rsid w:val="00612101"/>
    <w:rsid w:val="006129A6"/>
    <w:rsid w:val="00612F97"/>
    <w:rsid w:val="006133C3"/>
    <w:rsid w:val="0061345D"/>
    <w:rsid w:val="00613ACB"/>
    <w:rsid w:val="00613BBA"/>
    <w:rsid w:val="0061460A"/>
    <w:rsid w:val="00614F96"/>
    <w:rsid w:val="006153BF"/>
    <w:rsid w:val="0061549B"/>
    <w:rsid w:val="006156CE"/>
    <w:rsid w:val="00616126"/>
    <w:rsid w:val="00616134"/>
    <w:rsid w:val="00616802"/>
    <w:rsid w:val="00616B29"/>
    <w:rsid w:val="00616DBF"/>
    <w:rsid w:val="0061716A"/>
    <w:rsid w:val="00617E12"/>
    <w:rsid w:val="006201F2"/>
    <w:rsid w:val="00620991"/>
    <w:rsid w:val="00620C25"/>
    <w:rsid w:val="00620C4B"/>
    <w:rsid w:val="00621477"/>
    <w:rsid w:val="00621ADA"/>
    <w:rsid w:val="00621E5A"/>
    <w:rsid w:val="00622AF2"/>
    <w:rsid w:val="00622EED"/>
    <w:rsid w:val="00623415"/>
    <w:rsid w:val="00623F7B"/>
    <w:rsid w:val="00624BA8"/>
    <w:rsid w:val="00624BD4"/>
    <w:rsid w:val="00625ACF"/>
    <w:rsid w:val="00626AF4"/>
    <w:rsid w:val="00626EDB"/>
    <w:rsid w:val="006271B9"/>
    <w:rsid w:val="00627C44"/>
    <w:rsid w:val="00630351"/>
    <w:rsid w:val="0063158F"/>
    <w:rsid w:val="006315FD"/>
    <w:rsid w:val="00631D6B"/>
    <w:rsid w:val="00632183"/>
    <w:rsid w:val="00632ECF"/>
    <w:rsid w:val="006330A1"/>
    <w:rsid w:val="006330E3"/>
    <w:rsid w:val="0063395D"/>
    <w:rsid w:val="00633B20"/>
    <w:rsid w:val="00634597"/>
    <w:rsid w:val="0063479F"/>
    <w:rsid w:val="00634822"/>
    <w:rsid w:val="00634E09"/>
    <w:rsid w:val="006350DE"/>
    <w:rsid w:val="00635362"/>
    <w:rsid w:val="006353F0"/>
    <w:rsid w:val="00635635"/>
    <w:rsid w:val="006357B5"/>
    <w:rsid w:val="00635B6C"/>
    <w:rsid w:val="006364A1"/>
    <w:rsid w:val="0063678E"/>
    <w:rsid w:val="00637BFD"/>
    <w:rsid w:val="00637C5C"/>
    <w:rsid w:val="00640B23"/>
    <w:rsid w:val="00641C4E"/>
    <w:rsid w:val="00641FB3"/>
    <w:rsid w:val="0064229B"/>
    <w:rsid w:val="00642320"/>
    <w:rsid w:val="00643079"/>
    <w:rsid w:val="0064353E"/>
    <w:rsid w:val="00643C00"/>
    <w:rsid w:val="00643F5A"/>
    <w:rsid w:val="00644262"/>
    <w:rsid w:val="0064430C"/>
    <w:rsid w:val="0064434C"/>
    <w:rsid w:val="00644711"/>
    <w:rsid w:val="0064579A"/>
    <w:rsid w:val="0064625F"/>
    <w:rsid w:val="00646EA3"/>
    <w:rsid w:val="006471CC"/>
    <w:rsid w:val="006472FE"/>
    <w:rsid w:val="00647370"/>
    <w:rsid w:val="006475BA"/>
    <w:rsid w:val="00647916"/>
    <w:rsid w:val="00647A29"/>
    <w:rsid w:val="0065079F"/>
    <w:rsid w:val="00650FB6"/>
    <w:rsid w:val="00651505"/>
    <w:rsid w:val="006517F4"/>
    <w:rsid w:val="00651FA5"/>
    <w:rsid w:val="00652010"/>
    <w:rsid w:val="00652A28"/>
    <w:rsid w:val="006530A3"/>
    <w:rsid w:val="0065379F"/>
    <w:rsid w:val="006548E0"/>
    <w:rsid w:val="00655029"/>
    <w:rsid w:val="0065533F"/>
    <w:rsid w:val="00655347"/>
    <w:rsid w:val="00655EA8"/>
    <w:rsid w:val="00656188"/>
    <w:rsid w:val="00656AE0"/>
    <w:rsid w:val="0065715A"/>
    <w:rsid w:val="006573DE"/>
    <w:rsid w:val="0066015A"/>
    <w:rsid w:val="006610F1"/>
    <w:rsid w:val="00661707"/>
    <w:rsid w:val="00661C6B"/>
    <w:rsid w:val="006628C4"/>
    <w:rsid w:val="00662D3E"/>
    <w:rsid w:val="00662E73"/>
    <w:rsid w:val="00663D95"/>
    <w:rsid w:val="00664C59"/>
    <w:rsid w:val="00665235"/>
    <w:rsid w:val="0066532D"/>
    <w:rsid w:val="0066549F"/>
    <w:rsid w:val="0066565C"/>
    <w:rsid w:val="006665D8"/>
    <w:rsid w:val="00666B75"/>
    <w:rsid w:val="00666EEC"/>
    <w:rsid w:val="00666F03"/>
    <w:rsid w:val="00667915"/>
    <w:rsid w:val="00667BE3"/>
    <w:rsid w:val="00667D7E"/>
    <w:rsid w:val="00670347"/>
    <w:rsid w:val="006704D9"/>
    <w:rsid w:val="006706BE"/>
    <w:rsid w:val="00670928"/>
    <w:rsid w:val="00671004"/>
    <w:rsid w:val="00671DF5"/>
    <w:rsid w:val="0067248E"/>
    <w:rsid w:val="00672646"/>
    <w:rsid w:val="00672B37"/>
    <w:rsid w:val="00672DA7"/>
    <w:rsid w:val="0067358B"/>
    <w:rsid w:val="00673974"/>
    <w:rsid w:val="00674E42"/>
    <w:rsid w:val="00675B9D"/>
    <w:rsid w:val="0067615E"/>
    <w:rsid w:val="00676190"/>
    <w:rsid w:val="00676563"/>
    <w:rsid w:val="00676B5A"/>
    <w:rsid w:val="00677E6E"/>
    <w:rsid w:val="006806E4"/>
    <w:rsid w:val="006813F8"/>
    <w:rsid w:val="006816F9"/>
    <w:rsid w:val="00681B51"/>
    <w:rsid w:val="00681BB9"/>
    <w:rsid w:val="00682112"/>
    <w:rsid w:val="00682AC6"/>
    <w:rsid w:val="00682BA6"/>
    <w:rsid w:val="00683554"/>
    <w:rsid w:val="00683FF9"/>
    <w:rsid w:val="00684614"/>
    <w:rsid w:val="00684889"/>
    <w:rsid w:val="00684FA2"/>
    <w:rsid w:val="00685C06"/>
    <w:rsid w:val="00685E5F"/>
    <w:rsid w:val="00686957"/>
    <w:rsid w:val="00686DB1"/>
    <w:rsid w:val="006872BA"/>
    <w:rsid w:val="006875D2"/>
    <w:rsid w:val="006905C1"/>
    <w:rsid w:val="00690795"/>
    <w:rsid w:val="006911A2"/>
    <w:rsid w:val="00691597"/>
    <w:rsid w:val="00691648"/>
    <w:rsid w:val="006917D7"/>
    <w:rsid w:val="00692718"/>
    <w:rsid w:val="0069324B"/>
    <w:rsid w:val="0069328A"/>
    <w:rsid w:val="00693611"/>
    <w:rsid w:val="0069434C"/>
    <w:rsid w:val="00694EB3"/>
    <w:rsid w:val="00694F44"/>
    <w:rsid w:val="0069560F"/>
    <w:rsid w:val="00695D2F"/>
    <w:rsid w:val="00696860"/>
    <w:rsid w:val="00696EF9"/>
    <w:rsid w:val="00696F51"/>
    <w:rsid w:val="00697101"/>
    <w:rsid w:val="00697494"/>
    <w:rsid w:val="00697620"/>
    <w:rsid w:val="00697739"/>
    <w:rsid w:val="006979A5"/>
    <w:rsid w:val="00697D45"/>
    <w:rsid w:val="00697E24"/>
    <w:rsid w:val="00697F70"/>
    <w:rsid w:val="006A016F"/>
    <w:rsid w:val="006A052D"/>
    <w:rsid w:val="006A093C"/>
    <w:rsid w:val="006A0DF7"/>
    <w:rsid w:val="006A25DC"/>
    <w:rsid w:val="006A2C17"/>
    <w:rsid w:val="006A3BB8"/>
    <w:rsid w:val="006A3ED0"/>
    <w:rsid w:val="006A4321"/>
    <w:rsid w:val="006A43D9"/>
    <w:rsid w:val="006A4577"/>
    <w:rsid w:val="006A466A"/>
    <w:rsid w:val="006A4900"/>
    <w:rsid w:val="006A4E6A"/>
    <w:rsid w:val="006A5354"/>
    <w:rsid w:val="006A6770"/>
    <w:rsid w:val="006A6B99"/>
    <w:rsid w:val="006A78F3"/>
    <w:rsid w:val="006A7E5F"/>
    <w:rsid w:val="006A7E79"/>
    <w:rsid w:val="006B03AF"/>
    <w:rsid w:val="006B1B0C"/>
    <w:rsid w:val="006B261B"/>
    <w:rsid w:val="006B272D"/>
    <w:rsid w:val="006B2C90"/>
    <w:rsid w:val="006B2DC4"/>
    <w:rsid w:val="006B3167"/>
    <w:rsid w:val="006B3176"/>
    <w:rsid w:val="006B323D"/>
    <w:rsid w:val="006B35E6"/>
    <w:rsid w:val="006B3786"/>
    <w:rsid w:val="006B3CBE"/>
    <w:rsid w:val="006B3CC3"/>
    <w:rsid w:val="006B465A"/>
    <w:rsid w:val="006B4AF7"/>
    <w:rsid w:val="006B5D1D"/>
    <w:rsid w:val="006B6DD0"/>
    <w:rsid w:val="006B77EA"/>
    <w:rsid w:val="006B7A1E"/>
    <w:rsid w:val="006C0399"/>
    <w:rsid w:val="006C06BE"/>
    <w:rsid w:val="006C0B86"/>
    <w:rsid w:val="006C12A0"/>
    <w:rsid w:val="006C1E30"/>
    <w:rsid w:val="006C1E81"/>
    <w:rsid w:val="006C1FF1"/>
    <w:rsid w:val="006C26D5"/>
    <w:rsid w:val="006C2818"/>
    <w:rsid w:val="006C2A8E"/>
    <w:rsid w:val="006C2B30"/>
    <w:rsid w:val="006C3255"/>
    <w:rsid w:val="006C3F26"/>
    <w:rsid w:val="006C47AA"/>
    <w:rsid w:val="006C6580"/>
    <w:rsid w:val="006C673E"/>
    <w:rsid w:val="006C70DB"/>
    <w:rsid w:val="006C7CB8"/>
    <w:rsid w:val="006D016B"/>
    <w:rsid w:val="006D02F9"/>
    <w:rsid w:val="006D0616"/>
    <w:rsid w:val="006D0AE3"/>
    <w:rsid w:val="006D0D17"/>
    <w:rsid w:val="006D16EB"/>
    <w:rsid w:val="006D2DB3"/>
    <w:rsid w:val="006D3C7D"/>
    <w:rsid w:val="006D44B1"/>
    <w:rsid w:val="006D4659"/>
    <w:rsid w:val="006D4EED"/>
    <w:rsid w:val="006D4FAE"/>
    <w:rsid w:val="006D502E"/>
    <w:rsid w:val="006D5C3A"/>
    <w:rsid w:val="006D5D5F"/>
    <w:rsid w:val="006D68FB"/>
    <w:rsid w:val="006D7C4D"/>
    <w:rsid w:val="006D7D97"/>
    <w:rsid w:val="006D7F39"/>
    <w:rsid w:val="006E05AC"/>
    <w:rsid w:val="006E0A81"/>
    <w:rsid w:val="006E2868"/>
    <w:rsid w:val="006E416C"/>
    <w:rsid w:val="006E529B"/>
    <w:rsid w:val="006E5347"/>
    <w:rsid w:val="006E573D"/>
    <w:rsid w:val="006E5C1D"/>
    <w:rsid w:val="006E5C94"/>
    <w:rsid w:val="006E6304"/>
    <w:rsid w:val="006E7ADA"/>
    <w:rsid w:val="006E7E22"/>
    <w:rsid w:val="006F00C4"/>
    <w:rsid w:val="006F11B3"/>
    <w:rsid w:val="006F134E"/>
    <w:rsid w:val="006F1C75"/>
    <w:rsid w:val="006F1E23"/>
    <w:rsid w:val="006F2580"/>
    <w:rsid w:val="006F26D9"/>
    <w:rsid w:val="006F3024"/>
    <w:rsid w:val="006F306C"/>
    <w:rsid w:val="006F31F1"/>
    <w:rsid w:val="006F324A"/>
    <w:rsid w:val="006F35FD"/>
    <w:rsid w:val="006F37B0"/>
    <w:rsid w:val="006F3DF3"/>
    <w:rsid w:val="006F4075"/>
    <w:rsid w:val="006F538E"/>
    <w:rsid w:val="006F54E0"/>
    <w:rsid w:val="006F5A4B"/>
    <w:rsid w:val="006F5BB3"/>
    <w:rsid w:val="006F5C2A"/>
    <w:rsid w:val="006F617B"/>
    <w:rsid w:val="006F63A5"/>
    <w:rsid w:val="006F6557"/>
    <w:rsid w:val="006F6BAC"/>
    <w:rsid w:val="006F6D85"/>
    <w:rsid w:val="00700E64"/>
    <w:rsid w:val="00701400"/>
    <w:rsid w:val="0070142B"/>
    <w:rsid w:val="00701D2D"/>
    <w:rsid w:val="0070276E"/>
    <w:rsid w:val="00702F8F"/>
    <w:rsid w:val="0070321F"/>
    <w:rsid w:val="00704DF1"/>
    <w:rsid w:val="007055CC"/>
    <w:rsid w:val="007055FD"/>
    <w:rsid w:val="00706703"/>
    <w:rsid w:val="00706BF8"/>
    <w:rsid w:val="007079FC"/>
    <w:rsid w:val="00707CE1"/>
    <w:rsid w:val="00707E21"/>
    <w:rsid w:val="00710360"/>
    <w:rsid w:val="00710D91"/>
    <w:rsid w:val="007113C0"/>
    <w:rsid w:val="00711491"/>
    <w:rsid w:val="00711A36"/>
    <w:rsid w:val="007125D3"/>
    <w:rsid w:val="00712B25"/>
    <w:rsid w:val="00713993"/>
    <w:rsid w:val="00713B59"/>
    <w:rsid w:val="00713DCF"/>
    <w:rsid w:val="00714447"/>
    <w:rsid w:val="00714C26"/>
    <w:rsid w:val="0071529C"/>
    <w:rsid w:val="00715339"/>
    <w:rsid w:val="0071552E"/>
    <w:rsid w:val="00716A89"/>
    <w:rsid w:val="00716D9F"/>
    <w:rsid w:val="007170DA"/>
    <w:rsid w:val="007172AD"/>
    <w:rsid w:val="00717399"/>
    <w:rsid w:val="00717546"/>
    <w:rsid w:val="00717692"/>
    <w:rsid w:val="00720801"/>
    <w:rsid w:val="007215EC"/>
    <w:rsid w:val="00721BAC"/>
    <w:rsid w:val="00721D8F"/>
    <w:rsid w:val="00722B1B"/>
    <w:rsid w:val="00722FFF"/>
    <w:rsid w:val="007238D1"/>
    <w:rsid w:val="0072416F"/>
    <w:rsid w:val="00725530"/>
    <w:rsid w:val="00726530"/>
    <w:rsid w:val="007269E2"/>
    <w:rsid w:val="00726BA1"/>
    <w:rsid w:val="007276E8"/>
    <w:rsid w:val="00727C94"/>
    <w:rsid w:val="00727E30"/>
    <w:rsid w:val="00731B0A"/>
    <w:rsid w:val="00731EAE"/>
    <w:rsid w:val="00731ECC"/>
    <w:rsid w:val="00732381"/>
    <w:rsid w:val="00732486"/>
    <w:rsid w:val="007326D7"/>
    <w:rsid w:val="0073298A"/>
    <w:rsid w:val="00732B27"/>
    <w:rsid w:val="00732D3A"/>
    <w:rsid w:val="00733073"/>
    <w:rsid w:val="00733F35"/>
    <w:rsid w:val="0073430A"/>
    <w:rsid w:val="00735033"/>
    <w:rsid w:val="00735328"/>
    <w:rsid w:val="0073659C"/>
    <w:rsid w:val="00736857"/>
    <w:rsid w:val="0073685B"/>
    <w:rsid w:val="00737010"/>
    <w:rsid w:val="0074118D"/>
    <w:rsid w:val="007422EB"/>
    <w:rsid w:val="00742F62"/>
    <w:rsid w:val="00743BE4"/>
    <w:rsid w:val="0074423A"/>
    <w:rsid w:val="0074495E"/>
    <w:rsid w:val="007449BF"/>
    <w:rsid w:val="00744D76"/>
    <w:rsid w:val="00744F3B"/>
    <w:rsid w:val="00745794"/>
    <w:rsid w:val="00746370"/>
    <w:rsid w:val="007463FE"/>
    <w:rsid w:val="00746BC0"/>
    <w:rsid w:val="00747642"/>
    <w:rsid w:val="007502A1"/>
    <w:rsid w:val="00750AED"/>
    <w:rsid w:val="007510B4"/>
    <w:rsid w:val="00751232"/>
    <w:rsid w:val="0075189D"/>
    <w:rsid w:val="00752142"/>
    <w:rsid w:val="007523F9"/>
    <w:rsid w:val="0075241E"/>
    <w:rsid w:val="00752E35"/>
    <w:rsid w:val="0075357E"/>
    <w:rsid w:val="00753766"/>
    <w:rsid w:val="00753B29"/>
    <w:rsid w:val="00753CD5"/>
    <w:rsid w:val="00754733"/>
    <w:rsid w:val="00754B81"/>
    <w:rsid w:val="00754D95"/>
    <w:rsid w:val="00755036"/>
    <w:rsid w:val="007550B5"/>
    <w:rsid w:val="00755AB9"/>
    <w:rsid w:val="00755D4C"/>
    <w:rsid w:val="007567B8"/>
    <w:rsid w:val="00756CE2"/>
    <w:rsid w:val="007573E8"/>
    <w:rsid w:val="0076019D"/>
    <w:rsid w:val="00760C4E"/>
    <w:rsid w:val="00760F9E"/>
    <w:rsid w:val="007616E6"/>
    <w:rsid w:val="00761EBE"/>
    <w:rsid w:val="00761FBA"/>
    <w:rsid w:val="00761FCA"/>
    <w:rsid w:val="007622DB"/>
    <w:rsid w:val="007627BE"/>
    <w:rsid w:val="007639D0"/>
    <w:rsid w:val="0076427C"/>
    <w:rsid w:val="00764F03"/>
    <w:rsid w:val="00765254"/>
    <w:rsid w:val="00765B1A"/>
    <w:rsid w:val="00765DC1"/>
    <w:rsid w:val="0076629E"/>
    <w:rsid w:val="007662D7"/>
    <w:rsid w:val="00766B6E"/>
    <w:rsid w:val="00767132"/>
    <w:rsid w:val="00767775"/>
    <w:rsid w:val="00770981"/>
    <w:rsid w:val="00770E38"/>
    <w:rsid w:val="007715F0"/>
    <w:rsid w:val="00771B06"/>
    <w:rsid w:val="00771B65"/>
    <w:rsid w:val="00771EA2"/>
    <w:rsid w:val="007727BF"/>
    <w:rsid w:val="00773AC9"/>
    <w:rsid w:val="007748B2"/>
    <w:rsid w:val="00774FAC"/>
    <w:rsid w:val="00775368"/>
    <w:rsid w:val="00775C72"/>
    <w:rsid w:val="00775E25"/>
    <w:rsid w:val="00776693"/>
    <w:rsid w:val="00776A29"/>
    <w:rsid w:val="00777335"/>
    <w:rsid w:val="00777C75"/>
    <w:rsid w:val="00780F9B"/>
    <w:rsid w:val="007821EB"/>
    <w:rsid w:val="00782783"/>
    <w:rsid w:val="007829D8"/>
    <w:rsid w:val="007843F2"/>
    <w:rsid w:val="007846FA"/>
    <w:rsid w:val="007847AA"/>
    <w:rsid w:val="007848B1"/>
    <w:rsid w:val="00785407"/>
    <w:rsid w:val="00785845"/>
    <w:rsid w:val="00785A9F"/>
    <w:rsid w:val="00785BA0"/>
    <w:rsid w:val="00786160"/>
    <w:rsid w:val="00786C0A"/>
    <w:rsid w:val="0078770A"/>
    <w:rsid w:val="00787972"/>
    <w:rsid w:val="00787C1E"/>
    <w:rsid w:val="00787CDC"/>
    <w:rsid w:val="00787DFD"/>
    <w:rsid w:val="007908DB"/>
    <w:rsid w:val="00790FCE"/>
    <w:rsid w:val="00791D04"/>
    <w:rsid w:val="007925DF"/>
    <w:rsid w:val="00792AEE"/>
    <w:rsid w:val="00792BE2"/>
    <w:rsid w:val="00793C7B"/>
    <w:rsid w:val="007942E3"/>
    <w:rsid w:val="00794477"/>
    <w:rsid w:val="00794B4D"/>
    <w:rsid w:val="00795401"/>
    <w:rsid w:val="00795B26"/>
    <w:rsid w:val="00795B63"/>
    <w:rsid w:val="00796496"/>
    <w:rsid w:val="00797237"/>
    <w:rsid w:val="007975AC"/>
    <w:rsid w:val="00797A04"/>
    <w:rsid w:val="007A08AA"/>
    <w:rsid w:val="007A0903"/>
    <w:rsid w:val="007A0A12"/>
    <w:rsid w:val="007A132D"/>
    <w:rsid w:val="007A1345"/>
    <w:rsid w:val="007A1B45"/>
    <w:rsid w:val="007A2DDB"/>
    <w:rsid w:val="007A2FF3"/>
    <w:rsid w:val="007A3A70"/>
    <w:rsid w:val="007A3B23"/>
    <w:rsid w:val="007A3E0D"/>
    <w:rsid w:val="007A5118"/>
    <w:rsid w:val="007A5565"/>
    <w:rsid w:val="007A5A5B"/>
    <w:rsid w:val="007A6617"/>
    <w:rsid w:val="007A6D23"/>
    <w:rsid w:val="007A70BA"/>
    <w:rsid w:val="007A7E63"/>
    <w:rsid w:val="007B00DF"/>
    <w:rsid w:val="007B01C1"/>
    <w:rsid w:val="007B0A37"/>
    <w:rsid w:val="007B0D68"/>
    <w:rsid w:val="007B1931"/>
    <w:rsid w:val="007B19BD"/>
    <w:rsid w:val="007B251D"/>
    <w:rsid w:val="007B280C"/>
    <w:rsid w:val="007B29A4"/>
    <w:rsid w:val="007B2D38"/>
    <w:rsid w:val="007B3533"/>
    <w:rsid w:val="007B40E7"/>
    <w:rsid w:val="007B49AB"/>
    <w:rsid w:val="007B4F58"/>
    <w:rsid w:val="007B528D"/>
    <w:rsid w:val="007B5E96"/>
    <w:rsid w:val="007B5FEC"/>
    <w:rsid w:val="007B60BB"/>
    <w:rsid w:val="007B63CA"/>
    <w:rsid w:val="007B77D1"/>
    <w:rsid w:val="007B7EBC"/>
    <w:rsid w:val="007C07C7"/>
    <w:rsid w:val="007C09F3"/>
    <w:rsid w:val="007C0A92"/>
    <w:rsid w:val="007C0E49"/>
    <w:rsid w:val="007C1CD9"/>
    <w:rsid w:val="007C32AB"/>
    <w:rsid w:val="007C32EF"/>
    <w:rsid w:val="007C361D"/>
    <w:rsid w:val="007C4423"/>
    <w:rsid w:val="007C4B84"/>
    <w:rsid w:val="007C4BAF"/>
    <w:rsid w:val="007C4C6B"/>
    <w:rsid w:val="007C541F"/>
    <w:rsid w:val="007C54AA"/>
    <w:rsid w:val="007C5612"/>
    <w:rsid w:val="007C5F35"/>
    <w:rsid w:val="007C70FF"/>
    <w:rsid w:val="007C7C25"/>
    <w:rsid w:val="007D004F"/>
    <w:rsid w:val="007D035F"/>
    <w:rsid w:val="007D06B2"/>
    <w:rsid w:val="007D0B38"/>
    <w:rsid w:val="007D0D43"/>
    <w:rsid w:val="007D11B0"/>
    <w:rsid w:val="007D19A5"/>
    <w:rsid w:val="007D20E5"/>
    <w:rsid w:val="007D2E8C"/>
    <w:rsid w:val="007D2F8F"/>
    <w:rsid w:val="007D3612"/>
    <w:rsid w:val="007D3EFC"/>
    <w:rsid w:val="007D4116"/>
    <w:rsid w:val="007D412A"/>
    <w:rsid w:val="007D46CC"/>
    <w:rsid w:val="007D510A"/>
    <w:rsid w:val="007D5440"/>
    <w:rsid w:val="007D55BB"/>
    <w:rsid w:val="007D649B"/>
    <w:rsid w:val="007D6843"/>
    <w:rsid w:val="007D69EB"/>
    <w:rsid w:val="007D6A1D"/>
    <w:rsid w:val="007D6D36"/>
    <w:rsid w:val="007D7390"/>
    <w:rsid w:val="007D78DF"/>
    <w:rsid w:val="007E007F"/>
    <w:rsid w:val="007E128F"/>
    <w:rsid w:val="007E1B88"/>
    <w:rsid w:val="007E2225"/>
    <w:rsid w:val="007E2D49"/>
    <w:rsid w:val="007E3ABC"/>
    <w:rsid w:val="007E46A4"/>
    <w:rsid w:val="007E4775"/>
    <w:rsid w:val="007E48E6"/>
    <w:rsid w:val="007E497A"/>
    <w:rsid w:val="007E5F55"/>
    <w:rsid w:val="007E68F3"/>
    <w:rsid w:val="007F0398"/>
    <w:rsid w:val="007F1017"/>
    <w:rsid w:val="007F208D"/>
    <w:rsid w:val="007F3089"/>
    <w:rsid w:val="007F3E00"/>
    <w:rsid w:val="007F4188"/>
    <w:rsid w:val="007F4A3F"/>
    <w:rsid w:val="007F4A5F"/>
    <w:rsid w:val="007F4A61"/>
    <w:rsid w:val="007F5255"/>
    <w:rsid w:val="007F5584"/>
    <w:rsid w:val="007F56CC"/>
    <w:rsid w:val="007F61C2"/>
    <w:rsid w:val="007F6F13"/>
    <w:rsid w:val="007F77F4"/>
    <w:rsid w:val="007F7E24"/>
    <w:rsid w:val="008000FC"/>
    <w:rsid w:val="00800407"/>
    <w:rsid w:val="008019FA"/>
    <w:rsid w:val="00803203"/>
    <w:rsid w:val="00803729"/>
    <w:rsid w:val="0080378F"/>
    <w:rsid w:val="00803989"/>
    <w:rsid w:val="008045C5"/>
    <w:rsid w:val="00805142"/>
    <w:rsid w:val="0080566B"/>
    <w:rsid w:val="00805FCE"/>
    <w:rsid w:val="00805FDA"/>
    <w:rsid w:val="00806A2F"/>
    <w:rsid w:val="00807A8B"/>
    <w:rsid w:val="00810CB3"/>
    <w:rsid w:val="00810E3C"/>
    <w:rsid w:val="00811001"/>
    <w:rsid w:val="00811383"/>
    <w:rsid w:val="00811576"/>
    <w:rsid w:val="00811B12"/>
    <w:rsid w:val="00812149"/>
    <w:rsid w:val="008128BC"/>
    <w:rsid w:val="00812CAC"/>
    <w:rsid w:val="00813261"/>
    <w:rsid w:val="0081358F"/>
    <w:rsid w:val="00813652"/>
    <w:rsid w:val="00813E99"/>
    <w:rsid w:val="00813F77"/>
    <w:rsid w:val="008142DC"/>
    <w:rsid w:val="00814B01"/>
    <w:rsid w:val="0081500D"/>
    <w:rsid w:val="00815215"/>
    <w:rsid w:val="00816361"/>
    <w:rsid w:val="008166EF"/>
    <w:rsid w:val="00816FEF"/>
    <w:rsid w:val="00817286"/>
    <w:rsid w:val="00817B43"/>
    <w:rsid w:val="00817DD7"/>
    <w:rsid w:val="0082068E"/>
    <w:rsid w:val="008207F0"/>
    <w:rsid w:val="00820A8C"/>
    <w:rsid w:val="008215FB"/>
    <w:rsid w:val="008220CC"/>
    <w:rsid w:val="008221E7"/>
    <w:rsid w:val="0082240C"/>
    <w:rsid w:val="0082269C"/>
    <w:rsid w:val="00823174"/>
    <w:rsid w:val="008234FA"/>
    <w:rsid w:val="0082395D"/>
    <w:rsid w:val="00823C43"/>
    <w:rsid w:val="00824421"/>
    <w:rsid w:val="00824818"/>
    <w:rsid w:val="00825751"/>
    <w:rsid w:val="0082598D"/>
    <w:rsid w:val="00825F89"/>
    <w:rsid w:val="008264EB"/>
    <w:rsid w:val="008268CE"/>
    <w:rsid w:val="008270C6"/>
    <w:rsid w:val="008272C4"/>
    <w:rsid w:val="00827C23"/>
    <w:rsid w:val="00830167"/>
    <w:rsid w:val="0083165F"/>
    <w:rsid w:val="00831831"/>
    <w:rsid w:val="00831D43"/>
    <w:rsid w:val="00831FA2"/>
    <w:rsid w:val="0083244D"/>
    <w:rsid w:val="00832C22"/>
    <w:rsid w:val="0083317E"/>
    <w:rsid w:val="0083319C"/>
    <w:rsid w:val="00833B05"/>
    <w:rsid w:val="00833DED"/>
    <w:rsid w:val="0083445A"/>
    <w:rsid w:val="00834E7A"/>
    <w:rsid w:val="00835C23"/>
    <w:rsid w:val="00835FEF"/>
    <w:rsid w:val="008362B4"/>
    <w:rsid w:val="0084069F"/>
    <w:rsid w:val="0084075D"/>
    <w:rsid w:val="0084096C"/>
    <w:rsid w:val="00840CA2"/>
    <w:rsid w:val="00840DAD"/>
    <w:rsid w:val="008415BD"/>
    <w:rsid w:val="008430D6"/>
    <w:rsid w:val="0084374F"/>
    <w:rsid w:val="00843B97"/>
    <w:rsid w:val="008446C3"/>
    <w:rsid w:val="008446CD"/>
    <w:rsid w:val="008448DA"/>
    <w:rsid w:val="0084496B"/>
    <w:rsid w:val="00844A22"/>
    <w:rsid w:val="00844CFE"/>
    <w:rsid w:val="00845435"/>
    <w:rsid w:val="00845596"/>
    <w:rsid w:val="0084573A"/>
    <w:rsid w:val="00845C64"/>
    <w:rsid w:val="0084741B"/>
    <w:rsid w:val="00847703"/>
    <w:rsid w:val="00847DF5"/>
    <w:rsid w:val="00851B89"/>
    <w:rsid w:val="00851E87"/>
    <w:rsid w:val="0085309D"/>
    <w:rsid w:val="0085387F"/>
    <w:rsid w:val="00854C5C"/>
    <w:rsid w:val="008553C3"/>
    <w:rsid w:val="00855EDF"/>
    <w:rsid w:val="00856897"/>
    <w:rsid w:val="00856E9A"/>
    <w:rsid w:val="0086075D"/>
    <w:rsid w:val="00860975"/>
    <w:rsid w:val="00862502"/>
    <w:rsid w:val="0086259A"/>
    <w:rsid w:val="0086295A"/>
    <w:rsid w:val="00862CC1"/>
    <w:rsid w:val="00863054"/>
    <w:rsid w:val="0086356A"/>
    <w:rsid w:val="00863700"/>
    <w:rsid w:val="00863E74"/>
    <w:rsid w:val="008642A7"/>
    <w:rsid w:val="008646B6"/>
    <w:rsid w:val="00864976"/>
    <w:rsid w:val="00865E64"/>
    <w:rsid w:val="008660D4"/>
    <w:rsid w:val="00866739"/>
    <w:rsid w:val="00866BD1"/>
    <w:rsid w:val="008675F8"/>
    <w:rsid w:val="00867E7F"/>
    <w:rsid w:val="008706BF"/>
    <w:rsid w:val="008713C3"/>
    <w:rsid w:val="0087156B"/>
    <w:rsid w:val="00871939"/>
    <w:rsid w:val="00871FA9"/>
    <w:rsid w:val="008728E9"/>
    <w:rsid w:val="008732B9"/>
    <w:rsid w:val="008734B4"/>
    <w:rsid w:val="00873522"/>
    <w:rsid w:val="0087365E"/>
    <w:rsid w:val="00874984"/>
    <w:rsid w:val="00875398"/>
    <w:rsid w:val="008754D9"/>
    <w:rsid w:val="00875D8F"/>
    <w:rsid w:val="00875DAC"/>
    <w:rsid w:val="008774D7"/>
    <w:rsid w:val="00880D13"/>
    <w:rsid w:val="0088128E"/>
    <w:rsid w:val="0088179B"/>
    <w:rsid w:val="0088180D"/>
    <w:rsid w:val="00882874"/>
    <w:rsid w:val="00882E3C"/>
    <w:rsid w:val="0088308A"/>
    <w:rsid w:val="00883787"/>
    <w:rsid w:val="00884C8F"/>
    <w:rsid w:val="00884ECC"/>
    <w:rsid w:val="008852DB"/>
    <w:rsid w:val="008855E4"/>
    <w:rsid w:val="00885680"/>
    <w:rsid w:val="00885E5E"/>
    <w:rsid w:val="00886033"/>
    <w:rsid w:val="0088628B"/>
    <w:rsid w:val="00886862"/>
    <w:rsid w:val="00886CD2"/>
    <w:rsid w:val="008879C7"/>
    <w:rsid w:val="008906FB"/>
    <w:rsid w:val="0089119E"/>
    <w:rsid w:val="008914CE"/>
    <w:rsid w:val="008914F2"/>
    <w:rsid w:val="008915DA"/>
    <w:rsid w:val="00891E6F"/>
    <w:rsid w:val="0089234F"/>
    <w:rsid w:val="0089258D"/>
    <w:rsid w:val="0089275D"/>
    <w:rsid w:val="00892A36"/>
    <w:rsid w:val="00893239"/>
    <w:rsid w:val="00893CAD"/>
    <w:rsid w:val="0089420E"/>
    <w:rsid w:val="00894489"/>
    <w:rsid w:val="00894CD6"/>
    <w:rsid w:val="00895455"/>
    <w:rsid w:val="0089565B"/>
    <w:rsid w:val="008963A5"/>
    <w:rsid w:val="00896C57"/>
    <w:rsid w:val="00896D5D"/>
    <w:rsid w:val="008970E1"/>
    <w:rsid w:val="008978FD"/>
    <w:rsid w:val="008A023E"/>
    <w:rsid w:val="008A05EB"/>
    <w:rsid w:val="008A2AD5"/>
    <w:rsid w:val="008A2BF3"/>
    <w:rsid w:val="008A2E08"/>
    <w:rsid w:val="008A3158"/>
    <w:rsid w:val="008A3363"/>
    <w:rsid w:val="008A3371"/>
    <w:rsid w:val="008A3C3E"/>
    <w:rsid w:val="008A421F"/>
    <w:rsid w:val="008A4438"/>
    <w:rsid w:val="008A4C86"/>
    <w:rsid w:val="008A4CE4"/>
    <w:rsid w:val="008A57A3"/>
    <w:rsid w:val="008A5A07"/>
    <w:rsid w:val="008A5F00"/>
    <w:rsid w:val="008A67CB"/>
    <w:rsid w:val="008A6C23"/>
    <w:rsid w:val="008A7712"/>
    <w:rsid w:val="008A79DE"/>
    <w:rsid w:val="008A7D03"/>
    <w:rsid w:val="008B1757"/>
    <w:rsid w:val="008B1C33"/>
    <w:rsid w:val="008B1F3A"/>
    <w:rsid w:val="008B2A4F"/>
    <w:rsid w:val="008B33F4"/>
    <w:rsid w:val="008B44FE"/>
    <w:rsid w:val="008B46E9"/>
    <w:rsid w:val="008B4B6F"/>
    <w:rsid w:val="008B523A"/>
    <w:rsid w:val="008B5997"/>
    <w:rsid w:val="008B5CE1"/>
    <w:rsid w:val="008B7992"/>
    <w:rsid w:val="008B7AD6"/>
    <w:rsid w:val="008B7D7E"/>
    <w:rsid w:val="008C1450"/>
    <w:rsid w:val="008C1AB2"/>
    <w:rsid w:val="008C1FDD"/>
    <w:rsid w:val="008C2A01"/>
    <w:rsid w:val="008C5610"/>
    <w:rsid w:val="008C5739"/>
    <w:rsid w:val="008C58CB"/>
    <w:rsid w:val="008C685B"/>
    <w:rsid w:val="008C7282"/>
    <w:rsid w:val="008C731B"/>
    <w:rsid w:val="008C778E"/>
    <w:rsid w:val="008C7ECB"/>
    <w:rsid w:val="008C7FBA"/>
    <w:rsid w:val="008D023F"/>
    <w:rsid w:val="008D03AF"/>
    <w:rsid w:val="008D055F"/>
    <w:rsid w:val="008D0A8E"/>
    <w:rsid w:val="008D1216"/>
    <w:rsid w:val="008D3B86"/>
    <w:rsid w:val="008D43FD"/>
    <w:rsid w:val="008D4755"/>
    <w:rsid w:val="008D4C3D"/>
    <w:rsid w:val="008D5438"/>
    <w:rsid w:val="008D5D8A"/>
    <w:rsid w:val="008D743C"/>
    <w:rsid w:val="008D756B"/>
    <w:rsid w:val="008D7912"/>
    <w:rsid w:val="008D7B41"/>
    <w:rsid w:val="008E052B"/>
    <w:rsid w:val="008E0D3C"/>
    <w:rsid w:val="008E0DB0"/>
    <w:rsid w:val="008E1222"/>
    <w:rsid w:val="008E163B"/>
    <w:rsid w:val="008E1B9E"/>
    <w:rsid w:val="008E1E1B"/>
    <w:rsid w:val="008E2A6E"/>
    <w:rsid w:val="008E3A76"/>
    <w:rsid w:val="008E3E93"/>
    <w:rsid w:val="008E455F"/>
    <w:rsid w:val="008E4B2C"/>
    <w:rsid w:val="008E52F0"/>
    <w:rsid w:val="008E55AB"/>
    <w:rsid w:val="008E58D5"/>
    <w:rsid w:val="008E60AA"/>
    <w:rsid w:val="008E61FD"/>
    <w:rsid w:val="008E68A1"/>
    <w:rsid w:val="008E7704"/>
    <w:rsid w:val="008E786E"/>
    <w:rsid w:val="008F08A7"/>
    <w:rsid w:val="008F0AAB"/>
    <w:rsid w:val="008F0AE1"/>
    <w:rsid w:val="008F120A"/>
    <w:rsid w:val="008F13A0"/>
    <w:rsid w:val="008F15BB"/>
    <w:rsid w:val="008F15D9"/>
    <w:rsid w:val="008F15E0"/>
    <w:rsid w:val="008F1C25"/>
    <w:rsid w:val="008F267E"/>
    <w:rsid w:val="008F27E0"/>
    <w:rsid w:val="008F2832"/>
    <w:rsid w:val="008F2970"/>
    <w:rsid w:val="008F2D95"/>
    <w:rsid w:val="008F48EB"/>
    <w:rsid w:val="008F4F0B"/>
    <w:rsid w:val="008F71DF"/>
    <w:rsid w:val="008F76BD"/>
    <w:rsid w:val="009013D8"/>
    <w:rsid w:val="009018EF"/>
    <w:rsid w:val="00901B7C"/>
    <w:rsid w:val="00901D9A"/>
    <w:rsid w:val="009038C1"/>
    <w:rsid w:val="0090440E"/>
    <w:rsid w:val="009046C4"/>
    <w:rsid w:val="00904E0E"/>
    <w:rsid w:val="00905081"/>
    <w:rsid w:val="009059E9"/>
    <w:rsid w:val="00905B19"/>
    <w:rsid w:val="00905C3E"/>
    <w:rsid w:val="009062A5"/>
    <w:rsid w:val="009068E5"/>
    <w:rsid w:val="00906DEC"/>
    <w:rsid w:val="00906E89"/>
    <w:rsid w:val="00907699"/>
    <w:rsid w:val="00907EAF"/>
    <w:rsid w:val="00910718"/>
    <w:rsid w:val="00910FA7"/>
    <w:rsid w:val="0091125F"/>
    <w:rsid w:val="00911272"/>
    <w:rsid w:val="00911339"/>
    <w:rsid w:val="0091140D"/>
    <w:rsid w:val="009128B8"/>
    <w:rsid w:val="009130D1"/>
    <w:rsid w:val="00913410"/>
    <w:rsid w:val="009134D9"/>
    <w:rsid w:val="009135D6"/>
    <w:rsid w:val="00913B89"/>
    <w:rsid w:val="00914C77"/>
    <w:rsid w:val="00914F2D"/>
    <w:rsid w:val="00914F46"/>
    <w:rsid w:val="0091567F"/>
    <w:rsid w:val="009157EE"/>
    <w:rsid w:val="009162B3"/>
    <w:rsid w:val="009163FC"/>
    <w:rsid w:val="00916546"/>
    <w:rsid w:val="009166B7"/>
    <w:rsid w:val="00916B66"/>
    <w:rsid w:val="00916C57"/>
    <w:rsid w:val="009171BC"/>
    <w:rsid w:val="009206D4"/>
    <w:rsid w:val="009209EF"/>
    <w:rsid w:val="00920AC9"/>
    <w:rsid w:val="009219CD"/>
    <w:rsid w:val="00921ACB"/>
    <w:rsid w:val="009228C2"/>
    <w:rsid w:val="0092363B"/>
    <w:rsid w:val="0092369B"/>
    <w:rsid w:val="00923CBB"/>
    <w:rsid w:val="00923CE5"/>
    <w:rsid w:val="00923F4B"/>
    <w:rsid w:val="00924B9D"/>
    <w:rsid w:val="00924C56"/>
    <w:rsid w:val="00924DEA"/>
    <w:rsid w:val="00924F37"/>
    <w:rsid w:val="009251E8"/>
    <w:rsid w:val="00925CF3"/>
    <w:rsid w:val="00926BB5"/>
    <w:rsid w:val="00926C86"/>
    <w:rsid w:val="00926F83"/>
    <w:rsid w:val="00927169"/>
    <w:rsid w:val="009274A2"/>
    <w:rsid w:val="00930148"/>
    <w:rsid w:val="00930274"/>
    <w:rsid w:val="00930E37"/>
    <w:rsid w:val="00930FE7"/>
    <w:rsid w:val="00931398"/>
    <w:rsid w:val="00931CBA"/>
    <w:rsid w:val="0093311B"/>
    <w:rsid w:val="0093347C"/>
    <w:rsid w:val="00933D45"/>
    <w:rsid w:val="0093460B"/>
    <w:rsid w:val="00934988"/>
    <w:rsid w:val="0093535A"/>
    <w:rsid w:val="00936338"/>
    <w:rsid w:val="00936479"/>
    <w:rsid w:val="00937089"/>
    <w:rsid w:val="009410DA"/>
    <w:rsid w:val="009416D1"/>
    <w:rsid w:val="00942010"/>
    <w:rsid w:val="00942E8E"/>
    <w:rsid w:val="0094301E"/>
    <w:rsid w:val="009430EB"/>
    <w:rsid w:val="009445F6"/>
    <w:rsid w:val="00944F8A"/>
    <w:rsid w:val="00945220"/>
    <w:rsid w:val="00945CFC"/>
    <w:rsid w:val="00945D56"/>
    <w:rsid w:val="00945E3D"/>
    <w:rsid w:val="00947771"/>
    <w:rsid w:val="00950732"/>
    <w:rsid w:val="009510A2"/>
    <w:rsid w:val="00951726"/>
    <w:rsid w:val="009527B0"/>
    <w:rsid w:val="00952AD8"/>
    <w:rsid w:val="00953126"/>
    <w:rsid w:val="009531C6"/>
    <w:rsid w:val="00953257"/>
    <w:rsid w:val="009533BB"/>
    <w:rsid w:val="00953A66"/>
    <w:rsid w:val="0095474C"/>
    <w:rsid w:val="009548DD"/>
    <w:rsid w:val="00954E53"/>
    <w:rsid w:val="00955119"/>
    <w:rsid w:val="00955733"/>
    <w:rsid w:val="00956B59"/>
    <w:rsid w:val="00957D92"/>
    <w:rsid w:val="009615B3"/>
    <w:rsid w:val="00961E91"/>
    <w:rsid w:val="009622C1"/>
    <w:rsid w:val="0096291F"/>
    <w:rsid w:val="00962CB9"/>
    <w:rsid w:val="00963308"/>
    <w:rsid w:val="00964312"/>
    <w:rsid w:val="009644F4"/>
    <w:rsid w:val="00965000"/>
    <w:rsid w:val="009656DD"/>
    <w:rsid w:val="00965B8A"/>
    <w:rsid w:val="00966A8A"/>
    <w:rsid w:val="00967DEF"/>
    <w:rsid w:val="0097050D"/>
    <w:rsid w:val="0097071F"/>
    <w:rsid w:val="0097096D"/>
    <w:rsid w:val="00970A7F"/>
    <w:rsid w:val="00970FC3"/>
    <w:rsid w:val="009717AC"/>
    <w:rsid w:val="00971A52"/>
    <w:rsid w:val="00973023"/>
    <w:rsid w:val="0097349A"/>
    <w:rsid w:val="00973D23"/>
    <w:rsid w:val="00974063"/>
    <w:rsid w:val="009751C1"/>
    <w:rsid w:val="0097585E"/>
    <w:rsid w:val="00976D69"/>
    <w:rsid w:val="00976F59"/>
    <w:rsid w:val="00980074"/>
    <w:rsid w:val="00980929"/>
    <w:rsid w:val="009811F1"/>
    <w:rsid w:val="00981B1B"/>
    <w:rsid w:val="009822BE"/>
    <w:rsid w:val="0098262F"/>
    <w:rsid w:val="00982B5A"/>
    <w:rsid w:val="00983E57"/>
    <w:rsid w:val="0098412A"/>
    <w:rsid w:val="00984E14"/>
    <w:rsid w:val="00984F66"/>
    <w:rsid w:val="009855EE"/>
    <w:rsid w:val="0098588D"/>
    <w:rsid w:val="00985DE2"/>
    <w:rsid w:val="00985F96"/>
    <w:rsid w:val="0098631B"/>
    <w:rsid w:val="0098639F"/>
    <w:rsid w:val="0098675D"/>
    <w:rsid w:val="00986EDA"/>
    <w:rsid w:val="0098719C"/>
    <w:rsid w:val="009871DE"/>
    <w:rsid w:val="00987BA4"/>
    <w:rsid w:val="00987C29"/>
    <w:rsid w:val="00990886"/>
    <w:rsid w:val="00990B99"/>
    <w:rsid w:val="009926E0"/>
    <w:rsid w:val="009927A4"/>
    <w:rsid w:val="0099286B"/>
    <w:rsid w:val="00993732"/>
    <w:rsid w:val="00993EA3"/>
    <w:rsid w:val="00993F6E"/>
    <w:rsid w:val="00994372"/>
    <w:rsid w:val="0099451E"/>
    <w:rsid w:val="009951F1"/>
    <w:rsid w:val="00995408"/>
    <w:rsid w:val="009958E0"/>
    <w:rsid w:val="009963A6"/>
    <w:rsid w:val="00996B1A"/>
    <w:rsid w:val="00996E8B"/>
    <w:rsid w:val="00997C1D"/>
    <w:rsid w:val="009A1473"/>
    <w:rsid w:val="009A18F6"/>
    <w:rsid w:val="009A2DCC"/>
    <w:rsid w:val="009A303C"/>
    <w:rsid w:val="009A3DF5"/>
    <w:rsid w:val="009A4011"/>
    <w:rsid w:val="009A4A49"/>
    <w:rsid w:val="009A4CBB"/>
    <w:rsid w:val="009A5ABC"/>
    <w:rsid w:val="009A613E"/>
    <w:rsid w:val="009A6C0F"/>
    <w:rsid w:val="009A7656"/>
    <w:rsid w:val="009A7D0A"/>
    <w:rsid w:val="009A7DA9"/>
    <w:rsid w:val="009A7F10"/>
    <w:rsid w:val="009B01B1"/>
    <w:rsid w:val="009B04BE"/>
    <w:rsid w:val="009B0870"/>
    <w:rsid w:val="009B2BED"/>
    <w:rsid w:val="009B3037"/>
    <w:rsid w:val="009B3580"/>
    <w:rsid w:val="009B3668"/>
    <w:rsid w:val="009B390E"/>
    <w:rsid w:val="009B3E26"/>
    <w:rsid w:val="009B5171"/>
    <w:rsid w:val="009B5436"/>
    <w:rsid w:val="009B5988"/>
    <w:rsid w:val="009B5CAE"/>
    <w:rsid w:val="009B5EBA"/>
    <w:rsid w:val="009B7BCD"/>
    <w:rsid w:val="009C0E2C"/>
    <w:rsid w:val="009C1271"/>
    <w:rsid w:val="009C1B16"/>
    <w:rsid w:val="009C2320"/>
    <w:rsid w:val="009C2587"/>
    <w:rsid w:val="009C363C"/>
    <w:rsid w:val="009C3706"/>
    <w:rsid w:val="009C3A3A"/>
    <w:rsid w:val="009C3DAA"/>
    <w:rsid w:val="009C3F49"/>
    <w:rsid w:val="009C426B"/>
    <w:rsid w:val="009C4C39"/>
    <w:rsid w:val="009C4E4F"/>
    <w:rsid w:val="009C5D9E"/>
    <w:rsid w:val="009C6CEA"/>
    <w:rsid w:val="009C6D35"/>
    <w:rsid w:val="009C7626"/>
    <w:rsid w:val="009C7B85"/>
    <w:rsid w:val="009C7D4F"/>
    <w:rsid w:val="009D0254"/>
    <w:rsid w:val="009D029C"/>
    <w:rsid w:val="009D1128"/>
    <w:rsid w:val="009D12FE"/>
    <w:rsid w:val="009D1A64"/>
    <w:rsid w:val="009D2AE3"/>
    <w:rsid w:val="009D3FD7"/>
    <w:rsid w:val="009D41A9"/>
    <w:rsid w:val="009D435A"/>
    <w:rsid w:val="009D5A93"/>
    <w:rsid w:val="009D5ACD"/>
    <w:rsid w:val="009D5B91"/>
    <w:rsid w:val="009D678D"/>
    <w:rsid w:val="009D697A"/>
    <w:rsid w:val="009D7565"/>
    <w:rsid w:val="009D792E"/>
    <w:rsid w:val="009E0DFE"/>
    <w:rsid w:val="009E1EBC"/>
    <w:rsid w:val="009E2513"/>
    <w:rsid w:val="009E2693"/>
    <w:rsid w:val="009E31F6"/>
    <w:rsid w:val="009E3CBF"/>
    <w:rsid w:val="009E4020"/>
    <w:rsid w:val="009E4C07"/>
    <w:rsid w:val="009E52B2"/>
    <w:rsid w:val="009E545A"/>
    <w:rsid w:val="009E552B"/>
    <w:rsid w:val="009E5B09"/>
    <w:rsid w:val="009E5C4E"/>
    <w:rsid w:val="009E68D8"/>
    <w:rsid w:val="009E6A45"/>
    <w:rsid w:val="009E777F"/>
    <w:rsid w:val="009E7DB5"/>
    <w:rsid w:val="009F1033"/>
    <w:rsid w:val="009F107D"/>
    <w:rsid w:val="009F208A"/>
    <w:rsid w:val="009F303A"/>
    <w:rsid w:val="009F30AF"/>
    <w:rsid w:val="009F3957"/>
    <w:rsid w:val="009F5EC2"/>
    <w:rsid w:val="009F6120"/>
    <w:rsid w:val="009F616E"/>
    <w:rsid w:val="009F6A39"/>
    <w:rsid w:val="009F71B1"/>
    <w:rsid w:val="009F7535"/>
    <w:rsid w:val="00A0004F"/>
    <w:rsid w:val="00A0086D"/>
    <w:rsid w:val="00A00BC9"/>
    <w:rsid w:val="00A00D76"/>
    <w:rsid w:val="00A01184"/>
    <w:rsid w:val="00A01449"/>
    <w:rsid w:val="00A019E7"/>
    <w:rsid w:val="00A0216D"/>
    <w:rsid w:val="00A037C2"/>
    <w:rsid w:val="00A03D43"/>
    <w:rsid w:val="00A03D83"/>
    <w:rsid w:val="00A04380"/>
    <w:rsid w:val="00A044A8"/>
    <w:rsid w:val="00A04786"/>
    <w:rsid w:val="00A05472"/>
    <w:rsid w:val="00A05C32"/>
    <w:rsid w:val="00A0620F"/>
    <w:rsid w:val="00A0653F"/>
    <w:rsid w:val="00A067DF"/>
    <w:rsid w:val="00A119FE"/>
    <w:rsid w:val="00A11CD0"/>
    <w:rsid w:val="00A11D1B"/>
    <w:rsid w:val="00A11E5A"/>
    <w:rsid w:val="00A13077"/>
    <w:rsid w:val="00A1325F"/>
    <w:rsid w:val="00A13411"/>
    <w:rsid w:val="00A13948"/>
    <w:rsid w:val="00A142C2"/>
    <w:rsid w:val="00A1555B"/>
    <w:rsid w:val="00A155C5"/>
    <w:rsid w:val="00A16AD8"/>
    <w:rsid w:val="00A17D05"/>
    <w:rsid w:val="00A200FB"/>
    <w:rsid w:val="00A2021E"/>
    <w:rsid w:val="00A214EB"/>
    <w:rsid w:val="00A21C95"/>
    <w:rsid w:val="00A21CF3"/>
    <w:rsid w:val="00A2231B"/>
    <w:rsid w:val="00A2307E"/>
    <w:rsid w:val="00A2315A"/>
    <w:rsid w:val="00A234BD"/>
    <w:rsid w:val="00A23816"/>
    <w:rsid w:val="00A2414D"/>
    <w:rsid w:val="00A24813"/>
    <w:rsid w:val="00A25527"/>
    <w:rsid w:val="00A27AEC"/>
    <w:rsid w:val="00A27D10"/>
    <w:rsid w:val="00A27EC4"/>
    <w:rsid w:val="00A30295"/>
    <w:rsid w:val="00A3039A"/>
    <w:rsid w:val="00A30C77"/>
    <w:rsid w:val="00A31155"/>
    <w:rsid w:val="00A3155E"/>
    <w:rsid w:val="00A31752"/>
    <w:rsid w:val="00A320DB"/>
    <w:rsid w:val="00A359C7"/>
    <w:rsid w:val="00A35D16"/>
    <w:rsid w:val="00A36055"/>
    <w:rsid w:val="00A37879"/>
    <w:rsid w:val="00A37BCD"/>
    <w:rsid w:val="00A40024"/>
    <w:rsid w:val="00A40CC5"/>
    <w:rsid w:val="00A40EA3"/>
    <w:rsid w:val="00A415A7"/>
    <w:rsid w:val="00A41689"/>
    <w:rsid w:val="00A41825"/>
    <w:rsid w:val="00A41F7D"/>
    <w:rsid w:val="00A42196"/>
    <w:rsid w:val="00A42550"/>
    <w:rsid w:val="00A42592"/>
    <w:rsid w:val="00A42BA7"/>
    <w:rsid w:val="00A43C59"/>
    <w:rsid w:val="00A44948"/>
    <w:rsid w:val="00A45771"/>
    <w:rsid w:val="00A46CBC"/>
    <w:rsid w:val="00A46F61"/>
    <w:rsid w:val="00A46F70"/>
    <w:rsid w:val="00A473DB"/>
    <w:rsid w:val="00A4777F"/>
    <w:rsid w:val="00A47868"/>
    <w:rsid w:val="00A508DD"/>
    <w:rsid w:val="00A50ECD"/>
    <w:rsid w:val="00A5114F"/>
    <w:rsid w:val="00A512DD"/>
    <w:rsid w:val="00A518F3"/>
    <w:rsid w:val="00A52729"/>
    <w:rsid w:val="00A52FDF"/>
    <w:rsid w:val="00A53115"/>
    <w:rsid w:val="00A53197"/>
    <w:rsid w:val="00A53453"/>
    <w:rsid w:val="00A53675"/>
    <w:rsid w:val="00A5467F"/>
    <w:rsid w:val="00A54EAB"/>
    <w:rsid w:val="00A55545"/>
    <w:rsid w:val="00A555B4"/>
    <w:rsid w:val="00A564D7"/>
    <w:rsid w:val="00A566E1"/>
    <w:rsid w:val="00A56B6A"/>
    <w:rsid w:val="00A56F50"/>
    <w:rsid w:val="00A57154"/>
    <w:rsid w:val="00A575D5"/>
    <w:rsid w:val="00A575E2"/>
    <w:rsid w:val="00A57776"/>
    <w:rsid w:val="00A578DC"/>
    <w:rsid w:val="00A57B1B"/>
    <w:rsid w:val="00A6030E"/>
    <w:rsid w:val="00A60433"/>
    <w:rsid w:val="00A604B0"/>
    <w:rsid w:val="00A6088C"/>
    <w:rsid w:val="00A60D34"/>
    <w:rsid w:val="00A6116F"/>
    <w:rsid w:val="00A613D0"/>
    <w:rsid w:val="00A61E4A"/>
    <w:rsid w:val="00A62FD9"/>
    <w:rsid w:val="00A640E2"/>
    <w:rsid w:val="00A64C71"/>
    <w:rsid w:val="00A64D65"/>
    <w:rsid w:val="00A65976"/>
    <w:rsid w:val="00A659B4"/>
    <w:rsid w:val="00A65F44"/>
    <w:rsid w:val="00A6681E"/>
    <w:rsid w:val="00A6694B"/>
    <w:rsid w:val="00A6725B"/>
    <w:rsid w:val="00A67931"/>
    <w:rsid w:val="00A7040E"/>
    <w:rsid w:val="00A70605"/>
    <w:rsid w:val="00A70D2B"/>
    <w:rsid w:val="00A70F1B"/>
    <w:rsid w:val="00A71064"/>
    <w:rsid w:val="00A71336"/>
    <w:rsid w:val="00A73134"/>
    <w:rsid w:val="00A7314C"/>
    <w:rsid w:val="00A7365A"/>
    <w:rsid w:val="00A73669"/>
    <w:rsid w:val="00A7486E"/>
    <w:rsid w:val="00A75C23"/>
    <w:rsid w:val="00A76001"/>
    <w:rsid w:val="00A76C8D"/>
    <w:rsid w:val="00A7713C"/>
    <w:rsid w:val="00A7727D"/>
    <w:rsid w:val="00A7744D"/>
    <w:rsid w:val="00A777B2"/>
    <w:rsid w:val="00A77845"/>
    <w:rsid w:val="00A778D4"/>
    <w:rsid w:val="00A80A29"/>
    <w:rsid w:val="00A81222"/>
    <w:rsid w:val="00A8135C"/>
    <w:rsid w:val="00A81439"/>
    <w:rsid w:val="00A81BA8"/>
    <w:rsid w:val="00A8254A"/>
    <w:rsid w:val="00A825D4"/>
    <w:rsid w:val="00A828F6"/>
    <w:rsid w:val="00A82B73"/>
    <w:rsid w:val="00A8314A"/>
    <w:rsid w:val="00A83B55"/>
    <w:rsid w:val="00A84554"/>
    <w:rsid w:val="00A84A7E"/>
    <w:rsid w:val="00A8532D"/>
    <w:rsid w:val="00A85D62"/>
    <w:rsid w:val="00A86C9A"/>
    <w:rsid w:val="00A86E8B"/>
    <w:rsid w:val="00A87164"/>
    <w:rsid w:val="00A871A9"/>
    <w:rsid w:val="00A873FC"/>
    <w:rsid w:val="00A9041D"/>
    <w:rsid w:val="00A90633"/>
    <w:rsid w:val="00A906B1"/>
    <w:rsid w:val="00A90EE1"/>
    <w:rsid w:val="00A9110A"/>
    <w:rsid w:val="00A919E4"/>
    <w:rsid w:val="00A921DB"/>
    <w:rsid w:val="00A93072"/>
    <w:rsid w:val="00A938BD"/>
    <w:rsid w:val="00A93953"/>
    <w:rsid w:val="00A93C14"/>
    <w:rsid w:val="00A93FB0"/>
    <w:rsid w:val="00A94330"/>
    <w:rsid w:val="00A94A5F"/>
    <w:rsid w:val="00A94A73"/>
    <w:rsid w:val="00A94D01"/>
    <w:rsid w:val="00A959D8"/>
    <w:rsid w:val="00A95BDA"/>
    <w:rsid w:val="00A96414"/>
    <w:rsid w:val="00A9680F"/>
    <w:rsid w:val="00A97635"/>
    <w:rsid w:val="00AA01B1"/>
    <w:rsid w:val="00AA0423"/>
    <w:rsid w:val="00AA06FD"/>
    <w:rsid w:val="00AA113D"/>
    <w:rsid w:val="00AA13C8"/>
    <w:rsid w:val="00AA2CFA"/>
    <w:rsid w:val="00AA2F51"/>
    <w:rsid w:val="00AA34D0"/>
    <w:rsid w:val="00AA380C"/>
    <w:rsid w:val="00AA45CE"/>
    <w:rsid w:val="00AA47AA"/>
    <w:rsid w:val="00AA5409"/>
    <w:rsid w:val="00AA573E"/>
    <w:rsid w:val="00AA57AC"/>
    <w:rsid w:val="00AA62E7"/>
    <w:rsid w:val="00AA6BD5"/>
    <w:rsid w:val="00AA6BD8"/>
    <w:rsid w:val="00AA6C7D"/>
    <w:rsid w:val="00AA73BA"/>
    <w:rsid w:val="00AA7BB1"/>
    <w:rsid w:val="00AA7FD6"/>
    <w:rsid w:val="00AB042A"/>
    <w:rsid w:val="00AB048C"/>
    <w:rsid w:val="00AB11AD"/>
    <w:rsid w:val="00AB130C"/>
    <w:rsid w:val="00AB140C"/>
    <w:rsid w:val="00AB1669"/>
    <w:rsid w:val="00AB19EF"/>
    <w:rsid w:val="00AB2495"/>
    <w:rsid w:val="00AB2D34"/>
    <w:rsid w:val="00AB3430"/>
    <w:rsid w:val="00AB37B9"/>
    <w:rsid w:val="00AB3DF1"/>
    <w:rsid w:val="00AB3E5E"/>
    <w:rsid w:val="00AB3E7E"/>
    <w:rsid w:val="00AB3F96"/>
    <w:rsid w:val="00AB40A6"/>
    <w:rsid w:val="00AB4299"/>
    <w:rsid w:val="00AB437B"/>
    <w:rsid w:val="00AB46BF"/>
    <w:rsid w:val="00AB4984"/>
    <w:rsid w:val="00AB4A36"/>
    <w:rsid w:val="00AB4AD1"/>
    <w:rsid w:val="00AB57EC"/>
    <w:rsid w:val="00AB5B58"/>
    <w:rsid w:val="00AB5E07"/>
    <w:rsid w:val="00AB64CE"/>
    <w:rsid w:val="00AB6950"/>
    <w:rsid w:val="00AB7593"/>
    <w:rsid w:val="00AB7CFA"/>
    <w:rsid w:val="00AC00D7"/>
    <w:rsid w:val="00AC039A"/>
    <w:rsid w:val="00AC1D02"/>
    <w:rsid w:val="00AC1DA6"/>
    <w:rsid w:val="00AC1EEA"/>
    <w:rsid w:val="00AC24AD"/>
    <w:rsid w:val="00AC3675"/>
    <w:rsid w:val="00AC3C95"/>
    <w:rsid w:val="00AC3D73"/>
    <w:rsid w:val="00AC45A6"/>
    <w:rsid w:val="00AC5773"/>
    <w:rsid w:val="00AC5B42"/>
    <w:rsid w:val="00AC5B48"/>
    <w:rsid w:val="00AC5EEF"/>
    <w:rsid w:val="00AC609C"/>
    <w:rsid w:val="00AC7DFB"/>
    <w:rsid w:val="00AD0E55"/>
    <w:rsid w:val="00AD106A"/>
    <w:rsid w:val="00AD125A"/>
    <w:rsid w:val="00AD1450"/>
    <w:rsid w:val="00AD15E8"/>
    <w:rsid w:val="00AD272E"/>
    <w:rsid w:val="00AD2B45"/>
    <w:rsid w:val="00AD356D"/>
    <w:rsid w:val="00AD4B91"/>
    <w:rsid w:val="00AD5300"/>
    <w:rsid w:val="00AD5B2A"/>
    <w:rsid w:val="00AD5DDB"/>
    <w:rsid w:val="00AD601C"/>
    <w:rsid w:val="00AD6502"/>
    <w:rsid w:val="00AD6910"/>
    <w:rsid w:val="00AD6B99"/>
    <w:rsid w:val="00AD7B21"/>
    <w:rsid w:val="00AE019E"/>
    <w:rsid w:val="00AE0695"/>
    <w:rsid w:val="00AE0989"/>
    <w:rsid w:val="00AE11B7"/>
    <w:rsid w:val="00AE155B"/>
    <w:rsid w:val="00AE15C6"/>
    <w:rsid w:val="00AE20C6"/>
    <w:rsid w:val="00AE2179"/>
    <w:rsid w:val="00AE25C7"/>
    <w:rsid w:val="00AE2B4F"/>
    <w:rsid w:val="00AE3213"/>
    <w:rsid w:val="00AE35B8"/>
    <w:rsid w:val="00AE3897"/>
    <w:rsid w:val="00AE3A2F"/>
    <w:rsid w:val="00AE3E7E"/>
    <w:rsid w:val="00AE3F77"/>
    <w:rsid w:val="00AE43C6"/>
    <w:rsid w:val="00AE4932"/>
    <w:rsid w:val="00AE4CBB"/>
    <w:rsid w:val="00AE4E74"/>
    <w:rsid w:val="00AE520E"/>
    <w:rsid w:val="00AE55AA"/>
    <w:rsid w:val="00AE593C"/>
    <w:rsid w:val="00AE64D6"/>
    <w:rsid w:val="00AE6970"/>
    <w:rsid w:val="00AE6D04"/>
    <w:rsid w:val="00AE7170"/>
    <w:rsid w:val="00AE7E53"/>
    <w:rsid w:val="00AE7EF8"/>
    <w:rsid w:val="00AF0681"/>
    <w:rsid w:val="00AF0F83"/>
    <w:rsid w:val="00AF0FFE"/>
    <w:rsid w:val="00AF1315"/>
    <w:rsid w:val="00AF147A"/>
    <w:rsid w:val="00AF19BF"/>
    <w:rsid w:val="00AF1F3D"/>
    <w:rsid w:val="00AF2DC3"/>
    <w:rsid w:val="00AF359E"/>
    <w:rsid w:val="00AF412E"/>
    <w:rsid w:val="00AF4DC5"/>
    <w:rsid w:val="00AF57E5"/>
    <w:rsid w:val="00AF6107"/>
    <w:rsid w:val="00AF6C43"/>
    <w:rsid w:val="00B005C1"/>
    <w:rsid w:val="00B00D0F"/>
    <w:rsid w:val="00B018D3"/>
    <w:rsid w:val="00B01D8D"/>
    <w:rsid w:val="00B027B7"/>
    <w:rsid w:val="00B028C1"/>
    <w:rsid w:val="00B0303D"/>
    <w:rsid w:val="00B033E5"/>
    <w:rsid w:val="00B03A63"/>
    <w:rsid w:val="00B03AA9"/>
    <w:rsid w:val="00B03FAA"/>
    <w:rsid w:val="00B04439"/>
    <w:rsid w:val="00B0556D"/>
    <w:rsid w:val="00B05DB9"/>
    <w:rsid w:val="00B06B2F"/>
    <w:rsid w:val="00B06DFE"/>
    <w:rsid w:val="00B07026"/>
    <w:rsid w:val="00B072C4"/>
    <w:rsid w:val="00B07AD8"/>
    <w:rsid w:val="00B07FEC"/>
    <w:rsid w:val="00B10330"/>
    <w:rsid w:val="00B11127"/>
    <w:rsid w:val="00B129A4"/>
    <w:rsid w:val="00B13C29"/>
    <w:rsid w:val="00B13F6F"/>
    <w:rsid w:val="00B14559"/>
    <w:rsid w:val="00B145D0"/>
    <w:rsid w:val="00B153B7"/>
    <w:rsid w:val="00B1621D"/>
    <w:rsid w:val="00B16EE6"/>
    <w:rsid w:val="00B17356"/>
    <w:rsid w:val="00B201A4"/>
    <w:rsid w:val="00B201D1"/>
    <w:rsid w:val="00B2052F"/>
    <w:rsid w:val="00B206D3"/>
    <w:rsid w:val="00B2070E"/>
    <w:rsid w:val="00B20AB4"/>
    <w:rsid w:val="00B2100B"/>
    <w:rsid w:val="00B212E3"/>
    <w:rsid w:val="00B213A6"/>
    <w:rsid w:val="00B217D3"/>
    <w:rsid w:val="00B21BB2"/>
    <w:rsid w:val="00B21E86"/>
    <w:rsid w:val="00B22F30"/>
    <w:rsid w:val="00B23001"/>
    <w:rsid w:val="00B234EB"/>
    <w:rsid w:val="00B235B0"/>
    <w:rsid w:val="00B23640"/>
    <w:rsid w:val="00B24DF6"/>
    <w:rsid w:val="00B25C14"/>
    <w:rsid w:val="00B2613E"/>
    <w:rsid w:val="00B26E53"/>
    <w:rsid w:val="00B27415"/>
    <w:rsid w:val="00B2779B"/>
    <w:rsid w:val="00B27A61"/>
    <w:rsid w:val="00B3043A"/>
    <w:rsid w:val="00B30841"/>
    <w:rsid w:val="00B30905"/>
    <w:rsid w:val="00B31677"/>
    <w:rsid w:val="00B32B30"/>
    <w:rsid w:val="00B33BAD"/>
    <w:rsid w:val="00B34FE2"/>
    <w:rsid w:val="00B35166"/>
    <w:rsid w:val="00B35299"/>
    <w:rsid w:val="00B357D8"/>
    <w:rsid w:val="00B35ED3"/>
    <w:rsid w:val="00B360F4"/>
    <w:rsid w:val="00B36A00"/>
    <w:rsid w:val="00B36B24"/>
    <w:rsid w:val="00B3792B"/>
    <w:rsid w:val="00B37BFC"/>
    <w:rsid w:val="00B40358"/>
    <w:rsid w:val="00B404B3"/>
    <w:rsid w:val="00B404D3"/>
    <w:rsid w:val="00B407C1"/>
    <w:rsid w:val="00B41614"/>
    <w:rsid w:val="00B416C3"/>
    <w:rsid w:val="00B41F25"/>
    <w:rsid w:val="00B42851"/>
    <w:rsid w:val="00B42F80"/>
    <w:rsid w:val="00B42FC3"/>
    <w:rsid w:val="00B435CB"/>
    <w:rsid w:val="00B448E4"/>
    <w:rsid w:val="00B465EC"/>
    <w:rsid w:val="00B46BC4"/>
    <w:rsid w:val="00B46ED6"/>
    <w:rsid w:val="00B47915"/>
    <w:rsid w:val="00B479D0"/>
    <w:rsid w:val="00B47BB3"/>
    <w:rsid w:val="00B47CE0"/>
    <w:rsid w:val="00B505C8"/>
    <w:rsid w:val="00B50A04"/>
    <w:rsid w:val="00B50A65"/>
    <w:rsid w:val="00B50B86"/>
    <w:rsid w:val="00B50DB8"/>
    <w:rsid w:val="00B52C22"/>
    <w:rsid w:val="00B530BD"/>
    <w:rsid w:val="00B53654"/>
    <w:rsid w:val="00B53905"/>
    <w:rsid w:val="00B53D01"/>
    <w:rsid w:val="00B5406C"/>
    <w:rsid w:val="00B546DB"/>
    <w:rsid w:val="00B54B5B"/>
    <w:rsid w:val="00B54DAF"/>
    <w:rsid w:val="00B55084"/>
    <w:rsid w:val="00B552FE"/>
    <w:rsid w:val="00B553E6"/>
    <w:rsid w:val="00B5562E"/>
    <w:rsid w:val="00B55862"/>
    <w:rsid w:val="00B55D65"/>
    <w:rsid w:val="00B55DD6"/>
    <w:rsid w:val="00B56305"/>
    <w:rsid w:val="00B56A44"/>
    <w:rsid w:val="00B56C90"/>
    <w:rsid w:val="00B57000"/>
    <w:rsid w:val="00B578FB"/>
    <w:rsid w:val="00B60939"/>
    <w:rsid w:val="00B60AFD"/>
    <w:rsid w:val="00B60BD7"/>
    <w:rsid w:val="00B60C3F"/>
    <w:rsid w:val="00B6107B"/>
    <w:rsid w:val="00B62715"/>
    <w:rsid w:val="00B62A1B"/>
    <w:rsid w:val="00B632FF"/>
    <w:rsid w:val="00B63B77"/>
    <w:rsid w:val="00B63D8F"/>
    <w:rsid w:val="00B63F48"/>
    <w:rsid w:val="00B65611"/>
    <w:rsid w:val="00B6691E"/>
    <w:rsid w:val="00B679DB"/>
    <w:rsid w:val="00B67F55"/>
    <w:rsid w:val="00B70E8E"/>
    <w:rsid w:val="00B7244E"/>
    <w:rsid w:val="00B728C1"/>
    <w:rsid w:val="00B7295C"/>
    <w:rsid w:val="00B72B76"/>
    <w:rsid w:val="00B7304C"/>
    <w:rsid w:val="00B73283"/>
    <w:rsid w:val="00B76023"/>
    <w:rsid w:val="00B76C92"/>
    <w:rsid w:val="00B77C78"/>
    <w:rsid w:val="00B8038B"/>
    <w:rsid w:val="00B804E8"/>
    <w:rsid w:val="00B80A3A"/>
    <w:rsid w:val="00B80EFD"/>
    <w:rsid w:val="00B8143B"/>
    <w:rsid w:val="00B818A4"/>
    <w:rsid w:val="00B81ADC"/>
    <w:rsid w:val="00B83042"/>
    <w:rsid w:val="00B83739"/>
    <w:rsid w:val="00B84117"/>
    <w:rsid w:val="00B84FA6"/>
    <w:rsid w:val="00B857C3"/>
    <w:rsid w:val="00B858F0"/>
    <w:rsid w:val="00B85AA2"/>
    <w:rsid w:val="00B8642F"/>
    <w:rsid w:val="00B8649C"/>
    <w:rsid w:val="00B8695D"/>
    <w:rsid w:val="00B86B39"/>
    <w:rsid w:val="00B87890"/>
    <w:rsid w:val="00B87F0A"/>
    <w:rsid w:val="00B92091"/>
    <w:rsid w:val="00B92B83"/>
    <w:rsid w:val="00B92D0B"/>
    <w:rsid w:val="00B94323"/>
    <w:rsid w:val="00B9463D"/>
    <w:rsid w:val="00B94945"/>
    <w:rsid w:val="00B94A3F"/>
    <w:rsid w:val="00B94DD6"/>
    <w:rsid w:val="00B94E72"/>
    <w:rsid w:val="00B954D1"/>
    <w:rsid w:val="00B95B3A"/>
    <w:rsid w:val="00B9633F"/>
    <w:rsid w:val="00B97EAC"/>
    <w:rsid w:val="00BA046A"/>
    <w:rsid w:val="00BA04E2"/>
    <w:rsid w:val="00BA245B"/>
    <w:rsid w:val="00BA2D0B"/>
    <w:rsid w:val="00BA2E57"/>
    <w:rsid w:val="00BA2F7D"/>
    <w:rsid w:val="00BA322D"/>
    <w:rsid w:val="00BA3A86"/>
    <w:rsid w:val="00BA4D05"/>
    <w:rsid w:val="00BA5112"/>
    <w:rsid w:val="00BA5D62"/>
    <w:rsid w:val="00BA5F3E"/>
    <w:rsid w:val="00BA63FA"/>
    <w:rsid w:val="00BA6947"/>
    <w:rsid w:val="00BA722E"/>
    <w:rsid w:val="00BA7674"/>
    <w:rsid w:val="00BA7F58"/>
    <w:rsid w:val="00BB00B3"/>
    <w:rsid w:val="00BB08AB"/>
    <w:rsid w:val="00BB0BDD"/>
    <w:rsid w:val="00BB176C"/>
    <w:rsid w:val="00BB1917"/>
    <w:rsid w:val="00BB254E"/>
    <w:rsid w:val="00BB2A73"/>
    <w:rsid w:val="00BB37F9"/>
    <w:rsid w:val="00BB3A45"/>
    <w:rsid w:val="00BB3E71"/>
    <w:rsid w:val="00BB446B"/>
    <w:rsid w:val="00BB456D"/>
    <w:rsid w:val="00BB49C9"/>
    <w:rsid w:val="00BB4ACC"/>
    <w:rsid w:val="00BB4F59"/>
    <w:rsid w:val="00BB4F81"/>
    <w:rsid w:val="00BB703E"/>
    <w:rsid w:val="00BB708F"/>
    <w:rsid w:val="00BB732D"/>
    <w:rsid w:val="00BB7405"/>
    <w:rsid w:val="00BB7C4D"/>
    <w:rsid w:val="00BB7DB5"/>
    <w:rsid w:val="00BC06C6"/>
    <w:rsid w:val="00BC0981"/>
    <w:rsid w:val="00BC0F29"/>
    <w:rsid w:val="00BC12E3"/>
    <w:rsid w:val="00BC1545"/>
    <w:rsid w:val="00BC1BA1"/>
    <w:rsid w:val="00BC21C0"/>
    <w:rsid w:val="00BC25ED"/>
    <w:rsid w:val="00BC2DBA"/>
    <w:rsid w:val="00BC3631"/>
    <w:rsid w:val="00BC3D18"/>
    <w:rsid w:val="00BC3D88"/>
    <w:rsid w:val="00BC3DA9"/>
    <w:rsid w:val="00BC442D"/>
    <w:rsid w:val="00BC44F7"/>
    <w:rsid w:val="00BC4713"/>
    <w:rsid w:val="00BC4BD5"/>
    <w:rsid w:val="00BC5328"/>
    <w:rsid w:val="00BC591F"/>
    <w:rsid w:val="00BC598A"/>
    <w:rsid w:val="00BC5A65"/>
    <w:rsid w:val="00BC616D"/>
    <w:rsid w:val="00BC635C"/>
    <w:rsid w:val="00BC6D80"/>
    <w:rsid w:val="00BC6EBD"/>
    <w:rsid w:val="00BC7005"/>
    <w:rsid w:val="00BC70B5"/>
    <w:rsid w:val="00BC7D6D"/>
    <w:rsid w:val="00BD007E"/>
    <w:rsid w:val="00BD2108"/>
    <w:rsid w:val="00BD2418"/>
    <w:rsid w:val="00BD2D66"/>
    <w:rsid w:val="00BD303F"/>
    <w:rsid w:val="00BD36A4"/>
    <w:rsid w:val="00BD468B"/>
    <w:rsid w:val="00BD4E21"/>
    <w:rsid w:val="00BD5739"/>
    <w:rsid w:val="00BD5EAE"/>
    <w:rsid w:val="00BD68A3"/>
    <w:rsid w:val="00BD68C2"/>
    <w:rsid w:val="00BD691B"/>
    <w:rsid w:val="00BD6938"/>
    <w:rsid w:val="00BD6CF3"/>
    <w:rsid w:val="00BD73F0"/>
    <w:rsid w:val="00BD7F72"/>
    <w:rsid w:val="00BE0ECA"/>
    <w:rsid w:val="00BE2180"/>
    <w:rsid w:val="00BE21AA"/>
    <w:rsid w:val="00BE21E3"/>
    <w:rsid w:val="00BE21F2"/>
    <w:rsid w:val="00BE33C3"/>
    <w:rsid w:val="00BE3AE5"/>
    <w:rsid w:val="00BE4275"/>
    <w:rsid w:val="00BE457A"/>
    <w:rsid w:val="00BE4B6E"/>
    <w:rsid w:val="00BE4C3F"/>
    <w:rsid w:val="00BE4DB4"/>
    <w:rsid w:val="00BE55EB"/>
    <w:rsid w:val="00BE5771"/>
    <w:rsid w:val="00BE7085"/>
    <w:rsid w:val="00BE726E"/>
    <w:rsid w:val="00BE7799"/>
    <w:rsid w:val="00BF061E"/>
    <w:rsid w:val="00BF06AE"/>
    <w:rsid w:val="00BF0A20"/>
    <w:rsid w:val="00BF0B25"/>
    <w:rsid w:val="00BF0F95"/>
    <w:rsid w:val="00BF1335"/>
    <w:rsid w:val="00BF2433"/>
    <w:rsid w:val="00BF26CA"/>
    <w:rsid w:val="00BF2E6E"/>
    <w:rsid w:val="00BF3719"/>
    <w:rsid w:val="00BF41DF"/>
    <w:rsid w:val="00BF4554"/>
    <w:rsid w:val="00BF4783"/>
    <w:rsid w:val="00BF4956"/>
    <w:rsid w:val="00BF4D4F"/>
    <w:rsid w:val="00BF5228"/>
    <w:rsid w:val="00BF5993"/>
    <w:rsid w:val="00BF61C9"/>
    <w:rsid w:val="00BF6C94"/>
    <w:rsid w:val="00C0024D"/>
    <w:rsid w:val="00C00424"/>
    <w:rsid w:val="00C0065F"/>
    <w:rsid w:val="00C00BB0"/>
    <w:rsid w:val="00C0119B"/>
    <w:rsid w:val="00C01468"/>
    <w:rsid w:val="00C014EC"/>
    <w:rsid w:val="00C016A4"/>
    <w:rsid w:val="00C01DB7"/>
    <w:rsid w:val="00C0239F"/>
    <w:rsid w:val="00C02C03"/>
    <w:rsid w:val="00C02FBD"/>
    <w:rsid w:val="00C033E4"/>
    <w:rsid w:val="00C040CD"/>
    <w:rsid w:val="00C0443A"/>
    <w:rsid w:val="00C0527A"/>
    <w:rsid w:val="00C068D9"/>
    <w:rsid w:val="00C07CDC"/>
    <w:rsid w:val="00C106D1"/>
    <w:rsid w:val="00C1179F"/>
    <w:rsid w:val="00C11F4C"/>
    <w:rsid w:val="00C11FBD"/>
    <w:rsid w:val="00C127B9"/>
    <w:rsid w:val="00C128FA"/>
    <w:rsid w:val="00C12C14"/>
    <w:rsid w:val="00C153CE"/>
    <w:rsid w:val="00C15575"/>
    <w:rsid w:val="00C15F04"/>
    <w:rsid w:val="00C15FB2"/>
    <w:rsid w:val="00C1753F"/>
    <w:rsid w:val="00C179B3"/>
    <w:rsid w:val="00C17E3F"/>
    <w:rsid w:val="00C200AA"/>
    <w:rsid w:val="00C20DB1"/>
    <w:rsid w:val="00C2103F"/>
    <w:rsid w:val="00C22414"/>
    <w:rsid w:val="00C2280E"/>
    <w:rsid w:val="00C23503"/>
    <w:rsid w:val="00C237ED"/>
    <w:rsid w:val="00C24632"/>
    <w:rsid w:val="00C2482B"/>
    <w:rsid w:val="00C24A50"/>
    <w:rsid w:val="00C24AD5"/>
    <w:rsid w:val="00C24E73"/>
    <w:rsid w:val="00C25418"/>
    <w:rsid w:val="00C25D9C"/>
    <w:rsid w:val="00C25E7F"/>
    <w:rsid w:val="00C25FB9"/>
    <w:rsid w:val="00C26B27"/>
    <w:rsid w:val="00C2778B"/>
    <w:rsid w:val="00C27F59"/>
    <w:rsid w:val="00C307F6"/>
    <w:rsid w:val="00C30900"/>
    <w:rsid w:val="00C31649"/>
    <w:rsid w:val="00C31E76"/>
    <w:rsid w:val="00C329AF"/>
    <w:rsid w:val="00C32C49"/>
    <w:rsid w:val="00C32FEF"/>
    <w:rsid w:val="00C332AF"/>
    <w:rsid w:val="00C3348F"/>
    <w:rsid w:val="00C33F37"/>
    <w:rsid w:val="00C3434C"/>
    <w:rsid w:val="00C349A1"/>
    <w:rsid w:val="00C34DAA"/>
    <w:rsid w:val="00C362AD"/>
    <w:rsid w:val="00C37B53"/>
    <w:rsid w:val="00C40385"/>
    <w:rsid w:val="00C40D74"/>
    <w:rsid w:val="00C41386"/>
    <w:rsid w:val="00C41768"/>
    <w:rsid w:val="00C421D2"/>
    <w:rsid w:val="00C42A52"/>
    <w:rsid w:val="00C42D9B"/>
    <w:rsid w:val="00C42ED6"/>
    <w:rsid w:val="00C442BC"/>
    <w:rsid w:val="00C45DF1"/>
    <w:rsid w:val="00C46609"/>
    <w:rsid w:val="00C4708F"/>
    <w:rsid w:val="00C475AA"/>
    <w:rsid w:val="00C503C2"/>
    <w:rsid w:val="00C506ED"/>
    <w:rsid w:val="00C5107B"/>
    <w:rsid w:val="00C52319"/>
    <w:rsid w:val="00C527C7"/>
    <w:rsid w:val="00C536F1"/>
    <w:rsid w:val="00C53830"/>
    <w:rsid w:val="00C53C98"/>
    <w:rsid w:val="00C544B3"/>
    <w:rsid w:val="00C552A6"/>
    <w:rsid w:val="00C55D34"/>
    <w:rsid w:val="00C55ED2"/>
    <w:rsid w:val="00C56296"/>
    <w:rsid w:val="00C56E7D"/>
    <w:rsid w:val="00C56FCF"/>
    <w:rsid w:val="00C572F6"/>
    <w:rsid w:val="00C57822"/>
    <w:rsid w:val="00C57B6C"/>
    <w:rsid w:val="00C604B4"/>
    <w:rsid w:val="00C608F3"/>
    <w:rsid w:val="00C60963"/>
    <w:rsid w:val="00C60ACC"/>
    <w:rsid w:val="00C6157D"/>
    <w:rsid w:val="00C61A59"/>
    <w:rsid w:val="00C61B6B"/>
    <w:rsid w:val="00C628A6"/>
    <w:rsid w:val="00C62DC6"/>
    <w:rsid w:val="00C6333D"/>
    <w:rsid w:val="00C63DDF"/>
    <w:rsid w:val="00C63E2D"/>
    <w:rsid w:val="00C63EDB"/>
    <w:rsid w:val="00C640F9"/>
    <w:rsid w:val="00C64344"/>
    <w:rsid w:val="00C6490D"/>
    <w:rsid w:val="00C65108"/>
    <w:rsid w:val="00C65576"/>
    <w:rsid w:val="00C656D7"/>
    <w:rsid w:val="00C6614E"/>
    <w:rsid w:val="00C66165"/>
    <w:rsid w:val="00C667E3"/>
    <w:rsid w:val="00C70184"/>
    <w:rsid w:val="00C7060A"/>
    <w:rsid w:val="00C70BC0"/>
    <w:rsid w:val="00C7151A"/>
    <w:rsid w:val="00C717E3"/>
    <w:rsid w:val="00C71A17"/>
    <w:rsid w:val="00C71F60"/>
    <w:rsid w:val="00C72241"/>
    <w:rsid w:val="00C726D9"/>
    <w:rsid w:val="00C73934"/>
    <w:rsid w:val="00C743E2"/>
    <w:rsid w:val="00C750C8"/>
    <w:rsid w:val="00C7560F"/>
    <w:rsid w:val="00C75A52"/>
    <w:rsid w:val="00C76FA4"/>
    <w:rsid w:val="00C80948"/>
    <w:rsid w:val="00C80A0E"/>
    <w:rsid w:val="00C8213F"/>
    <w:rsid w:val="00C828B5"/>
    <w:rsid w:val="00C8303F"/>
    <w:rsid w:val="00C83F51"/>
    <w:rsid w:val="00C85154"/>
    <w:rsid w:val="00C85434"/>
    <w:rsid w:val="00C854F5"/>
    <w:rsid w:val="00C8594B"/>
    <w:rsid w:val="00C85980"/>
    <w:rsid w:val="00C85A70"/>
    <w:rsid w:val="00C85D35"/>
    <w:rsid w:val="00C86864"/>
    <w:rsid w:val="00C87771"/>
    <w:rsid w:val="00C8797A"/>
    <w:rsid w:val="00C87A7D"/>
    <w:rsid w:val="00C87AD4"/>
    <w:rsid w:val="00C87CA7"/>
    <w:rsid w:val="00C900B8"/>
    <w:rsid w:val="00C90197"/>
    <w:rsid w:val="00C90758"/>
    <w:rsid w:val="00C907A1"/>
    <w:rsid w:val="00C90C71"/>
    <w:rsid w:val="00C9156B"/>
    <w:rsid w:val="00C91987"/>
    <w:rsid w:val="00C9199B"/>
    <w:rsid w:val="00C91CEB"/>
    <w:rsid w:val="00C91FD1"/>
    <w:rsid w:val="00C92E6E"/>
    <w:rsid w:val="00C930FE"/>
    <w:rsid w:val="00C931CF"/>
    <w:rsid w:val="00C934E4"/>
    <w:rsid w:val="00C938CF"/>
    <w:rsid w:val="00C93CAF"/>
    <w:rsid w:val="00C94053"/>
    <w:rsid w:val="00C9438E"/>
    <w:rsid w:val="00C948B0"/>
    <w:rsid w:val="00C948CA"/>
    <w:rsid w:val="00C9609F"/>
    <w:rsid w:val="00C9624D"/>
    <w:rsid w:val="00C969DA"/>
    <w:rsid w:val="00C971CB"/>
    <w:rsid w:val="00CA054B"/>
    <w:rsid w:val="00CA195D"/>
    <w:rsid w:val="00CA262D"/>
    <w:rsid w:val="00CA2C77"/>
    <w:rsid w:val="00CA30C3"/>
    <w:rsid w:val="00CA30E3"/>
    <w:rsid w:val="00CA444F"/>
    <w:rsid w:val="00CA4C53"/>
    <w:rsid w:val="00CA4CA0"/>
    <w:rsid w:val="00CA5245"/>
    <w:rsid w:val="00CA53D3"/>
    <w:rsid w:val="00CA5A3D"/>
    <w:rsid w:val="00CA5F36"/>
    <w:rsid w:val="00CA67F0"/>
    <w:rsid w:val="00CA6801"/>
    <w:rsid w:val="00CA71F4"/>
    <w:rsid w:val="00CA78E1"/>
    <w:rsid w:val="00CA7B09"/>
    <w:rsid w:val="00CA7F87"/>
    <w:rsid w:val="00CB12A5"/>
    <w:rsid w:val="00CB1CAC"/>
    <w:rsid w:val="00CB2424"/>
    <w:rsid w:val="00CB2F2A"/>
    <w:rsid w:val="00CB3797"/>
    <w:rsid w:val="00CB3A6F"/>
    <w:rsid w:val="00CB4460"/>
    <w:rsid w:val="00CB5AD1"/>
    <w:rsid w:val="00CB5B1A"/>
    <w:rsid w:val="00CB5CB4"/>
    <w:rsid w:val="00CB6903"/>
    <w:rsid w:val="00CB6B22"/>
    <w:rsid w:val="00CB6BF7"/>
    <w:rsid w:val="00CB72E4"/>
    <w:rsid w:val="00CB7D8A"/>
    <w:rsid w:val="00CB7F5F"/>
    <w:rsid w:val="00CC0361"/>
    <w:rsid w:val="00CC0CD0"/>
    <w:rsid w:val="00CC103F"/>
    <w:rsid w:val="00CC12B9"/>
    <w:rsid w:val="00CC1B39"/>
    <w:rsid w:val="00CC1BFA"/>
    <w:rsid w:val="00CC2410"/>
    <w:rsid w:val="00CC25A0"/>
    <w:rsid w:val="00CC2AE3"/>
    <w:rsid w:val="00CC2E9F"/>
    <w:rsid w:val="00CC35EA"/>
    <w:rsid w:val="00CC3848"/>
    <w:rsid w:val="00CC442D"/>
    <w:rsid w:val="00CC480A"/>
    <w:rsid w:val="00CC504E"/>
    <w:rsid w:val="00CC5333"/>
    <w:rsid w:val="00CC5A74"/>
    <w:rsid w:val="00CC6241"/>
    <w:rsid w:val="00CC641D"/>
    <w:rsid w:val="00CC67BB"/>
    <w:rsid w:val="00CC6D5E"/>
    <w:rsid w:val="00CC735B"/>
    <w:rsid w:val="00CC7A41"/>
    <w:rsid w:val="00CD0200"/>
    <w:rsid w:val="00CD049C"/>
    <w:rsid w:val="00CD06E4"/>
    <w:rsid w:val="00CD083F"/>
    <w:rsid w:val="00CD0D31"/>
    <w:rsid w:val="00CD0DA0"/>
    <w:rsid w:val="00CD16F0"/>
    <w:rsid w:val="00CD1D7C"/>
    <w:rsid w:val="00CD3928"/>
    <w:rsid w:val="00CD3F77"/>
    <w:rsid w:val="00CD4425"/>
    <w:rsid w:val="00CD4A45"/>
    <w:rsid w:val="00CD50B3"/>
    <w:rsid w:val="00CD5A8D"/>
    <w:rsid w:val="00CD6ADC"/>
    <w:rsid w:val="00CD6D69"/>
    <w:rsid w:val="00CD7193"/>
    <w:rsid w:val="00CD7673"/>
    <w:rsid w:val="00CD777A"/>
    <w:rsid w:val="00CD7D57"/>
    <w:rsid w:val="00CE0387"/>
    <w:rsid w:val="00CE1108"/>
    <w:rsid w:val="00CE218E"/>
    <w:rsid w:val="00CE2BDA"/>
    <w:rsid w:val="00CE36D4"/>
    <w:rsid w:val="00CE38C8"/>
    <w:rsid w:val="00CE38E2"/>
    <w:rsid w:val="00CE39E7"/>
    <w:rsid w:val="00CE4169"/>
    <w:rsid w:val="00CE4638"/>
    <w:rsid w:val="00CE4955"/>
    <w:rsid w:val="00CE524F"/>
    <w:rsid w:val="00CE58CC"/>
    <w:rsid w:val="00CE5DCB"/>
    <w:rsid w:val="00CE5E73"/>
    <w:rsid w:val="00CE6122"/>
    <w:rsid w:val="00CE6274"/>
    <w:rsid w:val="00CE6356"/>
    <w:rsid w:val="00CE662C"/>
    <w:rsid w:val="00CE6B4B"/>
    <w:rsid w:val="00CE6F4C"/>
    <w:rsid w:val="00CE77B6"/>
    <w:rsid w:val="00CE790B"/>
    <w:rsid w:val="00CF09F0"/>
    <w:rsid w:val="00CF0F12"/>
    <w:rsid w:val="00CF111D"/>
    <w:rsid w:val="00CF1563"/>
    <w:rsid w:val="00CF1B2A"/>
    <w:rsid w:val="00CF1BDE"/>
    <w:rsid w:val="00CF251E"/>
    <w:rsid w:val="00CF261B"/>
    <w:rsid w:val="00CF2B8D"/>
    <w:rsid w:val="00CF2C22"/>
    <w:rsid w:val="00CF3A1B"/>
    <w:rsid w:val="00CF3F95"/>
    <w:rsid w:val="00CF445F"/>
    <w:rsid w:val="00CF456B"/>
    <w:rsid w:val="00CF4ABE"/>
    <w:rsid w:val="00CF4D68"/>
    <w:rsid w:val="00CF5751"/>
    <w:rsid w:val="00CF5A22"/>
    <w:rsid w:val="00CF5AAE"/>
    <w:rsid w:val="00CF6A7D"/>
    <w:rsid w:val="00CF6B23"/>
    <w:rsid w:val="00CF6B78"/>
    <w:rsid w:val="00CF6FC9"/>
    <w:rsid w:val="00CF7003"/>
    <w:rsid w:val="00CF7553"/>
    <w:rsid w:val="00D01AFC"/>
    <w:rsid w:val="00D01F25"/>
    <w:rsid w:val="00D02379"/>
    <w:rsid w:val="00D0248E"/>
    <w:rsid w:val="00D0262E"/>
    <w:rsid w:val="00D03679"/>
    <w:rsid w:val="00D03E81"/>
    <w:rsid w:val="00D047CC"/>
    <w:rsid w:val="00D0528F"/>
    <w:rsid w:val="00D05332"/>
    <w:rsid w:val="00D05702"/>
    <w:rsid w:val="00D05E3D"/>
    <w:rsid w:val="00D05FEF"/>
    <w:rsid w:val="00D06139"/>
    <w:rsid w:val="00D06432"/>
    <w:rsid w:val="00D065F9"/>
    <w:rsid w:val="00D06C8A"/>
    <w:rsid w:val="00D06D4D"/>
    <w:rsid w:val="00D073FA"/>
    <w:rsid w:val="00D075DE"/>
    <w:rsid w:val="00D07D46"/>
    <w:rsid w:val="00D1025B"/>
    <w:rsid w:val="00D10D6B"/>
    <w:rsid w:val="00D110BD"/>
    <w:rsid w:val="00D1116E"/>
    <w:rsid w:val="00D112D2"/>
    <w:rsid w:val="00D1361F"/>
    <w:rsid w:val="00D13675"/>
    <w:rsid w:val="00D138AA"/>
    <w:rsid w:val="00D138DB"/>
    <w:rsid w:val="00D1400B"/>
    <w:rsid w:val="00D141E1"/>
    <w:rsid w:val="00D15314"/>
    <w:rsid w:val="00D15B48"/>
    <w:rsid w:val="00D15B82"/>
    <w:rsid w:val="00D15B85"/>
    <w:rsid w:val="00D1607B"/>
    <w:rsid w:val="00D16453"/>
    <w:rsid w:val="00D16E8D"/>
    <w:rsid w:val="00D1709B"/>
    <w:rsid w:val="00D17D6C"/>
    <w:rsid w:val="00D202E6"/>
    <w:rsid w:val="00D20FCA"/>
    <w:rsid w:val="00D21153"/>
    <w:rsid w:val="00D2155B"/>
    <w:rsid w:val="00D21BBF"/>
    <w:rsid w:val="00D2300E"/>
    <w:rsid w:val="00D233E8"/>
    <w:rsid w:val="00D238D9"/>
    <w:rsid w:val="00D23A2D"/>
    <w:rsid w:val="00D23D11"/>
    <w:rsid w:val="00D244B6"/>
    <w:rsid w:val="00D24923"/>
    <w:rsid w:val="00D24B8C"/>
    <w:rsid w:val="00D251B1"/>
    <w:rsid w:val="00D25499"/>
    <w:rsid w:val="00D2581E"/>
    <w:rsid w:val="00D26180"/>
    <w:rsid w:val="00D26584"/>
    <w:rsid w:val="00D26E0D"/>
    <w:rsid w:val="00D2754D"/>
    <w:rsid w:val="00D27B27"/>
    <w:rsid w:val="00D27CB7"/>
    <w:rsid w:val="00D27ECA"/>
    <w:rsid w:val="00D27FFC"/>
    <w:rsid w:val="00D30D5B"/>
    <w:rsid w:val="00D3123E"/>
    <w:rsid w:val="00D31B47"/>
    <w:rsid w:val="00D31F57"/>
    <w:rsid w:val="00D32FFA"/>
    <w:rsid w:val="00D3327D"/>
    <w:rsid w:val="00D33BE9"/>
    <w:rsid w:val="00D33DBC"/>
    <w:rsid w:val="00D33F93"/>
    <w:rsid w:val="00D351B6"/>
    <w:rsid w:val="00D3576F"/>
    <w:rsid w:val="00D357FF"/>
    <w:rsid w:val="00D35F9E"/>
    <w:rsid w:val="00D36096"/>
    <w:rsid w:val="00D366D2"/>
    <w:rsid w:val="00D374EA"/>
    <w:rsid w:val="00D377D6"/>
    <w:rsid w:val="00D412BF"/>
    <w:rsid w:val="00D41678"/>
    <w:rsid w:val="00D41BA4"/>
    <w:rsid w:val="00D41FE0"/>
    <w:rsid w:val="00D4221F"/>
    <w:rsid w:val="00D424C7"/>
    <w:rsid w:val="00D42D25"/>
    <w:rsid w:val="00D42DE0"/>
    <w:rsid w:val="00D43B2A"/>
    <w:rsid w:val="00D43CF1"/>
    <w:rsid w:val="00D43D83"/>
    <w:rsid w:val="00D454C9"/>
    <w:rsid w:val="00D4575C"/>
    <w:rsid w:val="00D46002"/>
    <w:rsid w:val="00D473FC"/>
    <w:rsid w:val="00D47575"/>
    <w:rsid w:val="00D47796"/>
    <w:rsid w:val="00D50481"/>
    <w:rsid w:val="00D5088C"/>
    <w:rsid w:val="00D5214A"/>
    <w:rsid w:val="00D5243B"/>
    <w:rsid w:val="00D52FF9"/>
    <w:rsid w:val="00D533EC"/>
    <w:rsid w:val="00D534D8"/>
    <w:rsid w:val="00D53D7A"/>
    <w:rsid w:val="00D53DCA"/>
    <w:rsid w:val="00D53EB3"/>
    <w:rsid w:val="00D5462D"/>
    <w:rsid w:val="00D551B3"/>
    <w:rsid w:val="00D55636"/>
    <w:rsid w:val="00D5588E"/>
    <w:rsid w:val="00D558BC"/>
    <w:rsid w:val="00D55FC4"/>
    <w:rsid w:val="00D56325"/>
    <w:rsid w:val="00D56450"/>
    <w:rsid w:val="00D569C4"/>
    <w:rsid w:val="00D56A95"/>
    <w:rsid w:val="00D5724F"/>
    <w:rsid w:val="00D576FA"/>
    <w:rsid w:val="00D60086"/>
    <w:rsid w:val="00D6076E"/>
    <w:rsid w:val="00D61210"/>
    <w:rsid w:val="00D61A95"/>
    <w:rsid w:val="00D61A99"/>
    <w:rsid w:val="00D638CD"/>
    <w:rsid w:val="00D647A8"/>
    <w:rsid w:val="00D668AC"/>
    <w:rsid w:val="00D66B6F"/>
    <w:rsid w:val="00D670F7"/>
    <w:rsid w:val="00D67C3B"/>
    <w:rsid w:val="00D70DAA"/>
    <w:rsid w:val="00D70F16"/>
    <w:rsid w:val="00D713D4"/>
    <w:rsid w:val="00D72617"/>
    <w:rsid w:val="00D72E6A"/>
    <w:rsid w:val="00D72F57"/>
    <w:rsid w:val="00D7388E"/>
    <w:rsid w:val="00D73C62"/>
    <w:rsid w:val="00D73D92"/>
    <w:rsid w:val="00D73F90"/>
    <w:rsid w:val="00D741AE"/>
    <w:rsid w:val="00D74E45"/>
    <w:rsid w:val="00D75C8F"/>
    <w:rsid w:val="00D76058"/>
    <w:rsid w:val="00D76324"/>
    <w:rsid w:val="00D76490"/>
    <w:rsid w:val="00D7681E"/>
    <w:rsid w:val="00D76A0E"/>
    <w:rsid w:val="00D76A44"/>
    <w:rsid w:val="00D76DA8"/>
    <w:rsid w:val="00D77367"/>
    <w:rsid w:val="00D7749D"/>
    <w:rsid w:val="00D779CE"/>
    <w:rsid w:val="00D80754"/>
    <w:rsid w:val="00D815EF"/>
    <w:rsid w:val="00D81949"/>
    <w:rsid w:val="00D81D3F"/>
    <w:rsid w:val="00D81F26"/>
    <w:rsid w:val="00D822E2"/>
    <w:rsid w:val="00D843F2"/>
    <w:rsid w:val="00D844C0"/>
    <w:rsid w:val="00D84730"/>
    <w:rsid w:val="00D85AEF"/>
    <w:rsid w:val="00D85C40"/>
    <w:rsid w:val="00D860E3"/>
    <w:rsid w:val="00D861BD"/>
    <w:rsid w:val="00D86231"/>
    <w:rsid w:val="00D864CC"/>
    <w:rsid w:val="00D874F1"/>
    <w:rsid w:val="00D87E01"/>
    <w:rsid w:val="00D87ED0"/>
    <w:rsid w:val="00D912AB"/>
    <w:rsid w:val="00D9147D"/>
    <w:rsid w:val="00D91923"/>
    <w:rsid w:val="00D921A0"/>
    <w:rsid w:val="00D921F5"/>
    <w:rsid w:val="00D923D8"/>
    <w:rsid w:val="00D92769"/>
    <w:rsid w:val="00D92D9D"/>
    <w:rsid w:val="00D9341C"/>
    <w:rsid w:val="00D93753"/>
    <w:rsid w:val="00D94317"/>
    <w:rsid w:val="00D94F22"/>
    <w:rsid w:val="00D953BF"/>
    <w:rsid w:val="00D95B25"/>
    <w:rsid w:val="00D97092"/>
    <w:rsid w:val="00DA18E1"/>
    <w:rsid w:val="00DA20A2"/>
    <w:rsid w:val="00DA2B8D"/>
    <w:rsid w:val="00DA3167"/>
    <w:rsid w:val="00DA3318"/>
    <w:rsid w:val="00DA3BF0"/>
    <w:rsid w:val="00DA4BAA"/>
    <w:rsid w:val="00DA4DC3"/>
    <w:rsid w:val="00DA4F37"/>
    <w:rsid w:val="00DA542D"/>
    <w:rsid w:val="00DA5F57"/>
    <w:rsid w:val="00DA74A6"/>
    <w:rsid w:val="00DA77A5"/>
    <w:rsid w:val="00DB018B"/>
    <w:rsid w:val="00DB0BC0"/>
    <w:rsid w:val="00DB0E36"/>
    <w:rsid w:val="00DB11D7"/>
    <w:rsid w:val="00DB12F8"/>
    <w:rsid w:val="00DB1CAB"/>
    <w:rsid w:val="00DB2723"/>
    <w:rsid w:val="00DB3613"/>
    <w:rsid w:val="00DB399D"/>
    <w:rsid w:val="00DB3DBF"/>
    <w:rsid w:val="00DB4513"/>
    <w:rsid w:val="00DB484F"/>
    <w:rsid w:val="00DB54DA"/>
    <w:rsid w:val="00DB58DB"/>
    <w:rsid w:val="00DB5C9A"/>
    <w:rsid w:val="00DB6706"/>
    <w:rsid w:val="00DB7153"/>
    <w:rsid w:val="00DB74CD"/>
    <w:rsid w:val="00DB7B4A"/>
    <w:rsid w:val="00DC0470"/>
    <w:rsid w:val="00DC04F6"/>
    <w:rsid w:val="00DC0690"/>
    <w:rsid w:val="00DC07C3"/>
    <w:rsid w:val="00DC1651"/>
    <w:rsid w:val="00DC1D65"/>
    <w:rsid w:val="00DC1E24"/>
    <w:rsid w:val="00DC2B07"/>
    <w:rsid w:val="00DC3538"/>
    <w:rsid w:val="00DC39E5"/>
    <w:rsid w:val="00DC3C57"/>
    <w:rsid w:val="00DC3C8A"/>
    <w:rsid w:val="00DC43A1"/>
    <w:rsid w:val="00DC512B"/>
    <w:rsid w:val="00DC5254"/>
    <w:rsid w:val="00DC54E0"/>
    <w:rsid w:val="00DC5501"/>
    <w:rsid w:val="00DC5DE4"/>
    <w:rsid w:val="00DC6605"/>
    <w:rsid w:val="00DC686D"/>
    <w:rsid w:val="00DC7154"/>
    <w:rsid w:val="00DC750C"/>
    <w:rsid w:val="00DC7D70"/>
    <w:rsid w:val="00DC7E8A"/>
    <w:rsid w:val="00DD020C"/>
    <w:rsid w:val="00DD02C0"/>
    <w:rsid w:val="00DD0F78"/>
    <w:rsid w:val="00DD1134"/>
    <w:rsid w:val="00DD115A"/>
    <w:rsid w:val="00DD11B3"/>
    <w:rsid w:val="00DD1754"/>
    <w:rsid w:val="00DD20A3"/>
    <w:rsid w:val="00DD23AD"/>
    <w:rsid w:val="00DD25C6"/>
    <w:rsid w:val="00DD273C"/>
    <w:rsid w:val="00DD3016"/>
    <w:rsid w:val="00DD3113"/>
    <w:rsid w:val="00DD3627"/>
    <w:rsid w:val="00DD3F28"/>
    <w:rsid w:val="00DD4446"/>
    <w:rsid w:val="00DD4537"/>
    <w:rsid w:val="00DD496E"/>
    <w:rsid w:val="00DD4BFC"/>
    <w:rsid w:val="00DD4E15"/>
    <w:rsid w:val="00DD54C5"/>
    <w:rsid w:val="00DD6438"/>
    <w:rsid w:val="00DD676E"/>
    <w:rsid w:val="00DD6934"/>
    <w:rsid w:val="00DD7526"/>
    <w:rsid w:val="00DE0545"/>
    <w:rsid w:val="00DE07D9"/>
    <w:rsid w:val="00DE1661"/>
    <w:rsid w:val="00DE181A"/>
    <w:rsid w:val="00DE1999"/>
    <w:rsid w:val="00DE1E54"/>
    <w:rsid w:val="00DE2074"/>
    <w:rsid w:val="00DE20D8"/>
    <w:rsid w:val="00DE223F"/>
    <w:rsid w:val="00DE2304"/>
    <w:rsid w:val="00DE2E1A"/>
    <w:rsid w:val="00DE3138"/>
    <w:rsid w:val="00DE3384"/>
    <w:rsid w:val="00DE349F"/>
    <w:rsid w:val="00DE37F8"/>
    <w:rsid w:val="00DE4273"/>
    <w:rsid w:val="00DE4648"/>
    <w:rsid w:val="00DE498D"/>
    <w:rsid w:val="00DE4B82"/>
    <w:rsid w:val="00DE4FCB"/>
    <w:rsid w:val="00DE579C"/>
    <w:rsid w:val="00DE5899"/>
    <w:rsid w:val="00DE5D07"/>
    <w:rsid w:val="00DE5DFF"/>
    <w:rsid w:val="00DE5E18"/>
    <w:rsid w:val="00DE5F4E"/>
    <w:rsid w:val="00DE6FE5"/>
    <w:rsid w:val="00DE709A"/>
    <w:rsid w:val="00DE72A7"/>
    <w:rsid w:val="00DE7832"/>
    <w:rsid w:val="00DF02A8"/>
    <w:rsid w:val="00DF0CFE"/>
    <w:rsid w:val="00DF1485"/>
    <w:rsid w:val="00DF18FC"/>
    <w:rsid w:val="00DF1F13"/>
    <w:rsid w:val="00DF22BD"/>
    <w:rsid w:val="00DF2847"/>
    <w:rsid w:val="00DF2BEE"/>
    <w:rsid w:val="00DF44C6"/>
    <w:rsid w:val="00DF4835"/>
    <w:rsid w:val="00DF5D2B"/>
    <w:rsid w:val="00DF623E"/>
    <w:rsid w:val="00DF6341"/>
    <w:rsid w:val="00DF6A4B"/>
    <w:rsid w:val="00DF736F"/>
    <w:rsid w:val="00DF77A7"/>
    <w:rsid w:val="00E00E8E"/>
    <w:rsid w:val="00E01D9F"/>
    <w:rsid w:val="00E0205B"/>
    <w:rsid w:val="00E02253"/>
    <w:rsid w:val="00E0243D"/>
    <w:rsid w:val="00E024BA"/>
    <w:rsid w:val="00E0296B"/>
    <w:rsid w:val="00E02B2A"/>
    <w:rsid w:val="00E02FBC"/>
    <w:rsid w:val="00E0359E"/>
    <w:rsid w:val="00E036C1"/>
    <w:rsid w:val="00E04199"/>
    <w:rsid w:val="00E051FC"/>
    <w:rsid w:val="00E05630"/>
    <w:rsid w:val="00E0597F"/>
    <w:rsid w:val="00E059B3"/>
    <w:rsid w:val="00E05F86"/>
    <w:rsid w:val="00E06DBB"/>
    <w:rsid w:val="00E07490"/>
    <w:rsid w:val="00E10149"/>
    <w:rsid w:val="00E103D6"/>
    <w:rsid w:val="00E1052E"/>
    <w:rsid w:val="00E10847"/>
    <w:rsid w:val="00E1091A"/>
    <w:rsid w:val="00E11340"/>
    <w:rsid w:val="00E119B1"/>
    <w:rsid w:val="00E11BD8"/>
    <w:rsid w:val="00E11DAB"/>
    <w:rsid w:val="00E11E2A"/>
    <w:rsid w:val="00E11E6A"/>
    <w:rsid w:val="00E122A1"/>
    <w:rsid w:val="00E123DF"/>
    <w:rsid w:val="00E12DF2"/>
    <w:rsid w:val="00E12F82"/>
    <w:rsid w:val="00E136B0"/>
    <w:rsid w:val="00E14E08"/>
    <w:rsid w:val="00E1610F"/>
    <w:rsid w:val="00E16372"/>
    <w:rsid w:val="00E169E0"/>
    <w:rsid w:val="00E16AD8"/>
    <w:rsid w:val="00E16ED2"/>
    <w:rsid w:val="00E17573"/>
    <w:rsid w:val="00E178CD"/>
    <w:rsid w:val="00E17FFA"/>
    <w:rsid w:val="00E20E4D"/>
    <w:rsid w:val="00E20ED6"/>
    <w:rsid w:val="00E21358"/>
    <w:rsid w:val="00E216F6"/>
    <w:rsid w:val="00E218F9"/>
    <w:rsid w:val="00E21CC1"/>
    <w:rsid w:val="00E2249B"/>
    <w:rsid w:val="00E22A0D"/>
    <w:rsid w:val="00E23625"/>
    <w:rsid w:val="00E2378D"/>
    <w:rsid w:val="00E237FE"/>
    <w:rsid w:val="00E2397C"/>
    <w:rsid w:val="00E244F6"/>
    <w:rsid w:val="00E24BD2"/>
    <w:rsid w:val="00E258DB"/>
    <w:rsid w:val="00E2643F"/>
    <w:rsid w:val="00E2651B"/>
    <w:rsid w:val="00E268D4"/>
    <w:rsid w:val="00E271BF"/>
    <w:rsid w:val="00E27259"/>
    <w:rsid w:val="00E2771E"/>
    <w:rsid w:val="00E311EF"/>
    <w:rsid w:val="00E313AF"/>
    <w:rsid w:val="00E318D3"/>
    <w:rsid w:val="00E31B60"/>
    <w:rsid w:val="00E31D5F"/>
    <w:rsid w:val="00E32180"/>
    <w:rsid w:val="00E322D2"/>
    <w:rsid w:val="00E32C9E"/>
    <w:rsid w:val="00E32D83"/>
    <w:rsid w:val="00E32FE4"/>
    <w:rsid w:val="00E33B99"/>
    <w:rsid w:val="00E341F9"/>
    <w:rsid w:val="00E34948"/>
    <w:rsid w:val="00E357C3"/>
    <w:rsid w:val="00E35917"/>
    <w:rsid w:val="00E36429"/>
    <w:rsid w:val="00E37569"/>
    <w:rsid w:val="00E37FA8"/>
    <w:rsid w:val="00E401B2"/>
    <w:rsid w:val="00E41520"/>
    <w:rsid w:val="00E41E30"/>
    <w:rsid w:val="00E42F73"/>
    <w:rsid w:val="00E4314C"/>
    <w:rsid w:val="00E43D70"/>
    <w:rsid w:val="00E43F24"/>
    <w:rsid w:val="00E45294"/>
    <w:rsid w:val="00E45852"/>
    <w:rsid w:val="00E45EB1"/>
    <w:rsid w:val="00E466F3"/>
    <w:rsid w:val="00E467AB"/>
    <w:rsid w:val="00E47676"/>
    <w:rsid w:val="00E4778F"/>
    <w:rsid w:val="00E4794E"/>
    <w:rsid w:val="00E47B2C"/>
    <w:rsid w:val="00E51560"/>
    <w:rsid w:val="00E5158E"/>
    <w:rsid w:val="00E51821"/>
    <w:rsid w:val="00E51CA2"/>
    <w:rsid w:val="00E53FC8"/>
    <w:rsid w:val="00E54347"/>
    <w:rsid w:val="00E54C3A"/>
    <w:rsid w:val="00E55424"/>
    <w:rsid w:val="00E556D5"/>
    <w:rsid w:val="00E55915"/>
    <w:rsid w:val="00E55BB5"/>
    <w:rsid w:val="00E55FBF"/>
    <w:rsid w:val="00E5660A"/>
    <w:rsid w:val="00E56B9F"/>
    <w:rsid w:val="00E571ED"/>
    <w:rsid w:val="00E5792C"/>
    <w:rsid w:val="00E57966"/>
    <w:rsid w:val="00E57B88"/>
    <w:rsid w:val="00E6079B"/>
    <w:rsid w:val="00E60A01"/>
    <w:rsid w:val="00E611DF"/>
    <w:rsid w:val="00E616A3"/>
    <w:rsid w:val="00E620B6"/>
    <w:rsid w:val="00E62907"/>
    <w:rsid w:val="00E62975"/>
    <w:rsid w:val="00E62BA5"/>
    <w:rsid w:val="00E62BC2"/>
    <w:rsid w:val="00E63D43"/>
    <w:rsid w:val="00E63ECC"/>
    <w:rsid w:val="00E64CD0"/>
    <w:rsid w:val="00E64D58"/>
    <w:rsid w:val="00E65236"/>
    <w:rsid w:val="00E65B2D"/>
    <w:rsid w:val="00E65DDF"/>
    <w:rsid w:val="00E65E20"/>
    <w:rsid w:val="00E65E79"/>
    <w:rsid w:val="00E66BA2"/>
    <w:rsid w:val="00E673DD"/>
    <w:rsid w:val="00E67416"/>
    <w:rsid w:val="00E67B0D"/>
    <w:rsid w:val="00E70324"/>
    <w:rsid w:val="00E7035C"/>
    <w:rsid w:val="00E718B6"/>
    <w:rsid w:val="00E71A5F"/>
    <w:rsid w:val="00E71C3E"/>
    <w:rsid w:val="00E723BA"/>
    <w:rsid w:val="00E73581"/>
    <w:rsid w:val="00E73EEB"/>
    <w:rsid w:val="00E749BA"/>
    <w:rsid w:val="00E74ADB"/>
    <w:rsid w:val="00E74CC9"/>
    <w:rsid w:val="00E74D56"/>
    <w:rsid w:val="00E76030"/>
    <w:rsid w:val="00E766C2"/>
    <w:rsid w:val="00E76D70"/>
    <w:rsid w:val="00E77537"/>
    <w:rsid w:val="00E777A9"/>
    <w:rsid w:val="00E77E8A"/>
    <w:rsid w:val="00E80433"/>
    <w:rsid w:val="00E80B18"/>
    <w:rsid w:val="00E81C3F"/>
    <w:rsid w:val="00E81DBB"/>
    <w:rsid w:val="00E83158"/>
    <w:rsid w:val="00E833F7"/>
    <w:rsid w:val="00E83BDF"/>
    <w:rsid w:val="00E843B4"/>
    <w:rsid w:val="00E84900"/>
    <w:rsid w:val="00E84C97"/>
    <w:rsid w:val="00E8583D"/>
    <w:rsid w:val="00E85D15"/>
    <w:rsid w:val="00E86FCC"/>
    <w:rsid w:val="00E878FB"/>
    <w:rsid w:val="00E87A1D"/>
    <w:rsid w:val="00E87B12"/>
    <w:rsid w:val="00E90259"/>
    <w:rsid w:val="00E907D3"/>
    <w:rsid w:val="00E9094A"/>
    <w:rsid w:val="00E91296"/>
    <w:rsid w:val="00E91D35"/>
    <w:rsid w:val="00E9242A"/>
    <w:rsid w:val="00E926A5"/>
    <w:rsid w:val="00E93884"/>
    <w:rsid w:val="00E93AA2"/>
    <w:rsid w:val="00E940DF"/>
    <w:rsid w:val="00E946A6"/>
    <w:rsid w:val="00E94ED2"/>
    <w:rsid w:val="00E95C1A"/>
    <w:rsid w:val="00E95DAB"/>
    <w:rsid w:val="00E962CC"/>
    <w:rsid w:val="00E963FC"/>
    <w:rsid w:val="00E96EB7"/>
    <w:rsid w:val="00E976A7"/>
    <w:rsid w:val="00E978B7"/>
    <w:rsid w:val="00E97A47"/>
    <w:rsid w:val="00EA0713"/>
    <w:rsid w:val="00EA1216"/>
    <w:rsid w:val="00EA17C3"/>
    <w:rsid w:val="00EA1CC5"/>
    <w:rsid w:val="00EA2259"/>
    <w:rsid w:val="00EA28EC"/>
    <w:rsid w:val="00EA2CAA"/>
    <w:rsid w:val="00EA2E6C"/>
    <w:rsid w:val="00EA3864"/>
    <w:rsid w:val="00EA4105"/>
    <w:rsid w:val="00EA48CA"/>
    <w:rsid w:val="00EA50CD"/>
    <w:rsid w:val="00EA557F"/>
    <w:rsid w:val="00EA561E"/>
    <w:rsid w:val="00EA58A0"/>
    <w:rsid w:val="00EA66CE"/>
    <w:rsid w:val="00EA6C6B"/>
    <w:rsid w:val="00EA779D"/>
    <w:rsid w:val="00EA7F1C"/>
    <w:rsid w:val="00EB047A"/>
    <w:rsid w:val="00EB0C75"/>
    <w:rsid w:val="00EB14A9"/>
    <w:rsid w:val="00EB15B6"/>
    <w:rsid w:val="00EB1DBF"/>
    <w:rsid w:val="00EB247F"/>
    <w:rsid w:val="00EB24C9"/>
    <w:rsid w:val="00EB374A"/>
    <w:rsid w:val="00EB388C"/>
    <w:rsid w:val="00EB3938"/>
    <w:rsid w:val="00EB3C6C"/>
    <w:rsid w:val="00EB3D06"/>
    <w:rsid w:val="00EB4916"/>
    <w:rsid w:val="00EB5DEF"/>
    <w:rsid w:val="00EB5E47"/>
    <w:rsid w:val="00EB69AD"/>
    <w:rsid w:val="00EB730B"/>
    <w:rsid w:val="00EB7A8A"/>
    <w:rsid w:val="00EC00C9"/>
    <w:rsid w:val="00EC0211"/>
    <w:rsid w:val="00EC064C"/>
    <w:rsid w:val="00EC0C9F"/>
    <w:rsid w:val="00EC0DD9"/>
    <w:rsid w:val="00EC0E43"/>
    <w:rsid w:val="00EC10D7"/>
    <w:rsid w:val="00EC1562"/>
    <w:rsid w:val="00EC1AE4"/>
    <w:rsid w:val="00EC2276"/>
    <w:rsid w:val="00EC24EF"/>
    <w:rsid w:val="00EC2649"/>
    <w:rsid w:val="00EC31ED"/>
    <w:rsid w:val="00EC4FD4"/>
    <w:rsid w:val="00EC5836"/>
    <w:rsid w:val="00EC646B"/>
    <w:rsid w:val="00EC66BB"/>
    <w:rsid w:val="00EC688C"/>
    <w:rsid w:val="00EC6C02"/>
    <w:rsid w:val="00EC73F5"/>
    <w:rsid w:val="00ED021F"/>
    <w:rsid w:val="00ED0B79"/>
    <w:rsid w:val="00ED0CBB"/>
    <w:rsid w:val="00ED0FA2"/>
    <w:rsid w:val="00ED1115"/>
    <w:rsid w:val="00ED12E3"/>
    <w:rsid w:val="00ED15AC"/>
    <w:rsid w:val="00ED3106"/>
    <w:rsid w:val="00ED39DC"/>
    <w:rsid w:val="00ED4B04"/>
    <w:rsid w:val="00ED57EA"/>
    <w:rsid w:val="00ED59C1"/>
    <w:rsid w:val="00ED5BD4"/>
    <w:rsid w:val="00ED783E"/>
    <w:rsid w:val="00EE031F"/>
    <w:rsid w:val="00EE07D3"/>
    <w:rsid w:val="00EE0907"/>
    <w:rsid w:val="00EE0930"/>
    <w:rsid w:val="00EE0C62"/>
    <w:rsid w:val="00EE1996"/>
    <w:rsid w:val="00EE1C01"/>
    <w:rsid w:val="00EE1CCB"/>
    <w:rsid w:val="00EE207D"/>
    <w:rsid w:val="00EE22AF"/>
    <w:rsid w:val="00EE2CAA"/>
    <w:rsid w:val="00EE342A"/>
    <w:rsid w:val="00EE48C1"/>
    <w:rsid w:val="00EE5469"/>
    <w:rsid w:val="00EE65D8"/>
    <w:rsid w:val="00EE6B6C"/>
    <w:rsid w:val="00EE6FAF"/>
    <w:rsid w:val="00EE7434"/>
    <w:rsid w:val="00EF0171"/>
    <w:rsid w:val="00EF048A"/>
    <w:rsid w:val="00EF0D60"/>
    <w:rsid w:val="00EF1041"/>
    <w:rsid w:val="00EF1B25"/>
    <w:rsid w:val="00EF1DA0"/>
    <w:rsid w:val="00EF22FF"/>
    <w:rsid w:val="00EF25FD"/>
    <w:rsid w:val="00EF26B6"/>
    <w:rsid w:val="00EF352C"/>
    <w:rsid w:val="00EF4747"/>
    <w:rsid w:val="00EF4AB0"/>
    <w:rsid w:val="00EF4BF8"/>
    <w:rsid w:val="00EF4C56"/>
    <w:rsid w:val="00EF4F10"/>
    <w:rsid w:val="00EF4F6E"/>
    <w:rsid w:val="00EF64E6"/>
    <w:rsid w:val="00EF71A0"/>
    <w:rsid w:val="00EF7E4E"/>
    <w:rsid w:val="00F01579"/>
    <w:rsid w:val="00F0166D"/>
    <w:rsid w:val="00F02253"/>
    <w:rsid w:val="00F03606"/>
    <w:rsid w:val="00F03C2E"/>
    <w:rsid w:val="00F049B2"/>
    <w:rsid w:val="00F04A66"/>
    <w:rsid w:val="00F04B4B"/>
    <w:rsid w:val="00F04DDA"/>
    <w:rsid w:val="00F0516C"/>
    <w:rsid w:val="00F0562E"/>
    <w:rsid w:val="00F06138"/>
    <w:rsid w:val="00F067A2"/>
    <w:rsid w:val="00F06DCB"/>
    <w:rsid w:val="00F07B9E"/>
    <w:rsid w:val="00F07CD7"/>
    <w:rsid w:val="00F10242"/>
    <w:rsid w:val="00F10379"/>
    <w:rsid w:val="00F10F2D"/>
    <w:rsid w:val="00F1116F"/>
    <w:rsid w:val="00F11624"/>
    <w:rsid w:val="00F11828"/>
    <w:rsid w:val="00F11885"/>
    <w:rsid w:val="00F1263A"/>
    <w:rsid w:val="00F12BD6"/>
    <w:rsid w:val="00F13894"/>
    <w:rsid w:val="00F138F6"/>
    <w:rsid w:val="00F13925"/>
    <w:rsid w:val="00F139C5"/>
    <w:rsid w:val="00F13A4B"/>
    <w:rsid w:val="00F143B7"/>
    <w:rsid w:val="00F14E74"/>
    <w:rsid w:val="00F14EB3"/>
    <w:rsid w:val="00F155B6"/>
    <w:rsid w:val="00F15B77"/>
    <w:rsid w:val="00F15EB9"/>
    <w:rsid w:val="00F16726"/>
    <w:rsid w:val="00F16F36"/>
    <w:rsid w:val="00F17760"/>
    <w:rsid w:val="00F210D6"/>
    <w:rsid w:val="00F21236"/>
    <w:rsid w:val="00F213BA"/>
    <w:rsid w:val="00F215CF"/>
    <w:rsid w:val="00F219D1"/>
    <w:rsid w:val="00F226B5"/>
    <w:rsid w:val="00F2277E"/>
    <w:rsid w:val="00F231C9"/>
    <w:rsid w:val="00F2369A"/>
    <w:rsid w:val="00F236A4"/>
    <w:rsid w:val="00F236F5"/>
    <w:rsid w:val="00F239DF"/>
    <w:rsid w:val="00F23CBD"/>
    <w:rsid w:val="00F24143"/>
    <w:rsid w:val="00F24558"/>
    <w:rsid w:val="00F24837"/>
    <w:rsid w:val="00F24850"/>
    <w:rsid w:val="00F248DA"/>
    <w:rsid w:val="00F254B8"/>
    <w:rsid w:val="00F25665"/>
    <w:rsid w:val="00F2575F"/>
    <w:rsid w:val="00F25D6C"/>
    <w:rsid w:val="00F265F0"/>
    <w:rsid w:val="00F26AE5"/>
    <w:rsid w:val="00F26B05"/>
    <w:rsid w:val="00F27005"/>
    <w:rsid w:val="00F271D4"/>
    <w:rsid w:val="00F27565"/>
    <w:rsid w:val="00F27A69"/>
    <w:rsid w:val="00F30312"/>
    <w:rsid w:val="00F310D4"/>
    <w:rsid w:val="00F31D5A"/>
    <w:rsid w:val="00F33975"/>
    <w:rsid w:val="00F33A4C"/>
    <w:rsid w:val="00F33DE9"/>
    <w:rsid w:val="00F33FB5"/>
    <w:rsid w:val="00F34AD3"/>
    <w:rsid w:val="00F35A4C"/>
    <w:rsid w:val="00F35E6D"/>
    <w:rsid w:val="00F35FFE"/>
    <w:rsid w:val="00F3619A"/>
    <w:rsid w:val="00F40AAA"/>
    <w:rsid w:val="00F40BA7"/>
    <w:rsid w:val="00F40EC9"/>
    <w:rsid w:val="00F40EEE"/>
    <w:rsid w:val="00F40F9D"/>
    <w:rsid w:val="00F41076"/>
    <w:rsid w:val="00F4172C"/>
    <w:rsid w:val="00F41ACD"/>
    <w:rsid w:val="00F42197"/>
    <w:rsid w:val="00F43D16"/>
    <w:rsid w:val="00F44390"/>
    <w:rsid w:val="00F44A2D"/>
    <w:rsid w:val="00F44DDD"/>
    <w:rsid w:val="00F44E3F"/>
    <w:rsid w:val="00F45F6A"/>
    <w:rsid w:val="00F4688A"/>
    <w:rsid w:val="00F468DB"/>
    <w:rsid w:val="00F46CB6"/>
    <w:rsid w:val="00F471E6"/>
    <w:rsid w:val="00F4756D"/>
    <w:rsid w:val="00F47655"/>
    <w:rsid w:val="00F47730"/>
    <w:rsid w:val="00F47DE8"/>
    <w:rsid w:val="00F50432"/>
    <w:rsid w:val="00F54067"/>
    <w:rsid w:val="00F5408F"/>
    <w:rsid w:val="00F542C1"/>
    <w:rsid w:val="00F550E3"/>
    <w:rsid w:val="00F557D6"/>
    <w:rsid w:val="00F55E73"/>
    <w:rsid w:val="00F55EDA"/>
    <w:rsid w:val="00F55F75"/>
    <w:rsid w:val="00F5675D"/>
    <w:rsid w:val="00F56C09"/>
    <w:rsid w:val="00F56C80"/>
    <w:rsid w:val="00F5762E"/>
    <w:rsid w:val="00F60092"/>
    <w:rsid w:val="00F602E2"/>
    <w:rsid w:val="00F60BB4"/>
    <w:rsid w:val="00F610AF"/>
    <w:rsid w:val="00F611E3"/>
    <w:rsid w:val="00F61697"/>
    <w:rsid w:val="00F6169A"/>
    <w:rsid w:val="00F61C18"/>
    <w:rsid w:val="00F61F4F"/>
    <w:rsid w:val="00F635C1"/>
    <w:rsid w:val="00F63B47"/>
    <w:rsid w:val="00F64202"/>
    <w:rsid w:val="00F64C0A"/>
    <w:rsid w:val="00F65512"/>
    <w:rsid w:val="00F65C87"/>
    <w:rsid w:val="00F65D34"/>
    <w:rsid w:val="00F65F4B"/>
    <w:rsid w:val="00F668B5"/>
    <w:rsid w:val="00F67810"/>
    <w:rsid w:val="00F67A69"/>
    <w:rsid w:val="00F67FFC"/>
    <w:rsid w:val="00F70BFF"/>
    <w:rsid w:val="00F70C9D"/>
    <w:rsid w:val="00F71335"/>
    <w:rsid w:val="00F7182D"/>
    <w:rsid w:val="00F71D0E"/>
    <w:rsid w:val="00F720FD"/>
    <w:rsid w:val="00F73DB1"/>
    <w:rsid w:val="00F73E08"/>
    <w:rsid w:val="00F74CD9"/>
    <w:rsid w:val="00F754FA"/>
    <w:rsid w:val="00F7551F"/>
    <w:rsid w:val="00F75ACC"/>
    <w:rsid w:val="00F760F3"/>
    <w:rsid w:val="00F80A7B"/>
    <w:rsid w:val="00F80E5D"/>
    <w:rsid w:val="00F81AB4"/>
    <w:rsid w:val="00F81E78"/>
    <w:rsid w:val="00F81FB1"/>
    <w:rsid w:val="00F82717"/>
    <w:rsid w:val="00F82E0A"/>
    <w:rsid w:val="00F83916"/>
    <w:rsid w:val="00F83A9E"/>
    <w:rsid w:val="00F851CE"/>
    <w:rsid w:val="00F86F28"/>
    <w:rsid w:val="00F907F1"/>
    <w:rsid w:val="00F91219"/>
    <w:rsid w:val="00F91296"/>
    <w:rsid w:val="00F92444"/>
    <w:rsid w:val="00F9296B"/>
    <w:rsid w:val="00F92C15"/>
    <w:rsid w:val="00F9393E"/>
    <w:rsid w:val="00F96F4B"/>
    <w:rsid w:val="00F96FD0"/>
    <w:rsid w:val="00F97A78"/>
    <w:rsid w:val="00F97C59"/>
    <w:rsid w:val="00FA00B9"/>
    <w:rsid w:val="00FA0B20"/>
    <w:rsid w:val="00FA0B44"/>
    <w:rsid w:val="00FA1922"/>
    <w:rsid w:val="00FA1C28"/>
    <w:rsid w:val="00FA2285"/>
    <w:rsid w:val="00FA24E7"/>
    <w:rsid w:val="00FA3CB6"/>
    <w:rsid w:val="00FA5C54"/>
    <w:rsid w:val="00FA5EE6"/>
    <w:rsid w:val="00FA5FA7"/>
    <w:rsid w:val="00FA62AD"/>
    <w:rsid w:val="00FA63F2"/>
    <w:rsid w:val="00FA6ADF"/>
    <w:rsid w:val="00FA6C0A"/>
    <w:rsid w:val="00FA7255"/>
    <w:rsid w:val="00FA7956"/>
    <w:rsid w:val="00FB0824"/>
    <w:rsid w:val="00FB0B79"/>
    <w:rsid w:val="00FB0D85"/>
    <w:rsid w:val="00FB13DE"/>
    <w:rsid w:val="00FB2FCB"/>
    <w:rsid w:val="00FB4347"/>
    <w:rsid w:val="00FB4AFE"/>
    <w:rsid w:val="00FB4C9C"/>
    <w:rsid w:val="00FB5F9B"/>
    <w:rsid w:val="00FB617B"/>
    <w:rsid w:val="00FB6792"/>
    <w:rsid w:val="00FB6A2C"/>
    <w:rsid w:val="00FB6AD0"/>
    <w:rsid w:val="00FB7260"/>
    <w:rsid w:val="00FB78C5"/>
    <w:rsid w:val="00FB7C55"/>
    <w:rsid w:val="00FC0A54"/>
    <w:rsid w:val="00FC1074"/>
    <w:rsid w:val="00FC1884"/>
    <w:rsid w:val="00FC1940"/>
    <w:rsid w:val="00FC2344"/>
    <w:rsid w:val="00FC244D"/>
    <w:rsid w:val="00FC2CDD"/>
    <w:rsid w:val="00FC3310"/>
    <w:rsid w:val="00FC371D"/>
    <w:rsid w:val="00FC47B8"/>
    <w:rsid w:val="00FC487E"/>
    <w:rsid w:val="00FC4CB4"/>
    <w:rsid w:val="00FC5F0B"/>
    <w:rsid w:val="00FC6D20"/>
    <w:rsid w:val="00FC6E0C"/>
    <w:rsid w:val="00FC7500"/>
    <w:rsid w:val="00FD0661"/>
    <w:rsid w:val="00FD2100"/>
    <w:rsid w:val="00FD25B9"/>
    <w:rsid w:val="00FD2972"/>
    <w:rsid w:val="00FD2A0B"/>
    <w:rsid w:val="00FD2D7D"/>
    <w:rsid w:val="00FD37E4"/>
    <w:rsid w:val="00FD3AB9"/>
    <w:rsid w:val="00FD3F72"/>
    <w:rsid w:val="00FD436C"/>
    <w:rsid w:val="00FD446D"/>
    <w:rsid w:val="00FD46A7"/>
    <w:rsid w:val="00FD4E36"/>
    <w:rsid w:val="00FD4F2C"/>
    <w:rsid w:val="00FD6394"/>
    <w:rsid w:val="00FD75B9"/>
    <w:rsid w:val="00FD7608"/>
    <w:rsid w:val="00FD7846"/>
    <w:rsid w:val="00FE004D"/>
    <w:rsid w:val="00FE0297"/>
    <w:rsid w:val="00FE0321"/>
    <w:rsid w:val="00FE07BE"/>
    <w:rsid w:val="00FE0E6C"/>
    <w:rsid w:val="00FE0F7E"/>
    <w:rsid w:val="00FE1CDC"/>
    <w:rsid w:val="00FE2BFE"/>
    <w:rsid w:val="00FE31D2"/>
    <w:rsid w:val="00FE4CC7"/>
    <w:rsid w:val="00FE52BF"/>
    <w:rsid w:val="00FE5586"/>
    <w:rsid w:val="00FE5CD3"/>
    <w:rsid w:val="00FE6982"/>
    <w:rsid w:val="00FE6F99"/>
    <w:rsid w:val="00FE70C3"/>
    <w:rsid w:val="00FE7F71"/>
    <w:rsid w:val="00FF0E44"/>
    <w:rsid w:val="00FF1445"/>
    <w:rsid w:val="00FF1A8B"/>
    <w:rsid w:val="00FF2603"/>
    <w:rsid w:val="00FF266E"/>
    <w:rsid w:val="00FF2AD9"/>
    <w:rsid w:val="00FF2BCA"/>
    <w:rsid w:val="00FF31BD"/>
    <w:rsid w:val="00FF359F"/>
    <w:rsid w:val="00FF393E"/>
    <w:rsid w:val="00FF3DCF"/>
    <w:rsid w:val="00FF4651"/>
    <w:rsid w:val="00FF4776"/>
    <w:rsid w:val="00FF4916"/>
    <w:rsid w:val="00FF492C"/>
    <w:rsid w:val="00FF4A21"/>
    <w:rsid w:val="00FF509E"/>
    <w:rsid w:val="00FF5AA3"/>
    <w:rsid w:val="00FF5AD8"/>
    <w:rsid w:val="00FF5E87"/>
    <w:rsid w:val="00FF60F4"/>
    <w:rsid w:val="00FF632E"/>
    <w:rsid w:val="00FF69F0"/>
    <w:rsid w:val="00FF6FF1"/>
    <w:rsid w:val="00FF7389"/>
    <w:rsid w:val="00FF7A6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PBAC ES Paragraph,Figure_name,Numbered Indented Text,Bullet- First level,List NUmber,Listenabsatz1"/>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PBAC ES Paragraph Char,Figure_name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Dossier table,Summary Table,RTI AMCP Table,Lash Style Table,Header Table,Source table_,NICE instructions,HealthConsult,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6"/>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01847"/>
    <w:pPr>
      <w:keepNext/>
      <w:spacing w:before="120" w:after="120"/>
    </w:pPr>
    <w:rPr>
      <w:rFonts w:asciiTheme="minorHAnsi" w:eastAsiaTheme="majorEastAsia" w:hAnsiTheme="minorHAnsi" w:cstheme="majorBidi"/>
      <w:color w:val="000000" w:themeColor="text1"/>
      <w:spacing w:val="5"/>
      <w:kern w:val="28"/>
      <w:szCs w:val="36"/>
      <w:lang w:eastAsia="en-US"/>
    </w:rPr>
  </w:style>
  <w:style w:type="character" w:customStyle="1" w:styleId="4-SubsectionHeadingChar">
    <w:name w:val="4-Subsection Heading Char"/>
    <w:basedOn w:val="Heading2Char"/>
    <w:link w:val="4-SubsectionHeading"/>
    <w:rsid w:val="00401847"/>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C572F6"/>
    <w:pPr>
      <w:keepLines/>
      <w:spacing w:after="120"/>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C572F6"/>
    <w:rPr>
      <w:rFonts w:ascii="Arial Narrow" w:hAnsi="Arial Narrow" w:cs="Arial"/>
      <w:snapToGrid w:val="0"/>
      <w:sz w:val="18"/>
      <w:szCs w:val="22"/>
    </w:rPr>
  </w:style>
  <w:style w:type="character" w:styleId="UnresolvedMention">
    <w:name w:val="Unresolved Mention"/>
    <w:basedOn w:val="DefaultParagraphFont"/>
    <w:uiPriority w:val="99"/>
    <w:semiHidden/>
    <w:unhideWhenUsed/>
    <w:rsid w:val="00FE5CD3"/>
    <w:rPr>
      <w:color w:val="605E5C"/>
      <w:shd w:val="clear" w:color="auto" w:fill="E1DFDD"/>
    </w:rPr>
  </w:style>
  <w:style w:type="paragraph" w:styleId="FootnoteText">
    <w:name w:val="footnote text"/>
    <w:basedOn w:val="Normal"/>
    <w:link w:val="FootnoteTextChar"/>
    <w:semiHidden/>
    <w:unhideWhenUsed/>
    <w:rsid w:val="00B679DB"/>
    <w:rPr>
      <w:sz w:val="20"/>
      <w:szCs w:val="20"/>
    </w:rPr>
  </w:style>
  <w:style w:type="character" w:customStyle="1" w:styleId="FootnoteTextChar">
    <w:name w:val="Footnote Text Char"/>
    <w:basedOn w:val="DefaultParagraphFont"/>
    <w:link w:val="FootnoteText"/>
    <w:semiHidden/>
    <w:rsid w:val="00B679DB"/>
    <w:rPr>
      <w:rFonts w:ascii="Calibri" w:hAnsi="Calibri" w:cs="Arial"/>
    </w:rPr>
  </w:style>
  <w:style w:type="character" w:styleId="FootnoteReference">
    <w:name w:val="footnote reference"/>
    <w:basedOn w:val="DefaultParagraphFont"/>
    <w:unhideWhenUsed/>
    <w:rsid w:val="00B679DB"/>
    <w:rPr>
      <w:vertAlign w:val="superscript"/>
    </w:rPr>
  </w:style>
  <w:style w:type="table" w:customStyle="1" w:styleId="HTAtableplain1">
    <w:name w:val="HTAtableplain1"/>
    <w:basedOn w:val="TableNormal"/>
    <w:next w:val="TableGrid"/>
    <w:uiPriority w:val="59"/>
    <w:rsid w:val="00B679DB"/>
    <w:rPr>
      <w:rFonts w:ascii="Calibri" w:eastAsia="Calibri" w:hAnsi="Calibri" w:cs="Arial"/>
      <w:lang w:val="en-US" w:eastAsia="en-US" w:bidi="he-IL"/>
    </w:rPr>
    <w:tblPr>
      <w:tblInd w:w="0" w:type="nil"/>
      <w:tblCellMar>
        <w:left w:w="0" w:type="dxa"/>
        <w:right w:w="0" w:type="dxa"/>
      </w:tblCellMar>
    </w:tblPr>
  </w:style>
  <w:style w:type="numbering" w:customStyle="1" w:styleId="CurrentList15">
    <w:name w:val="Current List15"/>
    <w:uiPriority w:val="99"/>
    <w:rsid w:val="00CD0D31"/>
    <w:pPr>
      <w:numPr>
        <w:numId w:val="8"/>
      </w:numPr>
    </w:pPr>
  </w:style>
  <w:style w:type="character" w:customStyle="1" w:styleId="Heading1Char">
    <w:name w:val="Heading 1 Char"/>
    <w:basedOn w:val="DefaultParagraphFont"/>
    <w:link w:val="Heading1"/>
    <w:uiPriority w:val="1"/>
    <w:rsid w:val="00A37879"/>
    <w:rPr>
      <w:rFonts w:ascii="Calibri" w:hAnsi="Calibri" w:cs="Arial"/>
      <w:b/>
      <w:caps/>
      <w:sz w:val="32"/>
      <w:szCs w:val="24"/>
    </w:rPr>
  </w:style>
  <w:style w:type="character" w:customStyle="1" w:styleId="Heading3Char">
    <w:name w:val="Heading 3 Char"/>
    <w:basedOn w:val="DefaultParagraphFont"/>
    <w:link w:val="Heading3"/>
    <w:rsid w:val="00A37879"/>
    <w:rPr>
      <w:rFonts w:ascii="Calibri" w:hAnsi="Calibri" w:cs="Arial"/>
      <w:sz w:val="24"/>
      <w:szCs w:val="24"/>
      <w:u w:val="single"/>
    </w:rPr>
  </w:style>
  <w:style w:type="character" w:customStyle="1" w:styleId="Heading4Char">
    <w:name w:val="Heading 4 Char"/>
    <w:basedOn w:val="DefaultParagraphFont"/>
    <w:link w:val="Heading4"/>
    <w:rsid w:val="00A37879"/>
    <w:rPr>
      <w:rFonts w:ascii="Calibri" w:hAnsi="Calibri" w:cs="Arial"/>
      <w:b/>
      <w:bCs/>
      <w:i/>
      <w:sz w:val="26"/>
      <w:szCs w:val="28"/>
    </w:rPr>
  </w:style>
  <w:style w:type="character" w:customStyle="1" w:styleId="Heading5Char">
    <w:name w:val="Heading 5 Char"/>
    <w:basedOn w:val="DefaultParagraphFont"/>
    <w:link w:val="Heading5"/>
    <w:rsid w:val="00A37879"/>
    <w:rPr>
      <w:rFonts w:ascii="Calibri" w:hAnsi="Calibri" w:cs="Arial"/>
      <w:b/>
      <w:bCs/>
      <w:iCs/>
      <w:sz w:val="26"/>
      <w:szCs w:val="26"/>
    </w:rPr>
  </w:style>
  <w:style w:type="character" w:customStyle="1" w:styleId="Heading6Char">
    <w:name w:val="Heading 6 Char"/>
    <w:basedOn w:val="DefaultParagraphFont"/>
    <w:link w:val="Heading6"/>
    <w:rsid w:val="00A37879"/>
    <w:rPr>
      <w:rFonts w:ascii="Calibri" w:hAnsi="Calibri" w:cs="Arial"/>
      <w:b/>
      <w:bCs/>
      <w:i/>
      <w:sz w:val="24"/>
      <w:szCs w:val="24"/>
    </w:rPr>
  </w:style>
  <w:style w:type="numbering" w:customStyle="1" w:styleId="CurrentList151">
    <w:name w:val="Current List151"/>
    <w:uiPriority w:val="99"/>
    <w:rsid w:val="00A37879"/>
  </w:style>
  <w:style w:type="table" w:customStyle="1" w:styleId="HTAtableplain2">
    <w:name w:val="HTAtableplain2"/>
    <w:basedOn w:val="TableNormal"/>
    <w:next w:val="TableGrid"/>
    <w:uiPriority w:val="59"/>
    <w:rsid w:val="00A37879"/>
    <w:rPr>
      <w:rFonts w:ascii="Calibri" w:eastAsia="Calibri" w:hAnsi="Calibri" w:cs="Arial"/>
      <w:lang w:val="en-US" w:eastAsia="en-US" w:bidi="he-IL"/>
    </w:rPr>
    <w:tblPr>
      <w:tblInd w:w="0" w:type="nil"/>
      <w:tblCellMar>
        <w:left w:w="0" w:type="dxa"/>
        <w:right w:w="0" w:type="dxa"/>
      </w:tblCellMar>
    </w:tblPr>
  </w:style>
  <w:style w:type="table" w:customStyle="1" w:styleId="HTAtableplain3">
    <w:name w:val="HTAtableplain3"/>
    <w:basedOn w:val="TableNormal"/>
    <w:next w:val="TableGrid"/>
    <w:uiPriority w:val="59"/>
    <w:rsid w:val="00A37879"/>
    <w:rPr>
      <w:rFonts w:ascii="Calibri" w:eastAsia="Calibri" w:hAnsi="Calibri" w:cs="Arial"/>
      <w:lang w:val="en-US" w:eastAsia="en-US" w:bidi="he-IL"/>
    </w:rPr>
    <w:tblPr>
      <w:tblInd w:w="0" w:type="nil"/>
      <w:tblCellMar>
        <w:left w:w="0" w:type="dxa"/>
        <w:right w:w="0" w:type="dxa"/>
      </w:tblCellMar>
    </w:tblPr>
  </w:style>
  <w:style w:type="table" w:customStyle="1" w:styleId="HTAtableplain4">
    <w:name w:val="HTAtableplain4"/>
    <w:basedOn w:val="TableNormal"/>
    <w:next w:val="TableGrid"/>
    <w:uiPriority w:val="59"/>
    <w:rsid w:val="00A37879"/>
    <w:rPr>
      <w:rFonts w:ascii="Calibri" w:eastAsia="Calibri" w:hAnsi="Calibri" w:cs="Arial"/>
      <w:lang w:val="en-US" w:eastAsia="en-US" w:bidi="he-IL"/>
    </w:rPr>
    <w:tblPr>
      <w:tblInd w:w="0" w:type="nil"/>
      <w:tblCellMar>
        <w:left w:w="0" w:type="dxa"/>
        <w:right w:w="0" w:type="dxa"/>
      </w:tblCellMar>
    </w:tblPr>
  </w:style>
  <w:style w:type="table" w:customStyle="1" w:styleId="HTAtableplain5">
    <w:name w:val="HTAtableplain5"/>
    <w:basedOn w:val="TableNormal"/>
    <w:next w:val="TableGrid"/>
    <w:uiPriority w:val="59"/>
    <w:rsid w:val="00A37879"/>
    <w:rPr>
      <w:rFonts w:ascii="Calibri" w:eastAsia="Calibri" w:hAnsi="Calibri" w:cs="Arial"/>
      <w:lang w:val="en-US" w:eastAsia="en-US" w:bidi="he-IL"/>
    </w:rPr>
    <w:tblPr>
      <w:tblInd w:w="0" w:type="nil"/>
      <w:tblCellMar>
        <w:left w:w="0" w:type="dxa"/>
        <w:right w:w="0" w:type="dxa"/>
      </w:tblCellMar>
    </w:tblPr>
  </w:style>
  <w:style w:type="table" w:customStyle="1" w:styleId="HTAtableplain6">
    <w:name w:val="HTAtableplain6"/>
    <w:basedOn w:val="TableNormal"/>
    <w:next w:val="TableGrid"/>
    <w:uiPriority w:val="59"/>
    <w:rsid w:val="00A37879"/>
    <w:rPr>
      <w:rFonts w:ascii="Calibri" w:eastAsia="Calibri" w:hAnsi="Calibri" w:cs="Arial"/>
      <w:lang w:val="en-US" w:eastAsia="en-US" w:bidi="he-IL"/>
    </w:rPr>
    <w:tblPr>
      <w:tblInd w:w="0" w:type="nil"/>
      <w:tblCellMar>
        <w:left w:w="0" w:type="dxa"/>
        <w:right w:w="0" w:type="dxa"/>
      </w:tblCellMar>
    </w:tblPr>
  </w:style>
  <w:style w:type="table" w:customStyle="1" w:styleId="HTAtableplain7">
    <w:name w:val="HTAtableplain7"/>
    <w:basedOn w:val="TableNormal"/>
    <w:next w:val="TableGrid"/>
    <w:uiPriority w:val="59"/>
    <w:rsid w:val="00A37879"/>
    <w:rPr>
      <w:rFonts w:ascii="Calibri" w:eastAsia="Calibri" w:hAnsi="Calibri" w:cs="Arial"/>
      <w:lang w:val="en-US" w:eastAsia="en-US" w:bidi="he-IL"/>
    </w:rPr>
    <w:tblPr>
      <w:tblInd w:w="0" w:type="nil"/>
      <w:tblCellMar>
        <w:left w:w="0" w:type="dxa"/>
        <w:right w:w="0" w:type="dxa"/>
      </w:tblCellMar>
    </w:tblPr>
  </w:style>
  <w:style w:type="table" w:customStyle="1" w:styleId="HTAtableplain8">
    <w:name w:val="HTAtableplain8"/>
    <w:basedOn w:val="TableNormal"/>
    <w:next w:val="TableGrid"/>
    <w:uiPriority w:val="59"/>
    <w:rsid w:val="00A37879"/>
    <w:rPr>
      <w:rFonts w:ascii="Calibri" w:eastAsia="Calibri" w:hAnsi="Calibri" w:cs="Arial"/>
      <w:lang w:val="en-US" w:eastAsia="en-US" w:bidi="he-IL"/>
    </w:rPr>
    <w:tblPr>
      <w:tblInd w:w="0" w:type="nil"/>
      <w:tblCellMar>
        <w:left w:w="0" w:type="dxa"/>
        <w:right w:w="0" w:type="dxa"/>
      </w:tblCellMar>
    </w:tblPr>
  </w:style>
  <w:style w:type="numbering" w:customStyle="1" w:styleId="CurrentList152">
    <w:name w:val="Current List152"/>
    <w:uiPriority w:val="99"/>
    <w:rsid w:val="00260634"/>
    <w:pPr>
      <w:numPr>
        <w:numId w:val="7"/>
      </w:numPr>
    </w:pPr>
  </w:style>
  <w:style w:type="character" w:styleId="Mention">
    <w:name w:val="Mention"/>
    <w:basedOn w:val="DefaultParagraphFont"/>
    <w:uiPriority w:val="99"/>
    <w:unhideWhenUsed/>
    <w:rsid w:val="00EC0211"/>
    <w:rPr>
      <w:color w:val="2B579A"/>
      <w:shd w:val="clear" w:color="auto" w:fill="E1DFDD"/>
    </w:rPr>
  </w:style>
  <w:style w:type="paragraph" w:customStyle="1" w:styleId="pf0">
    <w:name w:val="pf0"/>
    <w:basedOn w:val="Normal"/>
    <w:rsid w:val="000F4062"/>
    <w:pPr>
      <w:spacing w:before="100" w:beforeAutospacing="1" w:after="100" w:afterAutospacing="1"/>
      <w:jc w:val="left"/>
    </w:pPr>
    <w:rPr>
      <w:rFonts w:ascii="Times New Roman" w:hAnsi="Times New Roman" w:cs="Times New Roman"/>
    </w:rPr>
  </w:style>
  <w:style w:type="paragraph" w:customStyle="1" w:styleId="3-SubsectionHeading">
    <w:name w:val="3-Subsection Heading"/>
    <w:basedOn w:val="Heading2"/>
    <w:next w:val="Normal"/>
    <w:link w:val="3-SubsectionHeadingChar"/>
    <w:qFormat/>
    <w:rsid w:val="00147AAC"/>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147AAC"/>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4309/ajg.0000000000003465" TargetMode="External"/><Relationship Id="rId1" Type="http://schemas.openxmlformats.org/officeDocument/2006/relationships/hyperlink" Target="https://www.tga.gov.au/news/safety-updates/important-safety-information-janus-kinase-jak-inhibi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Props1.xml><?xml version="1.0" encoding="utf-8"?>
<ds:datastoreItem xmlns:ds="http://schemas.openxmlformats.org/officeDocument/2006/customXml" ds:itemID="{DD8E9172-6C95-4B31-B7DA-528A7D8CFB37}">
  <ds:schemaRefs>
    <ds:schemaRef ds:uri="http://schemas.microsoft.com/sharepoint/v3/contenttype/forms"/>
  </ds:schemaRefs>
</ds:datastoreItem>
</file>

<file path=customXml/itemProps2.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3.xml><?xml version="1.0" encoding="utf-8"?>
<ds:datastoreItem xmlns:ds="http://schemas.openxmlformats.org/officeDocument/2006/customXml" ds:itemID="{7EA57646-4DCF-4BA0-B671-3DFACBF30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28293-B7D1-445F-AF1F-081B5BB9E0AE}">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40</Pages>
  <Words>16840</Words>
  <Characters>95316</Characters>
  <Application>Microsoft Office Word</Application>
  <DocSecurity>0</DocSecurity>
  <Lines>3177</Lines>
  <Paragraphs>1967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110189</CharactersWithSpaces>
  <SharedDoc>false</SharedDoc>
  <HLinks>
    <vt:vector size="42" baseType="variant">
      <vt:variant>
        <vt:i4>5243001</vt:i4>
      </vt:variant>
      <vt:variant>
        <vt:i4>195</vt:i4>
      </vt:variant>
      <vt:variant>
        <vt:i4>0</vt:i4>
      </vt:variant>
      <vt:variant>
        <vt:i4>5</vt:i4>
      </vt:variant>
      <vt:variant>
        <vt:lpwstr/>
      </vt:variant>
      <vt:variant>
        <vt:lpwstr>_Overarching_administrative_advice</vt:lpwstr>
      </vt:variant>
      <vt:variant>
        <vt:i4>5243001</vt:i4>
      </vt:variant>
      <vt:variant>
        <vt:i4>183</vt:i4>
      </vt:variant>
      <vt:variant>
        <vt:i4>0</vt:i4>
      </vt:variant>
      <vt:variant>
        <vt:i4>5</vt:i4>
      </vt:variant>
      <vt:variant>
        <vt:lpwstr/>
      </vt:variant>
      <vt:variant>
        <vt:lpwstr>_Overarching_administrative_advice</vt:lpwstr>
      </vt:variant>
      <vt:variant>
        <vt:i4>5243001</vt:i4>
      </vt:variant>
      <vt:variant>
        <vt:i4>171</vt:i4>
      </vt:variant>
      <vt:variant>
        <vt:i4>0</vt:i4>
      </vt:variant>
      <vt:variant>
        <vt:i4>5</vt:i4>
      </vt:variant>
      <vt:variant>
        <vt:lpwstr/>
      </vt:variant>
      <vt:variant>
        <vt:lpwstr>_Overarching_administrative_advice</vt:lpwstr>
      </vt:variant>
      <vt:variant>
        <vt:i4>5243001</vt:i4>
      </vt:variant>
      <vt:variant>
        <vt:i4>159</vt:i4>
      </vt:variant>
      <vt:variant>
        <vt:i4>0</vt:i4>
      </vt:variant>
      <vt:variant>
        <vt:i4>5</vt:i4>
      </vt:variant>
      <vt:variant>
        <vt:lpwstr/>
      </vt:variant>
      <vt:variant>
        <vt:lpwstr>_Overarching_administrative_advice</vt:lpwstr>
      </vt:variant>
      <vt:variant>
        <vt:i4>5243001</vt:i4>
      </vt:variant>
      <vt:variant>
        <vt:i4>147</vt:i4>
      </vt:variant>
      <vt:variant>
        <vt:i4>0</vt:i4>
      </vt:variant>
      <vt:variant>
        <vt:i4>5</vt:i4>
      </vt:variant>
      <vt:variant>
        <vt:lpwstr/>
      </vt:variant>
      <vt:variant>
        <vt:lpwstr>_Overarching_administrative_advice</vt:lpwstr>
      </vt:variant>
      <vt:variant>
        <vt:i4>327681</vt:i4>
      </vt:variant>
      <vt:variant>
        <vt:i4>3</vt:i4>
      </vt:variant>
      <vt:variant>
        <vt:i4>0</vt:i4>
      </vt:variant>
      <vt:variant>
        <vt:i4>5</vt:i4>
      </vt:variant>
      <vt:variant>
        <vt:lpwstr>https://doi.org/10.14309/ajg.0000000000003465</vt:lpwstr>
      </vt:variant>
      <vt:variant>
        <vt:lpwstr/>
      </vt:variant>
      <vt:variant>
        <vt:i4>3145785</vt:i4>
      </vt:variant>
      <vt:variant>
        <vt:i4>0</vt:i4>
      </vt:variant>
      <vt:variant>
        <vt:i4>0</vt:i4>
      </vt:variant>
      <vt:variant>
        <vt:i4>5</vt:i4>
      </vt:variant>
      <vt:variant>
        <vt:lpwstr>https://www.tga.gov.au/news/safety-updates/important-safety-information-janus-kinase-jak-inhibitors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2026-07-07T04:58:00Z</dcterms:created>
  <dcterms:modified xsi:type="dcterms:W3CDTF">2026-07-07T04:58:00Z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2d5373df,1257dd51,3024fa8a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172d986a,6ed2874f,194df90d</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2026-04-01T21:51:23Z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6eef0da8-bf5a-4388-bfd2-2f60596a97e6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Order">
    <vt:r8>6935900</vt:r8>
  </property>
  <property fmtid="{D5CDD505-2E9C-101B-9397-08002B2CF9AE}" pid="18" name="MediaServiceImageTags">
    <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docLang">
    <vt:lpwstr>en</vt:lpwstr>
  </property>
  <property fmtid="{D5CDD505-2E9C-101B-9397-08002B2CF9AE}" pid="24" name="MSIP_Label_7cd3e8b9-ffed-43a8-b7f4-cc2fa0382d36_Extended_MSFT_Method">
    <vt:lpwstr>Standard</vt:lpwstr>
  </property>
  <property fmtid="{D5CDD505-2E9C-101B-9397-08002B2CF9AE}" pid="25" name="Sensitivity">
    <vt:lpwstr>OFFICIAL</vt:lpwstr>
  </property>
  <property fmtid="{D5CDD505-2E9C-101B-9397-08002B2CF9AE}" pid="26" name="xd_Signature">
    <vt:bool>false</vt:bool>
  </property>
  <property fmtid="{D5CDD505-2E9C-101B-9397-08002B2CF9AE}" pid="27" name="TriggerFlowInfo">
    <vt:lpwstr/>
  </property>
  <property fmtid="{D5CDD505-2E9C-101B-9397-08002B2CF9AE}" pid="28" name="ContentTypeId">
    <vt:lpwstr>0x0101007FED174C5281F747A8037A05221D6DBD</vt:lpwstr>
  </property>
</Properties>
</file>