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14B4E9" w14:textId="74BC1741" w:rsidR="00BF27A0" w:rsidRPr="00EF4580" w:rsidRDefault="00A20EB2" w:rsidP="00F36268">
      <w:pPr>
        <w:pStyle w:val="1-MainHeading"/>
        <w:rPr>
          <w:rFonts w:eastAsia="Calibri"/>
          <w:lang w:eastAsia="en-US"/>
        </w:rPr>
      </w:pPr>
      <w:r>
        <w:t>7.06</w:t>
      </w:r>
      <w:r w:rsidR="000B7767" w:rsidRPr="00EF4580">
        <w:tab/>
      </w:r>
      <w:r w:rsidR="00A173EE" w:rsidRPr="00F57392">
        <w:t>VORASIDENIB,</w:t>
      </w:r>
      <w:r w:rsidR="00A173EE" w:rsidRPr="00F57392">
        <w:br/>
        <w:t>Tablet 10 mg,</w:t>
      </w:r>
      <w:r w:rsidR="00A173EE" w:rsidRPr="00F57392">
        <w:br/>
        <w:t>Tablet 40 mg,</w:t>
      </w:r>
      <w:r w:rsidR="00A173EE" w:rsidRPr="00F57392">
        <w:br/>
        <w:t>Voranigo®,</w:t>
      </w:r>
      <w:r w:rsidR="00A173EE" w:rsidRPr="00F57392">
        <w:br/>
        <w:t>SERVIER LABORATORIES (AUST.) PTY. LTD.</w:t>
      </w:r>
    </w:p>
    <w:p w14:paraId="1DE8D195" w14:textId="40C679A1" w:rsidR="003F044F" w:rsidRPr="006C5B33" w:rsidRDefault="009C5B72" w:rsidP="00F36268">
      <w:pPr>
        <w:pStyle w:val="2-SectionHeading"/>
        <w:rPr>
          <w:rFonts w:eastAsia="Calibri"/>
        </w:rPr>
      </w:pPr>
      <w:r w:rsidRPr="006C5B33">
        <w:t>Purpose</w:t>
      </w:r>
    </w:p>
    <w:p w14:paraId="055F1FC8" w14:textId="798D63AB" w:rsidR="00F81F7A" w:rsidRPr="002C633F" w:rsidRDefault="00F81F7A" w:rsidP="00F36268">
      <w:pPr>
        <w:pStyle w:val="3-BodyText"/>
      </w:pPr>
      <w:r w:rsidRPr="00F81F7A">
        <w:t xml:space="preserve">The </w:t>
      </w:r>
      <w:r w:rsidR="009D55E2" w:rsidRPr="002C633F">
        <w:t>early re</w:t>
      </w:r>
      <w:r w:rsidR="00B571FA">
        <w:noBreakHyphen/>
      </w:r>
      <w:r w:rsidR="009D55E2" w:rsidRPr="002C633F">
        <w:t>entry re</w:t>
      </w:r>
      <w:r w:rsidRPr="002C633F">
        <w:t xml:space="preserve">submission </w:t>
      </w:r>
      <w:r w:rsidR="00E103A0" w:rsidRPr="002C633F">
        <w:t>sought</w:t>
      </w:r>
      <w:r w:rsidRPr="002C633F">
        <w:t xml:space="preserve"> </w:t>
      </w:r>
      <w:r w:rsidR="00BA39E9">
        <w:t>the PBS listing of</w:t>
      </w:r>
      <w:r w:rsidR="00721A7A" w:rsidRPr="00721A7A">
        <w:t xml:space="preserve"> </w:t>
      </w:r>
      <w:r w:rsidR="00721A7A" w:rsidRPr="00F57392">
        <w:t>vorasidenib for the treatment of patients with isocitrate dehydrogenase (IDH)</w:t>
      </w:r>
      <w:r w:rsidR="00B571FA">
        <w:noBreakHyphen/>
      </w:r>
      <w:r w:rsidR="00721A7A" w:rsidRPr="00F57392">
        <w:t>mutant astrocytoma or oligodendroglioma</w:t>
      </w:r>
      <w:r w:rsidR="002C633F" w:rsidRPr="002C633F">
        <w:t>.</w:t>
      </w:r>
    </w:p>
    <w:p w14:paraId="5AB68F30" w14:textId="6770D90F" w:rsidR="009D55E2" w:rsidRPr="00D34011" w:rsidRDefault="6657D135" w:rsidP="00F36268">
      <w:pPr>
        <w:pStyle w:val="3-BodyText"/>
        <w:rPr>
          <w:rFonts w:eastAsiaTheme="minorEastAsia"/>
          <w:color w:val="1F497D" w:themeColor="text2"/>
        </w:rPr>
      </w:pPr>
      <w:r w:rsidRPr="002C633F">
        <w:t xml:space="preserve">The </w:t>
      </w:r>
      <w:r w:rsidR="009D55E2" w:rsidRPr="002C633F">
        <w:t>re</w:t>
      </w:r>
      <w:r w:rsidRPr="002C633F">
        <w:t xml:space="preserve">submission was based on </w:t>
      </w:r>
      <w:r w:rsidR="009D55E2" w:rsidRPr="002C633F">
        <w:t xml:space="preserve">the PBAC </w:t>
      </w:r>
      <w:r w:rsidR="009D55E2" w:rsidRPr="00453644">
        <w:t xml:space="preserve">decision </w:t>
      </w:r>
      <w:r w:rsidR="00DF4821" w:rsidRPr="00453644">
        <w:t xml:space="preserve">to not recommend </w:t>
      </w:r>
      <w:r w:rsidR="00A45382" w:rsidRPr="00453644">
        <w:t>vorasidenib</w:t>
      </w:r>
      <w:r w:rsidR="00DF4821" w:rsidRPr="00453644">
        <w:t xml:space="preserve"> for this indicatio</w:t>
      </w:r>
      <w:r w:rsidR="00A45382" w:rsidRPr="00453644">
        <w:t>n</w:t>
      </w:r>
      <w:r w:rsidR="00B7286D" w:rsidRPr="00453644">
        <w:t xml:space="preserve"> </w:t>
      </w:r>
      <w:r w:rsidR="009D55E2" w:rsidRPr="00453644">
        <w:t xml:space="preserve">from </w:t>
      </w:r>
      <w:r w:rsidR="00A45382" w:rsidRPr="00453644">
        <w:t>its July 2025 m</w:t>
      </w:r>
      <w:r w:rsidR="00A45382">
        <w:t>eeting</w:t>
      </w:r>
      <w:r w:rsidRPr="00EF4580">
        <w:t xml:space="preserve">. </w:t>
      </w:r>
      <w:r w:rsidRPr="00EF4580">
        <w:rPr>
          <w:snapToGrid w:val="0"/>
        </w:rPr>
        <w:t xml:space="preserve">This </w:t>
      </w:r>
      <w:r w:rsidR="009D55E2">
        <w:rPr>
          <w:snapToGrid w:val="0"/>
        </w:rPr>
        <w:t>resubmission</w:t>
      </w:r>
      <w:r w:rsidR="006D1CD8">
        <w:rPr>
          <w:snapToGrid w:val="0"/>
        </w:rPr>
        <w:t xml:space="preserve"> addressed</w:t>
      </w:r>
      <w:r w:rsidR="009D55E2">
        <w:rPr>
          <w:snapToGrid w:val="0"/>
        </w:rPr>
        <w:t xml:space="preserve"> </w:t>
      </w:r>
      <w:r w:rsidR="00A32594" w:rsidRPr="00235533">
        <w:rPr>
          <w:snapToGrid w:val="0"/>
        </w:rPr>
        <w:t>some</w:t>
      </w:r>
      <w:r w:rsidR="00235533" w:rsidRPr="00235533">
        <w:rPr>
          <w:snapToGrid w:val="0"/>
        </w:rPr>
        <w:t xml:space="preserve"> </w:t>
      </w:r>
      <w:r w:rsidR="00A32594" w:rsidRPr="00994854">
        <w:rPr>
          <w:snapToGrid w:val="0"/>
        </w:rPr>
        <w:t xml:space="preserve">of the issues </w:t>
      </w:r>
      <w:r w:rsidR="009D55E2" w:rsidRPr="00994854">
        <w:rPr>
          <w:snapToGrid w:val="0"/>
        </w:rPr>
        <w:t>raised</w:t>
      </w:r>
      <w:r w:rsidRPr="00994854">
        <w:rPr>
          <w:snapToGrid w:val="0"/>
        </w:rPr>
        <w:t xml:space="preserve"> </w:t>
      </w:r>
      <w:r w:rsidR="009D55E2" w:rsidRPr="00994854">
        <w:rPr>
          <w:snapToGrid w:val="0"/>
        </w:rPr>
        <w:t>by PBAC</w:t>
      </w:r>
      <w:r w:rsidR="009B750F">
        <w:rPr>
          <w:snapToGrid w:val="0"/>
        </w:rPr>
        <w:t>;</w:t>
      </w:r>
      <w:r w:rsidR="009D55E2" w:rsidRPr="009D55E2">
        <w:rPr>
          <w:snapToGrid w:val="0"/>
        </w:rPr>
        <w:t xml:space="preserve"> </w:t>
      </w:r>
      <w:r w:rsidR="009B750F">
        <w:rPr>
          <w:snapToGrid w:val="0"/>
        </w:rPr>
        <w:t>see t</w:t>
      </w:r>
      <w:r w:rsidR="009D55E2" w:rsidRPr="009D55E2">
        <w:rPr>
          <w:snapToGrid w:val="0"/>
        </w:rPr>
        <w:t>able below.</w:t>
      </w:r>
    </w:p>
    <w:p w14:paraId="13DC54C9" w14:textId="7CCFB687" w:rsidR="009D55E2" w:rsidRPr="002C633F" w:rsidRDefault="00C35800" w:rsidP="00F36268">
      <w:pPr>
        <w:pStyle w:val="In-tableHeading"/>
      </w:pPr>
      <w:bookmarkStart w:id="0" w:name="_Ref225386336"/>
      <w:r>
        <w:lastRenderedPageBreak/>
        <w:t xml:space="preserve">Table </w:t>
      </w:r>
      <w:r>
        <w:fldChar w:fldCharType="begin"/>
      </w:r>
      <w:r>
        <w:instrText xml:space="preserve"> SEQ Table \* ARABIC </w:instrText>
      </w:r>
      <w:r>
        <w:fldChar w:fldCharType="separate"/>
      </w:r>
      <w:r w:rsidR="0031315F">
        <w:rPr>
          <w:noProof/>
        </w:rPr>
        <w:t>1</w:t>
      </w:r>
      <w:r>
        <w:fldChar w:fldCharType="end"/>
      </w:r>
      <w:bookmarkEnd w:id="0"/>
      <w:r w:rsidR="00B36534">
        <w:t>:</w:t>
      </w:r>
      <w:r w:rsidR="009D55E2" w:rsidRPr="002C633F">
        <w:t xml:space="preserve"> Summary of key matters to be addressed</w:t>
      </w:r>
      <w:r w:rsidR="00B36534">
        <w:t xml:space="preserve"> from </w:t>
      </w:r>
      <w:proofErr w:type="gramStart"/>
      <w:r w:rsidR="00B36534">
        <w:t>the July</w:t>
      </w:r>
      <w:proofErr w:type="gramEnd"/>
      <w:r w:rsidR="00B36534">
        <w:t xml:space="preserve"> 2025 PBAC consideration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Table 1: Summary of key matters to be addressed from the July 2025 PBAC consideration"/>
      </w:tblPr>
      <w:tblGrid>
        <w:gridCol w:w="4674"/>
        <w:gridCol w:w="3150"/>
        <w:gridCol w:w="1192"/>
      </w:tblGrid>
      <w:tr w:rsidR="002D01B2" w:rsidRPr="002C633F" w14:paraId="5D2DC7BB" w14:textId="77777777" w:rsidTr="019A69A2">
        <w:trPr>
          <w:tblHeader/>
        </w:trPr>
        <w:tc>
          <w:tcPr>
            <w:tcW w:w="2592" w:type="pct"/>
            <w:vAlign w:val="center"/>
          </w:tcPr>
          <w:p w14:paraId="47875CEE" w14:textId="719157E8" w:rsidR="00D34011" w:rsidRPr="002C633F" w:rsidRDefault="00D34011" w:rsidP="00F36268">
            <w:pPr>
              <w:pStyle w:val="In-tableHeading"/>
              <w:keepNext w:val="0"/>
            </w:pPr>
            <w:r w:rsidRPr="002C633F">
              <w:t>Matter of concern</w:t>
            </w:r>
          </w:p>
        </w:tc>
        <w:tc>
          <w:tcPr>
            <w:tcW w:w="1747" w:type="pct"/>
            <w:vAlign w:val="center"/>
          </w:tcPr>
          <w:p w14:paraId="2F0501E9" w14:textId="41F16558" w:rsidR="00D34011" w:rsidRPr="002C633F" w:rsidRDefault="00D34011" w:rsidP="00F36268">
            <w:pPr>
              <w:pStyle w:val="In-tableHeading"/>
              <w:keepNext w:val="0"/>
            </w:pPr>
            <w:r w:rsidRPr="002C633F">
              <w:t>Response</w:t>
            </w:r>
          </w:p>
        </w:tc>
        <w:tc>
          <w:tcPr>
            <w:tcW w:w="661" w:type="pct"/>
            <w:vAlign w:val="center"/>
          </w:tcPr>
          <w:p w14:paraId="55187957" w14:textId="77777777" w:rsidR="00D34011" w:rsidRPr="00265ED8" w:rsidRDefault="00D34011" w:rsidP="00F36268">
            <w:pPr>
              <w:pStyle w:val="In-tableHeading"/>
              <w:keepNext w:val="0"/>
            </w:pPr>
            <w:r w:rsidRPr="00265ED8">
              <w:t>Addressed?</w:t>
            </w:r>
          </w:p>
          <w:p w14:paraId="06AD57D9" w14:textId="54D68D13" w:rsidR="00A06DF5" w:rsidRPr="00265ED8" w:rsidRDefault="00A06DF5" w:rsidP="00F36268">
            <w:pPr>
              <w:pStyle w:val="In-tableHeading"/>
              <w:keepNext w:val="0"/>
              <w:rPr>
                <w:b w:val="0"/>
                <w:bCs/>
              </w:rPr>
            </w:pPr>
            <w:r w:rsidRPr="00265ED8">
              <w:rPr>
                <w:b w:val="0"/>
                <w:bCs/>
              </w:rPr>
              <w:t>Y/N</w:t>
            </w:r>
          </w:p>
        </w:tc>
      </w:tr>
      <w:tr w:rsidR="008D16C4" w:rsidRPr="002C633F" w14:paraId="3FE34F66" w14:textId="77777777" w:rsidTr="019A69A2">
        <w:trPr>
          <w:tblHeader/>
        </w:trPr>
        <w:tc>
          <w:tcPr>
            <w:tcW w:w="5000" w:type="pct"/>
            <w:gridSpan w:val="3"/>
            <w:vAlign w:val="center"/>
          </w:tcPr>
          <w:p w14:paraId="2F433209" w14:textId="3E68082B" w:rsidR="008D16C4" w:rsidRPr="00265ED8" w:rsidRDefault="008D16C4" w:rsidP="00F36268">
            <w:pPr>
              <w:pStyle w:val="In-tableHeading"/>
              <w:keepNext w:val="0"/>
              <w:rPr>
                <w:b w:val="0"/>
                <w:bCs/>
              </w:rPr>
            </w:pPr>
            <w:r w:rsidRPr="00265ED8">
              <w:t>Revision of the restrictions</w:t>
            </w:r>
          </w:p>
        </w:tc>
      </w:tr>
      <w:tr w:rsidR="002D01B2" w:rsidRPr="002C633F" w14:paraId="739E8BE9" w14:textId="77777777" w:rsidTr="019A69A2">
        <w:trPr>
          <w:trHeight w:val="395"/>
          <w:tblHeader/>
        </w:trPr>
        <w:tc>
          <w:tcPr>
            <w:tcW w:w="2592" w:type="pct"/>
          </w:tcPr>
          <w:p w14:paraId="4E674BCD" w14:textId="4625D5BC" w:rsidR="008E46EC" w:rsidRPr="00FF5EFD" w:rsidRDefault="008D16C4" w:rsidP="00F36268">
            <w:pPr>
              <w:pStyle w:val="In-tableHeading"/>
              <w:keepNext w:val="0"/>
              <w:rPr>
                <w:b w:val="0"/>
                <w:bCs/>
              </w:rPr>
            </w:pPr>
            <w:r>
              <w:rPr>
                <w:b w:val="0"/>
                <w:bCs/>
              </w:rPr>
              <w:t xml:space="preserve">The </w:t>
            </w:r>
            <w:r w:rsidRPr="0033047F">
              <w:rPr>
                <w:b w:val="0"/>
                <w:bCs/>
              </w:rPr>
              <w:t xml:space="preserve">PBAC </w:t>
            </w:r>
            <w:r w:rsidR="0033047F" w:rsidRPr="0033047F">
              <w:rPr>
                <w:b w:val="0"/>
                <w:bCs/>
              </w:rPr>
              <w:t xml:space="preserve">advised </w:t>
            </w:r>
            <w:r w:rsidR="00143682">
              <w:rPr>
                <w:b w:val="0"/>
                <w:bCs/>
              </w:rPr>
              <w:t xml:space="preserve">minor changes to </w:t>
            </w:r>
            <w:proofErr w:type="gramStart"/>
            <w:r w:rsidR="00143682">
              <w:rPr>
                <w:b w:val="0"/>
                <w:bCs/>
              </w:rPr>
              <w:t>restriction wording</w:t>
            </w:r>
            <w:proofErr w:type="gramEnd"/>
            <w:r w:rsidR="00143682">
              <w:rPr>
                <w:b w:val="0"/>
                <w:bCs/>
              </w:rPr>
              <w:t xml:space="preserve"> </w:t>
            </w:r>
            <w:r w:rsidR="000E7865">
              <w:rPr>
                <w:b w:val="0"/>
                <w:bCs/>
              </w:rPr>
              <w:t xml:space="preserve">were required </w:t>
            </w:r>
            <w:r w:rsidR="00143682">
              <w:rPr>
                <w:b w:val="0"/>
                <w:bCs/>
              </w:rPr>
              <w:t>(Section 3</w:t>
            </w:r>
            <w:r w:rsidR="000A6E98">
              <w:rPr>
                <w:b w:val="0"/>
                <w:bCs/>
              </w:rPr>
              <w:t xml:space="preserve"> of</w:t>
            </w:r>
            <w:r w:rsidR="00143682">
              <w:rPr>
                <w:b w:val="0"/>
                <w:bCs/>
              </w:rPr>
              <w:t xml:space="preserve"> vorasidenib</w:t>
            </w:r>
            <w:r w:rsidR="005D5CAF">
              <w:rPr>
                <w:b w:val="0"/>
                <w:bCs/>
              </w:rPr>
              <w:t xml:space="preserve"> PSD</w:t>
            </w:r>
            <w:r w:rsidR="000E7865">
              <w:rPr>
                <w:b w:val="0"/>
                <w:bCs/>
              </w:rPr>
              <w:t>).</w:t>
            </w:r>
          </w:p>
        </w:tc>
        <w:tc>
          <w:tcPr>
            <w:tcW w:w="1747" w:type="pct"/>
          </w:tcPr>
          <w:p w14:paraId="6BD3DF8C" w14:textId="3AE6DF03" w:rsidR="00855542" w:rsidRPr="00FF5EFD" w:rsidRDefault="00FF5EFD" w:rsidP="00F36268">
            <w:pPr>
              <w:pStyle w:val="In-tableHeading"/>
              <w:keepNext w:val="0"/>
              <w:rPr>
                <w:b w:val="0"/>
                <w:bCs/>
              </w:rPr>
            </w:pPr>
            <w:r w:rsidRPr="00FF5EFD">
              <w:rPr>
                <w:b w:val="0"/>
                <w:bCs/>
              </w:rPr>
              <w:t xml:space="preserve">The resubmission accepted </w:t>
            </w:r>
            <w:proofErr w:type="gramStart"/>
            <w:r w:rsidRPr="00FF5EFD">
              <w:rPr>
                <w:b w:val="0"/>
                <w:bCs/>
              </w:rPr>
              <w:t>all of</w:t>
            </w:r>
            <w:proofErr w:type="gramEnd"/>
            <w:r w:rsidRPr="00FF5EFD">
              <w:rPr>
                <w:b w:val="0"/>
                <w:bCs/>
              </w:rPr>
              <w:t xml:space="preserve"> the PBAC’s recommendations.</w:t>
            </w:r>
          </w:p>
        </w:tc>
        <w:tc>
          <w:tcPr>
            <w:tcW w:w="661" w:type="pct"/>
          </w:tcPr>
          <w:p w14:paraId="3A33E32A" w14:textId="71027BD9" w:rsidR="00855542" w:rsidRPr="00265ED8" w:rsidRDefault="008D16C4" w:rsidP="00F36268">
            <w:pPr>
              <w:pStyle w:val="In-tableHeading"/>
              <w:keepNext w:val="0"/>
              <w:rPr>
                <w:b w:val="0"/>
                <w:bCs/>
              </w:rPr>
            </w:pPr>
            <w:r w:rsidRPr="00265ED8">
              <w:rPr>
                <w:b w:val="0"/>
                <w:bCs/>
              </w:rPr>
              <w:t>Yes</w:t>
            </w:r>
          </w:p>
        </w:tc>
      </w:tr>
      <w:tr w:rsidR="004B6990" w:rsidRPr="002C633F" w14:paraId="0A87C1E8" w14:textId="77777777" w:rsidTr="019A69A2">
        <w:trPr>
          <w:tblHeader/>
        </w:trPr>
        <w:tc>
          <w:tcPr>
            <w:tcW w:w="5000" w:type="pct"/>
            <w:gridSpan w:val="3"/>
            <w:vAlign w:val="center"/>
          </w:tcPr>
          <w:p w14:paraId="320F283F" w14:textId="2471D030" w:rsidR="004B6990" w:rsidRPr="00265ED8" w:rsidRDefault="004B6990" w:rsidP="00F36268">
            <w:pPr>
              <w:pStyle w:val="In-tableHeading"/>
              <w:keepNext w:val="0"/>
              <w:rPr>
                <w:b w:val="0"/>
                <w:bCs/>
              </w:rPr>
            </w:pPr>
            <w:r w:rsidRPr="00265ED8">
              <w:t>Revision of the economic model</w:t>
            </w:r>
          </w:p>
        </w:tc>
      </w:tr>
      <w:tr w:rsidR="002D01B2" w:rsidRPr="002C633F" w14:paraId="33335036" w14:textId="77777777" w:rsidTr="019A69A2">
        <w:trPr>
          <w:tblHeader/>
        </w:trPr>
        <w:tc>
          <w:tcPr>
            <w:tcW w:w="2592" w:type="pct"/>
          </w:tcPr>
          <w:p w14:paraId="1526A847" w14:textId="623EA299" w:rsidR="004B6990" w:rsidRPr="004B6990" w:rsidRDefault="004B6990" w:rsidP="00F36268">
            <w:pPr>
              <w:pStyle w:val="In-tableHeading"/>
              <w:keepNext w:val="0"/>
              <w:rPr>
                <w:b w:val="0"/>
                <w:bCs/>
              </w:rPr>
            </w:pPr>
            <w:r w:rsidRPr="004B6990">
              <w:rPr>
                <w:b w:val="0"/>
                <w:bCs/>
              </w:rPr>
              <w:t xml:space="preserve">The PBAC considered that a more reasonable base case would incorporate more conservative assumptions regarding PFS/OS (Weibull extrapolation function for PFS) and </w:t>
            </w:r>
            <w:r w:rsidRPr="004B6990">
              <w:rPr>
                <w:b w:val="0"/>
                <w:bCs/>
                <w:lang w:val="en-GB"/>
              </w:rPr>
              <w:t>utility values (as per dabrafenib + trametinib submission, March 2024 PBAC meeting)</w:t>
            </w:r>
            <w:r w:rsidR="00654997">
              <w:rPr>
                <w:b w:val="0"/>
                <w:bCs/>
                <w:lang w:val="en-GB"/>
              </w:rPr>
              <w:t>.</w:t>
            </w:r>
          </w:p>
        </w:tc>
        <w:tc>
          <w:tcPr>
            <w:tcW w:w="1747" w:type="pct"/>
          </w:tcPr>
          <w:p w14:paraId="22ABC864" w14:textId="77777777" w:rsidR="004B6990" w:rsidRDefault="007658B8" w:rsidP="00F36268">
            <w:pPr>
              <w:pStyle w:val="In-tableHeading"/>
              <w:keepNext w:val="0"/>
              <w:rPr>
                <w:b w:val="0"/>
                <w:bCs/>
                <w:lang w:val="en-GB"/>
              </w:rPr>
            </w:pPr>
            <w:r w:rsidRPr="007658B8">
              <w:rPr>
                <w:b w:val="0"/>
                <w:bCs/>
                <w:lang w:val="en-GB"/>
              </w:rPr>
              <w:t xml:space="preserve">The </w:t>
            </w:r>
            <w:r>
              <w:rPr>
                <w:b w:val="0"/>
                <w:bCs/>
                <w:lang w:val="en-GB"/>
              </w:rPr>
              <w:t xml:space="preserve">submission stated the </w:t>
            </w:r>
            <w:r w:rsidRPr="007658B8">
              <w:rPr>
                <w:b w:val="0"/>
                <w:bCs/>
                <w:lang w:val="en-GB"/>
              </w:rPr>
              <w:t>only major revisions to the model include the incorporation of a reduced price for vorasidenib and the incorporation of updated PFS data from INDIGO.</w:t>
            </w:r>
          </w:p>
          <w:p w14:paraId="37FB4533" w14:textId="1B4A06C1" w:rsidR="00233972" w:rsidRDefault="00233972" w:rsidP="00F36268">
            <w:pPr>
              <w:pStyle w:val="In-tableHeading"/>
              <w:keepNext w:val="0"/>
              <w:rPr>
                <w:b w:val="0"/>
                <w:bCs/>
                <w:lang w:val="en-GB"/>
              </w:rPr>
            </w:pPr>
            <w:r>
              <w:rPr>
                <w:b w:val="0"/>
                <w:bCs/>
                <w:lang w:val="en-GB"/>
              </w:rPr>
              <w:t xml:space="preserve">No changes to </w:t>
            </w:r>
            <w:r w:rsidR="009772FB">
              <w:rPr>
                <w:b w:val="0"/>
                <w:bCs/>
                <w:lang w:val="en-GB"/>
              </w:rPr>
              <w:t xml:space="preserve">structural </w:t>
            </w:r>
            <w:r>
              <w:rPr>
                <w:b w:val="0"/>
                <w:bCs/>
                <w:lang w:val="en-GB"/>
              </w:rPr>
              <w:t>PFS/OS assumptions.</w:t>
            </w:r>
          </w:p>
          <w:p w14:paraId="07127676" w14:textId="5719931E" w:rsidR="00233972" w:rsidRPr="00FF5EFD" w:rsidRDefault="00233972" w:rsidP="00F36268">
            <w:pPr>
              <w:pStyle w:val="In-tableHeading"/>
              <w:keepNext w:val="0"/>
              <w:rPr>
                <w:b w:val="0"/>
                <w:bCs/>
              </w:rPr>
            </w:pPr>
            <w:r>
              <w:rPr>
                <w:b w:val="0"/>
                <w:bCs/>
                <w:lang w:val="en-GB"/>
              </w:rPr>
              <w:t>No changes to</w:t>
            </w:r>
            <w:r w:rsidR="000F5DC1">
              <w:rPr>
                <w:b w:val="0"/>
                <w:bCs/>
                <w:lang w:val="en-GB"/>
              </w:rPr>
              <w:t xml:space="preserve"> the</w:t>
            </w:r>
            <w:r>
              <w:rPr>
                <w:b w:val="0"/>
                <w:bCs/>
                <w:lang w:val="en-GB"/>
              </w:rPr>
              <w:t xml:space="preserve"> approach to utility values.</w:t>
            </w:r>
          </w:p>
        </w:tc>
        <w:tc>
          <w:tcPr>
            <w:tcW w:w="661" w:type="pct"/>
          </w:tcPr>
          <w:p w14:paraId="6A5753B6" w14:textId="739CF970" w:rsidR="004B6990" w:rsidRPr="00265ED8" w:rsidRDefault="00DA2C0C" w:rsidP="00F36268">
            <w:pPr>
              <w:pStyle w:val="In-tableHeading"/>
              <w:keepNext w:val="0"/>
              <w:rPr>
                <w:b w:val="0"/>
                <w:bCs/>
              </w:rPr>
            </w:pPr>
            <w:r w:rsidRPr="00265ED8">
              <w:rPr>
                <w:b w:val="0"/>
                <w:bCs/>
              </w:rPr>
              <w:t>Partially addressed</w:t>
            </w:r>
          </w:p>
        </w:tc>
      </w:tr>
      <w:tr w:rsidR="002D01B2" w:rsidRPr="002C633F" w14:paraId="4176F06A" w14:textId="77777777" w:rsidTr="019A69A2">
        <w:trPr>
          <w:tblHeader/>
        </w:trPr>
        <w:tc>
          <w:tcPr>
            <w:tcW w:w="2592" w:type="pct"/>
          </w:tcPr>
          <w:p w14:paraId="58F55FDC" w14:textId="22D911CF" w:rsidR="004B6990" w:rsidRPr="004B6990" w:rsidRDefault="004B6990" w:rsidP="00F36268">
            <w:pPr>
              <w:pStyle w:val="In-tableHeading"/>
              <w:keepNext w:val="0"/>
              <w:rPr>
                <w:b w:val="0"/>
                <w:bCs/>
              </w:rPr>
            </w:pPr>
            <w:r w:rsidRPr="004B6990">
              <w:rPr>
                <w:b w:val="0"/>
                <w:bCs/>
                <w:lang w:val="en-GB"/>
              </w:rPr>
              <w:t>Including the revisions of the economic model as proposed, the resultant ICER should be $</w:t>
            </w:r>
            <w:r w:rsidR="0024159D" w:rsidRPr="0024159D">
              <w:rPr>
                <w:b w:val="0"/>
                <w:bCs/>
                <w:sz w:val="2"/>
                <w:highlight w:val="black"/>
                <w:lang w:val="en-GB"/>
              </w:rPr>
              <w:t>redacted content</w:t>
            </w:r>
            <w:r w:rsidR="005933B0">
              <w:rPr>
                <w:b w:val="0"/>
                <w:bCs/>
                <w:vertAlign w:val="superscript"/>
                <w:lang w:val="en-GB"/>
              </w:rPr>
              <w:t>1</w:t>
            </w:r>
            <w:r w:rsidRPr="004B6990">
              <w:rPr>
                <w:b w:val="0"/>
                <w:bCs/>
                <w:lang w:val="en-GB"/>
              </w:rPr>
              <w:t>/QALY or less, reflecting the high level of uncertainty regarding the magnitude of long</w:t>
            </w:r>
            <w:r w:rsidR="00B571FA">
              <w:rPr>
                <w:b w:val="0"/>
                <w:bCs/>
                <w:lang w:val="en-GB"/>
              </w:rPr>
              <w:noBreakHyphen/>
            </w:r>
            <w:r w:rsidRPr="004B6990">
              <w:rPr>
                <w:b w:val="0"/>
                <w:bCs/>
                <w:lang w:val="en-GB"/>
              </w:rPr>
              <w:t>term benefits of treatment</w:t>
            </w:r>
            <w:r w:rsidR="00290D34">
              <w:rPr>
                <w:b w:val="0"/>
                <w:bCs/>
                <w:lang w:val="en-GB"/>
              </w:rPr>
              <w:t xml:space="preserve"> (</w:t>
            </w:r>
            <w:r w:rsidR="007F7C3B">
              <w:rPr>
                <w:b w:val="0"/>
                <w:bCs/>
                <w:lang w:val="en-GB"/>
              </w:rPr>
              <w:t>paragraph</w:t>
            </w:r>
            <w:r w:rsidR="00943C10">
              <w:rPr>
                <w:b w:val="0"/>
                <w:bCs/>
                <w:lang w:val="en-GB"/>
              </w:rPr>
              <w:t xml:space="preserve"> 7.15).</w:t>
            </w:r>
          </w:p>
        </w:tc>
        <w:tc>
          <w:tcPr>
            <w:tcW w:w="1747" w:type="pct"/>
          </w:tcPr>
          <w:p w14:paraId="586B4FAA" w14:textId="459E80A6" w:rsidR="004B6990" w:rsidRPr="00FF5EFD" w:rsidRDefault="00253E97" w:rsidP="00F36268">
            <w:pPr>
              <w:pStyle w:val="In-tableHeading"/>
              <w:keepNext w:val="0"/>
              <w:rPr>
                <w:b w:val="0"/>
                <w:bCs/>
              </w:rPr>
            </w:pPr>
            <w:r w:rsidRPr="00110FD7">
              <w:rPr>
                <w:b w:val="0"/>
                <w:bCs/>
                <w:lang w:val="en-GB"/>
              </w:rPr>
              <w:t>The base case ICER for vorasidenib presented in the resubmission is $</w:t>
            </w:r>
            <w:r w:rsidR="0024159D" w:rsidRPr="0024159D">
              <w:rPr>
                <w:b w:val="0"/>
                <w:bCs/>
                <w:sz w:val="2"/>
                <w:highlight w:val="black"/>
                <w:lang w:val="en-GB"/>
              </w:rPr>
              <w:t>redacted content</w:t>
            </w:r>
            <w:r w:rsidR="005933B0">
              <w:rPr>
                <w:b w:val="0"/>
                <w:bCs/>
                <w:vertAlign w:val="superscript"/>
                <w:lang w:val="en-GB"/>
              </w:rPr>
              <w:t>2</w:t>
            </w:r>
            <w:r w:rsidRPr="00110FD7">
              <w:rPr>
                <w:b w:val="0"/>
                <w:bCs/>
                <w:lang w:val="en-GB"/>
              </w:rPr>
              <w:t>/QALY</w:t>
            </w:r>
            <w:r>
              <w:rPr>
                <w:b w:val="0"/>
                <w:bCs/>
                <w:lang w:val="en-GB"/>
              </w:rPr>
              <w:t>.</w:t>
            </w:r>
          </w:p>
        </w:tc>
        <w:tc>
          <w:tcPr>
            <w:tcW w:w="661" w:type="pct"/>
          </w:tcPr>
          <w:p w14:paraId="27DC174F" w14:textId="27D85DBF" w:rsidR="004B6990" w:rsidRPr="00265ED8" w:rsidRDefault="00253E97" w:rsidP="00F36268">
            <w:pPr>
              <w:pStyle w:val="In-tableHeading"/>
              <w:keepNext w:val="0"/>
              <w:rPr>
                <w:b w:val="0"/>
                <w:bCs/>
              </w:rPr>
            </w:pPr>
            <w:r w:rsidRPr="00265ED8">
              <w:rPr>
                <w:b w:val="0"/>
                <w:bCs/>
              </w:rPr>
              <w:t>No</w:t>
            </w:r>
          </w:p>
        </w:tc>
      </w:tr>
      <w:tr w:rsidR="002D01B2" w:rsidRPr="002C633F" w14:paraId="0D34E358" w14:textId="77777777" w:rsidTr="019A69A2">
        <w:trPr>
          <w:tblHeader/>
        </w:trPr>
        <w:tc>
          <w:tcPr>
            <w:tcW w:w="2592" w:type="pct"/>
          </w:tcPr>
          <w:p w14:paraId="1FD208D7" w14:textId="24F16E3B" w:rsidR="00CA38A4" w:rsidRPr="00CA38A4" w:rsidRDefault="00CA38A4" w:rsidP="00F36268">
            <w:pPr>
              <w:pStyle w:val="In-tableHeading"/>
              <w:keepNext w:val="0"/>
              <w:rPr>
                <w:b w:val="0"/>
                <w:bCs/>
                <w:lang w:val="en-GB"/>
              </w:rPr>
            </w:pPr>
            <w:r w:rsidRPr="00CA38A4">
              <w:rPr>
                <w:b w:val="0"/>
                <w:bCs/>
                <w:lang w:val="en-GB"/>
              </w:rPr>
              <w:t>Proposal of a risk</w:t>
            </w:r>
            <w:r w:rsidR="009600B4">
              <w:rPr>
                <w:b w:val="0"/>
                <w:bCs/>
                <w:lang w:val="en-GB"/>
              </w:rPr>
              <w:t xml:space="preserve"> </w:t>
            </w:r>
            <w:r w:rsidRPr="00CA38A4">
              <w:rPr>
                <w:b w:val="0"/>
                <w:bCs/>
                <w:lang w:val="en-GB"/>
              </w:rPr>
              <w:t>sharing arrangement that addresses the potential for use beyond radiographic progression (</w:t>
            </w:r>
            <w:r w:rsidR="007F7C3B">
              <w:rPr>
                <w:b w:val="0"/>
                <w:bCs/>
                <w:lang w:val="en-GB"/>
              </w:rPr>
              <w:t>paragraph</w:t>
            </w:r>
            <w:r w:rsidR="00C35800">
              <w:rPr>
                <w:b w:val="0"/>
                <w:bCs/>
                <w:lang w:val="en-GB"/>
              </w:rPr>
              <w:t xml:space="preserve"> </w:t>
            </w:r>
            <w:r w:rsidR="00901539">
              <w:rPr>
                <w:b w:val="0"/>
                <w:bCs/>
                <w:lang w:val="en-GB"/>
              </w:rPr>
              <w:t>7.15</w:t>
            </w:r>
            <w:r w:rsidR="00290D34">
              <w:rPr>
                <w:b w:val="0"/>
                <w:bCs/>
                <w:lang w:val="en-GB"/>
              </w:rPr>
              <w:t>)</w:t>
            </w:r>
            <w:r w:rsidR="00654997">
              <w:rPr>
                <w:b w:val="0"/>
                <w:bCs/>
                <w:lang w:val="en-GB"/>
              </w:rPr>
              <w:t>.</w:t>
            </w:r>
          </w:p>
        </w:tc>
        <w:tc>
          <w:tcPr>
            <w:tcW w:w="1747" w:type="pct"/>
          </w:tcPr>
          <w:p w14:paraId="57A9E304" w14:textId="3344B9BF" w:rsidR="00CA38A4" w:rsidRPr="00FF5EFD" w:rsidRDefault="0098544B" w:rsidP="00F36268">
            <w:pPr>
              <w:pStyle w:val="In-tableHeading"/>
              <w:keepNext w:val="0"/>
              <w:rPr>
                <w:b w:val="0"/>
                <w:bCs/>
              </w:rPr>
            </w:pPr>
            <w:r w:rsidRPr="00110FD7">
              <w:rPr>
                <w:b w:val="0"/>
                <w:bCs/>
                <w:lang w:val="en-GB"/>
              </w:rPr>
              <w:t xml:space="preserve">The </w:t>
            </w:r>
            <w:r>
              <w:rPr>
                <w:b w:val="0"/>
                <w:bCs/>
                <w:lang w:val="en-GB"/>
              </w:rPr>
              <w:t>submission proposed a</w:t>
            </w:r>
            <w:r w:rsidR="00015283">
              <w:rPr>
                <w:b w:val="0"/>
                <w:bCs/>
                <w:lang w:val="en-GB"/>
              </w:rPr>
              <w:t xml:space="preserve"> tiered</w:t>
            </w:r>
            <w:r>
              <w:rPr>
                <w:b w:val="0"/>
                <w:bCs/>
                <w:lang w:val="en-GB"/>
              </w:rPr>
              <w:t xml:space="preserve"> </w:t>
            </w:r>
            <w:r w:rsidRPr="00110FD7">
              <w:rPr>
                <w:b w:val="0"/>
                <w:bCs/>
                <w:lang w:val="en-GB"/>
              </w:rPr>
              <w:t xml:space="preserve">RSA </w:t>
            </w:r>
            <w:r>
              <w:rPr>
                <w:b w:val="0"/>
                <w:bCs/>
                <w:lang w:val="en-GB"/>
              </w:rPr>
              <w:t>including</w:t>
            </w:r>
            <w:r w:rsidRPr="00110FD7">
              <w:rPr>
                <w:b w:val="0"/>
                <w:bCs/>
                <w:lang w:val="en-GB"/>
              </w:rPr>
              <w:t xml:space="preserve"> reimbursement of </w:t>
            </w:r>
            <w:r w:rsidR="0024159D" w:rsidRPr="0024159D">
              <w:rPr>
                <w:b w:val="0"/>
                <w:bCs/>
                <w:sz w:val="2"/>
                <w:highlight w:val="black"/>
                <w:lang w:val="en-GB"/>
              </w:rPr>
              <w:t>redacted content</w:t>
            </w:r>
            <w:r w:rsidRPr="00110FD7">
              <w:rPr>
                <w:b w:val="0"/>
                <w:bCs/>
                <w:lang w:val="en-GB"/>
              </w:rPr>
              <w:t xml:space="preserve">% of </w:t>
            </w:r>
            <w:r w:rsidR="00F72806">
              <w:rPr>
                <w:b w:val="0"/>
                <w:bCs/>
                <w:lang w:val="en-GB"/>
              </w:rPr>
              <w:t>expenditure</w:t>
            </w:r>
            <w:r w:rsidRPr="00110FD7">
              <w:rPr>
                <w:b w:val="0"/>
                <w:bCs/>
                <w:lang w:val="en-GB"/>
              </w:rPr>
              <w:t xml:space="preserve"> exceeding </w:t>
            </w:r>
            <w:r w:rsidR="00C7069E">
              <w:rPr>
                <w:b w:val="0"/>
                <w:bCs/>
                <w:lang w:val="en-GB"/>
              </w:rPr>
              <w:t>financial caps</w:t>
            </w:r>
            <w:r w:rsidRPr="00110FD7">
              <w:rPr>
                <w:b w:val="0"/>
                <w:bCs/>
                <w:lang w:val="en-GB"/>
              </w:rPr>
              <w:t xml:space="preserve"> by </w:t>
            </w:r>
            <w:r w:rsidR="00290D34">
              <w:rPr>
                <w:b w:val="0"/>
                <w:bCs/>
                <w:lang w:val="en-GB"/>
              </w:rPr>
              <w:t>up to</w:t>
            </w:r>
            <w:r w:rsidRPr="00110FD7">
              <w:rPr>
                <w:b w:val="0"/>
                <w:bCs/>
                <w:lang w:val="en-GB"/>
              </w:rPr>
              <w:t xml:space="preserve"> </w:t>
            </w:r>
            <w:r w:rsidR="0024159D" w:rsidRPr="0024159D">
              <w:rPr>
                <w:b w:val="0"/>
                <w:bCs/>
                <w:sz w:val="2"/>
                <w:highlight w:val="black"/>
                <w:lang w:val="en-GB"/>
              </w:rPr>
              <w:t>redacted content</w:t>
            </w:r>
            <w:r w:rsidRPr="00110FD7">
              <w:rPr>
                <w:b w:val="0"/>
                <w:bCs/>
                <w:lang w:val="en-GB"/>
              </w:rPr>
              <w:t xml:space="preserve">%, and reimbursement of </w:t>
            </w:r>
            <w:r w:rsidR="0024159D" w:rsidRPr="0024159D">
              <w:rPr>
                <w:b w:val="0"/>
                <w:bCs/>
                <w:sz w:val="2"/>
                <w:highlight w:val="black"/>
                <w:lang w:val="en-GB"/>
              </w:rPr>
              <w:t>redacted content</w:t>
            </w:r>
            <w:r w:rsidRPr="00110FD7">
              <w:rPr>
                <w:b w:val="0"/>
                <w:bCs/>
                <w:lang w:val="en-GB"/>
              </w:rPr>
              <w:t xml:space="preserve">% of any </w:t>
            </w:r>
            <w:r w:rsidR="00F72806">
              <w:rPr>
                <w:b w:val="0"/>
                <w:bCs/>
                <w:lang w:val="en-GB"/>
              </w:rPr>
              <w:t>expenditure</w:t>
            </w:r>
            <w:r w:rsidRPr="00110FD7">
              <w:rPr>
                <w:b w:val="0"/>
                <w:bCs/>
                <w:lang w:val="en-GB"/>
              </w:rPr>
              <w:t xml:space="preserve"> exceeding </w:t>
            </w:r>
            <w:r w:rsidR="00015283">
              <w:rPr>
                <w:b w:val="0"/>
                <w:bCs/>
                <w:lang w:val="en-GB"/>
              </w:rPr>
              <w:t>financial caps</w:t>
            </w:r>
            <w:r w:rsidRPr="00110FD7">
              <w:rPr>
                <w:b w:val="0"/>
                <w:bCs/>
                <w:lang w:val="en-GB"/>
              </w:rPr>
              <w:t xml:space="preserve"> by greater than </w:t>
            </w:r>
            <w:r w:rsidR="0024159D" w:rsidRPr="0024159D">
              <w:rPr>
                <w:b w:val="0"/>
                <w:bCs/>
                <w:sz w:val="2"/>
                <w:highlight w:val="black"/>
                <w:lang w:val="en-GB"/>
              </w:rPr>
              <w:t>redacted content</w:t>
            </w:r>
            <w:r w:rsidRPr="00110FD7">
              <w:rPr>
                <w:b w:val="0"/>
                <w:bCs/>
                <w:lang w:val="en-GB"/>
              </w:rPr>
              <w:t>%.</w:t>
            </w:r>
          </w:p>
        </w:tc>
        <w:tc>
          <w:tcPr>
            <w:tcW w:w="661" w:type="pct"/>
          </w:tcPr>
          <w:p w14:paraId="2B76F229" w14:textId="78CDBFE8" w:rsidR="00CA38A4" w:rsidRPr="00265ED8" w:rsidRDefault="00290D34" w:rsidP="00F36268">
            <w:pPr>
              <w:pStyle w:val="In-tableHeading"/>
              <w:keepNext w:val="0"/>
              <w:rPr>
                <w:b w:val="0"/>
                <w:bCs/>
              </w:rPr>
            </w:pPr>
            <w:r w:rsidRPr="00265ED8">
              <w:rPr>
                <w:b w:val="0"/>
                <w:bCs/>
              </w:rPr>
              <w:t>Yes</w:t>
            </w:r>
          </w:p>
        </w:tc>
      </w:tr>
      <w:tr w:rsidR="00F2771D" w:rsidRPr="002C633F" w14:paraId="618E248F" w14:textId="77777777" w:rsidTr="019A69A2">
        <w:trPr>
          <w:tblHeader/>
        </w:trPr>
        <w:tc>
          <w:tcPr>
            <w:tcW w:w="5000" w:type="pct"/>
            <w:gridSpan w:val="3"/>
          </w:tcPr>
          <w:p w14:paraId="7A531D0B" w14:textId="6602EC3D" w:rsidR="00F2771D" w:rsidRPr="00265ED8" w:rsidRDefault="00F2771D" w:rsidP="00F36268">
            <w:pPr>
              <w:pStyle w:val="In-tableHeading"/>
              <w:keepNext w:val="0"/>
              <w:rPr>
                <w:b w:val="0"/>
                <w:bCs/>
              </w:rPr>
            </w:pPr>
            <w:r w:rsidRPr="00265ED8">
              <w:rPr>
                <w:lang w:val="en-GB"/>
              </w:rPr>
              <w:t>Revision of price</w:t>
            </w:r>
          </w:p>
        </w:tc>
      </w:tr>
      <w:tr w:rsidR="002D01B2" w:rsidRPr="002C633F" w14:paraId="3D637BE0" w14:textId="77777777" w:rsidTr="019A69A2">
        <w:trPr>
          <w:tblHeader/>
        </w:trPr>
        <w:tc>
          <w:tcPr>
            <w:tcW w:w="2592" w:type="pct"/>
          </w:tcPr>
          <w:p w14:paraId="57E355E1" w14:textId="6BD7486A" w:rsidR="007F3663" w:rsidRPr="00CE23CE" w:rsidRDefault="00CE23CE" w:rsidP="00F36268">
            <w:pPr>
              <w:pStyle w:val="In-tableHeading"/>
              <w:keepNext w:val="0"/>
              <w:rPr>
                <w:b w:val="0"/>
                <w:bCs/>
                <w:lang w:val="en-GB"/>
              </w:rPr>
            </w:pPr>
            <w:r w:rsidRPr="00110FD7">
              <w:rPr>
                <w:b w:val="0"/>
                <w:bCs/>
                <w:snapToGrid w:val="0"/>
              </w:rPr>
              <w:t xml:space="preserve">The PBAC considered that at the proposed price for vorasidenib the cost per patient per month for treatment was very high, particularly in the context of a treatment that may continue for many years, due to the variable and often extended </w:t>
            </w:r>
            <w:proofErr w:type="gramStart"/>
            <w:r w:rsidRPr="00110FD7">
              <w:rPr>
                <w:b w:val="0"/>
                <w:bCs/>
                <w:snapToGrid w:val="0"/>
              </w:rPr>
              <w:t>time period</w:t>
            </w:r>
            <w:proofErr w:type="gramEnd"/>
            <w:r w:rsidRPr="00110FD7">
              <w:rPr>
                <w:b w:val="0"/>
                <w:bCs/>
                <w:snapToGrid w:val="0"/>
              </w:rPr>
              <w:t xml:space="preserve"> between surgery and symptomatic progression</w:t>
            </w:r>
            <w:r w:rsidR="00F75F69">
              <w:rPr>
                <w:b w:val="0"/>
                <w:bCs/>
                <w:snapToGrid w:val="0"/>
              </w:rPr>
              <w:t xml:space="preserve"> (</w:t>
            </w:r>
            <w:r w:rsidR="007F7C3B">
              <w:rPr>
                <w:b w:val="0"/>
                <w:bCs/>
                <w:snapToGrid w:val="0"/>
              </w:rPr>
              <w:t>paragraph</w:t>
            </w:r>
            <w:r w:rsidR="00F75F69">
              <w:rPr>
                <w:b w:val="0"/>
                <w:bCs/>
                <w:snapToGrid w:val="0"/>
              </w:rPr>
              <w:t xml:space="preserve"> 7.14)</w:t>
            </w:r>
            <w:r w:rsidR="00F64F89">
              <w:rPr>
                <w:b w:val="0"/>
                <w:bCs/>
                <w:snapToGrid w:val="0"/>
              </w:rPr>
              <w:t>.</w:t>
            </w:r>
          </w:p>
        </w:tc>
        <w:tc>
          <w:tcPr>
            <w:tcW w:w="1747" w:type="pct"/>
          </w:tcPr>
          <w:p w14:paraId="476274FA" w14:textId="17D214B0" w:rsidR="00A82562" w:rsidRPr="00FF5EFD" w:rsidRDefault="00CE23CE" w:rsidP="00F36268">
            <w:pPr>
              <w:pStyle w:val="In-tableHeading"/>
              <w:keepNext w:val="0"/>
              <w:rPr>
                <w:b w:val="0"/>
              </w:rPr>
            </w:pPr>
            <w:r w:rsidRPr="00FF5EFD">
              <w:rPr>
                <w:b w:val="0"/>
                <w:bCs/>
              </w:rPr>
              <w:t xml:space="preserve">The resubmission </w:t>
            </w:r>
            <w:r w:rsidR="00805D5E">
              <w:rPr>
                <w:b w:val="0"/>
                <w:bCs/>
              </w:rPr>
              <w:t>updated</w:t>
            </w:r>
            <w:r w:rsidR="00C113FB">
              <w:rPr>
                <w:b w:val="0"/>
                <w:bCs/>
              </w:rPr>
              <w:t xml:space="preserve"> </w:t>
            </w:r>
            <w:r w:rsidR="002E642B">
              <w:rPr>
                <w:b w:val="0"/>
                <w:bCs/>
              </w:rPr>
              <w:t>the effective DPMQ of vorasidenib to $</w:t>
            </w:r>
            <w:r w:rsidR="0024159D" w:rsidRPr="0024159D">
              <w:rPr>
                <w:b w:val="0"/>
                <w:bCs/>
                <w:sz w:val="2"/>
                <w:highlight w:val="black"/>
              </w:rPr>
              <w:t>redacted content</w:t>
            </w:r>
            <w:r w:rsidR="002E642B">
              <w:rPr>
                <w:b w:val="0"/>
                <w:bCs/>
              </w:rPr>
              <w:t xml:space="preserve"> (</w:t>
            </w:r>
            <w:r w:rsidR="002E642B" w:rsidRPr="00ED0C86">
              <w:rPr>
                <w:b w:val="0"/>
                <w:bCs/>
              </w:rPr>
              <w:t xml:space="preserve">from </w:t>
            </w:r>
            <w:r w:rsidR="002E642B" w:rsidRPr="005933B0">
              <w:rPr>
                <w:b w:val="0"/>
                <w:bCs/>
              </w:rPr>
              <w:t>$</w:t>
            </w:r>
            <w:r w:rsidR="0024159D" w:rsidRPr="0024159D">
              <w:rPr>
                <w:b w:val="0"/>
                <w:bCs/>
                <w:sz w:val="2"/>
                <w:highlight w:val="black"/>
              </w:rPr>
              <w:t>redacted content</w:t>
            </w:r>
            <w:r w:rsidR="002E642B">
              <w:rPr>
                <w:b w:val="0"/>
                <w:bCs/>
              </w:rPr>
              <w:t>)</w:t>
            </w:r>
            <w:r w:rsidR="004F1F6F">
              <w:rPr>
                <w:b w:val="0"/>
                <w:bCs/>
              </w:rPr>
              <w:t>.</w:t>
            </w:r>
          </w:p>
        </w:tc>
        <w:tc>
          <w:tcPr>
            <w:tcW w:w="661" w:type="pct"/>
          </w:tcPr>
          <w:p w14:paraId="272E7C4E" w14:textId="751E104D" w:rsidR="007F3663" w:rsidRPr="00265ED8" w:rsidRDefault="00122D50" w:rsidP="00F36268">
            <w:pPr>
              <w:pStyle w:val="In-tableHeading"/>
              <w:keepNext w:val="0"/>
              <w:rPr>
                <w:b w:val="0"/>
                <w:bCs/>
              </w:rPr>
            </w:pPr>
            <w:r w:rsidRPr="00265ED8">
              <w:rPr>
                <w:b w:val="0"/>
                <w:bCs/>
              </w:rPr>
              <w:t>For PBAC consideration</w:t>
            </w:r>
          </w:p>
        </w:tc>
      </w:tr>
      <w:tr w:rsidR="00F2771D" w:rsidRPr="00F2771D" w14:paraId="22CC6D2F" w14:textId="77777777" w:rsidTr="019A69A2">
        <w:trPr>
          <w:tblHeader/>
        </w:trPr>
        <w:tc>
          <w:tcPr>
            <w:tcW w:w="5000" w:type="pct"/>
            <w:gridSpan w:val="3"/>
          </w:tcPr>
          <w:p w14:paraId="4A0AFE59" w14:textId="0778A06E" w:rsidR="00F2771D" w:rsidRPr="00265ED8" w:rsidRDefault="00F2771D" w:rsidP="00F36268">
            <w:pPr>
              <w:pStyle w:val="In-tableHeading"/>
              <w:keepNext w:val="0"/>
            </w:pPr>
            <w:r w:rsidRPr="00265ED8">
              <w:rPr>
                <w:snapToGrid w:val="0"/>
              </w:rPr>
              <w:t>Revision of financial estimates</w:t>
            </w:r>
          </w:p>
        </w:tc>
      </w:tr>
      <w:tr w:rsidR="005E1A95" w:rsidRPr="002C633F" w14:paraId="688F6C76" w14:textId="77777777" w:rsidTr="019A69A2">
        <w:trPr>
          <w:tblHeader/>
        </w:trPr>
        <w:tc>
          <w:tcPr>
            <w:tcW w:w="2592" w:type="pct"/>
          </w:tcPr>
          <w:p w14:paraId="67086F2D" w14:textId="1202120A" w:rsidR="005E1A95" w:rsidRPr="00110FD7" w:rsidRDefault="00327618" w:rsidP="00F36268">
            <w:pPr>
              <w:pStyle w:val="TableText"/>
              <w:keepNext w:val="0"/>
              <w:rPr>
                <w:b/>
              </w:rPr>
            </w:pPr>
            <w:r>
              <w:rPr>
                <w:lang w:val="en-US"/>
              </w:rPr>
              <w:t>The PBAC considered the resubmission sh</w:t>
            </w:r>
            <w:r w:rsidR="0065525A">
              <w:rPr>
                <w:lang w:val="en-US"/>
              </w:rPr>
              <w:t>ould provide r</w:t>
            </w:r>
            <w:r w:rsidR="002B540C" w:rsidRPr="00110FD7">
              <w:rPr>
                <w:lang w:val="en-US"/>
              </w:rPr>
              <w:t>evised financial estimates with corrections to cost and persistence rate calculations, inclusion of prevalent patients from before 2020 (</w:t>
            </w:r>
            <w:r w:rsidR="007F7C3B">
              <w:rPr>
                <w:lang w:val="en-US"/>
              </w:rPr>
              <w:t>paragraph</w:t>
            </w:r>
            <w:r w:rsidR="002B540C" w:rsidRPr="00110FD7">
              <w:rPr>
                <w:lang w:val="en-US"/>
              </w:rPr>
              <w:t xml:space="preserve"> 7.13) and revised mean treatment duration (</w:t>
            </w:r>
            <w:r w:rsidR="007F7C3B">
              <w:rPr>
                <w:lang w:val="en-US"/>
              </w:rPr>
              <w:t>paragraph</w:t>
            </w:r>
            <w:r w:rsidR="002B540C" w:rsidRPr="00110FD7">
              <w:rPr>
                <w:lang w:val="en-US"/>
              </w:rPr>
              <w:t xml:space="preserve"> 7.14</w:t>
            </w:r>
            <w:r w:rsidR="004A5EC5">
              <w:rPr>
                <w:lang w:val="en-US"/>
              </w:rPr>
              <w:t>)</w:t>
            </w:r>
            <w:r w:rsidR="00A654F2">
              <w:rPr>
                <w:lang w:val="en-US"/>
              </w:rPr>
              <w:t>.</w:t>
            </w:r>
          </w:p>
        </w:tc>
        <w:tc>
          <w:tcPr>
            <w:tcW w:w="1747" w:type="pct"/>
          </w:tcPr>
          <w:p w14:paraId="7B390166" w14:textId="77777777" w:rsidR="005E1A95" w:rsidRDefault="00734BCE" w:rsidP="00F36268">
            <w:pPr>
              <w:pStyle w:val="In-tableHeading"/>
              <w:keepNext w:val="0"/>
              <w:rPr>
                <w:b w:val="0"/>
                <w:bCs/>
              </w:rPr>
            </w:pPr>
            <w:r w:rsidRPr="006A31C0">
              <w:rPr>
                <w:b w:val="0"/>
                <w:bCs/>
              </w:rPr>
              <w:t>Prevalent patients have been recalculated to include incident patients diagnosed from 2008 onwards.</w:t>
            </w:r>
          </w:p>
          <w:p w14:paraId="499E033D" w14:textId="3B571019" w:rsidR="00734BCE" w:rsidRPr="00FF5EFD" w:rsidRDefault="002E61D5" w:rsidP="00F36268">
            <w:pPr>
              <w:pStyle w:val="TableText"/>
              <w:keepNext w:val="0"/>
            </w:pPr>
            <w:r>
              <w:t>The p</w:t>
            </w:r>
            <w:r w:rsidRPr="006A31C0">
              <w:t xml:space="preserve">ersistence rate has been updated </w:t>
            </w:r>
            <w:r w:rsidR="006C4636">
              <w:t xml:space="preserve">(increased) </w:t>
            </w:r>
            <w:r w:rsidRPr="006A31C0">
              <w:t>to reflect the new base case for PFS, which is based on PFS per investigator results from the INDIGO trial with 22 months of additional follow</w:t>
            </w:r>
            <w:r w:rsidR="00B571FA">
              <w:noBreakHyphen/>
            </w:r>
            <w:r w:rsidRPr="006A31C0">
              <w:t>up from the data submitted in the initial submission.</w:t>
            </w:r>
          </w:p>
        </w:tc>
        <w:tc>
          <w:tcPr>
            <w:tcW w:w="661" w:type="pct"/>
          </w:tcPr>
          <w:p w14:paraId="4DEF1898" w14:textId="674DD1E5" w:rsidR="005E1A95" w:rsidRPr="00265ED8" w:rsidRDefault="006C4636" w:rsidP="00F36268">
            <w:pPr>
              <w:pStyle w:val="In-tableHeading"/>
              <w:keepNext w:val="0"/>
              <w:rPr>
                <w:b w:val="0"/>
                <w:bCs/>
              </w:rPr>
            </w:pPr>
            <w:r w:rsidRPr="00265ED8">
              <w:rPr>
                <w:b w:val="0"/>
                <w:bCs/>
              </w:rPr>
              <w:t>Yes</w:t>
            </w:r>
          </w:p>
        </w:tc>
      </w:tr>
    </w:tbl>
    <w:p w14:paraId="32B95A78" w14:textId="063A7ACB" w:rsidR="009D55E2" w:rsidRDefault="009D55E2" w:rsidP="00F36268">
      <w:pPr>
        <w:pStyle w:val="TableFigureFooter"/>
        <w:rPr>
          <w:bCs/>
          <w:lang w:val="en-GB"/>
        </w:rPr>
      </w:pPr>
      <w:r w:rsidRPr="002C633F">
        <w:t>Source: Table</w:t>
      </w:r>
      <w:r w:rsidR="007A1C49">
        <w:t xml:space="preserve"> A</w:t>
      </w:r>
      <w:r w:rsidR="00B571FA">
        <w:noBreakHyphen/>
      </w:r>
      <w:r w:rsidR="007A1C49">
        <w:t>1</w:t>
      </w:r>
      <w:r w:rsidRPr="002C633F">
        <w:t>, p</w:t>
      </w:r>
      <w:r w:rsidR="007A1C49">
        <w:t>p</w:t>
      </w:r>
      <w:r w:rsidR="00C50085">
        <w:t>2</w:t>
      </w:r>
      <w:r w:rsidR="00B571FA">
        <w:noBreakHyphen/>
      </w:r>
      <w:r w:rsidR="00C50085">
        <w:t>6</w:t>
      </w:r>
      <w:r w:rsidRPr="002C633F">
        <w:t xml:space="preserve"> of the submission</w:t>
      </w:r>
      <w:r w:rsidR="00803932">
        <w:t xml:space="preserve">, </w:t>
      </w:r>
      <w:r w:rsidR="00803932" w:rsidRPr="00CA38A4">
        <w:rPr>
          <w:bCs/>
          <w:lang w:val="en-GB"/>
        </w:rPr>
        <w:t>vorasidenib Public Summary Document (PSD), July 2025</w:t>
      </w:r>
      <w:r w:rsidR="00803932">
        <w:rPr>
          <w:bCs/>
          <w:lang w:val="en-GB"/>
        </w:rPr>
        <w:t xml:space="preserve"> PBAC Meeting</w:t>
      </w:r>
    </w:p>
    <w:p w14:paraId="74E7481C" w14:textId="7774DC71" w:rsidR="00A715C4" w:rsidRDefault="00A715C4" w:rsidP="00B11526">
      <w:pPr>
        <w:pStyle w:val="TableFigureFooter"/>
        <w:spacing w:after="0"/>
        <w:rPr>
          <w:bCs/>
          <w:lang w:val="en-GB"/>
        </w:rPr>
      </w:pPr>
      <w:r>
        <w:rPr>
          <w:bCs/>
          <w:lang w:val="en-GB"/>
        </w:rPr>
        <w:t xml:space="preserve">Abbreviations: </w:t>
      </w:r>
      <w:r w:rsidR="00EC3A76">
        <w:rPr>
          <w:bCs/>
          <w:lang w:val="en-GB"/>
        </w:rPr>
        <w:t xml:space="preserve">OS = overall survival; </w:t>
      </w:r>
      <w:r w:rsidR="00C04515">
        <w:rPr>
          <w:bCs/>
          <w:lang w:val="en-GB"/>
        </w:rPr>
        <w:t>PFS = progression</w:t>
      </w:r>
      <w:r w:rsidR="00B571FA">
        <w:rPr>
          <w:bCs/>
          <w:lang w:val="en-GB"/>
        </w:rPr>
        <w:noBreakHyphen/>
      </w:r>
      <w:r w:rsidR="00C04515">
        <w:rPr>
          <w:bCs/>
          <w:lang w:val="en-GB"/>
        </w:rPr>
        <w:t xml:space="preserve">free survival; PSD = </w:t>
      </w:r>
      <w:r w:rsidRPr="00CA38A4">
        <w:rPr>
          <w:bCs/>
          <w:lang w:val="en-GB"/>
        </w:rPr>
        <w:t>Public Summary Document</w:t>
      </w:r>
    </w:p>
    <w:p w14:paraId="47AA2F17" w14:textId="77777777" w:rsidR="00F972FB" w:rsidRPr="00F972FB" w:rsidRDefault="00F972FB" w:rsidP="00F972FB">
      <w:pPr>
        <w:jc w:val="left"/>
        <w:rPr>
          <w:rFonts w:ascii="Arial Narrow" w:hAnsi="Arial Narrow" w:cstheme="minorHAnsi"/>
          <w:bCs/>
          <w:i/>
          <w:iCs/>
          <w:sz w:val="18"/>
          <w:szCs w:val="18"/>
        </w:rPr>
      </w:pPr>
      <w:r w:rsidRPr="00F972FB">
        <w:rPr>
          <w:rFonts w:ascii="Arial Narrow" w:hAnsi="Arial Narrow" w:cstheme="minorHAnsi"/>
          <w:bCs/>
          <w:i/>
          <w:iCs/>
          <w:sz w:val="18"/>
          <w:szCs w:val="18"/>
        </w:rPr>
        <w:t xml:space="preserve">The redacted values correspond to the following ranges: </w:t>
      </w:r>
    </w:p>
    <w:p w14:paraId="66DD681C" w14:textId="0DA4DF57" w:rsidR="00F972FB" w:rsidRPr="0061495E" w:rsidRDefault="00F972FB" w:rsidP="00F972FB">
      <w:pPr>
        <w:jc w:val="left"/>
        <w:rPr>
          <w:rFonts w:ascii="Arial Narrow" w:hAnsi="Arial Narrow" w:cs="Arial"/>
          <w:bCs/>
          <w:i/>
          <w:sz w:val="18"/>
          <w:szCs w:val="18"/>
        </w:rPr>
      </w:pPr>
      <w:r w:rsidRPr="00F972FB">
        <w:rPr>
          <w:rFonts w:ascii="Arial Narrow" w:hAnsi="Arial Narrow" w:cs="Arial"/>
          <w:i/>
          <w:sz w:val="18"/>
          <w:szCs w:val="18"/>
          <w:vertAlign w:val="superscript"/>
        </w:rPr>
        <w:t>1</w:t>
      </w:r>
      <w:r w:rsidRPr="00F972FB">
        <w:rPr>
          <w:rFonts w:ascii="Arial Narrow" w:hAnsi="Arial Narrow" w:cs="Arial"/>
          <w:i/>
          <w:sz w:val="18"/>
          <w:szCs w:val="18"/>
        </w:rPr>
        <w:t xml:space="preserve"> </w:t>
      </w:r>
      <w:r w:rsidR="0061495E" w:rsidRPr="0061495E">
        <w:rPr>
          <w:rFonts w:ascii="Arial Narrow" w:hAnsi="Arial Narrow" w:cs="Arial"/>
          <w:bCs/>
          <w:i/>
          <w:sz w:val="18"/>
          <w:szCs w:val="18"/>
        </w:rPr>
        <w:t>$75,000 to &lt; $95,000</w:t>
      </w:r>
    </w:p>
    <w:p w14:paraId="1EE3BBDD" w14:textId="25200856" w:rsidR="00F972FB" w:rsidRPr="002C633F" w:rsidRDefault="00F972FB" w:rsidP="00D80C6D">
      <w:pPr>
        <w:jc w:val="left"/>
      </w:pPr>
      <w:r w:rsidRPr="00F972FB">
        <w:rPr>
          <w:rFonts w:ascii="Arial Narrow" w:hAnsi="Arial Narrow" w:cs="Arial"/>
          <w:i/>
          <w:sz w:val="18"/>
          <w:szCs w:val="18"/>
          <w:vertAlign w:val="superscript"/>
        </w:rPr>
        <w:t>2</w:t>
      </w:r>
      <w:r w:rsidRPr="00F972FB">
        <w:rPr>
          <w:rFonts w:ascii="Arial Narrow" w:hAnsi="Arial Narrow" w:cs="Arial"/>
          <w:i/>
          <w:sz w:val="18"/>
          <w:szCs w:val="18"/>
        </w:rPr>
        <w:t xml:space="preserve"> </w:t>
      </w:r>
      <w:r w:rsidR="00BA103C" w:rsidRPr="00BA103C">
        <w:rPr>
          <w:rFonts w:ascii="Arial Narrow" w:hAnsi="Arial Narrow" w:cs="Arial"/>
          <w:i/>
          <w:sz w:val="18"/>
          <w:szCs w:val="18"/>
        </w:rPr>
        <w:t>$95,000 to &lt; $115,000</w:t>
      </w:r>
    </w:p>
    <w:p w14:paraId="0935F4B2" w14:textId="15DE73BB" w:rsidR="5D80A09E" w:rsidRPr="006C5B33" w:rsidRDefault="004877C2" w:rsidP="00F36268">
      <w:pPr>
        <w:pStyle w:val="2-SectionHeading"/>
        <w:rPr>
          <w:rFonts w:eastAsiaTheme="minorEastAsia"/>
        </w:rPr>
      </w:pPr>
      <w:r w:rsidRPr="006C5B33">
        <w:t>Background</w:t>
      </w:r>
    </w:p>
    <w:p w14:paraId="2284745E" w14:textId="77777777" w:rsidR="000707F1" w:rsidRDefault="000707F1" w:rsidP="00F36268">
      <w:pPr>
        <w:pStyle w:val="3-BodyText"/>
      </w:pPr>
      <w:r w:rsidRPr="00F57392">
        <w:t xml:space="preserve">Vorasidenib was registered on the Australian Register of Therapeutic Goods (ARTG) on 11 September 2023 for the treatment of Grade 2 astrocytoma or </w:t>
      </w:r>
      <w:r w:rsidRPr="00F57392">
        <w:lastRenderedPageBreak/>
        <w:t>oligodendroglioma with a susceptible IDH1 mutation or IDH2 mutation in adults and paediatric patients 12 years and older, who are not in need of immediate chemotherapy or radiotherapy following surgical intervention.</w:t>
      </w:r>
    </w:p>
    <w:p w14:paraId="256C712D" w14:textId="2CEEA684" w:rsidR="0090775A" w:rsidRPr="00DE06AF" w:rsidRDefault="004F6160" w:rsidP="00F36268">
      <w:pPr>
        <w:pStyle w:val="3-BodyText"/>
      </w:pPr>
      <w:r>
        <w:t xml:space="preserve">The </w:t>
      </w:r>
      <w:r w:rsidRPr="002C633F">
        <w:t>PICO from the previous submission is presented below</w:t>
      </w:r>
      <w:r w:rsidR="00A07C4C" w:rsidRPr="002C633F">
        <w:t>.</w:t>
      </w:r>
    </w:p>
    <w:p w14:paraId="57CAD8DE" w14:textId="5EC30F21" w:rsidR="00BE25D7" w:rsidRDefault="00C35800" w:rsidP="00F36268">
      <w:pPr>
        <w:pStyle w:val="TableFigureHeading"/>
      </w:pPr>
      <w:r>
        <w:t xml:space="preserve">Table </w:t>
      </w:r>
      <w:fldSimple w:instr=" SEQ Table \* ARABIC ">
        <w:r w:rsidR="0031315F">
          <w:rPr>
            <w:noProof/>
          </w:rPr>
          <w:t>2</w:t>
        </w:r>
      </w:fldSimple>
      <w:r w:rsidR="00901539">
        <w:t>:</w:t>
      </w:r>
      <w:r w:rsidR="002D01B2">
        <w:t xml:space="preserve"> </w:t>
      </w:r>
      <w:r w:rsidR="00BE25D7" w:rsidRPr="00C5151E">
        <w:t xml:space="preserve">Key components of the clinical issue addressed by the </w:t>
      </w:r>
      <w:r w:rsidR="0073447E">
        <w:t xml:space="preserve">July 2025 </w:t>
      </w:r>
      <w:r w:rsidR="00BE25D7" w:rsidRPr="00C5151E">
        <w:t>submission (as stated in the submission)</w:t>
      </w:r>
    </w:p>
    <w:tbl>
      <w:tblPr>
        <w:tblW w:w="91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Caption w:val="Table 2: Key components of the clinical issue addressed by the July 2025 submission (as stated in the submission)"/>
      </w:tblPr>
      <w:tblGrid>
        <w:gridCol w:w="1283"/>
        <w:gridCol w:w="7873"/>
      </w:tblGrid>
      <w:tr w:rsidR="0073447E" w:rsidRPr="00F57392" w14:paraId="491B9F46" w14:textId="77777777" w:rsidTr="0073447E">
        <w:tc>
          <w:tcPr>
            <w:tcW w:w="1283" w:type="dxa"/>
            <w:shd w:val="clear" w:color="auto" w:fill="DBE5F1" w:themeFill="accent1" w:themeFillTint="33"/>
            <w:vAlign w:val="center"/>
          </w:tcPr>
          <w:p w14:paraId="5CB01585" w14:textId="77777777" w:rsidR="0073447E" w:rsidRPr="00F57392" w:rsidRDefault="0073447E" w:rsidP="00F36268">
            <w:pPr>
              <w:pStyle w:val="COMTableheadingrow"/>
              <w:rPr>
                <w:lang w:val="en-AU"/>
              </w:rPr>
            </w:pPr>
            <w:r w:rsidRPr="00F57392">
              <w:rPr>
                <w:lang w:val="en-AU"/>
              </w:rPr>
              <w:t>Component</w:t>
            </w:r>
          </w:p>
        </w:tc>
        <w:tc>
          <w:tcPr>
            <w:tcW w:w="7873" w:type="dxa"/>
            <w:shd w:val="clear" w:color="auto" w:fill="DBE5F1" w:themeFill="accent1" w:themeFillTint="33"/>
            <w:vAlign w:val="center"/>
          </w:tcPr>
          <w:p w14:paraId="6A368866" w14:textId="77777777" w:rsidR="0073447E" w:rsidRPr="00F57392" w:rsidRDefault="0073447E" w:rsidP="00F36268">
            <w:pPr>
              <w:pStyle w:val="COMTableheadingrow"/>
              <w:jc w:val="center"/>
              <w:rPr>
                <w:lang w:val="en-AU"/>
              </w:rPr>
            </w:pPr>
            <w:r w:rsidRPr="00F57392">
              <w:rPr>
                <w:lang w:val="en-AU"/>
              </w:rPr>
              <w:t>Description</w:t>
            </w:r>
          </w:p>
        </w:tc>
      </w:tr>
      <w:tr w:rsidR="0073447E" w:rsidRPr="00F57392" w14:paraId="000E113B" w14:textId="77777777" w:rsidTr="0073447E">
        <w:tc>
          <w:tcPr>
            <w:tcW w:w="1283" w:type="dxa"/>
            <w:shd w:val="clear" w:color="auto" w:fill="DBE5F1" w:themeFill="accent1" w:themeFillTint="33"/>
            <w:vAlign w:val="center"/>
          </w:tcPr>
          <w:p w14:paraId="43BA21B0" w14:textId="77777777" w:rsidR="0073447E" w:rsidRPr="00F57392" w:rsidRDefault="0073447E" w:rsidP="00F36268">
            <w:pPr>
              <w:pStyle w:val="COMTabletext"/>
            </w:pPr>
            <w:r w:rsidRPr="00F57392">
              <w:t>Population</w:t>
            </w:r>
          </w:p>
        </w:tc>
        <w:tc>
          <w:tcPr>
            <w:tcW w:w="7873" w:type="dxa"/>
            <w:shd w:val="clear" w:color="auto" w:fill="DBE5F1" w:themeFill="accent1" w:themeFillTint="33"/>
          </w:tcPr>
          <w:p w14:paraId="56AB2DEF" w14:textId="1D074E11" w:rsidR="0073447E" w:rsidRPr="00F57392" w:rsidRDefault="0073447E" w:rsidP="00F36268">
            <w:pPr>
              <w:pStyle w:val="COMTabletext"/>
            </w:pPr>
            <w:r w:rsidRPr="00F57392">
              <w:t>Patients with WHO Grade 2 IDH</w:t>
            </w:r>
            <w:r w:rsidR="00B571FA">
              <w:noBreakHyphen/>
            </w:r>
            <w:r w:rsidRPr="00F57392">
              <w:t>mutant astrocytoma or oligodendroglioma who have residual or recurrent disease after at least one prior surgery for glioma, an ECOG performance score ≤1, and who are not in immediate need of radiotherapy or chemotherapy.</w:t>
            </w:r>
          </w:p>
        </w:tc>
      </w:tr>
      <w:tr w:rsidR="0073447E" w:rsidRPr="00F57392" w14:paraId="1B62E043" w14:textId="77777777" w:rsidTr="0073447E">
        <w:tc>
          <w:tcPr>
            <w:tcW w:w="1283" w:type="dxa"/>
            <w:shd w:val="clear" w:color="auto" w:fill="DBE5F1" w:themeFill="accent1" w:themeFillTint="33"/>
            <w:vAlign w:val="center"/>
          </w:tcPr>
          <w:p w14:paraId="36B7AB06" w14:textId="77777777" w:rsidR="0073447E" w:rsidRPr="00F57392" w:rsidRDefault="0073447E" w:rsidP="00F36268">
            <w:pPr>
              <w:pStyle w:val="COMTabletext"/>
            </w:pPr>
            <w:r w:rsidRPr="00F57392">
              <w:t>Intervention</w:t>
            </w:r>
          </w:p>
        </w:tc>
        <w:tc>
          <w:tcPr>
            <w:tcW w:w="7873" w:type="dxa"/>
            <w:shd w:val="clear" w:color="auto" w:fill="DBE5F1" w:themeFill="accent1" w:themeFillTint="33"/>
          </w:tcPr>
          <w:p w14:paraId="3F28CD90" w14:textId="77777777" w:rsidR="0073447E" w:rsidRPr="00F57392" w:rsidRDefault="0073447E" w:rsidP="00F36268">
            <w:pPr>
              <w:pStyle w:val="COMTabletext"/>
            </w:pPr>
            <w:r w:rsidRPr="00F57392">
              <w:t>Vorasidenib 40 mg once daily in addition to active surveillance.</w:t>
            </w:r>
          </w:p>
        </w:tc>
      </w:tr>
      <w:tr w:rsidR="0073447E" w:rsidRPr="00F57392" w14:paraId="4D6A64B5" w14:textId="77777777" w:rsidTr="0073447E">
        <w:tc>
          <w:tcPr>
            <w:tcW w:w="1283" w:type="dxa"/>
            <w:shd w:val="clear" w:color="auto" w:fill="DBE5F1" w:themeFill="accent1" w:themeFillTint="33"/>
            <w:vAlign w:val="center"/>
          </w:tcPr>
          <w:p w14:paraId="3B4220BD" w14:textId="77777777" w:rsidR="0073447E" w:rsidRPr="00F57392" w:rsidRDefault="0073447E" w:rsidP="00F36268">
            <w:pPr>
              <w:pStyle w:val="COMTabletext"/>
            </w:pPr>
            <w:r w:rsidRPr="00F57392">
              <w:t>Comparator</w:t>
            </w:r>
          </w:p>
        </w:tc>
        <w:tc>
          <w:tcPr>
            <w:tcW w:w="7873" w:type="dxa"/>
            <w:shd w:val="clear" w:color="auto" w:fill="DBE5F1" w:themeFill="accent1" w:themeFillTint="33"/>
          </w:tcPr>
          <w:p w14:paraId="72EEC78D" w14:textId="77777777" w:rsidR="0073447E" w:rsidRPr="00F57392" w:rsidRDefault="0073447E" w:rsidP="00F36268">
            <w:pPr>
              <w:pStyle w:val="COMTabletext"/>
            </w:pPr>
            <w:r w:rsidRPr="00F57392">
              <w:t>Active surveillance alone.</w:t>
            </w:r>
          </w:p>
        </w:tc>
      </w:tr>
      <w:tr w:rsidR="0073447E" w:rsidRPr="00F57392" w14:paraId="24193CD9" w14:textId="77777777" w:rsidTr="0073447E">
        <w:tc>
          <w:tcPr>
            <w:tcW w:w="1283" w:type="dxa"/>
            <w:shd w:val="clear" w:color="auto" w:fill="DBE5F1" w:themeFill="accent1" w:themeFillTint="33"/>
            <w:vAlign w:val="center"/>
          </w:tcPr>
          <w:p w14:paraId="05A65098" w14:textId="77777777" w:rsidR="0073447E" w:rsidRPr="00F57392" w:rsidRDefault="0073447E" w:rsidP="00F36268">
            <w:pPr>
              <w:pStyle w:val="COMTabletext"/>
            </w:pPr>
            <w:r w:rsidRPr="00F57392">
              <w:t>Outcomes</w:t>
            </w:r>
          </w:p>
        </w:tc>
        <w:tc>
          <w:tcPr>
            <w:tcW w:w="7873" w:type="dxa"/>
            <w:shd w:val="clear" w:color="auto" w:fill="DBE5F1" w:themeFill="accent1" w:themeFillTint="33"/>
          </w:tcPr>
          <w:p w14:paraId="586E8CB7" w14:textId="18022F50" w:rsidR="0073447E" w:rsidRPr="00F57392" w:rsidRDefault="0073447E" w:rsidP="00F36268">
            <w:pPr>
              <w:pStyle w:val="COMTabletext"/>
            </w:pPr>
            <w:r w:rsidRPr="00F57392">
              <w:t>Radiographic progression</w:t>
            </w:r>
            <w:r w:rsidR="00B571FA">
              <w:noBreakHyphen/>
            </w:r>
            <w:r w:rsidRPr="00F57392">
              <w:t>free survival; overall survival.</w:t>
            </w:r>
          </w:p>
        </w:tc>
      </w:tr>
      <w:tr w:rsidR="0073447E" w:rsidRPr="00F57392" w14:paraId="5E97DF0E" w14:textId="77777777" w:rsidTr="0073447E">
        <w:tc>
          <w:tcPr>
            <w:tcW w:w="1283" w:type="dxa"/>
            <w:shd w:val="clear" w:color="auto" w:fill="DBE5F1" w:themeFill="accent1" w:themeFillTint="33"/>
            <w:vAlign w:val="center"/>
          </w:tcPr>
          <w:p w14:paraId="774007AD" w14:textId="77777777" w:rsidR="0073447E" w:rsidRPr="00F57392" w:rsidRDefault="0073447E" w:rsidP="00F36268">
            <w:pPr>
              <w:pStyle w:val="COMTabletext"/>
            </w:pPr>
            <w:r w:rsidRPr="00F57392">
              <w:t>Clinical claim</w:t>
            </w:r>
          </w:p>
        </w:tc>
        <w:tc>
          <w:tcPr>
            <w:tcW w:w="7873" w:type="dxa"/>
            <w:shd w:val="clear" w:color="auto" w:fill="DBE5F1" w:themeFill="accent1" w:themeFillTint="33"/>
          </w:tcPr>
          <w:p w14:paraId="6E73768D" w14:textId="77777777" w:rsidR="0073447E" w:rsidRPr="00F57392" w:rsidRDefault="0073447E" w:rsidP="00F36268">
            <w:pPr>
              <w:pStyle w:val="COMTabletext"/>
            </w:pPr>
            <w:r w:rsidRPr="00F57392">
              <w:t>Vorasidenib in conjunction with active surveillance is superior in terms of effectiveness and inferior in terms of safety, compared to placebo, as a proxy for active surveillance alone.</w:t>
            </w:r>
          </w:p>
        </w:tc>
      </w:tr>
    </w:tbl>
    <w:p w14:paraId="03550238" w14:textId="2EF14BAA" w:rsidR="0073447E" w:rsidRPr="00F57392" w:rsidRDefault="0073447E" w:rsidP="00F36268">
      <w:pPr>
        <w:pStyle w:val="COMTablefooter"/>
      </w:pPr>
      <w:r w:rsidRPr="00F57392">
        <w:t xml:space="preserve">Source: Table 1.1, p2 of the </w:t>
      </w:r>
      <w:r w:rsidR="000729EA">
        <w:t xml:space="preserve">July 2025 </w:t>
      </w:r>
      <w:r w:rsidRPr="00F57392">
        <w:t xml:space="preserve">submission; Section 2.7.2, p71 of the </w:t>
      </w:r>
      <w:r w:rsidR="000729EA">
        <w:t xml:space="preserve">July 2025 </w:t>
      </w:r>
      <w:r w:rsidRPr="00F57392">
        <w:t>submission.</w:t>
      </w:r>
    </w:p>
    <w:p w14:paraId="06738809" w14:textId="77777777" w:rsidR="006A1DB8" w:rsidRDefault="0073447E" w:rsidP="00F36268">
      <w:pPr>
        <w:pStyle w:val="COMTablefooter"/>
      </w:pPr>
      <w:r w:rsidRPr="00F57392">
        <w:t>Abbreviations: ECOG, Eastern Cooperative Oncology Group; IDH, isocitrate dehydrogenase; WHO, World Health Organization.</w:t>
      </w:r>
      <w:r w:rsidR="006A1DB8" w:rsidRPr="006A1DB8">
        <w:t xml:space="preserve"> </w:t>
      </w:r>
    </w:p>
    <w:p w14:paraId="4B3EF3CA" w14:textId="16A3013F" w:rsidR="00107A2B" w:rsidRDefault="006A1DB8" w:rsidP="00F36268">
      <w:pPr>
        <w:pStyle w:val="COMTablefooter"/>
      </w:pPr>
      <w:r>
        <w:t>Note: Data seen previously by the PBAC in the July 2025 consideration for vorasidenib are shaded in blue.</w:t>
      </w:r>
    </w:p>
    <w:p w14:paraId="7B314100" w14:textId="77777777" w:rsidR="00EA0225" w:rsidRPr="00C33D30" w:rsidRDefault="00EA0225" w:rsidP="00F36268">
      <w:pPr>
        <w:ind w:firstLine="709"/>
        <w:rPr>
          <w:rFonts w:asciiTheme="minorHAnsi" w:hAnsiTheme="minorHAnsi"/>
          <w:i/>
        </w:rPr>
      </w:pPr>
      <w:bookmarkStart w:id="1" w:name="_Hlk76375324"/>
      <w:r w:rsidRPr="00C33D30">
        <w:rPr>
          <w:rFonts w:asciiTheme="minorHAnsi" w:hAnsiTheme="minorHAnsi"/>
          <w:i/>
        </w:rPr>
        <w:t>For more detail on PBAC’s view, see section 7 PBAC outcome.</w:t>
      </w:r>
    </w:p>
    <w:bookmarkEnd w:id="1"/>
    <w:p w14:paraId="587432E9" w14:textId="77777777" w:rsidR="00C068A6" w:rsidRPr="006C5B33" w:rsidRDefault="004B2E01" w:rsidP="00F36268">
      <w:pPr>
        <w:pStyle w:val="2-SectionHeading"/>
      </w:pPr>
      <w:r w:rsidRPr="006C5B33">
        <w:t>Requested listing</w:t>
      </w:r>
      <w:r w:rsidR="007C08E0" w:rsidRPr="006C5B33">
        <w:t xml:space="preserve"> </w:t>
      </w:r>
    </w:p>
    <w:p w14:paraId="1009D70C" w14:textId="5DF9B3E1" w:rsidR="004F6160" w:rsidRDefault="004B2E01" w:rsidP="00F36268">
      <w:pPr>
        <w:pStyle w:val="3-BodyText"/>
      </w:pPr>
      <w:bookmarkStart w:id="2" w:name="_Ref225356300"/>
      <w:r w:rsidRPr="00EF4580">
        <w:t xml:space="preserve">The </w:t>
      </w:r>
      <w:r w:rsidR="004F6160" w:rsidRPr="002C633F">
        <w:t>re</w:t>
      </w:r>
      <w:r w:rsidRPr="002C633F">
        <w:t xml:space="preserve">submission </w:t>
      </w:r>
      <w:r w:rsidR="004F6160" w:rsidRPr="002C633F">
        <w:t>accepted</w:t>
      </w:r>
      <w:r w:rsidR="002C43CC">
        <w:t xml:space="preserve"> </w:t>
      </w:r>
      <w:r w:rsidR="004F6160" w:rsidRPr="002C633F">
        <w:t xml:space="preserve">the </w:t>
      </w:r>
      <w:r w:rsidR="002C43CC">
        <w:t>following amendments to the proposed restrictions suggested by the PBAC in July 2025</w:t>
      </w:r>
      <w:r w:rsidR="00B06344">
        <w:t xml:space="preserve"> (vorasidenib </w:t>
      </w:r>
      <w:r w:rsidR="005933B0">
        <w:t>Public Summary Document [</w:t>
      </w:r>
      <w:r w:rsidR="00B06344">
        <w:t>PSD</w:t>
      </w:r>
      <w:r w:rsidR="005933B0">
        <w:t>]</w:t>
      </w:r>
      <w:r w:rsidR="00B06344">
        <w:t>, July 2025 PBAC meeting)</w:t>
      </w:r>
      <w:r w:rsidR="004F6160" w:rsidRPr="002C633F">
        <w:t>:</w:t>
      </w:r>
      <w:bookmarkEnd w:id="2"/>
      <w:r w:rsidR="00B06344">
        <w:t xml:space="preserve"> </w:t>
      </w:r>
    </w:p>
    <w:p w14:paraId="107CAAE6" w14:textId="04A9FB22" w:rsidR="009E0ECA" w:rsidRDefault="009E0ECA" w:rsidP="00F36268">
      <w:pPr>
        <w:pStyle w:val="3-BodyText"/>
        <w:numPr>
          <w:ilvl w:val="1"/>
          <w:numId w:val="3"/>
        </w:numPr>
        <w:ind w:left="1080"/>
      </w:pPr>
      <w:r>
        <w:t>The PBAC considered the criterion limiting treatment to patients not in immediate need of radiotherapy or chemotherapy was appropriate and consistent with guidelines. (</w:t>
      </w:r>
      <w:r w:rsidR="007F7C3B">
        <w:t>paragraph</w:t>
      </w:r>
      <w:r>
        <w:t xml:space="preserve"> 7.3) </w:t>
      </w:r>
    </w:p>
    <w:p w14:paraId="4C3B45FC" w14:textId="04112B98" w:rsidR="009E0ECA" w:rsidRDefault="000E477D" w:rsidP="00F36268">
      <w:pPr>
        <w:pStyle w:val="3-BodyText"/>
        <w:numPr>
          <w:ilvl w:val="1"/>
          <w:numId w:val="3"/>
        </w:numPr>
        <w:ind w:left="1080"/>
      </w:pPr>
      <w:r>
        <w:t>T</w:t>
      </w:r>
      <w:r w:rsidR="009E0ECA">
        <w:t xml:space="preserve">he PBAC considered it was appropriate for the listing to be silent on age to ensure the very small number of younger patients, who are likely to benefit from treatment, are not excluded. The proposed listing is narrower than the TGA indication, which does not limit treatment </w:t>
      </w:r>
      <w:proofErr w:type="gramStart"/>
      <w:r w:rsidR="009E0ECA">
        <w:t>on the basis of</w:t>
      </w:r>
      <w:proofErr w:type="gramEnd"/>
      <w:r w:rsidR="009E0ECA">
        <w:t xml:space="preserve"> previous anticancer therapy, performance status, the presence of residual or recurrent disease. The PBAC considered these differences between the TGA indication and proposed listing were appropriate to align with the population in the pivotal trial (INDIGO). (</w:t>
      </w:r>
      <w:r w:rsidR="007F7C3B">
        <w:t>paragraph</w:t>
      </w:r>
      <w:r w:rsidR="009E0ECA">
        <w:t xml:space="preserve"> 7.4)</w:t>
      </w:r>
    </w:p>
    <w:p w14:paraId="4809084C" w14:textId="2D553F5D" w:rsidR="004D442A" w:rsidRDefault="009E0ECA" w:rsidP="00F36268">
      <w:pPr>
        <w:pStyle w:val="3-BodyText"/>
        <w:numPr>
          <w:ilvl w:val="1"/>
          <w:numId w:val="3"/>
        </w:numPr>
        <w:ind w:left="1080"/>
      </w:pPr>
      <w:r>
        <w:t xml:space="preserve">The PBAC considered it was appropriate to allow flexibility </w:t>
      </w:r>
      <w:proofErr w:type="gramStart"/>
      <w:r>
        <w:t>with regard to</w:t>
      </w:r>
      <w:proofErr w:type="gramEnd"/>
      <w:r>
        <w:t xml:space="preserve"> the time since surgery, as proposed in the restrictions. (</w:t>
      </w:r>
      <w:r w:rsidR="007F7C3B">
        <w:t>paragraph</w:t>
      </w:r>
      <w:r>
        <w:t xml:space="preserve"> 7.5)</w:t>
      </w:r>
    </w:p>
    <w:p w14:paraId="38B4C789" w14:textId="251371C3" w:rsidR="009E0ECA" w:rsidRPr="004D442A" w:rsidRDefault="009E0ECA" w:rsidP="00F36268">
      <w:pPr>
        <w:pStyle w:val="3-BodyText"/>
        <w:numPr>
          <w:ilvl w:val="1"/>
          <w:numId w:val="3"/>
        </w:numPr>
        <w:ind w:left="1080"/>
      </w:pPr>
      <w:r>
        <w:t>The PBAC considered that the proposed clinical place for vorasidenib in patients with WHO Grade 2 IDH</w:t>
      </w:r>
      <w:r w:rsidR="00B571FA">
        <w:noBreakHyphen/>
      </w:r>
      <w:r>
        <w:t>mutant astrocytoma or oligodendroglioma who have residual or recurrent disease after at least one prior surgery for glioma, and who are not in immediate need of radiotherapy or chemotherapy was appropriate and consistent with guidelines and the clinical evidence available. (</w:t>
      </w:r>
      <w:r w:rsidR="007F7C3B">
        <w:t>paragraph</w:t>
      </w:r>
      <w:r>
        <w:t xml:space="preserve"> 7.6)</w:t>
      </w:r>
    </w:p>
    <w:p w14:paraId="69E25A16" w14:textId="5DD989D7" w:rsidR="00B177BB" w:rsidRDefault="00B177BB" w:rsidP="00F36268">
      <w:pPr>
        <w:pStyle w:val="3-BodyText"/>
      </w:pPr>
      <w:r>
        <w:lastRenderedPageBreak/>
        <w:t>The</w:t>
      </w:r>
      <w:r w:rsidDel="007B08FF">
        <w:t xml:space="preserve"> </w:t>
      </w:r>
      <w:r>
        <w:t xml:space="preserve">resubmission proposed a </w:t>
      </w:r>
      <w:r w:rsidR="0024159D" w:rsidRPr="0024159D">
        <w:rPr>
          <w:sz w:val="2"/>
          <w:highlight w:val="black"/>
        </w:rPr>
        <w:t>redacted content</w:t>
      </w:r>
      <w:r>
        <w:t xml:space="preserve">% price reduction which reduced the effective dispensed price for maximum quantity (DPMQ) </w:t>
      </w:r>
      <w:r w:rsidR="00E73369">
        <w:t xml:space="preserve">for </w:t>
      </w:r>
      <w:r w:rsidR="00EA767B">
        <w:t>both the 40 mg (30 tablet</w:t>
      </w:r>
      <w:r w:rsidR="00357391">
        <w:t>s</w:t>
      </w:r>
      <w:r w:rsidR="00EA767B">
        <w:t>) and 10 mg (60 table</w:t>
      </w:r>
      <w:r w:rsidR="00357391">
        <w:t>ts</w:t>
      </w:r>
      <w:r w:rsidR="00EA767B">
        <w:t>)</w:t>
      </w:r>
      <w:r w:rsidR="00357391">
        <w:t xml:space="preserve"> packs </w:t>
      </w:r>
      <w:r>
        <w:t xml:space="preserve">from </w:t>
      </w:r>
      <w:r w:rsidR="005774A4">
        <w:t>$</w:t>
      </w:r>
      <w:r w:rsidR="0024159D" w:rsidRPr="0024159D">
        <w:rPr>
          <w:sz w:val="2"/>
          <w:highlight w:val="black"/>
        </w:rPr>
        <w:t>redacted content</w:t>
      </w:r>
      <w:r w:rsidR="005774A4">
        <w:t xml:space="preserve"> </w:t>
      </w:r>
      <w:r>
        <w:t xml:space="preserve">to </w:t>
      </w:r>
      <w:r w:rsidR="00AB5F90">
        <w:t>$</w:t>
      </w:r>
      <w:r w:rsidR="0024159D" w:rsidRPr="0024159D">
        <w:rPr>
          <w:sz w:val="2"/>
          <w:highlight w:val="black"/>
        </w:rPr>
        <w:t>redacted content</w:t>
      </w:r>
      <w:r>
        <w:t>.</w:t>
      </w:r>
      <w:r w:rsidR="004D442A">
        <w:t xml:space="preserve"> </w:t>
      </w:r>
      <w:r w:rsidR="006A5039">
        <w:t xml:space="preserve">The resubmission also proposed </w:t>
      </w:r>
      <w:r w:rsidR="68286B1D">
        <w:t xml:space="preserve">an </w:t>
      </w:r>
      <w:r w:rsidR="000E477D">
        <w:t xml:space="preserve">increase </w:t>
      </w:r>
      <w:r w:rsidR="007626B0">
        <w:t>to the published AEMP</w:t>
      </w:r>
      <w:r w:rsidR="006A5039">
        <w:t xml:space="preserve">. </w:t>
      </w:r>
    </w:p>
    <w:p w14:paraId="70B8B937" w14:textId="4D34791F" w:rsidR="0048312D" w:rsidRPr="0014103E" w:rsidRDefault="0048312D" w:rsidP="00F36268">
      <w:pPr>
        <w:pStyle w:val="3-BodyText"/>
      </w:pPr>
      <w:r w:rsidRPr="00847870">
        <w:t xml:space="preserve">The </w:t>
      </w:r>
      <w:r w:rsidR="0014103E">
        <w:t>re</w:t>
      </w:r>
      <w:r w:rsidRPr="00847870">
        <w:t xml:space="preserve">submission </w:t>
      </w:r>
      <w:r w:rsidR="007E70FD">
        <w:t>maintain</w:t>
      </w:r>
      <w:r w:rsidR="004734CC">
        <w:t>ed</w:t>
      </w:r>
      <w:r w:rsidR="007E70FD">
        <w:t xml:space="preserve"> the request for </w:t>
      </w:r>
      <w:r w:rsidRPr="00847870">
        <w:t>grandfather provisions for patients enrolled in the sponsor’s compassionate access program</w:t>
      </w:r>
      <w:r w:rsidR="007E70FD">
        <w:t xml:space="preserve">. </w:t>
      </w:r>
      <w:r w:rsidR="00CA1AD2">
        <w:rPr>
          <w:bCs/>
        </w:rPr>
        <w:t xml:space="preserve">The resubmission noted there are </w:t>
      </w:r>
      <w:r w:rsidR="009E34EB">
        <w:rPr>
          <w:bCs/>
        </w:rPr>
        <w:t xml:space="preserve">&lt; 500 </w:t>
      </w:r>
      <w:r w:rsidR="00CA1AD2" w:rsidRPr="006A31C0">
        <w:rPr>
          <w:bCs/>
        </w:rPr>
        <w:t>patients</w:t>
      </w:r>
      <w:r w:rsidR="004F5BE8">
        <w:rPr>
          <w:bCs/>
        </w:rPr>
        <w:t xml:space="preserve"> (increased from </w:t>
      </w:r>
      <w:r w:rsidR="001010A5">
        <w:rPr>
          <w:bCs/>
        </w:rPr>
        <w:t xml:space="preserve">&lt; 500 </w:t>
      </w:r>
      <w:r w:rsidR="004F5BE8">
        <w:rPr>
          <w:bCs/>
        </w:rPr>
        <w:t>patients)</w:t>
      </w:r>
      <w:r w:rsidR="00CA1AD2" w:rsidRPr="006A31C0">
        <w:rPr>
          <w:bCs/>
        </w:rPr>
        <w:t xml:space="preserve"> on treatment with vorasidenib through Servier’s Compassionate Access Program (as of 09/12/2025)</w:t>
      </w:r>
      <w:r w:rsidR="00CA1AD2">
        <w:rPr>
          <w:bCs/>
        </w:rPr>
        <w:t xml:space="preserve">, </w:t>
      </w:r>
      <w:proofErr w:type="gramStart"/>
      <w:r w:rsidR="00CA1AD2">
        <w:rPr>
          <w:bCs/>
        </w:rPr>
        <w:t>the majority of</w:t>
      </w:r>
      <w:proofErr w:type="gramEnd"/>
      <w:r w:rsidR="00CA1AD2">
        <w:rPr>
          <w:bCs/>
        </w:rPr>
        <w:t xml:space="preserve"> these patients were recently diagnosed. The </w:t>
      </w:r>
      <w:r w:rsidR="004D65A7">
        <w:rPr>
          <w:bCs/>
        </w:rPr>
        <w:t>P</w:t>
      </w:r>
      <w:r w:rsidR="00CA1AD2">
        <w:rPr>
          <w:bCs/>
        </w:rPr>
        <w:t>re</w:t>
      </w:r>
      <w:r w:rsidR="00B571FA">
        <w:rPr>
          <w:bCs/>
        </w:rPr>
        <w:noBreakHyphen/>
      </w:r>
      <w:r w:rsidR="00CA1AD2">
        <w:rPr>
          <w:bCs/>
        </w:rPr>
        <w:t xml:space="preserve">PBAC </w:t>
      </w:r>
      <w:r w:rsidR="00FC3EDF">
        <w:rPr>
          <w:bCs/>
        </w:rPr>
        <w:t>R</w:t>
      </w:r>
      <w:r w:rsidR="00CA1AD2">
        <w:rPr>
          <w:bCs/>
        </w:rPr>
        <w:t xml:space="preserve">esponse provided baseline demographics and clinical characteristics of patients who have received treatment through the Compassionate Access Program. </w:t>
      </w:r>
      <w:r w:rsidR="00C05CA5" w:rsidRPr="00E256D3">
        <w:t>Th</w:t>
      </w:r>
      <w:r w:rsidR="005A6149" w:rsidRPr="00E256D3">
        <w:t>e</w:t>
      </w:r>
      <w:r w:rsidR="00227E77" w:rsidRPr="00E256D3">
        <w:t>se</w:t>
      </w:r>
      <w:r w:rsidRPr="00847870" w:rsidDel="004F5BE8">
        <w:t xml:space="preserve"> </w:t>
      </w:r>
      <w:r w:rsidR="007E70FD" w:rsidDel="004F5BE8">
        <w:t>patients</w:t>
      </w:r>
      <w:r w:rsidR="0075402A" w:rsidDel="004F5BE8">
        <w:t xml:space="preserve"> </w:t>
      </w:r>
      <w:r w:rsidR="00F77D22">
        <w:t xml:space="preserve">were </w:t>
      </w:r>
      <w:r w:rsidR="005A6149" w:rsidRPr="00E256D3">
        <w:t>included in the financial estimates the resubmission.</w:t>
      </w:r>
    </w:p>
    <w:p w14:paraId="2BA6EB50" w14:textId="464C1B1B" w:rsidR="00B177BB" w:rsidRPr="00265ED8" w:rsidRDefault="00B177BB" w:rsidP="00F36268">
      <w:pPr>
        <w:pStyle w:val="3-BodyText"/>
      </w:pPr>
      <w:r>
        <w:t xml:space="preserve">The revised restriction is presented below. </w:t>
      </w:r>
      <w:r w:rsidRPr="00265ED8">
        <w:t>Secretariat additions are in italics and deletions are in strikethrough.</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489"/>
        <w:gridCol w:w="2258"/>
        <w:gridCol w:w="811"/>
        <w:gridCol w:w="811"/>
        <w:gridCol w:w="811"/>
        <w:gridCol w:w="1836"/>
      </w:tblGrid>
      <w:tr w:rsidR="009C5C52" w:rsidRPr="00F57392" w14:paraId="265D34AC" w14:textId="77777777" w:rsidTr="00E549E5">
        <w:trPr>
          <w:cantSplit/>
          <w:trHeight w:val="20"/>
        </w:trPr>
        <w:tc>
          <w:tcPr>
            <w:tcW w:w="1380" w:type="pct"/>
            <w:vAlign w:val="center"/>
          </w:tcPr>
          <w:p w14:paraId="4305033E" w14:textId="77777777" w:rsidR="009C5C52" w:rsidRPr="00F57392" w:rsidRDefault="009C5C52" w:rsidP="00F36268">
            <w:pPr>
              <w:pStyle w:val="COMTableheadingrow"/>
              <w:keepNext w:val="0"/>
              <w:jc w:val="center"/>
              <w:rPr>
                <w:lang w:val="en-AU"/>
              </w:rPr>
            </w:pPr>
            <w:r w:rsidRPr="00F57392">
              <w:rPr>
                <w:lang w:val="en-AU"/>
              </w:rPr>
              <w:t>MEDICINAL PRODUCT</w:t>
            </w:r>
          </w:p>
          <w:p w14:paraId="325A4C13" w14:textId="77777777" w:rsidR="009C5C52" w:rsidRPr="00F57392" w:rsidRDefault="009C5C52" w:rsidP="00F36268">
            <w:pPr>
              <w:pStyle w:val="COMTableheadingrow"/>
              <w:keepNext w:val="0"/>
              <w:jc w:val="center"/>
              <w:rPr>
                <w:lang w:val="en-AU"/>
              </w:rPr>
            </w:pPr>
            <w:r w:rsidRPr="00F57392">
              <w:rPr>
                <w:lang w:val="en-AU"/>
              </w:rPr>
              <w:t>medicinal product pack</w:t>
            </w:r>
          </w:p>
        </w:tc>
        <w:tc>
          <w:tcPr>
            <w:tcW w:w="1252" w:type="pct"/>
            <w:vAlign w:val="center"/>
          </w:tcPr>
          <w:p w14:paraId="4D25339E" w14:textId="77777777" w:rsidR="009C5C52" w:rsidRPr="00F57392" w:rsidRDefault="009C5C52" w:rsidP="00F36268">
            <w:pPr>
              <w:pStyle w:val="COMTableheadingrow"/>
              <w:keepNext w:val="0"/>
              <w:jc w:val="center"/>
              <w:rPr>
                <w:lang w:val="en-AU"/>
              </w:rPr>
            </w:pPr>
            <w:r w:rsidRPr="00F57392">
              <w:rPr>
                <w:lang w:val="en-AU"/>
              </w:rPr>
              <w:t>Dispensed Price for Max. Qty</w:t>
            </w:r>
          </w:p>
        </w:tc>
        <w:tc>
          <w:tcPr>
            <w:tcW w:w="450" w:type="pct"/>
            <w:vAlign w:val="center"/>
          </w:tcPr>
          <w:p w14:paraId="273A0F83" w14:textId="77777777" w:rsidR="009C5C52" w:rsidRPr="00F57392" w:rsidRDefault="009C5C52" w:rsidP="00F36268">
            <w:pPr>
              <w:pStyle w:val="COMTableheadingrow"/>
              <w:keepNext w:val="0"/>
              <w:jc w:val="center"/>
              <w:rPr>
                <w:szCs w:val="20"/>
                <w:lang w:val="en-AU"/>
              </w:rPr>
            </w:pPr>
            <w:r w:rsidRPr="00F57392">
              <w:rPr>
                <w:szCs w:val="20"/>
                <w:lang w:val="en-AU"/>
              </w:rPr>
              <w:t>Max. qty packs</w:t>
            </w:r>
          </w:p>
        </w:tc>
        <w:tc>
          <w:tcPr>
            <w:tcW w:w="450" w:type="pct"/>
            <w:vAlign w:val="center"/>
          </w:tcPr>
          <w:p w14:paraId="7971E9A1" w14:textId="77777777" w:rsidR="009C5C52" w:rsidRPr="00F57392" w:rsidRDefault="009C5C52" w:rsidP="00F36268">
            <w:pPr>
              <w:pStyle w:val="COMTableheadingrow"/>
              <w:keepNext w:val="0"/>
              <w:jc w:val="center"/>
              <w:rPr>
                <w:szCs w:val="20"/>
                <w:lang w:val="en-AU"/>
              </w:rPr>
            </w:pPr>
            <w:r w:rsidRPr="00F57392">
              <w:rPr>
                <w:szCs w:val="20"/>
                <w:lang w:val="en-AU"/>
              </w:rPr>
              <w:t>Max. qty units</w:t>
            </w:r>
          </w:p>
        </w:tc>
        <w:tc>
          <w:tcPr>
            <w:tcW w:w="450" w:type="pct"/>
            <w:vAlign w:val="center"/>
          </w:tcPr>
          <w:p w14:paraId="221CCBE9" w14:textId="77777777" w:rsidR="009C5C52" w:rsidRPr="00F57392" w:rsidRDefault="009C5C52" w:rsidP="00F36268">
            <w:pPr>
              <w:pStyle w:val="COMTableheadingrow"/>
              <w:keepNext w:val="0"/>
              <w:jc w:val="center"/>
              <w:rPr>
                <w:szCs w:val="20"/>
                <w:lang w:val="en-AU"/>
              </w:rPr>
            </w:pPr>
            <w:r w:rsidRPr="00F57392">
              <w:rPr>
                <w:szCs w:val="20"/>
                <w:lang w:val="en-AU"/>
              </w:rPr>
              <w:t>№.of</w:t>
            </w:r>
          </w:p>
          <w:p w14:paraId="45C77E63" w14:textId="77777777" w:rsidR="009C5C52" w:rsidRPr="00F57392" w:rsidRDefault="009C5C52" w:rsidP="00F36268">
            <w:pPr>
              <w:pStyle w:val="COMTableheadingrow"/>
              <w:keepNext w:val="0"/>
              <w:jc w:val="center"/>
              <w:rPr>
                <w:szCs w:val="20"/>
                <w:lang w:val="en-AU"/>
              </w:rPr>
            </w:pPr>
            <w:r w:rsidRPr="00F57392">
              <w:rPr>
                <w:szCs w:val="20"/>
                <w:lang w:val="en-AU"/>
              </w:rPr>
              <w:t>Rpts</w:t>
            </w:r>
          </w:p>
        </w:tc>
        <w:tc>
          <w:tcPr>
            <w:tcW w:w="1018" w:type="pct"/>
            <w:vAlign w:val="center"/>
          </w:tcPr>
          <w:p w14:paraId="11488684" w14:textId="77777777" w:rsidR="009C5C52" w:rsidRPr="00F57392" w:rsidRDefault="009C5C52" w:rsidP="00F36268">
            <w:pPr>
              <w:pStyle w:val="COMTableheadingrow"/>
              <w:keepNext w:val="0"/>
              <w:jc w:val="center"/>
              <w:rPr>
                <w:szCs w:val="20"/>
                <w:lang w:val="en-AU"/>
              </w:rPr>
            </w:pPr>
            <w:r w:rsidRPr="00F57392">
              <w:rPr>
                <w:szCs w:val="20"/>
                <w:lang w:val="en-AU"/>
              </w:rPr>
              <w:t>Available brands</w:t>
            </w:r>
          </w:p>
        </w:tc>
      </w:tr>
      <w:tr w:rsidR="009C5C52" w:rsidRPr="00F57392" w14:paraId="68E455D7" w14:textId="77777777" w:rsidTr="00E549E5">
        <w:trPr>
          <w:cantSplit/>
          <w:trHeight w:val="20"/>
        </w:trPr>
        <w:tc>
          <w:tcPr>
            <w:tcW w:w="5000" w:type="pct"/>
            <w:gridSpan w:val="6"/>
            <w:vAlign w:val="center"/>
          </w:tcPr>
          <w:p w14:paraId="60BA5F3B" w14:textId="77777777" w:rsidR="009C5C52" w:rsidRPr="00F57392" w:rsidRDefault="009C5C52" w:rsidP="00F36268">
            <w:pPr>
              <w:pStyle w:val="COMTabletext"/>
              <w:keepNext w:val="0"/>
              <w:rPr>
                <w:rFonts w:cs="Arial"/>
                <w:szCs w:val="20"/>
              </w:rPr>
            </w:pPr>
            <w:r w:rsidRPr="00F57392">
              <w:t>VORASIDENIB</w:t>
            </w:r>
          </w:p>
        </w:tc>
      </w:tr>
      <w:tr w:rsidR="009C5C52" w:rsidRPr="007D38D9" w14:paraId="3A92D9E0" w14:textId="77777777" w:rsidTr="00E549E5">
        <w:trPr>
          <w:cantSplit/>
          <w:trHeight w:val="20"/>
        </w:trPr>
        <w:tc>
          <w:tcPr>
            <w:tcW w:w="1380" w:type="pct"/>
            <w:vAlign w:val="center"/>
          </w:tcPr>
          <w:p w14:paraId="1ABDF92B" w14:textId="55FE2092" w:rsidR="009C5C52" w:rsidRPr="007D38D9" w:rsidRDefault="009C5C52" w:rsidP="00F36268">
            <w:pPr>
              <w:rPr>
                <w:rFonts w:ascii="Arial Narrow" w:hAnsi="Arial Narrow"/>
                <w:strike/>
                <w:sz w:val="20"/>
                <w:szCs w:val="20"/>
              </w:rPr>
            </w:pPr>
          </w:p>
        </w:tc>
        <w:tc>
          <w:tcPr>
            <w:tcW w:w="1252" w:type="pct"/>
            <w:vAlign w:val="center"/>
          </w:tcPr>
          <w:p w14:paraId="4EB74BCE" w14:textId="2FA534E9" w:rsidR="009C5C52" w:rsidRPr="007D38D9" w:rsidRDefault="009C5C52" w:rsidP="00F36268">
            <w:pPr>
              <w:pStyle w:val="COMTabletext"/>
              <w:keepNext w:val="0"/>
              <w:jc w:val="center"/>
              <w:rPr>
                <w:strike/>
                <w:szCs w:val="20"/>
              </w:rPr>
            </w:pPr>
          </w:p>
        </w:tc>
        <w:tc>
          <w:tcPr>
            <w:tcW w:w="450" w:type="pct"/>
            <w:vAlign w:val="center"/>
          </w:tcPr>
          <w:p w14:paraId="68E40B27" w14:textId="6FEB8903" w:rsidR="009C5C52" w:rsidRPr="007D38D9" w:rsidRDefault="009C5C52" w:rsidP="00F36268">
            <w:pPr>
              <w:jc w:val="center"/>
              <w:rPr>
                <w:rFonts w:ascii="Arial Narrow" w:hAnsi="Arial Narrow"/>
                <w:strike/>
                <w:sz w:val="20"/>
                <w:szCs w:val="20"/>
              </w:rPr>
            </w:pPr>
          </w:p>
        </w:tc>
        <w:tc>
          <w:tcPr>
            <w:tcW w:w="450" w:type="pct"/>
            <w:vAlign w:val="center"/>
          </w:tcPr>
          <w:p w14:paraId="0F8CD7E6" w14:textId="39F42509" w:rsidR="009C5C52" w:rsidRPr="007D38D9" w:rsidRDefault="009C5C52" w:rsidP="00F36268">
            <w:pPr>
              <w:jc w:val="center"/>
              <w:rPr>
                <w:rFonts w:ascii="Arial Narrow" w:hAnsi="Arial Narrow"/>
                <w:strike/>
                <w:sz w:val="20"/>
                <w:szCs w:val="20"/>
              </w:rPr>
            </w:pPr>
          </w:p>
        </w:tc>
        <w:tc>
          <w:tcPr>
            <w:tcW w:w="450" w:type="pct"/>
            <w:vAlign w:val="center"/>
          </w:tcPr>
          <w:p w14:paraId="29434848" w14:textId="663DA84D" w:rsidR="009C5C52" w:rsidRPr="007D38D9" w:rsidRDefault="009C5C52" w:rsidP="00F36268">
            <w:pPr>
              <w:jc w:val="center"/>
              <w:rPr>
                <w:rFonts w:ascii="Arial Narrow" w:hAnsi="Arial Narrow"/>
                <w:strike/>
                <w:sz w:val="20"/>
                <w:szCs w:val="20"/>
              </w:rPr>
            </w:pPr>
          </w:p>
        </w:tc>
        <w:tc>
          <w:tcPr>
            <w:tcW w:w="1018" w:type="pct"/>
            <w:vAlign w:val="center"/>
          </w:tcPr>
          <w:p w14:paraId="1538AEB4" w14:textId="666E9099" w:rsidR="009C5C52" w:rsidRPr="007D38D9" w:rsidRDefault="009C5C52" w:rsidP="00F36268">
            <w:pPr>
              <w:jc w:val="center"/>
              <w:rPr>
                <w:rFonts w:ascii="Arial Narrow" w:hAnsi="Arial Narrow"/>
                <w:strike/>
                <w:sz w:val="20"/>
                <w:szCs w:val="20"/>
              </w:rPr>
            </w:pPr>
          </w:p>
        </w:tc>
      </w:tr>
      <w:tr w:rsidR="009C5C52" w:rsidRPr="00F57392" w14:paraId="09790A4E" w14:textId="77777777" w:rsidTr="00E549E5">
        <w:trPr>
          <w:cantSplit/>
          <w:trHeight w:val="20"/>
        </w:trPr>
        <w:tc>
          <w:tcPr>
            <w:tcW w:w="1380" w:type="pct"/>
            <w:vAlign w:val="center"/>
          </w:tcPr>
          <w:p w14:paraId="2EBD3FD7" w14:textId="700FA462" w:rsidR="009C5C52" w:rsidRPr="00F57392" w:rsidRDefault="009C5C52" w:rsidP="00F36268">
            <w:pPr>
              <w:rPr>
                <w:rFonts w:ascii="Arial Narrow" w:hAnsi="Arial Narrow"/>
                <w:sz w:val="20"/>
                <w:szCs w:val="20"/>
              </w:rPr>
            </w:pPr>
            <w:r w:rsidRPr="00F57392">
              <w:rPr>
                <w:rFonts w:ascii="Arial Narrow" w:hAnsi="Arial Narrow"/>
                <w:sz w:val="20"/>
                <w:szCs w:val="20"/>
              </w:rPr>
              <w:t xml:space="preserve">Vorasidenib 10 mg tablet, </w:t>
            </w:r>
            <w:r w:rsidR="00963258" w:rsidRPr="00E7783F">
              <w:rPr>
                <w:rFonts w:ascii="Arial Narrow" w:hAnsi="Arial Narrow"/>
                <w:i/>
                <w:iCs/>
                <w:sz w:val="20"/>
                <w:szCs w:val="20"/>
              </w:rPr>
              <w:t>3</w:t>
            </w:r>
            <w:r w:rsidRPr="00E7783F">
              <w:rPr>
                <w:rFonts w:ascii="Arial Narrow" w:hAnsi="Arial Narrow"/>
                <w:i/>
                <w:iCs/>
                <w:sz w:val="20"/>
                <w:szCs w:val="20"/>
              </w:rPr>
              <w:t>0</w:t>
            </w:r>
          </w:p>
        </w:tc>
        <w:tc>
          <w:tcPr>
            <w:tcW w:w="1252" w:type="pct"/>
            <w:vAlign w:val="center"/>
          </w:tcPr>
          <w:p w14:paraId="2D46F04D" w14:textId="30AC6E26" w:rsidR="009C5C52" w:rsidRPr="00F57392" w:rsidRDefault="009C5C52" w:rsidP="00F36268">
            <w:pPr>
              <w:pStyle w:val="COMTabletext"/>
              <w:keepNext w:val="0"/>
              <w:jc w:val="center"/>
            </w:pPr>
            <w:r w:rsidRPr="00F57392">
              <w:t>$</w:t>
            </w:r>
            <w:r w:rsidR="0024159D" w:rsidRPr="0024159D">
              <w:rPr>
                <w:sz w:val="2"/>
                <w:highlight w:val="black"/>
              </w:rPr>
              <w:t>redacted content</w:t>
            </w:r>
            <w:r w:rsidR="0024159D" w:rsidRPr="0024159D">
              <w:t xml:space="preserve"> </w:t>
            </w:r>
            <w:r w:rsidRPr="00A62388">
              <w:t>pu</w:t>
            </w:r>
            <w:r w:rsidRPr="00F57392">
              <w:t>blished price</w:t>
            </w:r>
          </w:p>
          <w:p w14:paraId="157D819B" w14:textId="462DFEDB" w:rsidR="009C5C52" w:rsidRPr="00F57392" w:rsidRDefault="009C5C52" w:rsidP="00F36268">
            <w:pPr>
              <w:pStyle w:val="COMTabletext"/>
              <w:keepNext w:val="0"/>
              <w:jc w:val="center"/>
              <w:rPr>
                <w:szCs w:val="20"/>
              </w:rPr>
            </w:pPr>
            <w:r w:rsidRPr="00F57392">
              <w:t>$</w:t>
            </w:r>
            <w:r w:rsidR="0024159D" w:rsidRPr="0024159D">
              <w:rPr>
                <w:sz w:val="2"/>
                <w:highlight w:val="black"/>
              </w:rPr>
              <w:t>redacted content</w:t>
            </w:r>
            <w:r w:rsidRPr="00F57392">
              <w:t xml:space="preserve"> effective price</w:t>
            </w:r>
          </w:p>
        </w:tc>
        <w:tc>
          <w:tcPr>
            <w:tcW w:w="450" w:type="pct"/>
            <w:vAlign w:val="center"/>
          </w:tcPr>
          <w:p w14:paraId="0AE1E3AA" w14:textId="1172FC90" w:rsidR="009C5C52" w:rsidRPr="00E7783F" w:rsidRDefault="009C5C52" w:rsidP="00F36268">
            <w:pPr>
              <w:jc w:val="center"/>
              <w:rPr>
                <w:rFonts w:ascii="Arial Narrow" w:hAnsi="Arial Narrow"/>
                <w:i/>
                <w:iCs/>
                <w:sz w:val="20"/>
                <w:szCs w:val="20"/>
              </w:rPr>
            </w:pPr>
            <w:r w:rsidRPr="00E7783F">
              <w:rPr>
                <w:rFonts w:ascii="Arial Narrow" w:hAnsi="Arial Narrow"/>
                <w:strike/>
                <w:sz w:val="20"/>
              </w:rPr>
              <w:t>1</w:t>
            </w:r>
            <w:r w:rsidR="002F7258">
              <w:rPr>
                <w:rFonts w:ascii="Arial Narrow" w:hAnsi="Arial Narrow"/>
                <w:i/>
                <w:iCs/>
                <w:sz w:val="20"/>
              </w:rPr>
              <w:t xml:space="preserve"> 2</w:t>
            </w:r>
          </w:p>
        </w:tc>
        <w:tc>
          <w:tcPr>
            <w:tcW w:w="450" w:type="pct"/>
            <w:vAlign w:val="center"/>
          </w:tcPr>
          <w:p w14:paraId="16E7A7C2" w14:textId="77777777" w:rsidR="009C5C52" w:rsidRPr="00F57392" w:rsidRDefault="009C5C52" w:rsidP="00F36268">
            <w:pPr>
              <w:jc w:val="center"/>
              <w:rPr>
                <w:rFonts w:ascii="Arial Narrow" w:hAnsi="Arial Narrow"/>
                <w:sz w:val="20"/>
                <w:szCs w:val="20"/>
              </w:rPr>
            </w:pPr>
            <w:r w:rsidRPr="00F57392">
              <w:rPr>
                <w:rFonts w:ascii="Arial Narrow" w:hAnsi="Arial Narrow"/>
                <w:sz w:val="20"/>
              </w:rPr>
              <w:t>60</w:t>
            </w:r>
          </w:p>
        </w:tc>
        <w:tc>
          <w:tcPr>
            <w:tcW w:w="450" w:type="pct"/>
            <w:vAlign w:val="center"/>
          </w:tcPr>
          <w:p w14:paraId="501B7D64" w14:textId="77777777" w:rsidR="009C5C52" w:rsidRPr="00F57392" w:rsidRDefault="009C5C52" w:rsidP="00F36268">
            <w:pPr>
              <w:jc w:val="center"/>
              <w:rPr>
                <w:rFonts w:ascii="Arial Narrow" w:hAnsi="Arial Narrow"/>
                <w:sz w:val="20"/>
                <w:szCs w:val="20"/>
              </w:rPr>
            </w:pPr>
            <w:r w:rsidRPr="00F57392">
              <w:rPr>
                <w:rFonts w:ascii="Arial Narrow" w:hAnsi="Arial Narrow"/>
                <w:sz w:val="20"/>
              </w:rPr>
              <w:t>5</w:t>
            </w:r>
          </w:p>
        </w:tc>
        <w:tc>
          <w:tcPr>
            <w:tcW w:w="1018" w:type="pct"/>
            <w:vAlign w:val="center"/>
          </w:tcPr>
          <w:p w14:paraId="49A63CD8" w14:textId="77777777" w:rsidR="009C5C52" w:rsidRPr="00F57392" w:rsidRDefault="009C5C52" w:rsidP="00F36268">
            <w:pPr>
              <w:jc w:val="center"/>
              <w:rPr>
                <w:rFonts w:ascii="Arial Narrow" w:hAnsi="Arial Narrow"/>
                <w:sz w:val="20"/>
                <w:szCs w:val="20"/>
              </w:rPr>
            </w:pPr>
            <w:r w:rsidRPr="00F57392">
              <w:rPr>
                <w:rFonts w:ascii="Arial Narrow" w:hAnsi="Arial Narrow"/>
                <w:sz w:val="20"/>
                <w:szCs w:val="20"/>
              </w:rPr>
              <w:t>Voranigo</w:t>
            </w:r>
          </w:p>
        </w:tc>
      </w:tr>
      <w:tr w:rsidR="009C5C52" w:rsidRPr="00F57392" w14:paraId="2C47F1F0" w14:textId="77777777" w:rsidTr="00E549E5">
        <w:trPr>
          <w:cantSplit/>
          <w:trHeight w:val="20"/>
        </w:trPr>
        <w:tc>
          <w:tcPr>
            <w:tcW w:w="1380" w:type="pct"/>
            <w:tcBorders>
              <w:bottom w:val="double" w:sz="4" w:space="0" w:color="auto"/>
            </w:tcBorders>
            <w:vAlign w:val="center"/>
          </w:tcPr>
          <w:p w14:paraId="038D1207" w14:textId="77777777" w:rsidR="009C5C52" w:rsidRPr="00F57392" w:rsidRDefault="009C5C52" w:rsidP="00F36268">
            <w:pPr>
              <w:tabs>
                <w:tab w:val="left" w:pos="1077"/>
              </w:tabs>
              <w:rPr>
                <w:rFonts w:ascii="Arial Narrow" w:hAnsi="Arial Narrow"/>
                <w:sz w:val="20"/>
                <w:szCs w:val="20"/>
              </w:rPr>
            </w:pPr>
            <w:r w:rsidRPr="00F57392">
              <w:rPr>
                <w:rFonts w:ascii="Arial Narrow" w:hAnsi="Arial Narrow"/>
                <w:sz w:val="20"/>
                <w:szCs w:val="20"/>
              </w:rPr>
              <w:t>Vorasidenib 40 mg tablet, 30</w:t>
            </w:r>
          </w:p>
        </w:tc>
        <w:tc>
          <w:tcPr>
            <w:tcW w:w="1252" w:type="pct"/>
            <w:tcBorders>
              <w:bottom w:val="double" w:sz="4" w:space="0" w:color="auto"/>
            </w:tcBorders>
            <w:vAlign w:val="center"/>
          </w:tcPr>
          <w:p w14:paraId="55F95927" w14:textId="5563C8F2" w:rsidR="009C5C52" w:rsidRPr="00F57392" w:rsidRDefault="009C5C52" w:rsidP="00F36268">
            <w:pPr>
              <w:jc w:val="center"/>
              <w:rPr>
                <w:rFonts w:ascii="Arial Narrow" w:hAnsi="Arial Narrow"/>
                <w:sz w:val="20"/>
                <w:szCs w:val="20"/>
              </w:rPr>
            </w:pPr>
            <w:r w:rsidRPr="00F57392">
              <w:rPr>
                <w:rFonts w:ascii="Arial Narrow" w:hAnsi="Arial Narrow"/>
                <w:sz w:val="20"/>
                <w:szCs w:val="20"/>
              </w:rPr>
              <w:t>$</w:t>
            </w:r>
            <w:r w:rsidR="0024159D" w:rsidRPr="0024159D">
              <w:rPr>
                <w:rFonts w:ascii="Arial Narrow" w:hAnsi="Arial Narrow"/>
                <w:sz w:val="2"/>
                <w:szCs w:val="20"/>
                <w:highlight w:val="black"/>
              </w:rPr>
              <w:t>redacted content</w:t>
            </w:r>
            <w:r w:rsidR="0024159D" w:rsidRPr="0024159D">
              <w:rPr>
                <w:rFonts w:ascii="Arial Narrow" w:hAnsi="Arial Narrow"/>
                <w:sz w:val="20"/>
                <w:szCs w:val="20"/>
              </w:rPr>
              <w:t xml:space="preserve"> </w:t>
            </w:r>
            <w:r w:rsidRPr="00F57392">
              <w:rPr>
                <w:rFonts w:ascii="Arial Narrow" w:hAnsi="Arial Narrow"/>
                <w:sz w:val="20"/>
                <w:szCs w:val="20"/>
              </w:rPr>
              <w:t>published price</w:t>
            </w:r>
          </w:p>
          <w:p w14:paraId="59DE195D" w14:textId="36BC32DA" w:rsidR="009C5C52" w:rsidRPr="00F57392" w:rsidRDefault="009C5C52" w:rsidP="00F36268">
            <w:pPr>
              <w:jc w:val="center"/>
              <w:rPr>
                <w:rFonts w:ascii="Arial Narrow" w:hAnsi="Arial Narrow"/>
                <w:sz w:val="20"/>
                <w:szCs w:val="20"/>
              </w:rPr>
            </w:pPr>
            <w:r w:rsidRPr="00F57392">
              <w:rPr>
                <w:rFonts w:ascii="Arial Narrow" w:hAnsi="Arial Narrow"/>
                <w:sz w:val="20"/>
                <w:szCs w:val="20"/>
              </w:rPr>
              <w:t>$</w:t>
            </w:r>
            <w:r w:rsidR="0024159D" w:rsidRPr="0024159D">
              <w:rPr>
                <w:rFonts w:ascii="Arial Narrow" w:hAnsi="Arial Narrow"/>
                <w:sz w:val="2"/>
                <w:szCs w:val="20"/>
                <w:highlight w:val="black"/>
              </w:rPr>
              <w:t>redacted content</w:t>
            </w:r>
            <w:r w:rsidRPr="00F57392">
              <w:rPr>
                <w:rFonts w:ascii="Arial Narrow" w:hAnsi="Arial Narrow"/>
                <w:sz w:val="20"/>
                <w:szCs w:val="20"/>
              </w:rPr>
              <w:t xml:space="preserve"> effective price</w:t>
            </w:r>
          </w:p>
        </w:tc>
        <w:tc>
          <w:tcPr>
            <w:tcW w:w="450" w:type="pct"/>
            <w:tcBorders>
              <w:bottom w:val="double" w:sz="4" w:space="0" w:color="auto"/>
            </w:tcBorders>
            <w:vAlign w:val="center"/>
          </w:tcPr>
          <w:p w14:paraId="387FE9B7" w14:textId="77777777" w:rsidR="009C5C52" w:rsidRPr="00F57392" w:rsidRDefault="009C5C52" w:rsidP="00F36268">
            <w:pPr>
              <w:jc w:val="center"/>
              <w:rPr>
                <w:rFonts w:ascii="Arial Narrow" w:hAnsi="Arial Narrow"/>
                <w:sz w:val="20"/>
                <w:szCs w:val="20"/>
              </w:rPr>
            </w:pPr>
            <w:r w:rsidRPr="00F57392">
              <w:rPr>
                <w:rFonts w:ascii="Arial Narrow" w:hAnsi="Arial Narrow"/>
                <w:sz w:val="20"/>
                <w:szCs w:val="20"/>
              </w:rPr>
              <w:t>1</w:t>
            </w:r>
          </w:p>
        </w:tc>
        <w:tc>
          <w:tcPr>
            <w:tcW w:w="450" w:type="pct"/>
            <w:tcBorders>
              <w:bottom w:val="double" w:sz="4" w:space="0" w:color="auto"/>
            </w:tcBorders>
            <w:vAlign w:val="center"/>
          </w:tcPr>
          <w:p w14:paraId="1E35DEA9" w14:textId="77777777" w:rsidR="009C5C52" w:rsidRPr="00F57392" w:rsidRDefault="009C5C52" w:rsidP="00F36268">
            <w:pPr>
              <w:jc w:val="center"/>
              <w:rPr>
                <w:rFonts w:ascii="Arial Narrow" w:hAnsi="Arial Narrow"/>
                <w:sz w:val="20"/>
                <w:szCs w:val="20"/>
              </w:rPr>
            </w:pPr>
            <w:r w:rsidRPr="00F57392">
              <w:rPr>
                <w:rFonts w:ascii="Arial Narrow" w:hAnsi="Arial Narrow"/>
                <w:sz w:val="20"/>
                <w:szCs w:val="20"/>
              </w:rPr>
              <w:t>30</w:t>
            </w:r>
          </w:p>
        </w:tc>
        <w:tc>
          <w:tcPr>
            <w:tcW w:w="450" w:type="pct"/>
            <w:tcBorders>
              <w:bottom w:val="double" w:sz="4" w:space="0" w:color="auto"/>
            </w:tcBorders>
            <w:vAlign w:val="center"/>
          </w:tcPr>
          <w:p w14:paraId="13ABB052" w14:textId="77777777" w:rsidR="009C5C52" w:rsidRPr="00F57392" w:rsidRDefault="009C5C52" w:rsidP="00F36268">
            <w:pPr>
              <w:jc w:val="center"/>
              <w:rPr>
                <w:rFonts w:ascii="Arial Narrow" w:hAnsi="Arial Narrow"/>
                <w:sz w:val="20"/>
                <w:szCs w:val="20"/>
              </w:rPr>
            </w:pPr>
            <w:r w:rsidRPr="00F57392">
              <w:rPr>
                <w:rFonts w:ascii="Arial Narrow" w:hAnsi="Arial Narrow"/>
                <w:sz w:val="20"/>
                <w:szCs w:val="20"/>
              </w:rPr>
              <w:t>5</w:t>
            </w:r>
          </w:p>
        </w:tc>
        <w:tc>
          <w:tcPr>
            <w:tcW w:w="1018" w:type="pct"/>
            <w:vAlign w:val="center"/>
          </w:tcPr>
          <w:p w14:paraId="3C97F2BC" w14:textId="77777777" w:rsidR="009C5C52" w:rsidRPr="00F57392" w:rsidRDefault="009C5C52" w:rsidP="00F36268">
            <w:pPr>
              <w:jc w:val="center"/>
              <w:rPr>
                <w:rFonts w:ascii="Arial Narrow" w:hAnsi="Arial Narrow"/>
                <w:sz w:val="20"/>
                <w:szCs w:val="20"/>
              </w:rPr>
            </w:pPr>
            <w:r w:rsidRPr="00F57392">
              <w:rPr>
                <w:rFonts w:ascii="Arial Narrow" w:hAnsi="Arial Narrow"/>
                <w:sz w:val="20"/>
                <w:szCs w:val="20"/>
              </w:rPr>
              <w:t>Voranigo</w:t>
            </w:r>
          </w:p>
        </w:tc>
      </w:tr>
    </w:tbl>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5" w:type="dxa"/>
          <w:bottom w:w="15" w:type="dxa"/>
        </w:tblCellMar>
        <w:tblLook w:val="04A0" w:firstRow="1" w:lastRow="0" w:firstColumn="1" w:lastColumn="0" w:noHBand="0" w:noVBand="1"/>
        <w:tblCaption w:val="Requested listing"/>
      </w:tblPr>
      <w:tblGrid>
        <w:gridCol w:w="593"/>
        <w:gridCol w:w="8423"/>
      </w:tblGrid>
      <w:tr w:rsidR="009C5C52" w:rsidRPr="001428E9" w14:paraId="6650DCBA" w14:textId="77777777" w:rsidTr="00E256D3">
        <w:trPr>
          <w:trHeight w:val="20"/>
        </w:trPr>
        <w:tc>
          <w:tcPr>
            <w:tcW w:w="9016" w:type="dxa"/>
            <w:gridSpan w:val="2"/>
            <w:tcBorders>
              <w:top w:val="single" w:sz="4" w:space="0" w:color="auto"/>
              <w:left w:val="single" w:sz="4" w:space="0" w:color="auto"/>
              <w:right w:val="single" w:sz="4" w:space="0" w:color="auto"/>
            </w:tcBorders>
            <w:vAlign w:val="center"/>
          </w:tcPr>
          <w:p w14:paraId="5F193D48" w14:textId="77777777" w:rsidR="009C5C52" w:rsidRPr="00BE48FF" w:rsidRDefault="009C5C52" w:rsidP="00F36268">
            <w:pPr>
              <w:keepNext/>
              <w:rPr>
                <w:rFonts w:ascii="Arial Narrow" w:hAnsi="Arial Narrow"/>
                <w:sz w:val="20"/>
                <w:szCs w:val="20"/>
              </w:rPr>
            </w:pPr>
          </w:p>
        </w:tc>
      </w:tr>
      <w:tr w:rsidR="009C5C52" w:rsidRPr="001428E9" w14:paraId="14AF3F2A" w14:textId="77777777" w:rsidTr="00E256D3">
        <w:trPr>
          <w:trHeight w:val="20"/>
        </w:trPr>
        <w:tc>
          <w:tcPr>
            <w:tcW w:w="9016" w:type="dxa"/>
            <w:gridSpan w:val="2"/>
            <w:tcBorders>
              <w:top w:val="single" w:sz="4" w:space="0" w:color="auto"/>
              <w:left w:val="single" w:sz="4" w:space="0" w:color="auto"/>
              <w:bottom w:val="single" w:sz="4" w:space="0" w:color="auto"/>
              <w:right w:val="single" w:sz="4" w:space="0" w:color="auto"/>
            </w:tcBorders>
            <w:vAlign w:val="center"/>
          </w:tcPr>
          <w:p w14:paraId="4730C926" w14:textId="77777777" w:rsidR="009C5C52" w:rsidRPr="00BE48FF" w:rsidRDefault="009C5C52" w:rsidP="00F36268">
            <w:pPr>
              <w:keepNext/>
              <w:keepLines/>
              <w:rPr>
                <w:rFonts w:ascii="Arial Narrow" w:hAnsi="Arial Narrow"/>
                <w:sz w:val="20"/>
                <w:szCs w:val="20"/>
              </w:rPr>
            </w:pPr>
            <w:r w:rsidRPr="00BE48FF">
              <w:rPr>
                <w:rFonts w:ascii="Arial Narrow" w:hAnsi="Arial Narrow"/>
                <w:b/>
                <w:sz w:val="20"/>
                <w:szCs w:val="20"/>
              </w:rPr>
              <w:t>Category / Program:</w:t>
            </w:r>
          </w:p>
          <w:p w14:paraId="35A1A121" w14:textId="77777777" w:rsidR="009C5C52" w:rsidRPr="00BE48FF" w:rsidRDefault="009C5C52" w:rsidP="00F36268">
            <w:pPr>
              <w:keepNext/>
              <w:keepLines/>
              <w:rPr>
                <w:rFonts w:ascii="Arial Narrow" w:hAnsi="Arial Narrow"/>
                <w:sz w:val="20"/>
                <w:szCs w:val="20"/>
              </w:rPr>
            </w:pPr>
            <w:r w:rsidRPr="00BE48FF">
              <w:rPr>
                <w:rFonts w:ascii="Arial Narrow" w:eastAsia="Calibri" w:hAnsi="Arial Narrow"/>
                <w:sz w:val="20"/>
                <w:szCs w:val="20"/>
              </w:rPr>
              <w:fldChar w:fldCharType="begin">
                <w:ffData>
                  <w:name w:val="Check1"/>
                  <w:enabled/>
                  <w:calcOnExit w:val="0"/>
                  <w:checkBox>
                    <w:sizeAuto/>
                    <w:default w:val="1"/>
                  </w:checkBox>
                </w:ffData>
              </w:fldChar>
            </w:r>
            <w:r w:rsidRPr="00BE48FF">
              <w:rPr>
                <w:rFonts w:ascii="Arial Narrow" w:eastAsia="Calibri" w:hAnsi="Arial Narrow"/>
                <w:sz w:val="20"/>
                <w:szCs w:val="20"/>
              </w:rPr>
              <w:instrText xml:space="preserve"> FORMCHECKBOX </w:instrText>
            </w:r>
            <w:r w:rsidRPr="00BE48FF">
              <w:rPr>
                <w:rFonts w:ascii="Arial Narrow" w:eastAsia="Calibri" w:hAnsi="Arial Narrow"/>
                <w:sz w:val="20"/>
                <w:szCs w:val="20"/>
              </w:rPr>
            </w:r>
            <w:r w:rsidRPr="00BE48FF">
              <w:rPr>
                <w:rFonts w:ascii="Arial Narrow" w:eastAsia="Calibri" w:hAnsi="Arial Narrow"/>
                <w:sz w:val="20"/>
                <w:szCs w:val="20"/>
              </w:rPr>
              <w:fldChar w:fldCharType="separate"/>
            </w:r>
            <w:r w:rsidRPr="00BE48FF">
              <w:rPr>
                <w:rFonts w:ascii="Arial Narrow" w:eastAsia="Calibri" w:hAnsi="Arial Narrow"/>
                <w:sz w:val="20"/>
                <w:szCs w:val="20"/>
              </w:rPr>
              <w:fldChar w:fldCharType="end"/>
            </w:r>
            <w:r w:rsidRPr="00BE48FF">
              <w:rPr>
                <w:rFonts w:ascii="Arial Narrow" w:eastAsia="Calibri" w:hAnsi="Arial Narrow"/>
                <w:sz w:val="20"/>
                <w:szCs w:val="20"/>
              </w:rPr>
              <w:t xml:space="preserve"> GENERAL – General Schedule (Code GE) </w:t>
            </w:r>
          </w:p>
        </w:tc>
      </w:tr>
      <w:tr w:rsidR="009C5C52" w:rsidRPr="001428E9" w14:paraId="64E9E36E" w14:textId="77777777" w:rsidTr="00E256D3">
        <w:trPr>
          <w:trHeight w:val="20"/>
        </w:trPr>
        <w:tc>
          <w:tcPr>
            <w:tcW w:w="9016" w:type="dxa"/>
            <w:gridSpan w:val="2"/>
            <w:tcBorders>
              <w:top w:val="single" w:sz="4" w:space="0" w:color="auto"/>
              <w:left w:val="single" w:sz="4" w:space="0" w:color="auto"/>
              <w:bottom w:val="single" w:sz="4" w:space="0" w:color="auto"/>
              <w:right w:val="single" w:sz="4" w:space="0" w:color="auto"/>
            </w:tcBorders>
            <w:vAlign w:val="center"/>
          </w:tcPr>
          <w:p w14:paraId="2216EF5F" w14:textId="77777777" w:rsidR="009C5C52" w:rsidRPr="00BE48FF" w:rsidRDefault="009C5C52" w:rsidP="00F36268">
            <w:pPr>
              <w:keepLines/>
              <w:rPr>
                <w:rFonts w:ascii="Arial Narrow" w:hAnsi="Arial Narrow"/>
                <w:b/>
                <w:sz w:val="20"/>
                <w:szCs w:val="20"/>
              </w:rPr>
            </w:pPr>
            <w:r w:rsidRPr="00BE48FF">
              <w:rPr>
                <w:rFonts w:ascii="Arial Narrow" w:hAnsi="Arial Narrow"/>
                <w:b/>
                <w:sz w:val="20"/>
                <w:szCs w:val="20"/>
              </w:rPr>
              <w:t xml:space="preserve">Prescriber type: </w:t>
            </w:r>
            <w:r w:rsidRPr="00BE48FF">
              <w:rPr>
                <w:rFonts w:ascii="Arial Narrow" w:hAnsi="Arial Narrow"/>
                <w:sz w:val="20"/>
                <w:szCs w:val="20"/>
              </w:rPr>
              <w:fldChar w:fldCharType="begin">
                <w:ffData>
                  <w:name w:val=""/>
                  <w:enabled/>
                  <w:calcOnExit w:val="0"/>
                  <w:checkBox>
                    <w:sizeAuto/>
                    <w:default w:val="1"/>
                  </w:checkBox>
                </w:ffData>
              </w:fldChar>
            </w:r>
            <w:r w:rsidRPr="00BE48FF">
              <w:rPr>
                <w:rFonts w:ascii="Arial Narrow" w:hAnsi="Arial Narrow"/>
                <w:sz w:val="20"/>
                <w:szCs w:val="20"/>
              </w:rPr>
              <w:instrText xml:space="preserve"> FORMCHECKBOX </w:instrText>
            </w:r>
            <w:r w:rsidRPr="00BE48FF">
              <w:rPr>
                <w:rFonts w:ascii="Arial Narrow" w:hAnsi="Arial Narrow"/>
                <w:sz w:val="20"/>
                <w:szCs w:val="20"/>
              </w:rPr>
            </w:r>
            <w:r w:rsidRPr="00BE48FF">
              <w:rPr>
                <w:rFonts w:ascii="Arial Narrow" w:hAnsi="Arial Narrow"/>
                <w:sz w:val="20"/>
                <w:szCs w:val="20"/>
              </w:rPr>
              <w:fldChar w:fldCharType="separate"/>
            </w:r>
            <w:r w:rsidRPr="00BE48FF">
              <w:rPr>
                <w:rFonts w:ascii="Arial Narrow" w:hAnsi="Arial Narrow"/>
                <w:sz w:val="20"/>
                <w:szCs w:val="20"/>
              </w:rPr>
              <w:fldChar w:fldCharType="end"/>
            </w:r>
            <w:r w:rsidRPr="00BE48FF">
              <w:rPr>
                <w:rFonts w:ascii="Arial Narrow" w:hAnsi="Arial Narrow"/>
                <w:sz w:val="20"/>
                <w:szCs w:val="20"/>
              </w:rPr>
              <w:t>Medical Practitioners</w:t>
            </w:r>
          </w:p>
        </w:tc>
      </w:tr>
      <w:tr w:rsidR="009C5C52" w:rsidRPr="001428E9" w14:paraId="172F892E" w14:textId="77777777" w:rsidTr="00E256D3">
        <w:trPr>
          <w:trHeight w:val="20"/>
        </w:trPr>
        <w:tc>
          <w:tcPr>
            <w:tcW w:w="9016" w:type="dxa"/>
            <w:gridSpan w:val="2"/>
            <w:tcBorders>
              <w:top w:val="single" w:sz="4" w:space="0" w:color="auto"/>
              <w:left w:val="single" w:sz="4" w:space="0" w:color="auto"/>
              <w:bottom w:val="single" w:sz="4" w:space="0" w:color="auto"/>
              <w:right w:val="single" w:sz="4" w:space="0" w:color="auto"/>
            </w:tcBorders>
            <w:vAlign w:val="center"/>
          </w:tcPr>
          <w:p w14:paraId="7BC6DD95" w14:textId="77777777" w:rsidR="009C5C52" w:rsidRPr="00BE48FF" w:rsidRDefault="009C5C52" w:rsidP="00F36268">
            <w:pPr>
              <w:keepLines/>
              <w:rPr>
                <w:rFonts w:ascii="Arial Narrow" w:eastAsia="Calibri" w:hAnsi="Arial Narrow"/>
                <w:sz w:val="20"/>
                <w:szCs w:val="20"/>
              </w:rPr>
            </w:pPr>
            <w:r w:rsidRPr="00BE48FF">
              <w:rPr>
                <w:rFonts w:ascii="Arial Narrow" w:hAnsi="Arial Narrow"/>
                <w:b/>
                <w:sz w:val="20"/>
                <w:szCs w:val="20"/>
              </w:rPr>
              <w:t xml:space="preserve">Restriction type: </w:t>
            </w:r>
            <w:r w:rsidRPr="00BE48FF">
              <w:rPr>
                <w:rFonts w:ascii="Arial Narrow" w:eastAsia="Calibri" w:hAnsi="Arial Narrow"/>
                <w:strike/>
                <w:sz w:val="20"/>
                <w:szCs w:val="20"/>
              </w:rPr>
              <w:fldChar w:fldCharType="begin">
                <w:ffData>
                  <w:name w:val=""/>
                  <w:enabled/>
                  <w:calcOnExit w:val="0"/>
                  <w:checkBox>
                    <w:sizeAuto/>
                    <w:default w:val="1"/>
                  </w:checkBox>
                </w:ffData>
              </w:fldChar>
            </w:r>
            <w:r w:rsidRPr="00BE48FF">
              <w:rPr>
                <w:rFonts w:ascii="Arial Narrow" w:eastAsia="Calibri" w:hAnsi="Arial Narrow"/>
                <w:strike/>
                <w:sz w:val="20"/>
                <w:szCs w:val="20"/>
              </w:rPr>
              <w:instrText xml:space="preserve"> FORMCHECKBOX </w:instrText>
            </w:r>
            <w:r w:rsidRPr="00BE48FF">
              <w:rPr>
                <w:rFonts w:ascii="Arial Narrow" w:eastAsia="Calibri" w:hAnsi="Arial Narrow"/>
                <w:strike/>
                <w:sz w:val="20"/>
                <w:szCs w:val="20"/>
              </w:rPr>
            </w:r>
            <w:r w:rsidRPr="00BE48FF">
              <w:rPr>
                <w:rFonts w:ascii="Arial Narrow" w:eastAsia="Calibri" w:hAnsi="Arial Narrow"/>
                <w:strike/>
                <w:sz w:val="20"/>
                <w:szCs w:val="20"/>
              </w:rPr>
              <w:fldChar w:fldCharType="separate"/>
            </w:r>
            <w:r w:rsidRPr="00BE48FF">
              <w:rPr>
                <w:rFonts w:ascii="Arial Narrow" w:eastAsia="Calibri" w:hAnsi="Arial Narrow"/>
                <w:strike/>
                <w:sz w:val="20"/>
                <w:szCs w:val="20"/>
              </w:rPr>
              <w:fldChar w:fldCharType="end"/>
            </w:r>
            <w:r w:rsidRPr="00BE48FF">
              <w:rPr>
                <w:rFonts w:ascii="Arial Narrow" w:eastAsia="Calibri" w:hAnsi="Arial Narrow"/>
                <w:sz w:val="20"/>
                <w:szCs w:val="20"/>
              </w:rPr>
              <w:t xml:space="preserve">Authority Required (Streamlined) [new code] </w:t>
            </w:r>
          </w:p>
        </w:tc>
      </w:tr>
      <w:tr w:rsidR="009C5C52" w:rsidRPr="001428E9" w14:paraId="0B714380" w14:textId="77777777" w:rsidTr="00E256D3">
        <w:trPr>
          <w:trHeight w:val="311"/>
        </w:trPr>
        <w:tc>
          <w:tcPr>
            <w:tcW w:w="593" w:type="dxa"/>
            <w:vMerge w:val="restart"/>
            <w:tcBorders>
              <w:left w:val="single" w:sz="4" w:space="0" w:color="auto"/>
              <w:right w:val="single" w:sz="4" w:space="0" w:color="auto"/>
            </w:tcBorders>
            <w:textDirection w:val="btLr"/>
            <w:vAlign w:val="center"/>
          </w:tcPr>
          <w:p w14:paraId="15AE5A7E" w14:textId="1EBDFD5C" w:rsidR="009C5C52" w:rsidRPr="00BE48FF" w:rsidRDefault="009C5C52" w:rsidP="00F36268">
            <w:pPr>
              <w:jc w:val="center"/>
              <w:rPr>
                <w:rFonts w:ascii="Arial Narrow" w:hAnsi="Arial Narrow"/>
                <w:sz w:val="20"/>
                <w:szCs w:val="20"/>
              </w:rPr>
            </w:pPr>
            <w:r w:rsidRPr="00BE48FF">
              <w:rPr>
                <w:rFonts w:ascii="Arial Narrow" w:hAnsi="Arial Narrow"/>
                <w:sz w:val="20"/>
                <w:szCs w:val="20"/>
              </w:rPr>
              <w:t>Prescribing rule level</w:t>
            </w:r>
          </w:p>
        </w:tc>
        <w:tc>
          <w:tcPr>
            <w:tcW w:w="8423" w:type="dxa"/>
            <w:vAlign w:val="center"/>
          </w:tcPr>
          <w:p w14:paraId="5CD250C3" w14:textId="77777777" w:rsidR="009C5C52" w:rsidRPr="00E256D3" w:rsidRDefault="009C5C52" w:rsidP="00F36268">
            <w:pPr>
              <w:rPr>
                <w:rFonts w:ascii="Arial Narrow" w:hAnsi="Arial Narrow"/>
                <w:sz w:val="20"/>
                <w:szCs w:val="20"/>
              </w:rPr>
            </w:pPr>
            <w:r w:rsidRPr="00E256D3">
              <w:rPr>
                <w:rFonts w:ascii="Arial Narrow" w:hAnsi="Arial Narrow"/>
                <w:b/>
                <w:bCs/>
                <w:sz w:val="20"/>
                <w:szCs w:val="20"/>
              </w:rPr>
              <w:t xml:space="preserve">Administrative Advice: </w:t>
            </w:r>
            <w:r w:rsidRPr="00E256D3">
              <w:rPr>
                <w:rFonts w:ascii="Arial Narrow" w:hAnsi="Arial Narrow"/>
                <w:bCs/>
                <w:sz w:val="20"/>
                <w:szCs w:val="20"/>
              </w:rPr>
              <w:t>No increase in the maximum quantity or number of units may be authorised.</w:t>
            </w:r>
          </w:p>
        </w:tc>
      </w:tr>
      <w:tr w:rsidR="009C5C52" w:rsidRPr="001428E9" w14:paraId="547611CF" w14:textId="77777777" w:rsidTr="00E256D3">
        <w:trPr>
          <w:trHeight w:val="323"/>
        </w:trPr>
        <w:tc>
          <w:tcPr>
            <w:tcW w:w="593" w:type="dxa"/>
            <w:vMerge/>
            <w:tcBorders>
              <w:left w:val="single" w:sz="4" w:space="0" w:color="auto"/>
              <w:right w:val="single" w:sz="4" w:space="0" w:color="auto"/>
            </w:tcBorders>
          </w:tcPr>
          <w:p w14:paraId="1337463E" w14:textId="77777777" w:rsidR="009C5C52" w:rsidRPr="00BE48FF" w:rsidRDefault="009C5C52" w:rsidP="00F36268">
            <w:pPr>
              <w:rPr>
                <w:rFonts w:ascii="Arial Narrow" w:hAnsi="Arial Narrow"/>
                <w:sz w:val="20"/>
                <w:szCs w:val="20"/>
              </w:rPr>
            </w:pPr>
          </w:p>
        </w:tc>
        <w:tc>
          <w:tcPr>
            <w:tcW w:w="8423" w:type="dxa"/>
            <w:vAlign w:val="center"/>
          </w:tcPr>
          <w:p w14:paraId="4A8E699A" w14:textId="77777777" w:rsidR="009C5C52" w:rsidRPr="00E256D3" w:rsidRDefault="009C5C52" w:rsidP="00F36268">
            <w:pPr>
              <w:rPr>
                <w:rFonts w:ascii="Arial Narrow" w:hAnsi="Arial Narrow"/>
                <w:b/>
                <w:bCs/>
                <w:sz w:val="20"/>
                <w:szCs w:val="20"/>
              </w:rPr>
            </w:pPr>
            <w:r w:rsidRPr="00E256D3">
              <w:rPr>
                <w:rFonts w:ascii="Arial Narrow" w:hAnsi="Arial Narrow"/>
                <w:b/>
                <w:bCs/>
                <w:sz w:val="20"/>
                <w:szCs w:val="20"/>
              </w:rPr>
              <w:t xml:space="preserve">Administrative Advice: </w:t>
            </w:r>
            <w:r w:rsidRPr="00E256D3">
              <w:rPr>
                <w:rFonts w:ascii="Arial Narrow" w:hAnsi="Arial Narrow"/>
                <w:bCs/>
                <w:sz w:val="20"/>
                <w:szCs w:val="20"/>
              </w:rPr>
              <w:t>No increase in the maximum number of repeats may be authorised.</w:t>
            </w:r>
          </w:p>
        </w:tc>
      </w:tr>
      <w:tr w:rsidR="009C5C52" w:rsidRPr="001428E9" w14:paraId="77F38EE3" w14:textId="77777777" w:rsidTr="00E256D3">
        <w:trPr>
          <w:trHeight w:val="323"/>
        </w:trPr>
        <w:tc>
          <w:tcPr>
            <w:tcW w:w="593" w:type="dxa"/>
            <w:vMerge/>
            <w:tcBorders>
              <w:left w:val="single" w:sz="4" w:space="0" w:color="auto"/>
              <w:bottom w:val="single" w:sz="4" w:space="0" w:color="auto"/>
              <w:right w:val="single" w:sz="4" w:space="0" w:color="auto"/>
            </w:tcBorders>
          </w:tcPr>
          <w:p w14:paraId="50961C5F" w14:textId="77777777" w:rsidR="009C5C52" w:rsidRPr="00BE48FF" w:rsidRDefault="009C5C52" w:rsidP="00F36268">
            <w:pPr>
              <w:rPr>
                <w:rFonts w:ascii="Arial Narrow" w:hAnsi="Arial Narrow"/>
                <w:sz w:val="20"/>
                <w:szCs w:val="20"/>
              </w:rPr>
            </w:pPr>
          </w:p>
        </w:tc>
        <w:tc>
          <w:tcPr>
            <w:tcW w:w="8423" w:type="dxa"/>
            <w:vAlign w:val="center"/>
          </w:tcPr>
          <w:p w14:paraId="29CB511D" w14:textId="77777777" w:rsidR="009C5C52" w:rsidRPr="00BE48FF" w:rsidRDefault="009C5C52" w:rsidP="00F36268">
            <w:pPr>
              <w:rPr>
                <w:rFonts w:ascii="Arial Narrow" w:hAnsi="Arial Narrow"/>
                <w:b/>
                <w:bCs/>
                <w:sz w:val="20"/>
                <w:szCs w:val="20"/>
              </w:rPr>
            </w:pPr>
            <w:r w:rsidRPr="00BE48FF">
              <w:rPr>
                <w:rFonts w:ascii="Arial Narrow" w:hAnsi="Arial Narrow"/>
                <w:b/>
                <w:bCs/>
                <w:sz w:val="20"/>
                <w:szCs w:val="20"/>
              </w:rPr>
              <w:t xml:space="preserve">Administrative Advice: </w:t>
            </w:r>
            <w:r w:rsidRPr="00BE48FF">
              <w:rPr>
                <w:rFonts w:ascii="Arial Narrow" w:hAnsi="Arial Narrow"/>
                <w:bCs/>
                <w:sz w:val="20"/>
                <w:szCs w:val="20"/>
              </w:rPr>
              <w:t>Special Pricing Arrangements apply.</w:t>
            </w:r>
          </w:p>
        </w:tc>
      </w:tr>
      <w:tr w:rsidR="009C5C52" w:rsidRPr="001428E9" w14:paraId="64E38F73" w14:textId="77777777" w:rsidTr="00E256D3">
        <w:trPr>
          <w:cantSplit/>
          <w:trHeight w:val="20"/>
        </w:trPr>
        <w:tc>
          <w:tcPr>
            <w:tcW w:w="9016" w:type="dxa"/>
            <w:gridSpan w:val="2"/>
            <w:vAlign w:val="center"/>
          </w:tcPr>
          <w:p w14:paraId="55BD93FF" w14:textId="77777777" w:rsidR="009C5C52" w:rsidRPr="00BE48FF" w:rsidRDefault="009C5C52" w:rsidP="00F36268">
            <w:pPr>
              <w:keepLines/>
              <w:rPr>
                <w:rFonts w:ascii="Arial Narrow" w:hAnsi="Arial Narrow"/>
                <w:b/>
                <w:bCs/>
                <w:sz w:val="20"/>
                <w:szCs w:val="20"/>
              </w:rPr>
            </w:pPr>
            <w:r w:rsidRPr="00BE48FF">
              <w:rPr>
                <w:rFonts w:ascii="Arial Narrow" w:hAnsi="Arial Narrow"/>
                <w:b/>
                <w:bCs/>
                <w:sz w:val="20"/>
                <w:szCs w:val="20"/>
              </w:rPr>
              <w:t xml:space="preserve">Episodicity: </w:t>
            </w:r>
            <w:r w:rsidRPr="00BE48FF">
              <w:rPr>
                <w:rFonts w:ascii="Arial Narrow" w:hAnsi="Arial Narrow"/>
                <w:bCs/>
                <w:sz w:val="20"/>
                <w:szCs w:val="20"/>
              </w:rPr>
              <w:t>[blank]</w:t>
            </w:r>
          </w:p>
        </w:tc>
      </w:tr>
      <w:tr w:rsidR="009C5C52" w:rsidRPr="001428E9" w14:paraId="59ACCAAD" w14:textId="77777777" w:rsidTr="00E256D3">
        <w:trPr>
          <w:cantSplit/>
          <w:trHeight w:val="20"/>
        </w:trPr>
        <w:tc>
          <w:tcPr>
            <w:tcW w:w="9016" w:type="dxa"/>
            <w:gridSpan w:val="2"/>
            <w:vAlign w:val="center"/>
          </w:tcPr>
          <w:p w14:paraId="09032B9D" w14:textId="77777777" w:rsidR="009C5C52" w:rsidRPr="00BE48FF" w:rsidRDefault="009C5C52" w:rsidP="00F36268">
            <w:pPr>
              <w:keepLines/>
              <w:rPr>
                <w:rFonts w:ascii="Arial Narrow" w:hAnsi="Arial Narrow"/>
                <w:b/>
                <w:bCs/>
                <w:sz w:val="20"/>
                <w:szCs w:val="20"/>
              </w:rPr>
            </w:pPr>
            <w:r w:rsidRPr="00BE48FF">
              <w:rPr>
                <w:rFonts w:ascii="Arial Narrow" w:hAnsi="Arial Narrow"/>
                <w:b/>
                <w:bCs/>
                <w:sz w:val="20"/>
                <w:szCs w:val="20"/>
              </w:rPr>
              <w:t>Severity:</w:t>
            </w:r>
            <w:r w:rsidRPr="00BE48FF">
              <w:rPr>
                <w:rFonts w:ascii="Arial Narrow" w:hAnsi="Arial Narrow"/>
                <w:bCs/>
                <w:sz w:val="20"/>
                <w:szCs w:val="20"/>
              </w:rPr>
              <w:t xml:space="preserve"> [blank] </w:t>
            </w:r>
          </w:p>
        </w:tc>
      </w:tr>
      <w:tr w:rsidR="009C5C52" w:rsidRPr="001428E9" w14:paraId="68682560" w14:textId="77777777" w:rsidTr="00E256D3">
        <w:trPr>
          <w:cantSplit/>
          <w:trHeight w:val="20"/>
        </w:trPr>
        <w:tc>
          <w:tcPr>
            <w:tcW w:w="9016" w:type="dxa"/>
            <w:gridSpan w:val="2"/>
            <w:vAlign w:val="center"/>
          </w:tcPr>
          <w:p w14:paraId="54E821DE" w14:textId="396EDFD2" w:rsidR="009C5C52" w:rsidRPr="00BE48FF" w:rsidRDefault="009C5C52" w:rsidP="00F36268">
            <w:pPr>
              <w:keepLines/>
              <w:rPr>
                <w:rFonts w:ascii="Arial Narrow" w:hAnsi="Arial Narrow"/>
                <w:b/>
                <w:bCs/>
                <w:sz w:val="20"/>
                <w:szCs w:val="20"/>
              </w:rPr>
            </w:pPr>
            <w:r w:rsidRPr="00BE48FF">
              <w:rPr>
                <w:rFonts w:ascii="Arial Narrow" w:hAnsi="Arial Narrow"/>
                <w:b/>
                <w:bCs/>
                <w:sz w:val="20"/>
                <w:szCs w:val="20"/>
              </w:rPr>
              <w:t xml:space="preserve">Condition: </w:t>
            </w:r>
            <w:r w:rsidRPr="00BE48FF">
              <w:rPr>
                <w:rFonts w:ascii="Arial Narrow" w:hAnsi="Arial Narrow"/>
                <w:bCs/>
                <w:sz w:val="20"/>
                <w:szCs w:val="20"/>
              </w:rPr>
              <w:t>Adult</w:t>
            </w:r>
            <w:r w:rsidR="00B571FA">
              <w:rPr>
                <w:rFonts w:ascii="Arial Narrow" w:hAnsi="Arial Narrow"/>
                <w:bCs/>
                <w:sz w:val="20"/>
                <w:szCs w:val="20"/>
              </w:rPr>
              <w:noBreakHyphen/>
            </w:r>
            <w:r w:rsidRPr="00BE48FF">
              <w:rPr>
                <w:rFonts w:ascii="Arial Narrow" w:hAnsi="Arial Narrow"/>
                <w:bCs/>
                <w:sz w:val="20"/>
                <w:szCs w:val="20"/>
              </w:rPr>
              <w:t>type IDH</w:t>
            </w:r>
            <w:r w:rsidR="00B571FA">
              <w:rPr>
                <w:rFonts w:ascii="Arial Narrow" w:hAnsi="Arial Narrow"/>
                <w:bCs/>
                <w:sz w:val="20"/>
                <w:szCs w:val="20"/>
              </w:rPr>
              <w:noBreakHyphen/>
            </w:r>
            <w:r w:rsidRPr="00BE48FF">
              <w:rPr>
                <w:rFonts w:ascii="Arial Narrow" w:hAnsi="Arial Narrow"/>
                <w:bCs/>
                <w:sz w:val="20"/>
                <w:szCs w:val="20"/>
              </w:rPr>
              <w:t>mutant astrocytoma or oligodendroglioma</w:t>
            </w:r>
          </w:p>
        </w:tc>
      </w:tr>
      <w:tr w:rsidR="009C5C52" w:rsidRPr="001428E9" w14:paraId="7B6F0495" w14:textId="77777777" w:rsidTr="00E256D3">
        <w:trPr>
          <w:cantSplit/>
          <w:trHeight w:val="20"/>
        </w:trPr>
        <w:tc>
          <w:tcPr>
            <w:tcW w:w="9016" w:type="dxa"/>
            <w:gridSpan w:val="2"/>
            <w:vAlign w:val="center"/>
            <w:hideMark/>
          </w:tcPr>
          <w:p w14:paraId="7E6ECB02" w14:textId="14AF249F" w:rsidR="009C5C52" w:rsidRPr="00BE48FF" w:rsidRDefault="009C5C52" w:rsidP="00F36268">
            <w:pPr>
              <w:keepLines/>
              <w:rPr>
                <w:rFonts w:ascii="Arial Narrow" w:hAnsi="Arial Narrow"/>
                <w:sz w:val="20"/>
                <w:szCs w:val="20"/>
              </w:rPr>
            </w:pPr>
            <w:r w:rsidRPr="00BE48FF">
              <w:rPr>
                <w:rFonts w:ascii="Arial Narrow" w:hAnsi="Arial Narrow"/>
                <w:b/>
                <w:bCs/>
                <w:sz w:val="20"/>
                <w:szCs w:val="20"/>
              </w:rPr>
              <w:t>Indication:</w:t>
            </w:r>
            <w:r w:rsidRPr="00BE48FF">
              <w:rPr>
                <w:rFonts w:ascii="Arial Narrow" w:hAnsi="Arial Narrow"/>
                <w:sz w:val="20"/>
                <w:szCs w:val="20"/>
              </w:rPr>
              <w:t xml:space="preserve"> Adult</w:t>
            </w:r>
            <w:r w:rsidR="00B571FA">
              <w:rPr>
                <w:rFonts w:ascii="Arial Narrow" w:hAnsi="Arial Narrow"/>
                <w:sz w:val="20"/>
                <w:szCs w:val="20"/>
              </w:rPr>
              <w:noBreakHyphen/>
            </w:r>
            <w:r w:rsidRPr="00BE48FF">
              <w:rPr>
                <w:rFonts w:ascii="Arial Narrow" w:hAnsi="Arial Narrow"/>
                <w:sz w:val="20"/>
                <w:szCs w:val="20"/>
              </w:rPr>
              <w:t>type IDH</w:t>
            </w:r>
            <w:r w:rsidR="00B571FA">
              <w:rPr>
                <w:rFonts w:ascii="Arial Narrow" w:hAnsi="Arial Narrow"/>
                <w:sz w:val="20"/>
                <w:szCs w:val="20"/>
              </w:rPr>
              <w:noBreakHyphen/>
            </w:r>
            <w:r w:rsidRPr="00BE48FF">
              <w:rPr>
                <w:rFonts w:ascii="Arial Narrow" w:hAnsi="Arial Narrow"/>
                <w:sz w:val="20"/>
                <w:szCs w:val="20"/>
              </w:rPr>
              <w:t>mutant astrocytoma or oligodendroglioma</w:t>
            </w:r>
          </w:p>
        </w:tc>
      </w:tr>
      <w:tr w:rsidR="009C5C52" w:rsidRPr="001428E9" w14:paraId="1173F768" w14:textId="77777777" w:rsidTr="00E256D3">
        <w:trPr>
          <w:cantSplit/>
          <w:trHeight w:val="20"/>
        </w:trPr>
        <w:tc>
          <w:tcPr>
            <w:tcW w:w="9016" w:type="dxa"/>
            <w:gridSpan w:val="2"/>
            <w:vAlign w:val="center"/>
          </w:tcPr>
          <w:p w14:paraId="6D0FC7E1" w14:textId="77777777" w:rsidR="009C5C52" w:rsidRPr="00BE48FF" w:rsidRDefault="009C5C52" w:rsidP="00F36268">
            <w:pPr>
              <w:keepLines/>
              <w:rPr>
                <w:rFonts w:ascii="Arial Narrow" w:hAnsi="Arial Narrow"/>
                <w:b/>
                <w:bCs/>
                <w:sz w:val="20"/>
                <w:szCs w:val="20"/>
              </w:rPr>
            </w:pPr>
            <w:r w:rsidRPr="00BE48FF">
              <w:rPr>
                <w:rFonts w:ascii="Arial Narrow" w:hAnsi="Arial Narrow"/>
                <w:b/>
                <w:sz w:val="20"/>
                <w:szCs w:val="20"/>
              </w:rPr>
              <w:t>Restriction Summary [new1] / Treatment of Concept: [new1A]</w:t>
            </w:r>
          </w:p>
        </w:tc>
      </w:tr>
      <w:tr w:rsidR="009C5C52" w:rsidRPr="001428E9" w14:paraId="408CF5CE" w14:textId="77777777" w:rsidTr="00E256D3">
        <w:trPr>
          <w:cantSplit/>
          <w:trHeight w:val="20"/>
        </w:trPr>
        <w:tc>
          <w:tcPr>
            <w:tcW w:w="9016" w:type="dxa"/>
            <w:gridSpan w:val="2"/>
            <w:vAlign w:val="center"/>
            <w:hideMark/>
          </w:tcPr>
          <w:p w14:paraId="28E6FD37" w14:textId="77777777" w:rsidR="009C5C52" w:rsidRPr="00BE48FF" w:rsidRDefault="009C5C52" w:rsidP="00F36268">
            <w:pPr>
              <w:rPr>
                <w:rFonts w:ascii="Arial Narrow" w:hAnsi="Arial Narrow"/>
                <w:sz w:val="20"/>
                <w:szCs w:val="20"/>
              </w:rPr>
            </w:pPr>
            <w:r w:rsidRPr="00BE48FF">
              <w:rPr>
                <w:rFonts w:ascii="Arial Narrow" w:hAnsi="Arial Narrow"/>
                <w:b/>
                <w:bCs/>
                <w:sz w:val="20"/>
                <w:szCs w:val="20"/>
              </w:rPr>
              <w:t>Treatment Phase:</w:t>
            </w:r>
            <w:r w:rsidRPr="00BE48FF">
              <w:rPr>
                <w:rFonts w:ascii="Arial Narrow" w:hAnsi="Arial Narrow"/>
                <w:sz w:val="20"/>
                <w:szCs w:val="20"/>
              </w:rPr>
              <w:t xml:space="preserve"> Initial treatment</w:t>
            </w:r>
          </w:p>
        </w:tc>
      </w:tr>
      <w:tr w:rsidR="009C5C52" w:rsidRPr="001428E9" w14:paraId="02646DD5" w14:textId="77777777" w:rsidTr="00E256D3">
        <w:trPr>
          <w:cantSplit/>
          <w:trHeight w:val="20"/>
        </w:trPr>
        <w:tc>
          <w:tcPr>
            <w:tcW w:w="9016" w:type="dxa"/>
            <w:gridSpan w:val="2"/>
            <w:vAlign w:val="center"/>
          </w:tcPr>
          <w:p w14:paraId="7ABEBCF8" w14:textId="77777777" w:rsidR="009C5C52" w:rsidRPr="00BE48FF" w:rsidRDefault="009C5C52" w:rsidP="00F36268">
            <w:pPr>
              <w:rPr>
                <w:rFonts w:ascii="Arial Narrow" w:hAnsi="Arial Narrow"/>
                <w:b/>
                <w:bCs/>
                <w:sz w:val="20"/>
                <w:szCs w:val="20"/>
              </w:rPr>
            </w:pPr>
            <w:r w:rsidRPr="00BE48FF">
              <w:rPr>
                <w:rFonts w:ascii="Arial Narrow" w:hAnsi="Arial Narrow"/>
                <w:b/>
                <w:bCs/>
                <w:sz w:val="20"/>
                <w:szCs w:val="20"/>
              </w:rPr>
              <w:t>Clinical criteria:</w:t>
            </w:r>
          </w:p>
        </w:tc>
      </w:tr>
      <w:tr w:rsidR="009C5C52" w:rsidRPr="001428E9" w14:paraId="73B08CA4" w14:textId="77777777" w:rsidTr="00E256D3">
        <w:trPr>
          <w:cantSplit/>
          <w:trHeight w:val="20"/>
        </w:trPr>
        <w:tc>
          <w:tcPr>
            <w:tcW w:w="9016" w:type="dxa"/>
            <w:gridSpan w:val="2"/>
            <w:vAlign w:val="center"/>
          </w:tcPr>
          <w:p w14:paraId="61D6420B" w14:textId="38111B66" w:rsidR="009C5C52" w:rsidRPr="006E5E62" w:rsidRDefault="009C5C52" w:rsidP="00F36268">
            <w:pPr>
              <w:rPr>
                <w:rFonts w:ascii="Arial Narrow" w:hAnsi="Arial Narrow"/>
                <w:b/>
                <w:bCs/>
                <w:sz w:val="20"/>
                <w:szCs w:val="20"/>
              </w:rPr>
            </w:pPr>
            <w:r w:rsidRPr="00E256D3">
              <w:rPr>
                <w:rFonts w:ascii="Arial Narrow" w:hAnsi="Arial Narrow"/>
                <w:sz w:val="20"/>
                <w:szCs w:val="20"/>
              </w:rPr>
              <w:t>Patient must have a</w:t>
            </w:r>
            <w:r w:rsidRPr="006E5E62">
              <w:rPr>
                <w:rFonts w:ascii="Arial Narrow" w:hAnsi="Arial Narrow"/>
                <w:sz w:val="20"/>
                <w:szCs w:val="20"/>
              </w:rPr>
              <w:t xml:space="preserve"> World Health Organisation (WHO) Grade 2</w:t>
            </w:r>
            <w:r w:rsidRPr="00E256D3">
              <w:rPr>
                <w:rFonts w:ascii="Arial Narrow" w:hAnsi="Arial Narrow"/>
                <w:sz w:val="20"/>
                <w:szCs w:val="20"/>
              </w:rPr>
              <w:t xml:space="preserve"> astrocytoma or oligodendroglioma</w:t>
            </w:r>
            <w:r w:rsidRPr="006E5E62">
              <w:rPr>
                <w:rFonts w:ascii="Arial Narrow" w:hAnsi="Arial Narrow"/>
                <w:sz w:val="20"/>
                <w:szCs w:val="20"/>
              </w:rPr>
              <w:t>,</w:t>
            </w:r>
          </w:p>
        </w:tc>
      </w:tr>
      <w:tr w:rsidR="009C5C52" w:rsidRPr="001428E9" w14:paraId="2C7D7EC1" w14:textId="77777777" w:rsidTr="00E256D3">
        <w:trPr>
          <w:cantSplit/>
          <w:trHeight w:val="20"/>
        </w:trPr>
        <w:tc>
          <w:tcPr>
            <w:tcW w:w="9016" w:type="dxa"/>
            <w:gridSpan w:val="2"/>
            <w:vAlign w:val="center"/>
          </w:tcPr>
          <w:p w14:paraId="57106EF5" w14:textId="77777777" w:rsidR="009C5C52" w:rsidRPr="00BE48FF" w:rsidRDefault="009C5C52" w:rsidP="00F36268">
            <w:pPr>
              <w:rPr>
                <w:rFonts w:ascii="Arial Narrow" w:hAnsi="Arial Narrow"/>
                <w:sz w:val="20"/>
                <w:szCs w:val="20"/>
              </w:rPr>
            </w:pPr>
            <w:r w:rsidRPr="00BE48FF">
              <w:rPr>
                <w:rFonts w:ascii="Arial Narrow" w:hAnsi="Arial Narrow"/>
                <w:b/>
                <w:bCs/>
                <w:sz w:val="20"/>
                <w:szCs w:val="20"/>
              </w:rPr>
              <w:t>AND</w:t>
            </w:r>
          </w:p>
        </w:tc>
      </w:tr>
      <w:tr w:rsidR="009C5C52" w:rsidRPr="001428E9" w14:paraId="3E643847" w14:textId="77777777" w:rsidTr="00E256D3">
        <w:trPr>
          <w:cantSplit/>
          <w:trHeight w:val="20"/>
        </w:trPr>
        <w:tc>
          <w:tcPr>
            <w:tcW w:w="9016" w:type="dxa"/>
            <w:gridSpan w:val="2"/>
            <w:vAlign w:val="center"/>
          </w:tcPr>
          <w:p w14:paraId="65746C1B" w14:textId="77777777" w:rsidR="009C5C52" w:rsidRPr="00BE48FF" w:rsidRDefault="009C5C52" w:rsidP="00F36268">
            <w:pPr>
              <w:rPr>
                <w:rFonts w:ascii="Arial Narrow" w:hAnsi="Arial Narrow"/>
                <w:sz w:val="20"/>
                <w:szCs w:val="20"/>
              </w:rPr>
            </w:pPr>
            <w:r w:rsidRPr="00BE48FF">
              <w:rPr>
                <w:rFonts w:ascii="Arial Narrow" w:hAnsi="Arial Narrow"/>
                <w:b/>
                <w:bCs/>
                <w:sz w:val="20"/>
                <w:szCs w:val="20"/>
              </w:rPr>
              <w:t>Clinical criteria:</w:t>
            </w:r>
          </w:p>
        </w:tc>
      </w:tr>
      <w:tr w:rsidR="009C5C52" w:rsidRPr="001428E9" w14:paraId="2F357131" w14:textId="77777777" w:rsidTr="00E256D3">
        <w:trPr>
          <w:cantSplit/>
          <w:trHeight w:val="20"/>
        </w:trPr>
        <w:tc>
          <w:tcPr>
            <w:tcW w:w="9016" w:type="dxa"/>
            <w:gridSpan w:val="2"/>
            <w:vAlign w:val="center"/>
          </w:tcPr>
          <w:p w14:paraId="25CFC7EC" w14:textId="6EF7992C" w:rsidR="009C5C52" w:rsidRPr="000A337D" w:rsidRDefault="009C5C52" w:rsidP="00F36268">
            <w:pPr>
              <w:rPr>
                <w:rFonts w:ascii="Arial Narrow" w:hAnsi="Arial Narrow"/>
                <w:sz w:val="20"/>
                <w:szCs w:val="20"/>
              </w:rPr>
            </w:pPr>
            <w:r w:rsidRPr="000A337D">
              <w:rPr>
                <w:rFonts w:ascii="Arial Narrow" w:hAnsi="Arial Narrow"/>
                <w:sz w:val="20"/>
                <w:szCs w:val="20"/>
              </w:rPr>
              <w:t xml:space="preserve">The </w:t>
            </w:r>
            <w:r w:rsidRPr="00E256D3">
              <w:rPr>
                <w:rFonts w:ascii="Arial Narrow" w:hAnsi="Arial Narrow"/>
                <w:sz w:val="20"/>
                <w:szCs w:val="20"/>
              </w:rPr>
              <w:t xml:space="preserve">patient </w:t>
            </w:r>
            <w:r w:rsidRPr="000A337D">
              <w:rPr>
                <w:rFonts w:ascii="Arial Narrow" w:hAnsi="Arial Narrow"/>
                <w:sz w:val="20"/>
                <w:szCs w:val="20"/>
              </w:rPr>
              <w:t xml:space="preserve">must have a </w:t>
            </w:r>
            <w:r w:rsidRPr="00E256D3">
              <w:rPr>
                <w:rFonts w:ascii="Arial Narrow" w:hAnsi="Arial Narrow"/>
                <w:sz w:val="20"/>
                <w:szCs w:val="20"/>
              </w:rPr>
              <w:t>test of tumour tissue confirming the presence of a</w:t>
            </w:r>
            <w:r w:rsidRPr="000A337D">
              <w:rPr>
                <w:rFonts w:ascii="Arial Narrow" w:hAnsi="Arial Narrow"/>
                <w:sz w:val="20"/>
                <w:szCs w:val="20"/>
              </w:rPr>
              <w:t xml:space="preserve"> susceptible isocitrate dehydrogenase</w:t>
            </w:r>
            <w:r w:rsidR="00B571FA">
              <w:rPr>
                <w:rFonts w:ascii="Arial Narrow" w:hAnsi="Arial Narrow"/>
                <w:sz w:val="20"/>
                <w:szCs w:val="20"/>
              </w:rPr>
              <w:noBreakHyphen/>
            </w:r>
            <w:r w:rsidRPr="000A337D">
              <w:rPr>
                <w:rFonts w:ascii="Arial Narrow" w:hAnsi="Arial Narrow"/>
                <w:sz w:val="20"/>
                <w:szCs w:val="20"/>
              </w:rPr>
              <w:t xml:space="preserve">1 (IDH1) </w:t>
            </w:r>
            <w:r w:rsidRPr="00E256D3">
              <w:rPr>
                <w:rFonts w:ascii="Arial Narrow" w:hAnsi="Arial Narrow"/>
                <w:sz w:val="20"/>
                <w:szCs w:val="20"/>
              </w:rPr>
              <w:t>R132H/C/G/S/L</w:t>
            </w:r>
            <w:r w:rsidRPr="000A337D">
              <w:rPr>
                <w:rFonts w:ascii="Arial Narrow" w:hAnsi="Arial Narrow"/>
                <w:sz w:val="20"/>
                <w:szCs w:val="20"/>
              </w:rPr>
              <w:t xml:space="preserve"> </w:t>
            </w:r>
            <w:r w:rsidRPr="00E256D3">
              <w:rPr>
                <w:rFonts w:ascii="Arial Narrow" w:hAnsi="Arial Narrow"/>
                <w:sz w:val="20"/>
                <w:szCs w:val="20"/>
              </w:rPr>
              <w:t>variant</w:t>
            </w:r>
            <w:r w:rsidRPr="000A337D">
              <w:rPr>
                <w:rFonts w:ascii="Arial Narrow" w:hAnsi="Arial Narrow"/>
                <w:sz w:val="20"/>
                <w:szCs w:val="20"/>
              </w:rPr>
              <w:t xml:space="preserve"> or isocitrate dehydrogenase</w:t>
            </w:r>
            <w:r w:rsidR="00B571FA">
              <w:rPr>
                <w:rFonts w:ascii="Arial Narrow" w:hAnsi="Arial Narrow"/>
                <w:sz w:val="20"/>
                <w:szCs w:val="20"/>
              </w:rPr>
              <w:noBreakHyphen/>
            </w:r>
            <w:r w:rsidRPr="000A337D">
              <w:rPr>
                <w:rFonts w:ascii="Arial Narrow" w:hAnsi="Arial Narrow"/>
                <w:sz w:val="20"/>
                <w:szCs w:val="20"/>
              </w:rPr>
              <w:t xml:space="preserve">2 (IDH2) </w:t>
            </w:r>
            <w:r w:rsidRPr="00E256D3">
              <w:rPr>
                <w:rFonts w:ascii="Arial Narrow" w:hAnsi="Arial Narrow"/>
                <w:sz w:val="20"/>
                <w:szCs w:val="20"/>
              </w:rPr>
              <w:t>R172K/M/W/S/G variant</w:t>
            </w:r>
            <w:r w:rsidRPr="000A337D">
              <w:rPr>
                <w:rFonts w:ascii="Arial Narrow" w:hAnsi="Arial Narrow"/>
                <w:sz w:val="20"/>
                <w:szCs w:val="20"/>
              </w:rPr>
              <w:t>,</w:t>
            </w:r>
          </w:p>
        </w:tc>
      </w:tr>
      <w:tr w:rsidR="009C5C52" w:rsidRPr="001428E9" w14:paraId="431BA2A8" w14:textId="77777777" w:rsidTr="00E256D3">
        <w:trPr>
          <w:cantSplit/>
          <w:trHeight w:val="20"/>
        </w:trPr>
        <w:tc>
          <w:tcPr>
            <w:tcW w:w="9016" w:type="dxa"/>
            <w:gridSpan w:val="2"/>
            <w:vAlign w:val="center"/>
          </w:tcPr>
          <w:p w14:paraId="30443114" w14:textId="77777777" w:rsidR="009C5C52" w:rsidRPr="00BE48FF" w:rsidRDefault="009C5C52" w:rsidP="00F36268">
            <w:pPr>
              <w:rPr>
                <w:rFonts w:ascii="Arial Narrow" w:hAnsi="Arial Narrow"/>
                <w:sz w:val="20"/>
                <w:szCs w:val="20"/>
              </w:rPr>
            </w:pPr>
            <w:r w:rsidRPr="00BE48FF">
              <w:rPr>
                <w:rFonts w:ascii="Arial Narrow" w:hAnsi="Arial Narrow"/>
                <w:b/>
                <w:bCs/>
                <w:sz w:val="20"/>
                <w:szCs w:val="20"/>
              </w:rPr>
              <w:t>AND</w:t>
            </w:r>
          </w:p>
        </w:tc>
      </w:tr>
      <w:tr w:rsidR="009C5C52" w:rsidRPr="001428E9" w14:paraId="14A9E01B" w14:textId="77777777" w:rsidTr="00E256D3">
        <w:trPr>
          <w:cantSplit/>
          <w:trHeight w:val="20"/>
        </w:trPr>
        <w:tc>
          <w:tcPr>
            <w:tcW w:w="9016" w:type="dxa"/>
            <w:gridSpan w:val="2"/>
            <w:vAlign w:val="center"/>
          </w:tcPr>
          <w:p w14:paraId="163BF16F" w14:textId="77777777" w:rsidR="009C5C52" w:rsidRPr="00BE48FF" w:rsidRDefault="009C5C52" w:rsidP="00F36268">
            <w:pPr>
              <w:rPr>
                <w:rFonts w:ascii="Arial Narrow" w:hAnsi="Arial Narrow"/>
                <w:sz w:val="20"/>
                <w:szCs w:val="20"/>
              </w:rPr>
            </w:pPr>
            <w:r w:rsidRPr="00BE48FF">
              <w:rPr>
                <w:rFonts w:ascii="Arial Narrow" w:hAnsi="Arial Narrow"/>
                <w:b/>
                <w:bCs/>
                <w:sz w:val="20"/>
                <w:szCs w:val="20"/>
              </w:rPr>
              <w:t>Clinical criteria:</w:t>
            </w:r>
          </w:p>
        </w:tc>
      </w:tr>
      <w:tr w:rsidR="009C5C52" w:rsidRPr="001428E9" w14:paraId="31B514C5" w14:textId="77777777" w:rsidTr="00E256D3">
        <w:trPr>
          <w:cantSplit/>
          <w:trHeight w:val="20"/>
        </w:trPr>
        <w:tc>
          <w:tcPr>
            <w:tcW w:w="9016" w:type="dxa"/>
            <w:gridSpan w:val="2"/>
            <w:vAlign w:val="center"/>
          </w:tcPr>
          <w:p w14:paraId="540728CD" w14:textId="6AABB860" w:rsidR="009C5C52" w:rsidRPr="00BE48FF" w:rsidRDefault="009C5C52" w:rsidP="00F36268">
            <w:pPr>
              <w:rPr>
                <w:rFonts w:ascii="Arial Narrow" w:hAnsi="Arial Narrow"/>
                <w:sz w:val="20"/>
                <w:szCs w:val="20"/>
              </w:rPr>
            </w:pPr>
            <w:r w:rsidRPr="00BE48FF">
              <w:rPr>
                <w:rFonts w:ascii="Arial Narrow" w:hAnsi="Arial Narrow"/>
                <w:sz w:val="20"/>
                <w:szCs w:val="20"/>
              </w:rPr>
              <w:lastRenderedPageBreak/>
              <w:t>Patient must have residual or recurrent disease after at least one prior surgery (biopsy, sub</w:t>
            </w:r>
            <w:r w:rsidR="00B571FA">
              <w:rPr>
                <w:rFonts w:ascii="Arial Narrow" w:hAnsi="Arial Narrow"/>
                <w:sz w:val="20"/>
                <w:szCs w:val="20"/>
              </w:rPr>
              <w:noBreakHyphen/>
            </w:r>
            <w:r w:rsidRPr="00BE48FF">
              <w:rPr>
                <w:rFonts w:ascii="Arial Narrow" w:hAnsi="Arial Narrow"/>
                <w:sz w:val="20"/>
                <w:szCs w:val="20"/>
              </w:rPr>
              <w:t>total resection, or gross total resection) for this condition,</w:t>
            </w:r>
          </w:p>
        </w:tc>
      </w:tr>
      <w:tr w:rsidR="009C5C52" w:rsidRPr="001428E9" w14:paraId="62C8A9C7" w14:textId="77777777" w:rsidTr="00E256D3">
        <w:trPr>
          <w:cantSplit/>
          <w:trHeight w:val="20"/>
        </w:trPr>
        <w:tc>
          <w:tcPr>
            <w:tcW w:w="9016" w:type="dxa"/>
            <w:gridSpan w:val="2"/>
            <w:vAlign w:val="center"/>
          </w:tcPr>
          <w:p w14:paraId="0AEA8A4F" w14:textId="77777777" w:rsidR="009C5C52" w:rsidRPr="00E7783F" w:rsidRDefault="009C5C52" w:rsidP="00F36268">
            <w:pPr>
              <w:rPr>
                <w:rFonts w:ascii="Arial Narrow" w:hAnsi="Arial Narrow"/>
                <w:sz w:val="20"/>
                <w:szCs w:val="20"/>
              </w:rPr>
            </w:pPr>
            <w:r w:rsidRPr="00E7783F">
              <w:rPr>
                <w:rFonts w:ascii="Arial Narrow" w:hAnsi="Arial Narrow"/>
                <w:b/>
                <w:bCs/>
                <w:sz w:val="20"/>
                <w:szCs w:val="20"/>
              </w:rPr>
              <w:t>AND</w:t>
            </w:r>
          </w:p>
        </w:tc>
      </w:tr>
      <w:tr w:rsidR="009C5C52" w:rsidRPr="00C232D9" w14:paraId="1A46B8B5" w14:textId="77777777" w:rsidTr="00E256D3">
        <w:trPr>
          <w:cantSplit/>
          <w:trHeight w:val="20"/>
        </w:trPr>
        <w:tc>
          <w:tcPr>
            <w:tcW w:w="9016" w:type="dxa"/>
            <w:gridSpan w:val="2"/>
            <w:vAlign w:val="center"/>
          </w:tcPr>
          <w:p w14:paraId="47261028" w14:textId="77777777" w:rsidR="009C5C52" w:rsidRPr="00BE48FF" w:rsidRDefault="009C5C52" w:rsidP="00F36268">
            <w:pPr>
              <w:rPr>
                <w:rFonts w:ascii="Arial Narrow" w:hAnsi="Arial Narrow"/>
                <w:sz w:val="20"/>
                <w:szCs w:val="20"/>
              </w:rPr>
            </w:pPr>
            <w:r w:rsidRPr="00BE48FF">
              <w:rPr>
                <w:rFonts w:ascii="Arial Narrow" w:hAnsi="Arial Narrow"/>
                <w:b/>
                <w:bCs/>
                <w:sz w:val="20"/>
                <w:szCs w:val="20"/>
              </w:rPr>
              <w:t>Clinical criteria:</w:t>
            </w:r>
          </w:p>
        </w:tc>
      </w:tr>
      <w:tr w:rsidR="009C5C52" w:rsidRPr="00C232D9" w14:paraId="03740EA2" w14:textId="77777777" w:rsidTr="00E256D3">
        <w:trPr>
          <w:cantSplit/>
          <w:trHeight w:val="20"/>
        </w:trPr>
        <w:tc>
          <w:tcPr>
            <w:tcW w:w="9016" w:type="dxa"/>
            <w:gridSpan w:val="2"/>
            <w:vAlign w:val="center"/>
          </w:tcPr>
          <w:p w14:paraId="2628B9FE" w14:textId="133FC02C" w:rsidR="009C5C52" w:rsidRPr="00BE48FF" w:rsidRDefault="009C5C52" w:rsidP="00F36268">
            <w:pPr>
              <w:rPr>
                <w:rFonts w:ascii="Arial Narrow" w:hAnsi="Arial Narrow"/>
                <w:sz w:val="20"/>
                <w:szCs w:val="20"/>
              </w:rPr>
            </w:pPr>
            <w:r w:rsidRPr="00BE48FF">
              <w:rPr>
                <w:rFonts w:ascii="Arial Narrow" w:hAnsi="Arial Narrow"/>
                <w:sz w:val="20"/>
                <w:szCs w:val="20"/>
              </w:rPr>
              <w:t>Patient must not be in immediate need of radiotherapy and/or chemotherapy for this condition,</w:t>
            </w:r>
          </w:p>
        </w:tc>
      </w:tr>
      <w:tr w:rsidR="009C5C52" w:rsidRPr="001428E9" w14:paraId="4A1963B2" w14:textId="77777777" w:rsidTr="00E256D3">
        <w:trPr>
          <w:cantSplit/>
          <w:trHeight w:val="20"/>
        </w:trPr>
        <w:tc>
          <w:tcPr>
            <w:tcW w:w="9016" w:type="dxa"/>
            <w:gridSpan w:val="2"/>
            <w:vAlign w:val="center"/>
          </w:tcPr>
          <w:p w14:paraId="166209A9" w14:textId="77777777" w:rsidR="009C5C52" w:rsidRPr="00BE48FF" w:rsidRDefault="009C5C52" w:rsidP="00F36268">
            <w:pPr>
              <w:rPr>
                <w:rFonts w:ascii="Arial Narrow" w:hAnsi="Arial Narrow"/>
                <w:sz w:val="20"/>
                <w:szCs w:val="20"/>
              </w:rPr>
            </w:pPr>
            <w:r w:rsidRPr="00BE48FF">
              <w:rPr>
                <w:rFonts w:ascii="Arial Narrow" w:hAnsi="Arial Narrow"/>
                <w:b/>
                <w:bCs/>
                <w:sz w:val="20"/>
                <w:szCs w:val="20"/>
              </w:rPr>
              <w:t>AND</w:t>
            </w:r>
          </w:p>
        </w:tc>
      </w:tr>
      <w:tr w:rsidR="009C5C52" w:rsidRPr="001428E9" w14:paraId="228D4B32" w14:textId="77777777" w:rsidTr="00E256D3">
        <w:trPr>
          <w:cantSplit/>
          <w:trHeight w:val="20"/>
        </w:trPr>
        <w:tc>
          <w:tcPr>
            <w:tcW w:w="9016" w:type="dxa"/>
            <w:gridSpan w:val="2"/>
            <w:vAlign w:val="center"/>
          </w:tcPr>
          <w:p w14:paraId="4B12928F" w14:textId="77777777" w:rsidR="009C5C52" w:rsidRPr="00BE48FF" w:rsidRDefault="009C5C52" w:rsidP="00F36268">
            <w:pPr>
              <w:rPr>
                <w:rFonts w:ascii="Arial Narrow" w:hAnsi="Arial Narrow"/>
                <w:sz w:val="20"/>
                <w:szCs w:val="20"/>
              </w:rPr>
            </w:pPr>
            <w:r w:rsidRPr="00BE48FF">
              <w:rPr>
                <w:rFonts w:ascii="Arial Narrow" w:hAnsi="Arial Narrow"/>
                <w:b/>
                <w:bCs/>
                <w:sz w:val="20"/>
                <w:szCs w:val="20"/>
              </w:rPr>
              <w:t>Clinical criteria:</w:t>
            </w:r>
          </w:p>
        </w:tc>
      </w:tr>
      <w:tr w:rsidR="009C5C52" w:rsidRPr="001428E9" w14:paraId="5BAD8018" w14:textId="77777777" w:rsidTr="00E256D3">
        <w:trPr>
          <w:cantSplit/>
          <w:trHeight w:val="20"/>
        </w:trPr>
        <w:tc>
          <w:tcPr>
            <w:tcW w:w="9016" w:type="dxa"/>
            <w:gridSpan w:val="2"/>
            <w:vAlign w:val="center"/>
          </w:tcPr>
          <w:p w14:paraId="218A8F70" w14:textId="77777777" w:rsidR="009C5C52" w:rsidRPr="00BE48FF" w:rsidRDefault="009C5C52" w:rsidP="00F36268">
            <w:pPr>
              <w:rPr>
                <w:rFonts w:ascii="Arial Narrow" w:hAnsi="Arial Narrow"/>
                <w:sz w:val="20"/>
                <w:szCs w:val="20"/>
              </w:rPr>
            </w:pPr>
            <w:r w:rsidRPr="00BE48FF">
              <w:rPr>
                <w:rFonts w:ascii="Arial Narrow" w:hAnsi="Arial Narrow"/>
                <w:sz w:val="20"/>
                <w:szCs w:val="20"/>
              </w:rPr>
              <w:t xml:space="preserve">The condition must not have been previously treated with </w:t>
            </w:r>
            <w:r w:rsidRPr="00E256D3">
              <w:rPr>
                <w:rFonts w:ascii="Arial Narrow" w:hAnsi="Arial Narrow"/>
                <w:sz w:val="20"/>
                <w:szCs w:val="20"/>
              </w:rPr>
              <w:t>systemic</w:t>
            </w:r>
            <w:r w:rsidRPr="00FB1F59">
              <w:rPr>
                <w:rFonts w:ascii="Arial Narrow" w:hAnsi="Arial Narrow"/>
                <w:sz w:val="20"/>
                <w:szCs w:val="20"/>
              </w:rPr>
              <w:t xml:space="preserve"> anticancer therapy </w:t>
            </w:r>
            <w:r w:rsidRPr="00E256D3">
              <w:rPr>
                <w:rFonts w:ascii="Arial Narrow" w:hAnsi="Arial Narrow"/>
                <w:sz w:val="20"/>
                <w:szCs w:val="20"/>
              </w:rPr>
              <w:t>or radiotherapy</w:t>
            </w:r>
            <w:r w:rsidRPr="00BE48FF">
              <w:rPr>
                <w:rFonts w:ascii="Arial Narrow" w:hAnsi="Arial Narrow"/>
                <w:sz w:val="20"/>
                <w:szCs w:val="20"/>
              </w:rPr>
              <w:t>,</w:t>
            </w:r>
          </w:p>
        </w:tc>
      </w:tr>
      <w:tr w:rsidR="009C5C52" w:rsidRPr="001428E9" w14:paraId="78925223" w14:textId="77777777" w:rsidTr="00E256D3">
        <w:trPr>
          <w:cantSplit/>
          <w:trHeight w:val="20"/>
        </w:trPr>
        <w:tc>
          <w:tcPr>
            <w:tcW w:w="9016" w:type="dxa"/>
            <w:gridSpan w:val="2"/>
            <w:vAlign w:val="center"/>
          </w:tcPr>
          <w:p w14:paraId="2A1812B4" w14:textId="77777777" w:rsidR="009C5C52" w:rsidRPr="00BE48FF" w:rsidRDefault="009C5C52" w:rsidP="00F36268">
            <w:pPr>
              <w:rPr>
                <w:rFonts w:ascii="Arial Narrow" w:hAnsi="Arial Narrow"/>
                <w:sz w:val="20"/>
                <w:szCs w:val="20"/>
              </w:rPr>
            </w:pPr>
            <w:r w:rsidRPr="00BE48FF">
              <w:rPr>
                <w:rFonts w:ascii="Arial Narrow" w:hAnsi="Arial Narrow"/>
                <w:b/>
                <w:bCs/>
                <w:sz w:val="20"/>
                <w:szCs w:val="20"/>
              </w:rPr>
              <w:t>AND</w:t>
            </w:r>
          </w:p>
        </w:tc>
      </w:tr>
      <w:tr w:rsidR="009C5C52" w:rsidRPr="001428E9" w14:paraId="04E41789" w14:textId="77777777" w:rsidTr="00E256D3">
        <w:trPr>
          <w:cantSplit/>
          <w:trHeight w:val="20"/>
        </w:trPr>
        <w:tc>
          <w:tcPr>
            <w:tcW w:w="9016" w:type="dxa"/>
            <w:gridSpan w:val="2"/>
            <w:vAlign w:val="center"/>
          </w:tcPr>
          <w:p w14:paraId="2066053F" w14:textId="77777777" w:rsidR="009C5C52" w:rsidRPr="00BE48FF" w:rsidRDefault="009C5C52" w:rsidP="00F36268">
            <w:pPr>
              <w:rPr>
                <w:rFonts w:ascii="Arial Narrow" w:hAnsi="Arial Narrow"/>
                <w:b/>
                <w:bCs/>
                <w:i/>
                <w:iCs/>
                <w:strike/>
                <w:sz w:val="20"/>
                <w:szCs w:val="20"/>
              </w:rPr>
            </w:pPr>
            <w:r w:rsidRPr="00BE48FF">
              <w:rPr>
                <w:rFonts w:ascii="Arial Narrow" w:hAnsi="Arial Narrow"/>
                <w:b/>
                <w:bCs/>
                <w:sz w:val="20"/>
                <w:szCs w:val="20"/>
              </w:rPr>
              <w:t>Clinical criteria:</w:t>
            </w:r>
          </w:p>
        </w:tc>
      </w:tr>
      <w:tr w:rsidR="009C5C52" w:rsidRPr="00386ABD" w14:paraId="47C57A09" w14:textId="77777777" w:rsidTr="00E256D3">
        <w:trPr>
          <w:cantSplit/>
          <w:trHeight w:val="20"/>
        </w:trPr>
        <w:tc>
          <w:tcPr>
            <w:tcW w:w="9016" w:type="dxa"/>
            <w:gridSpan w:val="2"/>
            <w:vAlign w:val="center"/>
          </w:tcPr>
          <w:p w14:paraId="3D67877C" w14:textId="77777777" w:rsidR="009C5C52" w:rsidRPr="00386ABD" w:rsidRDefault="009C5C52" w:rsidP="00F36268">
            <w:pPr>
              <w:rPr>
                <w:rFonts w:ascii="Arial Narrow" w:hAnsi="Arial Narrow"/>
                <w:sz w:val="20"/>
                <w:szCs w:val="20"/>
              </w:rPr>
            </w:pPr>
            <w:r w:rsidRPr="00386ABD">
              <w:rPr>
                <w:rFonts w:ascii="Arial Narrow" w:hAnsi="Arial Narrow"/>
                <w:sz w:val="20"/>
                <w:szCs w:val="20"/>
              </w:rPr>
              <w:t>Patient must have an Eastern Cooperative Oncology Group (ECOG) performance status score of 1 or less,</w:t>
            </w:r>
          </w:p>
        </w:tc>
      </w:tr>
      <w:tr w:rsidR="009C5C52" w:rsidRPr="001428E9" w14:paraId="6EB6F99E" w14:textId="77777777" w:rsidTr="00E256D3">
        <w:trPr>
          <w:cantSplit/>
          <w:trHeight w:val="20"/>
        </w:trPr>
        <w:tc>
          <w:tcPr>
            <w:tcW w:w="9016" w:type="dxa"/>
            <w:gridSpan w:val="2"/>
            <w:vAlign w:val="center"/>
          </w:tcPr>
          <w:p w14:paraId="17006B3F" w14:textId="77777777" w:rsidR="009C5C52" w:rsidRPr="00BE48FF" w:rsidRDefault="009C5C52" w:rsidP="00F36268">
            <w:pPr>
              <w:rPr>
                <w:rFonts w:ascii="Arial Narrow" w:hAnsi="Arial Narrow"/>
                <w:b/>
                <w:bCs/>
                <w:sz w:val="20"/>
                <w:szCs w:val="20"/>
              </w:rPr>
            </w:pPr>
            <w:r w:rsidRPr="00BE48FF">
              <w:rPr>
                <w:rFonts w:ascii="Arial Narrow" w:hAnsi="Arial Narrow"/>
                <w:b/>
                <w:bCs/>
                <w:sz w:val="20"/>
                <w:szCs w:val="20"/>
              </w:rPr>
              <w:t xml:space="preserve">Prescriber instructions: </w:t>
            </w:r>
          </w:p>
          <w:p w14:paraId="061F02B1" w14:textId="77777777" w:rsidR="009C5C52" w:rsidRPr="00E256D3" w:rsidRDefault="009C5C52" w:rsidP="00F36268">
            <w:pPr>
              <w:rPr>
                <w:rFonts w:ascii="Arial Narrow" w:hAnsi="Arial Narrow"/>
                <w:strike/>
                <w:sz w:val="20"/>
                <w:szCs w:val="20"/>
              </w:rPr>
            </w:pPr>
            <w:r w:rsidRPr="00E256D3">
              <w:rPr>
                <w:rStyle w:val="normaltextrun"/>
                <w:rFonts w:ascii="Arial Narrow" w:hAnsi="Arial Narrow"/>
                <w:sz w:val="20"/>
                <w:szCs w:val="20"/>
                <w:shd w:val="clear" w:color="auto" w:fill="FFFFFF"/>
              </w:rPr>
              <w:t>Confirm that evidence of the presence of a pathogenic variant of the IDH1 or IDH2 gene is documented/retained in the patient's medical records once only with the first PBS prescription</w:t>
            </w:r>
            <w:r w:rsidRPr="00E256D3">
              <w:rPr>
                <w:rStyle w:val="normaltextrun"/>
                <w:rFonts w:ascii="Arial Narrow" w:hAnsi="Arial Narrow"/>
                <w:szCs w:val="20"/>
                <w:shd w:val="clear" w:color="auto" w:fill="FFFFFF"/>
              </w:rPr>
              <w:t>.</w:t>
            </w:r>
          </w:p>
        </w:tc>
      </w:tr>
      <w:tr w:rsidR="009C5C52" w:rsidRPr="001428E9" w14:paraId="33612298" w14:textId="77777777" w:rsidTr="00E256D3">
        <w:trPr>
          <w:cantSplit/>
          <w:trHeight w:val="20"/>
        </w:trPr>
        <w:tc>
          <w:tcPr>
            <w:tcW w:w="9016" w:type="dxa"/>
            <w:gridSpan w:val="2"/>
            <w:vAlign w:val="center"/>
          </w:tcPr>
          <w:p w14:paraId="7C9320E0" w14:textId="77777777" w:rsidR="009C5C52" w:rsidRPr="00BE48FF" w:rsidRDefault="009C5C52" w:rsidP="00F36268">
            <w:pPr>
              <w:rPr>
                <w:rFonts w:ascii="Arial Narrow" w:hAnsi="Arial Narrow"/>
                <w:strike/>
                <w:sz w:val="20"/>
                <w:szCs w:val="20"/>
              </w:rPr>
            </w:pPr>
          </w:p>
        </w:tc>
      </w:tr>
      <w:tr w:rsidR="0060033B" w:rsidRPr="001428E9" w14:paraId="77218F65" w14:textId="77777777" w:rsidTr="00E256D3">
        <w:trPr>
          <w:cantSplit/>
          <w:trHeight w:val="20"/>
        </w:trPr>
        <w:tc>
          <w:tcPr>
            <w:tcW w:w="9016" w:type="dxa"/>
            <w:gridSpan w:val="2"/>
            <w:vAlign w:val="center"/>
          </w:tcPr>
          <w:p w14:paraId="24088D4D" w14:textId="3FCDE927" w:rsidR="0060033B" w:rsidRPr="00BE48FF" w:rsidRDefault="0060033B" w:rsidP="00F36268">
            <w:pPr>
              <w:rPr>
                <w:rFonts w:ascii="Arial Narrow" w:hAnsi="Arial Narrow"/>
                <w:strike/>
                <w:sz w:val="20"/>
                <w:szCs w:val="20"/>
              </w:rPr>
            </w:pPr>
            <w:r w:rsidRPr="00BE48FF">
              <w:rPr>
                <w:rFonts w:ascii="Arial Narrow" w:hAnsi="Arial Narrow"/>
                <w:b/>
                <w:sz w:val="20"/>
                <w:szCs w:val="20"/>
              </w:rPr>
              <w:t>Restriction Summary [new</w:t>
            </w:r>
            <w:r>
              <w:rPr>
                <w:rFonts w:ascii="Arial Narrow" w:hAnsi="Arial Narrow"/>
                <w:b/>
                <w:sz w:val="20"/>
                <w:szCs w:val="20"/>
              </w:rPr>
              <w:t>2</w:t>
            </w:r>
            <w:r w:rsidRPr="00BE48FF">
              <w:rPr>
                <w:rFonts w:ascii="Arial Narrow" w:hAnsi="Arial Narrow"/>
                <w:b/>
                <w:sz w:val="20"/>
                <w:szCs w:val="20"/>
              </w:rPr>
              <w:t>] / Treatment of Concept: [new</w:t>
            </w:r>
            <w:r>
              <w:rPr>
                <w:rFonts w:ascii="Arial Narrow" w:hAnsi="Arial Narrow"/>
                <w:b/>
                <w:sz w:val="20"/>
                <w:szCs w:val="20"/>
              </w:rPr>
              <w:t>2</w:t>
            </w:r>
            <w:r w:rsidRPr="00BE48FF">
              <w:rPr>
                <w:rFonts w:ascii="Arial Narrow" w:hAnsi="Arial Narrow"/>
                <w:b/>
                <w:sz w:val="20"/>
                <w:szCs w:val="20"/>
              </w:rPr>
              <w:t>A]</w:t>
            </w:r>
          </w:p>
        </w:tc>
      </w:tr>
      <w:tr w:rsidR="0060033B" w:rsidRPr="001428E9" w14:paraId="292AE3D1" w14:textId="77777777" w:rsidTr="00E256D3">
        <w:trPr>
          <w:cantSplit/>
          <w:trHeight w:val="20"/>
        </w:trPr>
        <w:tc>
          <w:tcPr>
            <w:tcW w:w="9016" w:type="dxa"/>
            <w:gridSpan w:val="2"/>
            <w:vAlign w:val="center"/>
            <w:hideMark/>
          </w:tcPr>
          <w:p w14:paraId="3078E661" w14:textId="77777777" w:rsidR="0060033B" w:rsidRPr="00BE48FF" w:rsidRDefault="0060033B" w:rsidP="00F36268">
            <w:pPr>
              <w:rPr>
                <w:rFonts w:ascii="Arial Narrow" w:hAnsi="Arial Narrow"/>
                <w:sz w:val="20"/>
                <w:szCs w:val="20"/>
              </w:rPr>
            </w:pPr>
            <w:r w:rsidRPr="00BE48FF">
              <w:rPr>
                <w:rFonts w:ascii="Arial Narrow" w:hAnsi="Arial Narrow"/>
                <w:b/>
                <w:bCs/>
                <w:sz w:val="20"/>
                <w:szCs w:val="20"/>
              </w:rPr>
              <w:t>Treatment Phase:</w:t>
            </w:r>
            <w:r w:rsidRPr="00BE48FF">
              <w:rPr>
                <w:rFonts w:ascii="Arial Narrow" w:hAnsi="Arial Narrow"/>
                <w:sz w:val="20"/>
                <w:szCs w:val="20"/>
              </w:rPr>
              <w:t xml:space="preserve"> Continuing treatment</w:t>
            </w:r>
          </w:p>
        </w:tc>
      </w:tr>
      <w:tr w:rsidR="0060033B" w:rsidRPr="00AF597C" w14:paraId="5FC462EE" w14:textId="77777777" w:rsidTr="00E256D3">
        <w:trPr>
          <w:cantSplit/>
          <w:trHeight w:val="20"/>
        </w:trPr>
        <w:tc>
          <w:tcPr>
            <w:tcW w:w="9016" w:type="dxa"/>
            <w:gridSpan w:val="2"/>
            <w:vAlign w:val="center"/>
          </w:tcPr>
          <w:p w14:paraId="6D7294D3" w14:textId="77777777" w:rsidR="0060033B" w:rsidRPr="00BE48FF" w:rsidRDefault="0060033B" w:rsidP="00F36268">
            <w:pPr>
              <w:rPr>
                <w:rFonts w:ascii="Arial Narrow" w:hAnsi="Arial Narrow"/>
                <w:sz w:val="20"/>
                <w:szCs w:val="20"/>
              </w:rPr>
            </w:pPr>
            <w:r w:rsidRPr="00BE48FF">
              <w:rPr>
                <w:rFonts w:ascii="Arial Narrow" w:hAnsi="Arial Narrow"/>
                <w:b/>
                <w:bCs/>
                <w:sz w:val="20"/>
                <w:szCs w:val="20"/>
              </w:rPr>
              <w:t>Clinical criteria:</w:t>
            </w:r>
          </w:p>
        </w:tc>
      </w:tr>
      <w:tr w:rsidR="0060033B" w:rsidRPr="00AF597C" w14:paraId="7AAD43B6" w14:textId="77777777" w:rsidTr="00E256D3">
        <w:trPr>
          <w:cantSplit/>
          <w:trHeight w:val="20"/>
        </w:trPr>
        <w:tc>
          <w:tcPr>
            <w:tcW w:w="9016" w:type="dxa"/>
            <w:gridSpan w:val="2"/>
            <w:vAlign w:val="center"/>
          </w:tcPr>
          <w:p w14:paraId="0C141D1B" w14:textId="5201BB39" w:rsidR="0060033B" w:rsidRPr="00BE48FF" w:rsidRDefault="0060033B" w:rsidP="00F36268">
            <w:pPr>
              <w:rPr>
                <w:rFonts w:ascii="Arial Narrow" w:hAnsi="Arial Narrow"/>
                <w:sz w:val="20"/>
                <w:szCs w:val="20"/>
              </w:rPr>
            </w:pPr>
            <w:r w:rsidRPr="00BE48FF">
              <w:rPr>
                <w:rFonts w:ascii="Arial Narrow" w:hAnsi="Arial Narrow"/>
                <w:sz w:val="20"/>
                <w:szCs w:val="20"/>
              </w:rPr>
              <w:t>Patient must have previously received PBS</w:t>
            </w:r>
            <w:r w:rsidR="00B571FA">
              <w:rPr>
                <w:rFonts w:ascii="Arial Narrow" w:hAnsi="Arial Narrow"/>
                <w:sz w:val="20"/>
                <w:szCs w:val="20"/>
              </w:rPr>
              <w:noBreakHyphen/>
            </w:r>
            <w:r w:rsidRPr="00BE48FF">
              <w:rPr>
                <w:rFonts w:ascii="Arial Narrow" w:hAnsi="Arial Narrow"/>
                <w:sz w:val="20"/>
                <w:szCs w:val="20"/>
              </w:rPr>
              <w:t>subsidised treatment with this drug for this condition.</w:t>
            </w:r>
          </w:p>
        </w:tc>
      </w:tr>
      <w:tr w:rsidR="0060033B" w:rsidRPr="00AF597C" w14:paraId="2AEFF7F0" w14:textId="77777777" w:rsidTr="00E256D3">
        <w:trPr>
          <w:cantSplit/>
          <w:trHeight w:val="20"/>
        </w:trPr>
        <w:tc>
          <w:tcPr>
            <w:tcW w:w="9016" w:type="dxa"/>
            <w:gridSpan w:val="2"/>
            <w:vAlign w:val="center"/>
          </w:tcPr>
          <w:p w14:paraId="640B9214" w14:textId="77777777" w:rsidR="0060033B" w:rsidRPr="00BE48FF" w:rsidRDefault="0060033B" w:rsidP="00F36268">
            <w:pPr>
              <w:rPr>
                <w:rFonts w:ascii="Arial Narrow" w:hAnsi="Arial Narrow"/>
                <w:sz w:val="20"/>
                <w:szCs w:val="20"/>
              </w:rPr>
            </w:pPr>
            <w:r w:rsidRPr="00BE48FF">
              <w:rPr>
                <w:rFonts w:ascii="Arial Narrow" w:hAnsi="Arial Narrow"/>
                <w:b/>
                <w:bCs/>
                <w:sz w:val="20"/>
                <w:szCs w:val="20"/>
              </w:rPr>
              <w:t>AND</w:t>
            </w:r>
          </w:p>
        </w:tc>
      </w:tr>
      <w:tr w:rsidR="0060033B" w:rsidRPr="00AF597C" w14:paraId="5F74C9AD" w14:textId="77777777" w:rsidTr="00E256D3">
        <w:trPr>
          <w:cantSplit/>
          <w:trHeight w:val="20"/>
        </w:trPr>
        <w:tc>
          <w:tcPr>
            <w:tcW w:w="9016" w:type="dxa"/>
            <w:gridSpan w:val="2"/>
            <w:vAlign w:val="center"/>
          </w:tcPr>
          <w:p w14:paraId="53077087" w14:textId="77777777" w:rsidR="0060033B" w:rsidRPr="00BE48FF" w:rsidRDefault="0060033B" w:rsidP="00F36268">
            <w:pPr>
              <w:rPr>
                <w:rFonts w:ascii="Arial Narrow" w:hAnsi="Arial Narrow"/>
                <w:b/>
                <w:bCs/>
                <w:sz w:val="20"/>
                <w:szCs w:val="20"/>
              </w:rPr>
            </w:pPr>
            <w:r w:rsidRPr="00BE48FF">
              <w:rPr>
                <w:rFonts w:ascii="Arial Narrow" w:hAnsi="Arial Narrow"/>
                <w:b/>
                <w:bCs/>
                <w:sz w:val="20"/>
                <w:szCs w:val="20"/>
              </w:rPr>
              <w:t>Clinical criteria</w:t>
            </w:r>
          </w:p>
        </w:tc>
      </w:tr>
      <w:tr w:rsidR="0060033B" w:rsidRPr="00AF597C" w14:paraId="5E167552" w14:textId="77777777" w:rsidTr="00E256D3">
        <w:trPr>
          <w:cantSplit/>
          <w:trHeight w:val="20"/>
        </w:trPr>
        <w:tc>
          <w:tcPr>
            <w:tcW w:w="9016" w:type="dxa"/>
            <w:gridSpan w:val="2"/>
            <w:vAlign w:val="center"/>
          </w:tcPr>
          <w:p w14:paraId="1E69DB80" w14:textId="77777777" w:rsidR="0060033B" w:rsidRPr="00BE48FF" w:rsidRDefault="0060033B" w:rsidP="00F36268">
            <w:pPr>
              <w:rPr>
                <w:rFonts w:ascii="Arial Narrow" w:hAnsi="Arial Narrow"/>
                <w:sz w:val="20"/>
                <w:szCs w:val="20"/>
              </w:rPr>
            </w:pPr>
            <w:r w:rsidRPr="00BE48FF">
              <w:rPr>
                <w:rFonts w:ascii="Arial Narrow" w:hAnsi="Arial Narrow"/>
                <w:sz w:val="20"/>
                <w:szCs w:val="20"/>
              </w:rPr>
              <w:t>Patient must not have developed disease progression while receiving treatment with this drug for this condition.</w:t>
            </w:r>
          </w:p>
        </w:tc>
      </w:tr>
      <w:tr w:rsidR="0060033B" w:rsidRPr="00AF597C" w14:paraId="6F55D0D2" w14:textId="77777777" w:rsidTr="00E256D3">
        <w:trPr>
          <w:cantSplit/>
          <w:trHeight w:val="20"/>
        </w:trPr>
        <w:tc>
          <w:tcPr>
            <w:tcW w:w="9016" w:type="dxa"/>
            <w:gridSpan w:val="2"/>
            <w:vAlign w:val="center"/>
          </w:tcPr>
          <w:p w14:paraId="1E9FB0FE" w14:textId="77777777" w:rsidR="0060033B" w:rsidRPr="00BE48FF" w:rsidRDefault="0060033B" w:rsidP="00F36268">
            <w:pPr>
              <w:rPr>
                <w:rFonts w:ascii="Arial Narrow" w:hAnsi="Arial Narrow"/>
                <w:sz w:val="20"/>
                <w:szCs w:val="20"/>
              </w:rPr>
            </w:pPr>
          </w:p>
        </w:tc>
      </w:tr>
      <w:tr w:rsidR="0060033B" w:rsidRPr="00AF597C" w14:paraId="04CBEC5B" w14:textId="77777777" w:rsidTr="00E256D3">
        <w:trPr>
          <w:cantSplit/>
          <w:trHeight w:val="20"/>
        </w:trPr>
        <w:tc>
          <w:tcPr>
            <w:tcW w:w="9016" w:type="dxa"/>
            <w:gridSpan w:val="2"/>
            <w:vAlign w:val="center"/>
          </w:tcPr>
          <w:p w14:paraId="4A38EC3E" w14:textId="77777777" w:rsidR="0060033B" w:rsidRPr="00BE48FF" w:rsidRDefault="0060033B" w:rsidP="00F36268">
            <w:pPr>
              <w:rPr>
                <w:rFonts w:ascii="Arial Narrow" w:hAnsi="Arial Narrow"/>
                <w:sz w:val="20"/>
                <w:szCs w:val="20"/>
              </w:rPr>
            </w:pPr>
            <w:r w:rsidRPr="00BE48FF">
              <w:rPr>
                <w:rFonts w:ascii="Arial Narrow" w:hAnsi="Arial Narrow"/>
                <w:b/>
                <w:sz w:val="20"/>
                <w:szCs w:val="20"/>
              </w:rPr>
              <w:t>Restriction Summary [new3] / Treatment of Concept: [new3A]</w:t>
            </w:r>
          </w:p>
        </w:tc>
      </w:tr>
      <w:tr w:rsidR="0060033B" w:rsidRPr="001428E9" w14:paraId="40F18D66" w14:textId="77777777" w:rsidTr="00E256D3">
        <w:trPr>
          <w:cantSplit/>
          <w:trHeight w:val="20"/>
        </w:trPr>
        <w:tc>
          <w:tcPr>
            <w:tcW w:w="9016" w:type="dxa"/>
            <w:gridSpan w:val="2"/>
            <w:vAlign w:val="center"/>
            <w:hideMark/>
          </w:tcPr>
          <w:p w14:paraId="1E370CC4" w14:textId="5815AB45" w:rsidR="0060033B" w:rsidRPr="00BE48FF" w:rsidRDefault="0060033B" w:rsidP="00F36268">
            <w:pPr>
              <w:rPr>
                <w:rFonts w:ascii="Arial Narrow" w:hAnsi="Arial Narrow"/>
                <w:sz w:val="20"/>
                <w:szCs w:val="20"/>
              </w:rPr>
            </w:pPr>
            <w:r w:rsidRPr="00BE48FF">
              <w:rPr>
                <w:rFonts w:ascii="Arial Narrow" w:hAnsi="Arial Narrow"/>
                <w:b/>
                <w:bCs/>
                <w:sz w:val="20"/>
                <w:szCs w:val="20"/>
              </w:rPr>
              <w:t>Treatment Phase:</w:t>
            </w:r>
            <w:r w:rsidRPr="00BE48FF">
              <w:rPr>
                <w:rFonts w:ascii="Arial Narrow" w:hAnsi="Arial Narrow"/>
                <w:sz w:val="20"/>
                <w:szCs w:val="20"/>
              </w:rPr>
              <w:t xml:space="preserve"> Transitioning from non</w:t>
            </w:r>
            <w:r w:rsidR="00B571FA">
              <w:rPr>
                <w:rFonts w:ascii="Arial Narrow" w:hAnsi="Arial Narrow"/>
                <w:sz w:val="20"/>
                <w:szCs w:val="20"/>
              </w:rPr>
              <w:noBreakHyphen/>
            </w:r>
            <w:r w:rsidRPr="00BE48FF">
              <w:rPr>
                <w:rFonts w:ascii="Arial Narrow" w:hAnsi="Arial Narrow"/>
                <w:sz w:val="20"/>
                <w:szCs w:val="20"/>
              </w:rPr>
              <w:t>PBS to PBS</w:t>
            </w:r>
            <w:r w:rsidR="00B571FA">
              <w:rPr>
                <w:rFonts w:ascii="Arial Narrow" w:hAnsi="Arial Narrow"/>
                <w:sz w:val="20"/>
                <w:szCs w:val="20"/>
              </w:rPr>
              <w:noBreakHyphen/>
            </w:r>
            <w:r w:rsidRPr="00BE48FF">
              <w:rPr>
                <w:rFonts w:ascii="Arial Narrow" w:hAnsi="Arial Narrow"/>
                <w:sz w:val="20"/>
                <w:szCs w:val="20"/>
              </w:rPr>
              <w:t xml:space="preserve">subsidised treatment </w:t>
            </w:r>
            <w:r w:rsidR="00B571FA">
              <w:rPr>
                <w:rFonts w:ascii="Arial Narrow" w:hAnsi="Arial Narrow"/>
                <w:sz w:val="20"/>
                <w:szCs w:val="20"/>
              </w:rPr>
              <w:noBreakHyphen/>
            </w:r>
            <w:r w:rsidRPr="00BE48FF">
              <w:rPr>
                <w:rFonts w:ascii="Arial Narrow" w:hAnsi="Arial Narrow"/>
                <w:sz w:val="20"/>
                <w:szCs w:val="20"/>
              </w:rPr>
              <w:t xml:space="preserve"> Grandfather arrangements</w:t>
            </w:r>
          </w:p>
        </w:tc>
      </w:tr>
      <w:tr w:rsidR="0060033B" w:rsidRPr="001428E9" w14:paraId="28B280AA" w14:textId="77777777" w:rsidTr="00E256D3">
        <w:trPr>
          <w:cantSplit/>
          <w:trHeight w:val="20"/>
        </w:trPr>
        <w:tc>
          <w:tcPr>
            <w:tcW w:w="9016" w:type="dxa"/>
            <w:gridSpan w:val="2"/>
            <w:vAlign w:val="center"/>
          </w:tcPr>
          <w:p w14:paraId="0DCA65DD" w14:textId="77777777" w:rsidR="0060033B" w:rsidRPr="00BE48FF" w:rsidRDefault="0060033B" w:rsidP="00F36268">
            <w:pPr>
              <w:rPr>
                <w:rFonts w:ascii="Arial Narrow" w:hAnsi="Arial Narrow"/>
                <w:b/>
                <w:bCs/>
                <w:sz w:val="20"/>
                <w:szCs w:val="20"/>
              </w:rPr>
            </w:pPr>
            <w:r w:rsidRPr="00BE48FF">
              <w:rPr>
                <w:rFonts w:ascii="Arial Narrow" w:hAnsi="Arial Narrow"/>
                <w:b/>
                <w:bCs/>
                <w:sz w:val="20"/>
                <w:szCs w:val="20"/>
              </w:rPr>
              <w:t>Clinical criteria:</w:t>
            </w:r>
          </w:p>
        </w:tc>
      </w:tr>
      <w:tr w:rsidR="0060033B" w:rsidRPr="00AF597C" w14:paraId="63509A0A" w14:textId="77777777" w:rsidTr="00E256D3">
        <w:trPr>
          <w:cantSplit/>
          <w:trHeight w:val="20"/>
        </w:trPr>
        <w:tc>
          <w:tcPr>
            <w:tcW w:w="9016" w:type="dxa"/>
            <w:gridSpan w:val="2"/>
            <w:vAlign w:val="center"/>
          </w:tcPr>
          <w:p w14:paraId="62FEC822" w14:textId="3E1ED34C" w:rsidR="0060033B" w:rsidRPr="00BE48FF" w:rsidRDefault="0060033B" w:rsidP="00F36268">
            <w:pPr>
              <w:rPr>
                <w:rFonts w:ascii="Arial Narrow" w:hAnsi="Arial Narrow"/>
                <w:sz w:val="20"/>
                <w:szCs w:val="20"/>
              </w:rPr>
            </w:pPr>
            <w:r w:rsidRPr="00BE48FF">
              <w:rPr>
                <w:rFonts w:ascii="Arial Narrow" w:hAnsi="Arial Narrow"/>
                <w:sz w:val="20"/>
                <w:szCs w:val="20"/>
              </w:rPr>
              <w:t>Patient must have received non</w:t>
            </w:r>
            <w:r w:rsidR="00B571FA">
              <w:rPr>
                <w:rFonts w:ascii="Arial Narrow" w:hAnsi="Arial Narrow"/>
                <w:sz w:val="20"/>
                <w:szCs w:val="20"/>
              </w:rPr>
              <w:noBreakHyphen/>
            </w:r>
            <w:r w:rsidRPr="00BE48FF">
              <w:rPr>
                <w:rFonts w:ascii="Arial Narrow" w:hAnsi="Arial Narrow"/>
                <w:sz w:val="20"/>
                <w:szCs w:val="20"/>
              </w:rPr>
              <w:t>PBS</w:t>
            </w:r>
            <w:r w:rsidR="00B571FA">
              <w:rPr>
                <w:rFonts w:ascii="Arial Narrow" w:hAnsi="Arial Narrow"/>
                <w:sz w:val="20"/>
                <w:szCs w:val="20"/>
              </w:rPr>
              <w:noBreakHyphen/>
            </w:r>
            <w:r w:rsidRPr="00BE48FF">
              <w:rPr>
                <w:rFonts w:ascii="Arial Narrow" w:hAnsi="Arial Narrow"/>
                <w:sz w:val="20"/>
                <w:szCs w:val="20"/>
              </w:rPr>
              <w:t>subsidised treatment with this drug for this condition prior to [date of listing],</w:t>
            </w:r>
          </w:p>
        </w:tc>
      </w:tr>
      <w:tr w:rsidR="0060033B" w:rsidRPr="00AF597C" w14:paraId="74F5F690" w14:textId="77777777" w:rsidTr="00E256D3">
        <w:trPr>
          <w:cantSplit/>
          <w:trHeight w:val="20"/>
        </w:trPr>
        <w:tc>
          <w:tcPr>
            <w:tcW w:w="9016" w:type="dxa"/>
            <w:gridSpan w:val="2"/>
            <w:vAlign w:val="center"/>
          </w:tcPr>
          <w:p w14:paraId="26325BBC" w14:textId="77777777" w:rsidR="0060033B" w:rsidRPr="00E7783F" w:rsidRDefault="0060033B" w:rsidP="00F36268">
            <w:pPr>
              <w:rPr>
                <w:rFonts w:ascii="Arial Narrow" w:hAnsi="Arial Narrow"/>
                <w:sz w:val="20"/>
                <w:szCs w:val="20"/>
              </w:rPr>
            </w:pPr>
            <w:r w:rsidRPr="00E7783F">
              <w:rPr>
                <w:rFonts w:ascii="Arial Narrow" w:hAnsi="Arial Narrow"/>
                <w:b/>
                <w:bCs/>
                <w:sz w:val="20"/>
                <w:szCs w:val="20"/>
              </w:rPr>
              <w:t>AND</w:t>
            </w:r>
          </w:p>
        </w:tc>
      </w:tr>
      <w:tr w:rsidR="0060033B" w:rsidRPr="00AF597C" w14:paraId="0C8A391E" w14:textId="77777777" w:rsidTr="00E256D3">
        <w:trPr>
          <w:cantSplit/>
          <w:trHeight w:val="20"/>
        </w:trPr>
        <w:tc>
          <w:tcPr>
            <w:tcW w:w="9016" w:type="dxa"/>
            <w:gridSpan w:val="2"/>
            <w:vAlign w:val="center"/>
          </w:tcPr>
          <w:p w14:paraId="1B00E627" w14:textId="77777777" w:rsidR="0060033B" w:rsidRPr="00E7783F" w:rsidRDefault="0060033B" w:rsidP="00F36268">
            <w:pPr>
              <w:rPr>
                <w:rFonts w:ascii="Arial Narrow" w:hAnsi="Arial Narrow"/>
                <w:sz w:val="20"/>
                <w:szCs w:val="20"/>
              </w:rPr>
            </w:pPr>
            <w:r w:rsidRPr="00E7783F">
              <w:rPr>
                <w:rFonts w:ascii="Arial Narrow" w:hAnsi="Arial Narrow"/>
                <w:b/>
                <w:bCs/>
                <w:sz w:val="20"/>
                <w:szCs w:val="20"/>
              </w:rPr>
              <w:t>Clinical criteria:</w:t>
            </w:r>
          </w:p>
        </w:tc>
      </w:tr>
      <w:tr w:rsidR="0060033B" w:rsidRPr="00AF597C" w14:paraId="69D23A80" w14:textId="77777777" w:rsidTr="00E256D3">
        <w:trPr>
          <w:cantSplit/>
          <w:trHeight w:val="20"/>
        </w:trPr>
        <w:tc>
          <w:tcPr>
            <w:tcW w:w="9016" w:type="dxa"/>
            <w:gridSpan w:val="2"/>
            <w:vAlign w:val="center"/>
          </w:tcPr>
          <w:p w14:paraId="2DBDEA4C" w14:textId="77777777" w:rsidR="0060033B" w:rsidRPr="00B46256" w:rsidRDefault="0060033B" w:rsidP="00F36268">
            <w:pPr>
              <w:rPr>
                <w:rFonts w:ascii="Arial Narrow" w:hAnsi="Arial Narrow"/>
                <w:sz w:val="20"/>
                <w:szCs w:val="20"/>
              </w:rPr>
            </w:pPr>
            <w:r w:rsidRPr="00E256D3">
              <w:rPr>
                <w:rFonts w:ascii="Arial Narrow" w:hAnsi="Arial Narrow"/>
                <w:sz w:val="20"/>
                <w:szCs w:val="20"/>
              </w:rPr>
              <w:t>Patient must have a World Health Organisation (WHO) Grade 2 astrocytoma or oligodendroglioma</w:t>
            </w:r>
          </w:p>
        </w:tc>
      </w:tr>
      <w:tr w:rsidR="0060033B" w:rsidRPr="00AF597C" w14:paraId="4C65F862" w14:textId="77777777" w:rsidTr="00E256D3">
        <w:trPr>
          <w:cantSplit/>
          <w:trHeight w:val="20"/>
        </w:trPr>
        <w:tc>
          <w:tcPr>
            <w:tcW w:w="9016" w:type="dxa"/>
            <w:gridSpan w:val="2"/>
            <w:vAlign w:val="center"/>
          </w:tcPr>
          <w:p w14:paraId="411B38FC" w14:textId="77777777" w:rsidR="0060033B" w:rsidRPr="00BE48FF" w:rsidRDefault="0060033B" w:rsidP="00F36268">
            <w:pPr>
              <w:rPr>
                <w:rFonts w:ascii="Arial Narrow" w:hAnsi="Arial Narrow"/>
                <w:sz w:val="20"/>
                <w:szCs w:val="20"/>
              </w:rPr>
            </w:pPr>
            <w:r w:rsidRPr="00BE48FF">
              <w:rPr>
                <w:rFonts w:ascii="Arial Narrow" w:hAnsi="Arial Narrow"/>
                <w:b/>
                <w:bCs/>
                <w:sz w:val="20"/>
                <w:szCs w:val="20"/>
              </w:rPr>
              <w:t>AND</w:t>
            </w:r>
          </w:p>
        </w:tc>
      </w:tr>
      <w:tr w:rsidR="0060033B" w:rsidRPr="00AF597C" w14:paraId="56E9DA3B" w14:textId="77777777" w:rsidTr="00E256D3">
        <w:trPr>
          <w:cantSplit/>
          <w:trHeight w:val="20"/>
        </w:trPr>
        <w:tc>
          <w:tcPr>
            <w:tcW w:w="9016" w:type="dxa"/>
            <w:gridSpan w:val="2"/>
            <w:vAlign w:val="center"/>
          </w:tcPr>
          <w:p w14:paraId="7EF6A376" w14:textId="77777777" w:rsidR="0060033B" w:rsidRPr="00BE48FF" w:rsidRDefault="0060033B" w:rsidP="00F36268">
            <w:pPr>
              <w:rPr>
                <w:rFonts w:ascii="Arial Narrow" w:hAnsi="Arial Narrow"/>
                <w:sz w:val="20"/>
                <w:szCs w:val="20"/>
              </w:rPr>
            </w:pPr>
            <w:r w:rsidRPr="00BE48FF">
              <w:rPr>
                <w:rFonts w:ascii="Arial Narrow" w:hAnsi="Arial Narrow"/>
                <w:b/>
                <w:bCs/>
                <w:sz w:val="20"/>
                <w:szCs w:val="20"/>
              </w:rPr>
              <w:t>Clinical criteria:</w:t>
            </w:r>
          </w:p>
        </w:tc>
      </w:tr>
      <w:tr w:rsidR="0060033B" w:rsidRPr="00AF597C" w14:paraId="34510027" w14:textId="77777777" w:rsidTr="00E256D3">
        <w:trPr>
          <w:cantSplit/>
          <w:trHeight w:val="20"/>
        </w:trPr>
        <w:tc>
          <w:tcPr>
            <w:tcW w:w="9016" w:type="dxa"/>
            <w:gridSpan w:val="2"/>
            <w:vAlign w:val="center"/>
          </w:tcPr>
          <w:p w14:paraId="6465E6B8" w14:textId="2FCD6F24" w:rsidR="0060033B" w:rsidRPr="00B46256" w:rsidRDefault="0060033B" w:rsidP="00F36268">
            <w:pPr>
              <w:rPr>
                <w:rFonts w:ascii="Arial Narrow" w:hAnsi="Arial Narrow"/>
                <w:sz w:val="20"/>
                <w:szCs w:val="20"/>
              </w:rPr>
            </w:pPr>
            <w:r w:rsidRPr="00B46256">
              <w:rPr>
                <w:rFonts w:ascii="Arial Narrow" w:hAnsi="Arial Narrow"/>
                <w:sz w:val="20"/>
                <w:szCs w:val="20"/>
              </w:rPr>
              <w:t xml:space="preserve">The </w:t>
            </w:r>
            <w:r w:rsidRPr="00E256D3">
              <w:rPr>
                <w:rFonts w:ascii="Arial Narrow" w:hAnsi="Arial Narrow"/>
                <w:sz w:val="20"/>
                <w:szCs w:val="20"/>
              </w:rPr>
              <w:t xml:space="preserve">patient </w:t>
            </w:r>
            <w:r w:rsidRPr="00B46256">
              <w:rPr>
                <w:rFonts w:ascii="Arial Narrow" w:hAnsi="Arial Narrow"/>
                <w:sz w:val="20"/>
                <w:szCs w:val="20"/>
              </w:rPr>
              <w:t xml:space="preserve">must have a </w:t>
            </w:r>
            <w:r w:rsidRPr="00E256D3">
              <w:rPr>
                <w:rFonts w:ascii="Arial Narrow" w:hAnsi="Arial Narrow"/>
                <w:sz w:val="20"/>
                <w:szCs w:val="20"/>
              </w:rPr>
              <w:t>test of tumour tissue confirming the presence of a</w:t>
            </w:r>
            <w:r w:rsidRPr="00B46256">
              <w:rPr>
                <w:rFonts w:ascii="Arial Narrow" w:hAnsi="Arial Narrow"/>
                <w:sz w:val="20"/>
                <w:szCs w:val="20"/>
              </w:rPr>
              <w:t xml:space="preserve"> susceptible isocitrate dehydrogenase</w:t>
            </w:r>
            <w:r w:rsidR="00B571FA">
              <w:rPr>
                <w:rFonts w:ascii="Arial Narrow" w:hAnsi="Arial Narrow"/>
                <w:sz w:val="20"/>
                <w:szCs w:val="20"/>
              </w:rPr>
              <w:noBreakHyphen/>
            </w:r>
            <w:r w:rsidRPr="00B46256">
              <w:rPr>
                <w:rFonts w:ascii="Arial Narrow" w:hAnsi="Arial Narrow"/>
                <w:sz w:val="20"/>
                <w:szCs w:val="20"/>
              </w:rPr>
              <w:t xml:space="preserve">1 (IDH1) </w:t>
            </w:r>
            <w:r w:rsidRPr="00E256D3">
              <w:rPr>
                <w:rFonts w:ascii="Arial Narrow" w:hAnsi="Arial Narrow"/>
                <w:sz w:val="20"/>
                <w:szCs w:val="20"/>
              </w:rPr>
              <w:t>R132H/C/G/S/L</w:t>
            </w:r>
            <w:r w:rsidRPr="00B46256">
              <w:rPr>
                <w:rFonts w:ascii="Arial Narrow" w:hAnsi="Arial Narrow"/>
                <w:sz w:val="20"/>
                <w:szCs w:val="20"/>
              </w:rPr>
              <w:t xml:space="preserve"> </w:t>
            </w:r>
            <w:r w:rsidRPr="00E256D3">
              <w:rPr>
                <w:rFonts w:ascii="Arial Narrow" w:hAnsi="Arial Narrow"/>
                <w:sz w:val="20"/>
                <w:szCs w:val="20"/>
              </w:rPr>
              <w:t>variant</w:t>
            </w:r>
            <w:r w:rsidRPr="00B46256">
              <w:rPr>
                <w:rFonts w:ascii="Arial Narrow" w:hAnsi="Arial Narrow"/>
                <w:sz w:val="20"/>
                <w:szCs w:val="20"/>
              </w:rPr>
              <w:t xml:space="preserve"> or isocitrate dehydrogenase</w:t>
            </w:r>
            <w:r w:rsidR="00B571FA">
              <w:rPr>
                <w:rFonts w:ascii="Arial Narrow" w:hAnsi="Arial Narrow"/>
                <w:sz w:val="20"/>
                <w:szCs w:val="20"/>
              </w:rPr>
              <w:noBreakHyphen/>
            </w:r>
            <w:r w:rsidRPr="00B46256">
              <w:rPr>
                <w:rFonts w:ascii="Arial Narrow" w:hAnsi="Arial Narrow"/>
                <w:sz w:val="20"/>
                <w:szCs w:val="20"/>
              </w:rPr>
              <w:t xml:space="preserve">2 (IDH2) </w:t>
            </w:r>
            <w:r w:rsidRPr="00E256D3">
              <w:rPr>
                <w:rFonts w:ascii="Arial Narrow" w:hAnsi="Arial Narrow"/>
                <w:sz w:val="20"/>
                <w:szCs w:val="20"/>
              </w:rPr>
              <w:t>R172K/M/W/S/G variant</w:t>
            </w:r>
          </w:p>
        </w:tc>
      </w:tr>
      <w:tr w:rsidR="0060033B" w:rsidRPr="00AF597C" w14:paraId="1821C54C" w14:textId="77777777" w:rsidTr="00E256D3">
        <w:trPr>
          <w:cantSplit/>
          <w:trHeight w:val="20"/>
        </w:trPr>
        <w:tc>
          <w:tcPr>
            <w:tcW w:w="9016" w:type="dxa"/>
            <w:gridSpan w:val="2"/>
            <w:vAlign w:val="center"/>
          </w:tcPr>
          <w:p w14:paraId="227FB3CF" w14:textId="77777777" w:rsidR="0060033B" w:rsidRPr="00BE48FF" w:rsidRDefault="0060033B" w:rsidP="00F36268">
            <w:pPr>
              <w:rPr>
                <w:rFonts w:ascii="Arial Narrow" w:hAnsi="Arial Narrow"/>
                <w:sz w:val="20"/>
                <w:szCs w:val="20"/>
              </w:rPr>
            </w:pPr>
            <w:r w:rsidRPr="00BE48FF">
              <w:rPr>
                <w:rFonts w:ascii="Arial Narrow" w:hAnsi="Arial Narrow"/>
                <w:b/>
                <w:bCs/>
                <w:sz w:val="20"/>
                <w:szCs w:val="20"/>
              </w:rPr>
              <w:t>AND</w:t>
            </w:r>
          </w:p>
        </w:tc>
      </w:tr>
      <w:tr w:rsidR="0060033B" w:rsidRPr="00AF597C" w14:paraId="648ACA81" w14:textId="77777777" w:rsidTr="00E256D3">
        <w:trPr>
          <w:cantSplit/>
          <w:trHeight w:val="20"/>
        </w:trPr>
        <w:tc>
          <w:tcPr>
            <w:tcW w:w="9016" w:type="dxa"/>
            <w:gridSpan w:val="2"/>
            <w:vAlign w:val="center"/>
          </w:tcPr>
          <w:p w14:paraId="629AB7D1" w14:textId="77777777" w:rsidR="0060033B" w:rsidRPr="00BE48FF" w:rsidRDefault="0060033B" w:rsidP="00F36268">
            <w:pPr>
              <w:rPr>
                <w:rFonts w:ascii="Arial Narrow" w:hAnsi="Arial Narrow"/>
                <w:sz w:val="20"/>
                <w:szCs w:val="20"/>
              </w:rPr>
            </w:pPr>
            <w:r w:rsidRPr="00BE48FF">
              <w:rPr>
                <w:rFonts w:ascii="Arial Narrow" w:hAnsi="Arial Narrow"/>
                <w:b/>
                <w:bCs/>
                <w:sz w:val="20"/>
                <w:szCs w:val="20"/>
              </w:rPr>
              <w:t>Clinical criteria:</w:t>
            </w:r>
          </w:p>
        </w:tc>
      </w:tr>
      <w:tr w:rsidR="0060033B" w:rsidRPr="00AF597C" w14:paraId="5D3F7E9C" w14:textId="77777777" w:rsidTr="00E256D3">
        <w:trPr>
          <w:cantSplit/>
          <w:trHeight w:val="20"/>
        </w:trPr>
        <w:tc>
          <w:tcPr>
            <w:tcW w:w="9016" w:type="dxa"/>
            <w:gridSpan w:val="2"/>
            <w:vAlign w:val="center"/>
          </w:tcPr>
          <w:p w14:paraId="3B87A130" w14:textId="27ED74F8" w:rsidR="0060033B" w:rsidRPr="00BE48FF" w:rsidRDefault="0060033B" w:rsidP="00F36268">
            <w:pPr>
              <w:rPr>
                <w:rFonts w:ascii="Arial Narrow" w:hAnsi="Arial Narrow"/>
                <w:sz w:val="20"/>
                <w:szCs w:val="20"/>
              </w:rPr>
            </w:pPr>
            <w:r w:rsidRPr="00BE48FF">
              <w:rPr>
                <w:rFonts w:ascii="Arial Narrow" w:hAnsi="Arial Narrow"/>
                <w:sz w:val="20"/>
                <w:szCs w:val="20"/>
              </w:rPr>
              <w:t xml:space="preserve">Patient must have had an Eastern Cooperative Oncology Group (ECOG) performance status score of 1 or less </w:t>
            </w:r>
            <w:r w:rsidRPr="00E34355">
              <w:rPr>
                <w:rFonts w:ascii="Arial Narrow" w:hAnsi="Arial Narrow"/>
                <w:i/>
                <w:iCs/>
                <w:sz w:val="20"/>
                <w:szCs w:val="20"/>
              </w:rPr>
              <w:t>at the time of initiation of non</w:t>
            </w:r>
            <w:r w:rsidR="00B571FA">
              <w:rPr>
                <w:rFonts w:ascii="Arial Narrow" w:hAnsi="Arial Narrow"/>
                <w:i/>
                <w:iCs/>
                <w:sz w:val="20"/>
                <w:szCs w:val="20"/>
              </w:rPr>
              <w:noBreakHyphen/>
            </w:r>
            <w:r w:rsidRPr="00E34355">
              <w:rPr>
                <w:rFonts w:ascii="Arial Narrow" w:hAnsi="Arial Narrow"/>
                <w:i/>
                <w:iCs/>
                <w:sz w:val="20"/>
                <w:szCs w:val="20"/>
              </w:rPr>
              <w:t>PBS subsidised treatment with this drug,</w:t>
            </w:r>
          </w:p>
        </w:tc>
      </w:tr>
      <w:tr w:rsidR="0060033B" w:rsidRPr="00AF597C" w14:paraId="72D09BB9" w14:textId="77777777" w:rsidTr="00E256D3">
        <w:trPr>
          <w:cantSplit/>
          <w:trHeight w:val="20"/>
        </w:trPr>
        <w:tc>
          <w:tcPr>
            <w:tcW w:w="9016" w:type="dxa"/>
            <w:gridSpan w:val="2"/>
            <w:vAlign w:val="center"/>
          </w:tcPr>
          <w:p w14:paraId="67E90E25" w14:textId="77777777" w:rsidR="0060033B" w:rsidRPr="00BE48FF" w:rsidRDefault="0060033B" w:rsidP="00F36268">
            <w:pPr>
              <w:rPr>
                <w:rFonts w:ascii="Arial Narrow" w:hAnsi="Arial Narrow"/>
                <w:sz w:val="20"/>
                <w:szCs w:val="20"/>
              </w:rPr>
            </w:pPr>
            <w:r w:rsidRPr="00BE48FF">
              <w:rPr>
                <w:rFonts w:ascii="Arial Narrow" w:hAnsi="Arial Narrow"/>
                <w:b/>
                <w:bCs/>
                <w:sz w:val="20"/>
                <w:szCs w:val="20"/>
              </w:rPr>
              <w:t>AND</w:t>
            </w:r>
          </w:p>
        </w:tc>
      </w:tr>
      <w:tr w:rsidR="0060033B" w:rsidRPr="00AF597C" w14:paraId="4E5A9B23" w14:textId="77777777" w:rsidTr="00E256D3">
        <w:trPr>
          <w:cantSplit/>
          <w:trHeight w:val="20"/>
        </w:trPr>
        <w:tc>
          <w:tcPr>
            <w:tcW w:w="9016" w:type="dxa"/>
            <w:gridSpan w:val="2"/>
            <w:vAlign w:val="center"/>
          </w:tcPr>
          <w:p w14:paraId="47F2F2D4" w14:textId="77777777" w:rsidR="0060033B" w:rsidRPr="00BE48FF" w:rsidRDefault="0060033B" w:rsidP="00F36268">
            <w:pPr>
              <w:rPr>
                <w:rFonts w:ascii="Arial Narrow" w:hAnsi="Arial Narrow"/>
                <w:sz w:val="20"/>
                <w:szCs w:val="20"/>
              </w:rPr>
            </w:pPr>
            <w:r w:rsidRPr="00BE48FF">
              <w:rPr>
                <w:rFonts w:ascii="Arial Narrow" w:hAnsi="Arial Narrow"/>
                <w:b/>
                <w:bCs/>
                <w:sz w:val="20"/>
                <w:szCs w:val="20"/>
              </w:rPr>
              <w:t>Clinical criteria:</w:t>
            </w:r>
          </w:p>
        </w:tc>
      </w:tr>
      <w:tr w:rsidR="0060033B" w:rsidRPr="00AF597C" w14:paraId="2F759D25" w14:textId="77777777" w:rsidTr="00E256D3">
        <w:trPr>
          <w:cantSplit/>
          <w:trHeight w:val="20"/>
        </w:trPr>
        <w:tc>
          <w:tcPr>
            <w:tcW w:w="9016" w:type="dxa"/>
            <w:gridSpan w:val="2"/>
            <w:vAlign w:val="center"/>
          </w:tcPr>
          <w:p w14:paraId="04FE6BAE" w14:textId="0F123172" w:rsidR="0060033B" w:rsidRPr="00BE48FF" w:rsidRDefault="0060033B" w:rsidP="00F36268">
            <w:pPr>
              <w:rPr>
                <w:rFonts w:ascii="Arial Narrow" w:hAnsi="Arial Narrow"/>
                <w:sz w:val="20"/>
                <w:szCs w:val="20"/>
              </w:rPr>
            </w:pPr>
            <w:r w:rsidRPr="00BE48FF">
              <w:rPr>
                <w:rFonts w:ascii="Arial Narrow" w:hAnsi="Arial Narrow"/>
                <w:sz w:val="20"/>
                <w:szCs w:val="20"/>
              </w:rPr>
              <w:t>Patient must have had residual or recurrent disease after at least one prior surgery (biopsy, sub</w:t>
            </w:r>
            <w:r w:rsidR="00B571FA">
              <w:rPr>
                <w:rFonts w:ascii="Arial Narrow" w:hAnsi="Arial Narrow"/>
                <w:sz w:val="20"/>
                <w:szCs w:val="20"/>
              </w:rPr>
              <w:noBreakHyphen/>
            </w:r>
            <w:r w:rsidRPr="00BE48FF">
              <w:rPr>
                <w:rFonts w:ascii="Arial Narrow" w:hAnsi="Arial Narrow"/>
                <w:sz w:val="20"/>
                <w:szCs w:val="20"/>
              </w:rPr>
              <w:t>total resection, or gross total resection) for this condition at the time of initiation of non</w:t>
            </w:r>
            <w:r w:rsidR="00B571FA">
              <w:rPr>
                <w:rFonts w:ascii="Arial Narrow" w:hAnsi="Arial Narrow"/>
                <w:sz w:val="20"/>
                <w:szCs w:val="20"/>
              </w:rPr>
              <w:noBreakHyphen/>
            </w:r>
            <w:r w:rsidRPr="00BE48FF">
              <w:rPr>
                <w:rFonts w:ascii="Arial Narrow" w:hAnsi="Arial Narrow"/>
                <w:sz w:val="20"/>
                <w:szCs w:val="20"/>
              </w:rPr>
              <w:t>PBS</w:t>
            </w:r>
            <w:r w:rsidR="00B571FA">
              <w:rPr>
                <w:rFonts w:ascii="Arial Narrow" w:hAnsi="Arial Narrow"/>
                <w:sz w:val="20"/>
                <w:szCs w:val="20"/>
              </w:rPr>
              <w:noBreakHyphen/>
            </w:r>
            <w:r w:rsidRPr="00BE48FF">
              <w:rPr>
                <w:rFonts w:ascii="Arial Narrow" w:hAnsi="Arial Narrow"/>
                <w:sz w:val="20"/>
                <w:szCs w:val="20"/>
              </w:rPr>
              <w:t>subsidised treatment with this drug for this condition,</w:t>
            </w:r>
          </w:p>
        </w:tc>
      </w:tr>
      <w:tr w:rsidR="0060033B" w:rsidRPr="00AF597C" w14:paraId="677B6C86" w14:textId="77777777" w:rsidTr="00E256D3">
        <w:trPr>
          <w:cantSplit/>
          <w:trHeight w:val="20"/>
        </w:trPr>
        <w:tc>
          <w:tcPr>
            <w:tcW w:w="9016" w:type="dxa"/>
            <w:gridSpan w:val="2"/>
            <w:vAlign w:val="center"/>
          </w:tcPr>
          <w:p w14:paraId="4E1A715A" w14:textId="77777777" w:rsidR="0060033B" w:rsidRPr="00BE48FF" w:rsidRDefault="0060033B" w:rsidP="00F36268">
            <w:pPr>
              <w:rPr>
                <w:rFonts w:ascii="Arial Narrow" w:hAnsi="Arial Narrow"/>
                <w:sz w:val="20"/>
                <w:szCs w:val="20"/>
              </w:rPr>
            </w:pPr>
            <w:r w:rsidRPr="00BE48FF">
              <w:rPr>
                <w:rFonts w:ascii="Arial Narrow" w:hAnsi="Arial Narrow"/>
                <w:b/>
                <w:bCs/>
                <w:sz w:val="20"/>
                <w:szCs w:val="20"/>
              </w:rPr>
              <w:t>AND</w:t>
            </w:r>
          </w:p>
        </w:tc>
      </w:tr>
      <w:tr w:rsidR="0060033B" w:rsidRPr="00AF597C" w14:paraId="3BCCAD53" w14:textId="77777777" w:rsidTr="00E256D3">
        <w:trPr>
          <w:cantSplit/>
          <w:trHeight w:val="20"/>
        </w:trPr>
        <w:tc>
          <w:tcPr>
            <w:tcW w:w="9016" w:type="dxa"/>
            <w:gridSpan w:val="2"/>
            <w:vAlign w:val="center"/>
          </w:tcPr>
          <w:p w14:paraId="4F9FAD6A" w14:textId="77777777" w:rsidR="0060033B" w:rsidRPr="00BE48FF" w:rsidRDefault="0060033B" w:rsidP="00F36268">
            <w:pPr>
              <w:rPr>
                <w:rFonts w:ascii="Arial Narrow" w:hAnsi="Arial Narrow"/>
                <w:sz w:val="20"/>
                <w:szCs w:val="20"/>
              </w:rPr>
            </w:pPr>
            <w:r w:rsidRPr="00BE48FF">
              <w:rPr>
                <w:rFonts w:ascii="Arial Narrow" w:hAnsi="Arial Narrow"/>
                <w:b/>
                <w:bCs/>
                <w:sz w:val="20"/>
                <w:szCs w:val="20"/>
              </w:rPr>
              <w:t>Clinical criteria:</w:t>
            </w:r>
          </w:p>
        </w:tc>
      </w:tr>
      <w:tr w:rsidR="0060033B" w:rsidRPr="00AF597C" w14:paraId="5623E1C4" w14:textId="77777777" w:rsidTr="00E256D3">
        <w:trPr>
          <w:cantSplit/>
          <w:trHeight w:val="20"/>
        </w:trPr>
        <w:tc>
          <w:tcPr>
            <w:tcW w:w="9016" w:type="dxa"/>
            <w:gridSpan w:val="2"/>
            <w:vAlign w:val="center"/>
          </w:tcPr>
          <w:p w14:paraId="36221F9F" w14:textId="32ECA016" w:rsidR="0060033B" w:rsidRPr="009870C5" w:rsidRDefault="0060033B" w:rsidP="00F36268">
            <w:pPr>
              <w:rPr>
                <w:rFonts w:ascii="Arial Narrow" w:hAnsi="Arial Narrow"/>
                <w:sz w:val="20"/>
                <w:szCs w:val="20"/>
              </w:rPr>
            </w:pPr>
            <w:r w:rsidRPr="009870C5">
              <w:rPr>
                <w:rFonts w:ascii="Arial Narrow" w:hAnsi="Arial Narrow"/>
                <w:sz w:val="20"/>
                <w:szCs w:val="20"/>
              </w:rPr>
              <w:t xml:space="preserve">The condition must not have been previously treated with </w:t>
            </w:r>
            <w:r w:rsidRPr="00E34355">
              <w:rPr>
                <w:rFonts w:ascii="Arial Narrow" w:hAnsi="Arial Narrow"/>
                <w:sz w:val="20"/>
                <w:szCs w:val="20"/>
              </w:rPr>
              <w:t>systemic</w:t>
            </w:r>
            <w:r w:rsidRPr="009870C5">
              <w:rPr>
                <w:rFonts w:ascii="Arial Narrow" w:hAnsi="Arial Narrow"/>
                <w:sz w:val="20"/>
                <w:szCs w:val="20"/>
              </w:rPr>
              <w:t xml:space="preserve"> anticancer therapy </w:t>
            </w:r>
            <w:r w:rsidRPr="00E34355">
              <w:rPr>
                <w:rFonts w:ascii="Arial Narrow" w:hAnsi="Arial Narrow"/>
                <w:sz w:val="20"/>
                <w:szCs w:val="20"/>
              </w:rPr>
              <w:t>prior to initiation non</w:t>
            </w:r>
            <w:r w:rsidR="00B571FA">
              <w:rPr>
                <w:rFonts w:ascii="Arial Narrow" w:hAnsi="Arial Narrow"/>
                <w:sz w:val="20"/>
                <w:szCs w:val="20"/>
              </w:rPr>
              <w:noBreakHyphen/>
            </w:r>
            <w:r w:rsidRPr="00E34355">
              <w:rPr>
                <w:rFonts w:ascii="Arial Narrow" w:hAnsi="Arial Narrow"/>
                <w:sz w:val="20"/>
                <w:szCs w:val="20"/>
              </w:rPr>
              <w:t>PBS subsidised treatment with this drug for this condition</w:t>
            </w:r>
          </w:p>
        </w:tc>
      </w:tr>
      <w:tr w:rsidR="0060033B" w:rsidRPr="00AF597C" w14:paraId="3B1E4170" w14:textId="77777777" w:rsidTr="00E256D3">
        <w:trPr>
          <w:cantSplit/>
          <w:trHeight w:val="20"/>
        </w:trPr>
        <w:tc>
          <w:tcPr>
            <w:tcW w:w="9016" w:type="dxa"/>
            <w:gridSpan w:val="2"/>
            <w:vAlign w:val="center"/>
          </w:tcPr>
          <w:p w14:paraId="3998EF39" w14:textId="77777777" w:rsidR="0060033B" w:rsidRPr="00BE48FF" w:rsidRDefault="0060033B" w:rsidP="00F36268">
            <w:pPr>
              <w:rPr>
                <w:rFonts w:ascii="Arial Narrow" w:hAnsi="Arial Narrow"/>
                <w:sz w:val="20"/>
                <w:szCs w:val="20"/>
              </w:rPr>
            </w:pPr>
            <w:r w:rsidRPr="00BE48FF">
              <w:rPr>
                <w:rFonts w:ascii="Arial Narrow" w:hAnsi="Arial Narrow"/>
                <w:b/>
                <w:bCs/>
                <w:sz w:val="20"/>
                <w:szCs w:val="20"/>
              </w:rPr>
              <w:t>AND</w:t>
            </w:r>
          </w:p>
        </w:tc>
      </w:tr>
      <w:tr w:rsidR="0060033B" w:rsidRPr="00AF597C" w14:paraId="19531F5E" w14:textId="77777777" w:rsidTr="00E256D3">
        <w:trPr>
          <w:cantSplit/>
          <w:trHeight w:val="20"/>
        </w:trPr>
        <w:tc>
          <w:tcPr>
            <w:tcW w:w="9016" w:type="dxa"/>
            <w:gridSpan w:val="2"/>
            <w:vAlign w:val="center"/>
          </w:tcPr>
          <w:p w14:paraId="12C13677" w14:textId="77777777" w:rsidR="0060033B" w:rsidRPr="00BE48FF" w:rsidRDefault="0060033B" w:rsidP="00F36268">
            <w:pPr>
              <w:rPr>
                <w:rFonts w:ascii="Arial Narrow" w:hAnsi="Arial Narrow"/>
                <w:sz w:val="20"/>
                <w:szCs w:val="20"/>
              </w:rPr>
            </w:pPr>
            <w:r w:rsidRPr="00BE48FF">
              <w:rPr>
                <w:rFonts w:ascii="Arial Narrow" w:hAnsi="Arial Narrow"/>
                <w:b/>
                <w:bCs/>
                <w:sz w:val="20"/>
                <w:szCs w:val="20"/>
              </w:rPr>
              <w:t>Clinical criteria:</w:t>
            </w:r>
          </w:p>
        </w:tc>
      </w:tr>
      <w:tr w:rsidR="0060033B" w:rsidRPr="00AF597C" w14:paraId="4EC808B4" w14:textId="77777777" w:rsidTr="00E256D3">
        <w:trPr>
          <w:cantSplit/>
          <w:trHeight w:val="20"/>
        </w:trPr>
        <w:tc>
          <w:tcPr>
            <w:tcW w:w="9016" w:type="dxa"/>
            <w:gridSpan w:val="2"/>
            <w:vAlign w:val="center"/>
          </w:tcPr>
          <w:p w14:paraId="24E70C1A" w14:textId="77777777" w:rsidR="0060033B" w:rsidRPr="00BE48FF" w:rsidRDefault="0060033B" w:rsidP="00F36268">
            <w:pPr>
              <w:rPr>
                <w:rFonts w:ascii="Arial Narrow" w:hAnsi="Arial Narrow"/>
                <w:sz w:val="20"/>
                <w:szCs w:val="20"/>
              </w:rPr>
            </w:pPr>
            <w:r w:rsidRPr="00BE48FF">
              <w:rPr>
                <w:rFonts w:ascii="Arial Narrow" w:hAnsi="Arial Narrow"/>
                <w:sz w:val="20"/>
                <w:szCs w:val="20"/>
              </w:rPr>
              <w:lastRenderedPageBreak/>
              <w:t>Patient must not have developed disease progression while receiving treatment with this drug for this condition.</w:t>
            </w:r>
          </w:p>
        </w:tc>
      </w:tr>
      <w:tr w:rsidR="0060033B" w:rsidRPr="00AF597C" w14:paraId="6CA419D0" w14:textId="77777777" w:rsidTr="00E256D3">
        <w:trPr>
          <w:cantSplit/>
          <w:trHeight w:val="20"/>
        </w:trPr>
        <w:tc>
          <w:tcPr>
            <w:tcW w:w="9016" w:type="dxa"/>
            <w:gridSpan w:val="2"/>
            <w:vAlign w:val="center"/>
          </w:tcPr>
          <w:p w14:paraId="6B02B143" w14:textId="77777777" w:rsidR="0060033B" w:rsidRPr="00BE48FF" w:rsidRDefault="0060033B" w:rsidP="00F36268">
            <w:pPr>
              <w:rPr>
                <w:rFonts w:ascii="Arial Narrow" w:hAnsi="Arial Narrow"/>
                <w:b/>
                <w:bCs/>
                <w:sz w:val="20"/>
                <w:szCs w:val="20"/>
              </w:rPr>
            </w:pPr>
            <w:r w:rsidRPr="00BE48FF">
              <w:rPr>
                <w:rFonts w:ascii="Arial Narrow" w:hAnsi="Arial Narrow"/>
                <w:b/>
                <w:bCs/>
                <w:sz w:val="20"/>
                <w:szCs w:val="20"/>
              </w:rPr>
              <w:t xml:space="preserve">Prescriber instructions: </w:t>
            </w:r>
          </w:p>
          <w:p w14:paraId="6157494E" w14:textId="77777777" w:rsidR="0060033B" w:rsidRPr="0037368D" w:rsidRDefault="0060033B" w:rsidP="00F36268">
            <w:pPr>
              <w:rPr>
                <w:rFonts w:ascii="Arial Narrow" w:hAnsi="Arial Narrow"/>
                <w:sz w:val="20"/>
                <w:szCs w:val="20"/>
              </w:rPr>
            </w:pPr>
            <w:r w:rsidRPr="00E34355">
              <w:rPr>
                <w:rStyle w:val="normaltextrun"/>
                <w:rFonts w:ascii="Arial Narrow" w:hAnsi="Arial Narrow"/>
                <w:sz w:val="20"/>
                <w:szCs w:val="20"/>
                <w:shd w:val="clear" w:color="auto" w:fill="FFFFFF"/>
              </w:rPr>
              <w:t>Confirm that evidence of the presence of a pathogenic variant of the IDH1 or IDH2 gene is documented/retained in the patient's medical records once only with the first PBS prescription</w:t>
            </w:r>
            <w:r w:rsidRPr="00E34355">
              <w:rPr>
                <w:rStyle w:val="normaltextrun"/>
                <w:rFonts w:ascii="Arial Narrow" w:hAnsi="Arial Narrow"/>
                <w:szCs w:val="20"/>
                <w:shd w:val="clear" w:color="auto" w:fill="FFFFFF"/>
              </w:rPr>
              <w:t>.</w:t>
            </w:r>
          </w:p>
        </w:tc>
      </w:tr>
      <w:tr w:rsidR="0060033B" w:rsidRPr="00AF597C" w14:paraId="35BA23B5" w14:textId="77777777" w:rsidTr="00E256D3">
        <w:trPr>
          <w:cantSplit/>
          <w:trHeight w:val="20"/>
        </w:trPr>
        <w:tc>
          <w:tcPr>
            <w:tcW w:w="9016" w:type="dxa"/>
            <w:gridSpan w:val="2"/>
            <w:vAlign w:val="center"/>
          </w:tcPr>
          <w:p w14:paraId="13A82C5A" w14:textId="77777777" w:rsidR="0060033B" w:rsidRPr="00BE48FF" w:rsidRDefault="0060033B" w:rsidP="00F36268">
            <w:pPr>
              <w:rPr>
                <w:rFonts w:ascii="Arial Narrow" w:hAnsi="Arial Narrow"/>
                <w:sz w:val="20"/>
                <w:szCs w:val="20"/>
              </w:rPr>
            </w:pPr>
            <w:r w:rsidRPr="00BE48FF">
              <w:rPr>
                <w:rFonts w:ascii="Arial Narrow" w:hAnsi="Arial Narrow"/>
                <w:b/>
                <w:bCs/>
                <w:sz w:val="20"/>
                <w:szCs w:val="20"/>
              </w:rPr>
              <w:t>Administrative advice:</w:t>
            </w:r>
            <w:r w:rsidRPr="00BE48FF">
              <w:rPr>
                <w:rFonts w:ascii="Arial Narrow" w:hAnsi="Arial Narrow"/>
                <w:sz w:val="20"/>
                <w:szCs w:val="20"/>
              </w:rPr>
              <w:t xml:space="preserve"> This grandfather restriction will cease to operate from 12 months after the date specified in the clinical criteria.</w:t>
            </w:r>
          </w:p>
        </w:tc>
      </w:tr>
      <w:tr w:rsidR="0060033B" w:rsidRPr="00AF597C" w14:paraId="1B5CF9C7" w14:textId="77777777" w:rsidTr="00E256D3">
        <w:trPr>
          <w:cantSplit/>
          <w:trHeight w:val="20"/>
        </w:trPr>
        <w:tc>
          <w:tcPr>
            <w:tcW w:w="9016" w:type="dxa"/>
            <w:gridSpan w:val="2"/>
            <w:vAlign w:val="center"/>
          </w:tcPr>
          <w:p w14:paraId="40F89445" w14:textId="5407EEF4" w:rsidR="0060033B" w:rsidRPr="00BE48FF" w:rsidRDefault="0060033B" w:rsidP="00F36268">
            <w:pPr>
              <w:rPr>
                <w:rFonts w:ascii="Arial Narrow" w:hAnsi="Arial Narrow"/>
                <w:sz w:val="20"/>
                <w:szCs w:val="20"/>
              </w:rPr>
            </w:pPr>
            <w:r w:rsidRPr="00E34355">
              <w:rPr>
                <w:rFonts w:ascii="Arial Narrow" w:hAnsi="Arial Narrow"/>
                <w:b/>
                <w:bCs/>
                <w:sz w:val="20"/>
                <w:szCs w:val="20"/>
              </w:rPr>
              <w:t>Administrative advice:</w:t>
            </w:r>
            <w:r w:rsidRPr="00BE48FF">
              <w:rPr>
                <w:rFonts w:ascii="Arial Narrow" w:hAnsi="Arial Narrow"/>
                <w:b/>
                <w:bCs/>
                <w:sz w:val="20"/>
                <w:szCs w:val="20"/>
              </w:rPr>
              <w:t xml:space="preserve"> </w:t>
            </w:r>
            <w:r w:rsidRPr="00BE48FF">
              <w:rPr>
                <w:rFonts w:ascii="Arial Narrow" w:hAnsi="Arial Narrow"/>
                <w:sz w:val="20"/>
                <w:szCs w:val="20"/>
              </w:rPr>
              <w:t>Patients may qualify for PBS</w:t>
            </w:r>
            <w:r w:rsidR="00B571FA">
              <w:rPr>
                <w:rFonts w:ascii="Arial Narrow" w:hAnsi="Arial Narrow"/>
                <w:sz w:val="20"/>
                <w:szCs w:val="20"/>
              </w:rPr>
              <w:noBreakHyphen/>
            </w:r>
            <w:r w:rsidRPr="00BE48FF">
              <w:rPr>
                <w:rFonts w:ascii="Arial Narrow" w:hAnsi="Arial Narrow"/>
                <w:sz w:val="20"/>
                <w:szCs w:val="20"/>
              </w:rPr>
              <w:t>subsidised treatment under this restriction once only. For continuing PBS</w:t>
            </w:r>
            <w:r w:rsidR="00B571FA">
              <w:rPr>
                <w:rFonts w:ascii="Arial Narrow" w:hAnsi="Arial Narrow"/>
                <w:sz w:val="20"/>
                <w:szCs w:val="20"/>
              </w:rPr>
              <w:noBreakHyphen/>
            </w:r>
            <w:r w:rsidRPr="00BE48FF">
              <w:rPr>
                <w:rFonts w:ascii="Arial Narrow" w:hAnsi="Arial Narrow"/>
                <w:sz w:val="20"/>
                <w:szCs w:val="20"/>
              </w:rPr>
              <w:t>subsidised treatment, a 'Grandfathered' patient must qualify under the 'Continuing treatment' criteria.</w:t>
            </w:r>
          </w:p>
        </w:tc>
      </w:tr>
    </w:tbl>
    <w:p w14:paraId="0CB4055E" w14:textId="77777777" w:rsidR="00EA0225" w:rsidRDefault="00EA0225" w:rsidP="00F36268">
      <w:pPr>
        <w:ind w:firstLine="709"/>
        <w:rPr>
          <w:rFonts w:asciiTheme="minorHAnsi" w:hAnsiTheme="minorHAnsi"/>
          <w:i/>
        </w:rPr>
      </w:pPr>
    </w:p>
    <w:p w14:paraId="5E116616" w14:textId="496A43B3" w:rsidR="00EA0225" w:rsidRPr="00C33D30" w:rsidRDefault="00EA0225" w:rsidP="00F36268">
      <w:pPr>
        <w:ind w:firstLine="709"/>
        <w:rPr>
          <w:rFonts w:asciiTheme="minorHAnsi" w:hAnsiTheme="minorHAnsi"/>
          <w:i/>
        </w:rPr>
      </w:pPr>
      <w:r w:rsidRPr="00C33D30">
        <w:rPr>
          <w:rFonts w:asciiTheme="minorHAnsi" w:hAnsiTheme="minorHAnsi"/>
          <w:i/>
        </w:rPr>
        <w:t>For more detail on PBAC’s view, see section 7 PBAC outcome.</w:t>
      </w:r>
    </w:p>
    <w:p w14:paraId="3B6C95B4" w14:textId="12A70312" w:rsidR="001C3F45" w:rsidRDefault="001C3F45" w:rsidP="00F36268">
      <w:pPr>
        <w:pStyle w:val="2-SectionHeading"/>
      </w:pPr>
      <w:r>
        <w:t>Consideration of the evidence</w:t>
      </w:r>
    </w:p>
    <w:p w14:paraId="1C0E3844" w14:textId="77777777" w:rsidR="00906AF8" w:rsidRPr="006E1229" w:rsidRDefault="00906AF8" w:rsidP="00F36268">
      <w:pPr>
        <w:pStyle w:val="4-SubsectionHeading"/>
      </w:pPr>
      <w:bookmarkStart w:id="3" w:name="_Hlk76375935"/>
      <w:r w:rsidRPr="006E1229">
        <w:t>Sponsor hearing</w:t>
      </w:r>
    </w:p>
    <w:p w14:paraId="4AAA8C00" w14:textId="462EA321" w:rsidR="00E9016C" w:rsidRPr="00E51515" w:rsidRDefault="00906AF8" w:rsidP="00F36268">
      <w:pPr>
        <w:pStyle w:val="3-BodyText"/>
        <w:rPr>
          <w:rFonts w:cs="Arial"/>
          <w:bCs/>
          <w:snapToGrid w:val="0"/>
        </w:rPr>
      </w:pPr>
      <w:bookmarkStart w:id="4" w:name="_Hlk76382586"/>
      <w:r w:rsidRPr="00E51515">
        <w:rPr>
          <w:rFonts w:cs="Arial"/>
          <w:bCs/>
          <w:snapToGrid w:val="0"/>
        </w:rPr>
        <w:t>The sponsor requested a hearing for this item. The clinician</w:t>
      </w:r>
      <w:r w:rsidR="001E3A65" w:rsidRPr="00E51515">
        <w:rPr>
          <w:rFonts w:cs="Arial"/>
          <w:bCs/>
          <w:snapToGrid w:val="0"/>
        </w:rPr>
        <w:t xml:space="preserve"> noted </w:t>
      </w:r>
      <w:r w:rsidR="005671D2" w:rsidRPr="00E51515">
        <w:rPr>
          <w:rFonts w:cs="Arial"/>
          <w:bCs/>
          <w:snapToGrid w:val="0"/>
        </w:rPr>
        <w:t>current treatment options for this ra</w:t>
      </w:r>
      <w:r w:rsidR="00047930" w:rsidRPr="00E51515">
        <w:rPr>
          <w:rFonts w:cs="Arial"/>
          <w:bCs/>
          <w:snapToGrid w:val="0"/>
        </w:rPr>
        <w:t>r</w:t>
      </w:r>
      <w:r w:rsidR="005671D2" w:rsidRPr="00E51515">
        <w:rPr>
          <w:rFonts w:cs="Arial"/>
          <w:bCs/>
          <w:snapToGrid w:val="0"/>
        </w:rPr>
        <w:t>e condition are limited</w:t>
      </w:r>
      <w:r w:rsidR="008765A3" w:rsidRPr="00E51515">
        <w:rPr>
          <w:rFonts w:cs="Arial"/>
          <w:bCs/>
          <w:snapToGrid w:val="0"/>
        </w:rPr>
        <w:t>.</w:t>
      </w:r>
      <w:r w:rsidR="00C53AD3" w:rsidRPr="00E51515">
        <w:rPr>
          <w:rFonts w:cs="Arial"/>
          <w:bCs/>
          <w:snapToGrid w:val="0"/>
        </w:rPr>
        <w:t xml:space="preserve"> </w:t>
      </w:r>
      <w:r w:rsidR="00695342" w:rsidRPr="00E51515">
        <w:rPr>
          <w:rFonts w:cs="Arial"/>
          <w:bCs/>
          <w:snapToGrid w:val="0"/>
        </w:rPr>
        <w:t>The clinician noted the</w:t>
      </w:r>
      <w:r w:rsidR="005671D2" w:rsidRPr="00E51515">
        <w:rPr>
          <w:rFonts w:cs="Arial"/>
          <w:bCs/>
          <w:snapToGrid w:val="0"/>
        </w:rPr>
        <w:t xml:space="preserve"> </w:t>
      </w:r>
      <w:r w:rsidR="00695342" w:rsidRPr="00E51515">
        <w:rPr>
          <w:rFonts w:cs="Arial"/>
          <w:bCs/>
          <w:snapToGrid w:val="0"/>
          <w:lang w:val="en-US"/>
        </w:rPr>
        <w:t xml:space="preserve">INDIGO trial demonstrated vorasidenib extended </w:t>
      </w:r>
      <w:r w:rsidR="004448CA" w:rsidRPr="00E51515">
        <w:rPr>
          <w:rFonts w:cs="Arial"/>
          <w:bCs/>
          <w:snapToGrid w:val="0"/>
          <w:lang w:val="en-US"/>
        </w:rPr>
        <w:t>progression free survival</w:t>
      </w:r>
      <w:r w:rsidR="00695342" w:rsidRPr="00E51515">
        <w:rPr>
          <w:rFonts w:cs="Arial"/>
          <w:bCs/>
          <w:snapToGrid w:val="0"/>
          <w:lang w:val="en-US"/>
        </w:rPr>
        <w:t xml:space="preserve">, </w:t>
      </w:r>
      <w:r w:rsidR="000C5A55" w:rsidRPr="00E51515">
        <w:rPr>
          <w:rFonts w:cs="Arial"/>
          <w:bCs/>
          <w:snapToGrid w:val="0"/>
          <w:lang w:val="en-US"/>
        </w:rPr>
        <w:t xml:space="preserve">is </w:t>
      </w:r>
      <w:r w:rsidR="00695342" w:rsidRPr="00E51515">
        <w:rPr>
          <w:rFonts w:cs="Arial"/>
          <w:bCs/>
          <w:snapToGrid w:val="0"/>
          <w:lang w:val="en-US"/>
        </w:rPr>
        <w:t>well tolerated</w:t>
      </w:r>
      <w:r w:rsidR="000C5A55" w:rsidRPr="00E51515">
        <w:rPr>
          <w:rFonts w:cs="Arial"/>
          <w:bCs/>
          <w:snapToGrid w:val="0"/>
          <w:lang w:val="en-US"/>
        </w:rPr>
        <w:t xml:space="preserve">, </w:t>
      </w:r>
      <w:r w:rsidR="001C41FF" w:rsidRPr="00E51515">
        <w:rPr>
          <w:bCs/>
          <w:lang w:val="en-US"/>
        </w:rPr>
        <w:t xml:space="preserve">provides </w:t>
      </w:r>
      <w:r w:rsidR="00B8142B" w:rsidRPr="00E51515">
        <w:rPr>
          <w:bCs/>
          <w:lang w:val="en-US"/>
        </w:rPr>
        <w:t xml:space="preserve">patients and carers with </w:t>
      </w:r>
      <w:r w:rsidR="001C41FF" w:rsidRPr="00E51515">
        <w:rPr>
          <w:bCs/>
          <w:lang w:val="en-US"/>
        </w:rPr>
        <w:t xml:space="preserve">relief from anxiety and depressive symptoms associated with </w:t>
      </w:r>
      <w:r w:rsidR="00B8142B" w:rsidRPr="00E51515">
        <w:rPr>
          <w:bCs/>
          <w:lang w:val="en-US"/>
        </w:rPr>
        <w:t xml:space="preserve">treatment </w:t>
      </w:r>
      <w:r w:rsidR="001C41FF" w:rsidRPr="00E51515">
        <w:rPr>
          <w:bCs/>
          <w:lang w:val="en-US"/>
        </w:rPr>
        <w:t>uncertainty</w:t>
      </w:r>
      <w:r w:rsidR="00710230" w:rsidRPr="00E51515">
        <w:rPr>
          <w:rFonts w:cs="Arial"/>
          <w:bCs/>
          <w:snapToGrid w:val="0"/>
          <w:lang w:val="en-US"/>
        </w:rPr>
        <w:t xml:space="preserve"> </w:t>
      </w:r>
      <w:r w:rsidR="00695342" w:rsidRPr="00E51515">
        <w:rPr>
          <w:rFonts w:cs="Arial"/>
          <w:bCs/>
          <w:snapToGrid w:val="0"/>
          <w:lang w:val="en-US"/>
        </w:rPr>
        <w:t xml:space="preserve">and </w:t>
      </w:r>
      <w:r w:rsidR="000C5A55" w:rsidRPr="00E51515">
        <w:rPr>
          <w:rFonts w:cs="Arial"/>
          <w:bCs/>
          <w:snapToGrid w:val="0"/>
          <w:lang w:val="en-US"/>
        </w:rPr>
        <w:t xml:space="preserve">can </w:t>
      </w:r>
      <w:r w:rsidR="00B8142B" w:rsidRPr="00E51515">
        <w:rPr>
          <w:rFonts w:cs="Arial"/>
          <w:bCs/>
          <w:snapToGrid w:val="0"/>
          <w:lang w:val="en-US"/>
        </w:rPr>
        <w:t xml:space="preserve">help </w:t>
      </w:r>
      <w:r w:rsidR="000C5A55" w:rsidRPr="00E51515">
        <w:rPr>
          <w:rFonts w:cs="Arial"/>
          <w:bCs/>
          <w:snapToGrid w:val="0"/>
          <w:lang w:val="en-US"/>
        </w:rPr>
        <w:t xml:space="preserve">maintain </w:t>
      </w:r>
      <w:r w:rsidR="00695342" w:rsidRPr="00E51515">
        <w:rPr>
          <w:rFonts w:cs="Arial"/>
          <w:bCs/>
          <w:snapToGrid w:val="0"/>
          <w:lang w:val="en-US"/>
        </w:rPr>
        <w:t>good quality of life</w:t>
      </w:r>
      <w:r w:rsidR="00070A2E" w:rsidRPr="00E51515">
        <w:rPr>
          <w:rFonts w:cs="Arial"/>
          <w:bCs/>
          <w:snapToGrid w:val="0"/>
          <w:lang w:val="en-US"/>
        </w:rPr>
        <w:t xml:space="preserve">, </w:t>
      </w:r>
      <w:r w:rsidR="00695342" w:rsidRPr="00E51515">
        <w:rPr>
          <w:rFonts w:cs="Arial"/>
          <w:bCs/>
          <w:snapToGrid w:val="0"/>
          <w:lang w:val="en-US"/>
        </w:rPr>
        <w:t xml:space="preserve">enabling patients to maintain independence, fitness, employment, and caring/parenting </w:t>
      </w:r>
      <w:r w:rsidR="00CB09D3">
        <w:rPr>
          <w:rFonts w:cs="Arial"/>
          <w:bCs/>
          <w:snapToGrid w:val="0"/>
          <w:lang w:val="en-US"/>
        </w:rPr>
        <w:t>roles</w:t>
      </w:r>
      <w:r w:rsidR="00695342" w:rsidRPr="00E51515">
        <w:rPr>
          <w:rFonts w:cs="Arial"/>
          <w:bCs/>
          <w:snapToGrid w:val="0"/>
          <w:lang w:val="en-US"/>
        </w:rPr>
        <w:t>.</w:t>
      </w:r>
      <w:r w:rsidRPr="00E51515">
        <w:rPr>
          <w:rFonts w:cs="Arial"/>
          <w:bCs/>
          <w:snapToGrid w:val="0"/>
        </w:rPr>
        <w:t xml:space="preserve"> </w:t>
      </w:r>
      <w:r w:rsidR="004448CA" w:rsidRPr="00E51515">
        <w:rPr>
          <w:bCs/>
          <w:lang w:val="en-US"/>
        </w:rPr>
        <w:t xml:space="preserve">The clinician noted </w:t>
      </w:r>
      <w:r w:rsidR="00616FA9" w:rsidRPr="00E51515">
        <w:rPr>
          <w:bCs/>
          <w:lang w:val="en-US"/>
        </w:rPr>
        <w:t xml:space="preserve">that due to the </w:t>
      </w:r>
      <w:r w:rsidR="00D067B8">
        <w:rPr>
          <w:bCs/>
          <w:lang w:val="en-US"/>
        </w:rPr>
        <w:t>slow</w:t>
      </w:r>
      <w:r w:rsidR="00B571FA">
        <w:rPr>
          <w:bCs/>
          <w:lang w:val="en-US"/>
        </w:rPr>
        <w:noBreakHyphen/>
      </w:r>
      <w:r w:rsidR="00D067B8">
        <w:rPr>
          <w:bCs/>
          <w:lang w:val="en-US"/>
        </w:rPr>
        <w:t>progressing</w:t>
      </w:r>
      <w:r w:rsidR="00D067B8" w:rsidRPr="00E51515">
        <w:rPr>
          <w:bCs/>
        </w:rPr>
        <w:t xml:space="preserve"> </w:t>
      </w:r>
      <w:r w:rsidR="00616FA9" w:rsidRPr="00E51515">
        <w:rPr>
          <w:bCs/>
        </w:rPr>
        <w:t>nature of grade 2 glioma, it is not feasible to observe long</w:t>
      </w:r>
      <w:r w:rsidR="00B571FA">
        <w:rPr>
          <w:bCs/>
        </w:rPr>
        <w:noBreakHyphen/>
      </w:r>
      <w:r w:rsidR="00616FA9" w:rsidRPr="00E51515">
        <w:rPr>
          <w:bCs/>
        </w:rPr>
        <w:t xml:space="preserve">term survival outcomes, but </w:t>
      </w:r>
      <w:proofErr w:type="gramStart"/>
      <w:r w:rsidR="00616FA9" w:rsidRPr="00E51515">
        <w:rPr>
          <w:bCs/>
        </w:rPr>
        <w:t>overall</w:t>
      </w:r>
      <w:proofErr w:type="gramEnd"/>
      <w:r w:rsidR="00616FA9" w:rsidRPr="00E51515">
        <w:rPr>
          <w:bCs/>
        </w:rPr>
        <w:t xml:space="preserve"> the</w:t>
      </w:r>
      <w:r w:rsidR="003C4160" w:rsidRPr="00E51515">
        <w:rPr>
          <w:bCs/>
        </w:rPr>
        <w:t xml:space="preserve"> main treatment objective is to delay progression</w:t>
      </w:r>
      <w:r w:rsidR="00675830">
        <w:rPr>
          <w:bCs/>
        </w:rPr>
        <w:t>, decreasing the risk of transition</w:t>
      </w:r>
      <w:r w:rsidR="00E72BDF">
        <w:rPr>
          <w:bCs/>
        </w:rPr>
        <w:t xml:space="preserve"> to</w:t>
      </w:r>
      <w:r w:rsidR="009D467A">
        <w:rPr>
          <w:bCs/>
        </w:rPr>
        <w:t xml:space="preserve"> high grade disease</w:t>
      </w:r>
      <w:r w:rsidR="003C4160" w:rsidRPr="00E51515">
        <w:rPr>
          <w:bCs/>
        </w:rPr>
        <w:t>.</w:t>
      </w:r>
      <w:r w:rsidR="003E19E6" w:rsidRPr="00E51515">
        <w:rPr>
          <w:bCs/>
        </w:rPr>
        <w:t xml:space="preserve"> </w:t>
      </w:r>
      <w:r w:rsidR="009D467A">
        <w:rPr>
          <w:bCs/>
        </w:rPr>
        <w:t>This delays</w:t>
      </w:r>
      <w:r w:rsidR="001C41FF" w:rsidRPr="00E51515">
        <w:rPr>
          <w:bCs/>
          <w:lang w:val="en-US"/>
        </w:rPr>
        <w:t xml:space="preserve"> the need for more aggressive treatments such as </w:t>
      </w:r>
      <w:r w:rsidR="008765A3" w:rsidRPr="00E51515">
        <w:rPr>
          <w:rFonts w:cs="Arial"/>
          <w:bCs/>
          <w:snapToGrid w:val="0"/>
        </w:rPr>
        <w:t>radiation</w:t>
      </w:r>
      <w:r w:rsidR="00616FA9" w:rsidRPr="00E51515">
        <w:rPr>
          <w:rFonts w:cs="Arial"/>
          <w:bCs/>
          <w:snapToGrid w:val="0"/>
        </w:rPr>
        <w:t xml:space="preserve"> or </w:t>
      </w:r>
      <w:r w:rsidR="008765A3" w:rsidRPr="00E51515">
        <w:rPr>
          <w:rFonts w:cs="Arial"/>
          <w:bCs/>
          <w:snapToGrid w:val="0"/>
        </w:rPr>
        <w:t xml:space="preserve">chemotherapy, which are </w:t>
      </w:r>
      <w:r w:rsidR="00170402">
        <w:rPr>
          <w:rFonts w:cs="Arial"/>
          <w:bCs/>
          <w:snapToGrid w:val="0"/>
        </w:rPr>
        <w:t xml:space="preserve">associated with </w:t>
      </w:r>
      <w:r w:rsidR="008765A3" w:rsidRPr="00E51515">
        <w:rPr>
          <w:rFonts w:cs="Arial"/>
          <w:bCs/>
          <w:snapToGrid w:val="0"/>
        </w:rPr>
        <w:t>toxicity and long</w:t>
      </w:r>
      <w:r w:rsidR="00B571FA">
        <w:rPr>
          <w:rFonts w:cs="Arial"/>
          <w:bCs/>
          <w:snapToGrid w:val="0"/>
        </w:rPr>
        <w:noBreakHyphen/>
      </w:r>
      <w:r w:rsidR="008765A3" w:rsidRPr="00E51515">
        <w:rPr>
          <w:rFonts w:cs="Arial"/>
          <w:bCs/>
          <w:snapToGrid w:val="0"/>
        </w:rPr>
        <w:t>term sequelae</w:t>
      </w:r>
      <w:r w:rsidR="001C41FF" w:rsidRPr="00E51515">
        <w:rPr>
          <w:bCs/>
          <w:lang w:val="en-US"/>
        </w:rPr>
        <w:t xml:space="preserve">. Following vorasidenib, patients retain access to standard therapies, </w:t>
      </w:r>
      <w:r w:rsidR="0024687C">
        <w:rPr>
          <w:bCs/>
          <w:lang w:val="en-US"/>
        </w:rPr>
        <w:t>with</w:t>
      </w:r>
      <w:r w:rsidR="00476283">
        <w:rPr>
          <w:bCs/>
          <w:lang w:val="en-US"/>
        </w:rPr>
        <w:t xml:space="preserve"> pre</w:t>
      </w:r>
      <w:r w:rsidR="00B571FA">
        <w:rPr>
          <w:bCs/>
          <w:lang w:val="en-US"/>
        </w:rPr>
        <w:noBreakHyphen/>
      </w:r>
      <w:r w:rsidR="00476283">
        <w:rPr>
          <w:bCs/>
          <w:lang w:val="en-US"/>
        </w:rPr>
        <w:t>clinical</w:t>
      </w:r>
      <w:r w:rsidR="0024687C">
        <w:rPr>
          <w:bCs/>
          <w:lang w:val="en-US"/>
        </w:rPr>
        <w:t xml:space="preserve"> evidence suggesting that </w:t>
      </w:r>
      <w:r w:rsidR="0014235D">
        <w:rPr>
          <w:bCs/>
          <w:lang w:val="en-US"/>
        </w:rPr>
        <w:t xml:space="preserve">vorasidenib </w:t>
      </w:r>
      <w:r w:rsidR="00D97C28">
        <w:rPr>
          <w:bCs/>
          <w:lang w:val="en-US"/>
        </w:rPr>
        <w:t>may improve the efficacy of subsequent chemoradiation</w:t>
      </w:r>
      <w:r w:rsidR="00864C2E" w:rsidRPr="00E51515">
        <w:rPr>
          <w:bCs/>
        </w:rPr>
        <w:t xml:space="preserve">. </w:t>
      </w:r>
      <w:r w:rsidR="003E19E6" w:rsidRPr="00E51515">
        <w:rPr>
          <w:bCs/>
        </w:rPr>
        <w:t xml:space="preserve">The clinician noted </w:t>
      </w:r>
      <w:r w:rsidR="00C04FD7">
        <w:rPr>
          <w:bCs/>
        </w:rPr>
        <w:t xml:space="preserve">vorasidenib </w:t>
      </w:r>
      <w:r w:rsidR="00987E28">
        <w:rPr>
          <w:bCs/>
        </w:rPr>
        <w:t xml:space="preserve">treatment </w:t>
      </w:r>
      <w:r w:rsidR="00476283">
        <w:rPr>
          <w:bCs/>
        </w:rPr>
        <w:t xml:space="preserve">has been </w:t>
      </w:r>
      <w:r w:rsidR="003E19E6" w:rsidRPr="00E51515">
        <w:rPr>
          <w:bCs/>
        </w:rPr>
        <w:t>observed</w:t>
      </w:r>
      <w:r w:rsidR="00476283">
        <w:rPr>
          <w:bCs/>
        </w:rPr>
        <w:t xml:space="preserve"> to result in a</w:t>
      </w:r>
      <w:r w:rsidR="003E19E6" w:rsidRPr="00E51515">
        <w:rPr>
          <w:bCs/>
        </w:rPr>
        <w:t xml:space="preserve"> </w:t>
      </w:r>
      <w:r w:rsidR="00864C2E" w:rsidRPr="00E51515">
        <w:rPr>
          <w:bCs/>
        </w:rPr>
        <w:t>reduction in seizure frequency</w:t>
      </w:r>
      <w:r w:rsidR="00F15F0E" w:rsidRPr="00E51515">
        <w:rPr>
          <w:bCs/>
        </w:rPr>
        <w:t xml:space="preserve"> which </w:t>
      </w:r>
      <w:r w:rsidR="00864C2E" w:rsidRPr="00E51515">
        <w:rPr>
          <w:bCs/>
        </w:rPr>
        <w:t>addresses a key driver of morbidity, functional impairment and loss of independence</w:t>
      </w:r>
      <w:r w:rsidR="00426FEB" w:rsidRPr="00E51515">
        <w:rPr>
          <w:bCs/>
        </w:rPr>
        <w:t xml:space="preserve">. </w:t>
      </w:r>
      <w:r w:rsidR="00E51515">
        <w:rPr>
          <w:bCs/>
        </w:rPr>
        <w:t xml:space="preserve">The clinician </w:t>
      </w:r>
      <w:r w:rsidR="0005368B">
        <w:rPr>
          <w:bCs/>
        </w:rPr>
        <w:t>also commented on the approach to utility values in the resubmission model</w:t>
      </w:r>
      <w:r w:rsidR="00FE3B31">
        <w:rPr>
          <w:bCs/>
        </w:rPr>
        <w:t xml:space="preserve">, supporting the sponsor’s approach as being </w:t>
      </w:r>
      <w:r w:rsidR="00B12C83">
        <w:rPr>
          <w:bCs/>
        </w:rPr>
        <w:t xml:space="preserve">a reasonable approximation of QoL decline for patients with </w:t>
      </w:r>
      <w:r w:rsidR="004561E5" w:rsidRPr="00F57392">
        <w:t>(IDH)</w:t>
      </w:r>
      <w:r w:rsidR="00B571FA">
        <w:noBreakHyphen/>
      </w:r>
      <w:r w:rsidR="004561E5" w:rsidRPr="00F57392">
        <w:t>mutant astrocytoma or oligodendroglioma</w:t>
      </w:r>
      <w:r w:rsidR="004D53A1">
        <w:t>.</w:t>
      </w:r>
    </w:p>
    <w:p w14:paraId="58F106AB" w14:textId="09BAD05F" w:rsidR="00AB596C" w:rsidRPr="00AB596C" w:rsidRDefault="002D6CE8" w:rsidP="00F36268">
      <w:pPr>
        <w:pStyle w:val="3-BodyText"/>
        <w:rPr>
          <w:rFonts w:cs="Arial"/>
          <w:bCs/>
          <w:snapToGrid w:val="0"/>
        </w:rPr>
      </w:pPr>
      <w:r>
        <w:rPr>
          <w:rFonts w:cs="Arial"/>
          <w:bCs/>
          <w:snapToGrid w:val="0"/>
        </w:rPr>
        <w:t>The clinician noted that</w:t>
      </w:r>
      <w:r w:rsidR="00721D57">
        <w:rPr>
          <w:rFonts w:cs="Arial"/>
          <w:bCs/>
          <w:snapToGrid w:val="0"/>
        </w:rPr>
        <w:t>,</w:t>
      </w:r>
      <w:r>
        <w:rPr>
          <w:rFonts w:cs="Arial"/>
          <w:bCs/>
          <w:snapToGrid w:val="0"/>
        </w:rPr>
        <w:t xml:space="preserve"> </w:t>
      </w:r>
      <w:r w:rsidR="005940E9">
        <w:rPr>
          <w:rFonts w:cs="Arial"/>
          <w:bCs/>
          <w:snapToGrid w:val="0"/>
          <w:szCs w:val="24"/>
        </w:rPr>
        <w:t>with more experience using vorasidenib, clinicians may consider a treatment break or to stop treatment after approximately 5 years</w:t>
      </w:r>
      <w:r>
        <w:rPr>
          <w:rFonts w:cs="Arial"/>
          <w:bCs/>
          <w:snapToGrid w:val="0"/>
        </w:rPr>
        <w:t xml:space="preserve">. </w:t>
      </w:r>
      <w:r w:rsidR="00B5225F">
        <w:rPr>
          <w:rFonts w:cs="Arial"/>
          <w:bCs/>
          <w:snapToGrid w:val="0"/>
        </w:rPr>
        <w:t>M</w:t>
      </w:r>
      <w:r w:rsidR="00C92938">
        <w:rPr>
          <w:rFonts w:cs="Arial"/>
          <w:bCs/>
          <w:snapToGrid w:val="0"/>
        </w:rPr>
        <w:t xml:space="preserve">ore evidence </w:t>
      </w:r>
      <w:r w:rsidR="003B2670">
        <w:rPr>
          <w:rFonts w:cs="Arial"/>
          <w:bCs/>
          <w:snapToGrid w:val="0"/>
        </w:rPr>
        <w:t xml:space="preserve">is required </w:t>
      </w:r>
      <w:r w:rsidR="00C92938">
        <w:rPr>
          <w:rFonts w:cs="Arial"/>
          <w:bCs/>
          <w:snapToGrid w:val="0"/>
        </w:rPr>
        <w:t xml:space="preserve">to confirm </w:t>
      </w:r>
      <w:r w:rsidR="008F758A">
        <w:rPr>
          <w:rFonts w:cs="Arial"/>
          <w:bCs/>
          <w:snapToGrid w:val="0"/>
        </w:rPr>
        <w:t>ideal treatment duration and the effectiveness of treatment after a break</w:t>
      </w:r>
      <w:r w:rsidR="00212ED6">
        <w:rPr>
          <w:rFonts w:cs="Arial"/>
          <w:bCs/>
          <w:snapToGrid w:val="0"/>
        </w:rPr>
        <w:t>,</w:t>
      </w:r>
      <w:r w:rsidR="007B7EF2">
        <w:rPr>
          <w:rFonts w:cs="Arial"/>
          <w:bCs/>
          <w:snapToGrid w:val="0"/>
        </w:rPr>
        <w:t xml:space="preserve"> but</w:t>
      </w:r>
      <w:r w:rsidR="00212ED6">
        <w:rPr>
          <w:rFonts w:cs="Arial"/>
          <w:bCs/>
          <w:snapToGrid w:val="0"/>
        </w:rPr>
        <w:t xml:space="preserve"> t</w:t>
      </w:r>
      <w:r w:rsidR="003B2670">
        <w:rPr>
          <w:rFonts w:cs="Arial"/>
          <w:bCs/>
          <w:snapToGrid w:val="0"/>
        </w:rPr>
        <w:t xml:space="preserve">he clinician noted </w:t>
      </w:r>
      <w:r w:rsidR="00827830">
        <w:rPr>
          <w:rFonts w:cs="Arial"/>
          <w:bCs/>
          <w:snapToGrid w:val="0"/>
        </w:rPr>
        <w:t>th</w:t>
      </w:r>
      <w:r w:rsidR="000D7D5B">
        <w:rPr>
          <w:rFonts w:cs="Arial"/>
          <w:bCs/>
          <w:snapToGrid w:val="0"/>
        </w:rPr>
        <w:t xml:space="preserve">is is a topic of interest and that </w:t>
      </w:r>
      <w:r w:rsidR="00827830">
        <w:rPr>
          <w:rFonts w:cs="Arial"/>
          <w:bCs/>
          <w:snapToGrid w:val="0"/>
        </w:rPr>
        <w:t xml:space="preserve">clinicians in this field are likely to </w:t>
      </w:r>
      <w:r w:rsidR="00975412">
        <w:rPr>
          <w:rFonts w:cs="Arial"/>
          <w:bCs/>
          <w:snapToGrid w:val="0"/>
        </w:rPr>
        <w:t>carry out open surveillance</w:t>
      </w:r>
      <w:r w:rsidR="00B768C3">
        <w:rPr>
          <w:rFonts w:cs="Arial"/>
          <w:bCs/>
          <w:snapToGrid w:val="0"/>
        </w:rPr>
        <w:t>. F</w:t>
      </w:r>
      <w:r w:rsidR="003B2670">
        <w:rPr>
          <w:rFonts w:cs="Arial"/>
          <w:bCs/>
          <w:snapToGrid w:val="0"/>
        </w:rPr>
        <w:t xml:space="preserve">rom a patient perspective, </w:t>
      </w:r>
      <w:r w:rsidR="00975412">
        <w:rPr>
          <w:rFonts w:cs="Arial"/>
          <w:bCs/>
          <w:snapToGrid w:val="0"/>
        </w:rPr>
        <w:t xml:space="preserve">it appears </w:t>
      </w:r>
      <w:r w:rsidR="003B2670">
        <w:rPr>
          <w:rFonts w:cs="Arial"/>
          <w:bCs/>
          <w:snapToGrid w:val="0"/>
        </w:rPr>
        <w:t xml:space="preserve">the toxicity of vorasidenib is tolerable and patients </w:t>
      </w:r>
      <w:proofErr w:type="gramStart"/>
      <w:r w:rsidR="003B2670">
        <w:rPr>
          <w:rFonts w:cs="Arial"/>
          <w:bCs/>
          <w:snapToGrid w:val="0"/>
        </w:rPr>
        <w:t>are able to</w:t>
      </w:r>
      <w:proofErr w:type="gramEnd"/>
      <w:r w:rsidR="003B2670">
        <w:rPr>
          <w:rFonts w:cs="Arial"/>
          <w:bCs/>
          <w:snapToGrid w:val="0"/>
        </w:rPr>
        <w:t xml:space="preserve"> maintain good QoL</w:t>
      </w:r>
      <w:r w:rsidR="008F7BCA">
        <w:rPr>
          <w:rFonts w:cs="Arial"/>
          <w:bCs/>
          <w:snapToGrid w:val="0"/>
        </w:rPr>
        <w:t xml:space="preserve"> while on treatment</w:t>
      </w:r>
      <w:r w:rsidR="008958ED">
        <w:rPr>
          <w:rFonts w:cs="Arial"/>
          <w:bCs/>
          <w:snapToGrid w:val="0"/>
        </w:rPr>
        <w:t>. Additionally, the clinician noted that it is unlikely that</w:t>
      </w:r>
      <w:r w:rsidR="00CC0738">
        <w:rPr>
          <w:rFonts w:cs="Arial"/>
          <w:bCs/>
          <w:snapToGrid w:val="0"/>
        </w:rPr>
        <w:t xml:space="preserve"> clinicians would</w:t>
      </w:r>
      <w:r w:rsidR="00CC0738" w:rsidRPr="00CC0738">
        <w:rPr>
          <w:rFonts w:cs="Arial"/>
          <w:bCs/>
          <w:snapToGrid w:val="0"/>
        </w:rPr>
        <w:t xml:space="preserve"> treat beyond radiological progression given </w:t>
      </w:r>
      <w:r w:rsidR="00892B3B">
        <w:rPr>
          <w:rFonts w:cs="Arial"/>
          <w:bCs/>
          <w:snapToGrid w:val="0"/>
        </w:rPr>
        <w:t xml:space="preserve">it </w:t>
      </w:r>
      <w:r w:rsidR="00892B3B">
        <w:t>may compromise outcomes for radiotherapy and surgery.</w:t>
      </w:r>
    </w:p>
    <w:p w14:paraId="25FDEB0D" w14:textId="2CACB91C" w:rsidR="00906AF8" w:rsidRPr="00E9016C" w:rsidRDefault="00906AF8" w:rsidP="00F36268">
      <w:pPr>
        <w:pStyle w:val="3-BodyText"/>
        <w:rPr>
          <w:rFonts w:cs="Arial"/>
          <w:bCs/>
          <w:snapToGrid w:val="0"/>
        </w:rPr>
      </w:pPr>
      <w:r w:rsidRPr="00836F75">
        <w:rPr>
          <w:rFonts w:cs="Arial"/>
          <w:bCs/>
          <w:snapToGrid w:val="0"/>
        </w:rPr>
        <w:lastRenderedPageBreak/>
        <w:t>The PBAC considered that the hearing was informative as it provided</w:t>
      </w:r>
      <w:r w:rsidR="00333461">
        <w:rPr>
          <w:rFonts w:cs="Arial"/>
          <w:bCs/>
          <w:snapToGrid w:val="0"/>
        </w:rPr>
        <w:t xml:space="preserve"> insight into potential treatment duration with vorasidenib</w:t>
      </w:r>
      <w:r w:rsidR="0087754A">
        <w:rPr>
          <w:rFonts w:cs="Arial"/>
          <w:bCs/>
          <w:snapToGrid w:val="0"/>
        </w:rPr>
        <w:t xml:space="preserve"> as well as </w:t>
      </w:r>
      <w:r w:rsidR="00F6504D">
        <w:rPr>
          <w:rFonts w:cs="Arial"/>
          <w:bCs/>
          <w:snapToGrid w:val="0"/>
        </w:rPr>
        <w:t xml:space="preserve">a clinical perspective on the </w:t>
      </w:r>
      <w:r w:rsidR="00233539">
        <w:rPr>
          <w:rFonts w:cs="Arial"/>
          <w:bCs/>
          <w:snapToGrid w:val="0"/>
        </w:rPr>
        <w:t>QoL</w:t>
      </w:r>
      <w:r w:rsidR="0087754A">
        <w:rPr>
          <w:rFonts w:cs="Arial"/>
          <w:bCs/>
          <w:snapToGrid w:val="0"/>
        </w:rPr>
        <w:t xml:space="preserve"> impacts</w:t>
      </w:r>
      <w:r w:rsidR="00F6504D">
        <w:rPr>
          <w:rFonts w:cs="Arial"/>
          <w:bCs/>
          <w:snapToGrid w:val="0"/>
        </w:rPr>
        <w:t xml:space="preserve"> of </w:t>
      </w:r>
      <w:r w:rsidRPr="00836F75">
        <w:rPr>
          <w:rFonts w:cs="Arial"/>
          <w:bCs/>
          <w:snapToGrid w:val="0"/>
        </w:rPr>
        <w:t>this uncommon disease.</w:t>
      </w:r>
      <w:bookmarkEnd w:id="4"/>
    </w:p>
    <w:p w14:paraId="3CF85AEA" w14:textId="77777777" w:rsidR="00906AF8" w:rsidRPr="006E1229" w:rsidRDefault="00906AF8" w:rsidP="00F36268">
      <w:pPr>
        <w:pStyle w:val="4-SubsectionHeading"/>
      </w:pPr>
      <w:r w:rsidRPr="006E1229">
        <w:t xml:space="preserve">Consumer </w:t>
      </w:r>
      <w:r>
        <w:t>input</w:t>
      </w:r>
      <w:r w:rsidRPr="006E1229">
        <w:t>s</w:t>
      </w:r>
    </w:p>
    <w:p w14:paraId="7783DB98" w14:textId="5161908A" w:rsidR="00E7082A" w:rsidRDefault="00906AF8" w:rsidP="00F36268">
      <w:pPr>
        <w:pStyle w:val="3-BodyText"/>
        <w:rPr>
          <w:snapToGrid w:val="0"/>
        </w:rPr>
      </w:pPr>
      <w:bookmarkStart w:id="5" w:name="_Hlk76382618"/>
      <w:r w:rsidRPr="00847053">
        <w:rPr>
          <w:snapToGrid w:val="0"/>
        </w:rPr>
        <w:t>The PBAC noted and welcomed the input from individuals (</w:t>
      </w:r>
      <w:r w:rsidR="00E10841" w:rsidRPr="00847053">
        <w:rPr>
          <w:snapToGrid w:val="0"/>
        </w:rPr>
        <w:t>77</w:t>
      </w:r>
      <w:r w:rsidRPr="00847053">
        <w:rPr>
          <w:snapToGrid w:val="0"/>
        </w:rPr>
        <w:t>4), health care professionals (</w:t>
      </w:r>
      <w:r w:rsidR="001462F6" w:rsidRPr="00847053">
        <w:rPr>
          <w:snapToGrid w:val="0"/>
        </w:rPr>
        <w:t>31</w:t>
      </w:r>
      <w:r w:rsidRPr="00847053">
        <w:rPr>
          <w:snapToGrid w:val="0"/>
        </w:rPr>
        <w:t>) and organisations (1</w:t>
      </w:r>
      <w:r w:rsidR="001462F6" w:rsidRPr="00847053">
        <w:rPr>
          <w:snapToGrid w:val="0"/>
        </w:rPr>
        <w:t>2</w:t>
      </w:r>
      <w:r w:rsidRPr="00847053">
        <w:rPr>
          <w:snapToGrid w:val="0"/>
        </w:rPr>
        <w:t xml:space="preserve">) via the Office of Health Technology Assessment Consultation Hub. </w:t>
      </w:r>
    </w:p>
    <w:p w14:paraId="6A4F638A" w14:textId="70CE8EF9" w:rsidR="00BE431D" w:rsidRPr="00BE431D" w:rsidRDefault="00F32149" w:rsidP="00F36268">
      <w:pPr>
        <w:pStyle w:val="3-BodyText"/>
        <w:rPr>
          <w:snapToGrid w:val="0"/>
        </w:rPr>
      </w:pPr>
      <w:r>
        <w:rPr>
          <w:snapToGrid w:val="0"/>
        </w:rPr>
        <w:t xml:space="preserve">The PBAC noted the </w:t>
      </w:r>
      <w:r w:rsidR="00EB7BAC">
        <w:rPr>
          <w:snapToGrid w:val="0"/>
        </w:rPr>
        <w:t xml:space="preserve">inputs from health care professionals reiterated the </w:t>
      </w:r>
      <w:r w:rsidR="00555E1A">
        <w:rPr>
          <w:snapToGrid w:val="0"/>
        </w:rPr>
        <w:t xml:space="preserve">same views </w:t>
      </w:r>
      <w:r w:rsidR="006665B6">
        <w:rPr>
          <w:snapToGrid w:val="0"/>
        </w:rPr>
        <w:t xml:space="preserve">for </w:t>
      </w:r>
      <w:r w:rsidR="00555E1A">
        <w:rPr>
          <w:snapToGrid w:val="0"/>
        </w:rPr>
        <w:t xml:space="preserve">the July 2025 consideration </w:t>
      </w:r>
      <w:r w:rsidR="00C3599F">
        <w:rPr>
          <w:snapToGrid w:val="0"/>
        </w:rPr>
        <w:t xml:space="preserve">including </w:t>
      </w:r>
      <w:r w:rsidR="00555E1A">
        <w:rPr>
          <w:snapToGrid w:val="0"/>
        </w:rPr>
        <w:t xml:space="preserve">that there were </w:t>
      </w:r>
      <w:r w:rsidR="001A623C">
        <w:rPr>
          <w:snapToGrid w:val="0"/>
        </w:rPr>
        <w:t>limited current treatment options for IDH m</w:t>
      </w:r>
      <w:r w:rsidR="005F0178">
        <w:rPr>
          <w:snapToGrid w:val="0"/>
        </w:rPr>
        <w:t>u</w:t>
      </w:r>
      <w:r w:rsidR="001A623C">
        <w:rPr>
          <w:snapToGrid w:val="0"/>
        </w:rPr>
        <w:t xml:space="preserve">tant </w:t>
      </w:r>
      <w:r w:rsidR="005F0178">
        <w:rPr>
          <w:snapToGrid w:val="0"/>
        </w:rPr>
        <w:t>g</w:t>
      </w:r>
      <w:r w:rsidR="001A623C">
        <w:rPr>
          <w:snapToGrid w:val="0"/>
        </w:rPr>
        <w:t>liomas</w:t>
      </w:r>
      <w:r w:rsidR="00C3599F">
        <w:rPr>
          <w:snapToGrid w:val="0"/>
        </w:rPr>
        <w:t xml:space="preserve">, that </w:t>
      </w:r>
      <w:r w:rsidR="00997309" w:rsidRPr="00847053">
        <w:rPr>
          <w:snapToGrid w:val="0"/>
        </w:rPr>
        <w:t xml:space="preserve">vorasidenib </w:t>
      </w:r>
      <w:r w:rsidR="00EF0452">
        <w:rPr>
          <w:snapToGrid w:val="0"/>
        </w:rPr>
        <w:t xml:space="preserve">is </w:t>
      </w:r>
      <w:r w:rsidR="00997309" w:rsidRPr="00847053">
        <w:rPr>
          <w:snapToGrid w:val="0"/>
        </w:rPr>
        <w:t>a novel and clinically meaningful treatment for patients with IDH</w:t>
      </w:r>
      <w:r w:rsidR="00B571FA">
        <w:rPr>
          <w:snapToGrid w:val="0"/>
        </w:rPr>
        <w:noBreakHyphen/>
      </w:r>
      <w:r w:rsidR="00997309" w:rsidRPr="00847053">
        <w:rPr>
          <w:snapToGrid w:val="0"/>
        </w:rPr>
        <w:t>mutant glioma</w:t>
      </w:r>
      <w:r w:rsidR="00EF0452">
        <w:rPr>
          <w:snapToGrid w:val="0"/>
        </w:rPr>
        <w:t xml:space="preserve">, stating </w:t>
      </w:r>
      <w:r w:rsidR="00997309" w:rsidRPr="00847053">
        <w:rPr>
          <w:snapToGrid w:val="0"/>
        </w:rPr>
        <w:t xml:space="preserve">it delays tumour progression, reduces tumour size, and directly targets the underlying IDH mutation that drives disease biology. </w:t>
      </w:r>
      <w:r w:rsidR="00916681">
        <w:rPr>
          <w:snapToGrid w:val="0"/>
        </w:rPr>
        <w:t>The comments noted that b</w:t>
      </w:r>
      <w:r w:rsidR="00472CFF" w:rsidRPr="00847053">
        <w:rPr>
          <w:snapToGrid w:val="0"/>
        </w:rPr>
        <w:t>ased on clinical trial data and early real</w:t>
      </w:r>
      <w:r w:rsidR="00B571FA">
        <w:rPr>
          <w:snapToGrid w:val="0"/>
        </w:rPr>
        <w:noBreakHyphen/>
      </w:r>
      <w:r w:rsidR="00472CFF" w:rsidRPr="00847053">
        <w:rPr>
          <w:snapToGrid w:val="0"/>
        </w:rPr>
        <w:t xml:space="preserve">world experience, there </w:t>
      </w:r>
      <w:r w:rsidR="00916681">
        <w:rPr>
          <w:snapToGrid w:val="0"/>
        </w:rPr>
        <w:t xml:space="preserve">is </w:t>
      </w:r>
      <w:r w:rsidR="00472CFF" w:rsidRPr="00847053">
        <w:rPr>
          <w:snapToGrid w:val="0"/>
        </w:rPr>
        <w:t>persuasive evidence that earlier use of vorasidenib may improve disease stability and potentially survival outcomes</w:t>
      </w:r>
      <w:r w:rsidR="00921BB2">
        <w:rPr>
          <w:snapToGrid w:val="0"/>
        </w:rPr>
        <w:t>, which</w:t>
      </w:r>
      <w:r w:rsidR="00472CFF" w:rsidRPr="00847053">
        <w:rPr>
          <w:snapToGrid w:val="0"/>
        </w:rPr>
        <w:t xml:space="preserve"> is valuable given the long disease trajectory in this patient group. </w:t>
      </w:r>
      <w:r w:rsidR="00EF0452">
        <w:rPr>
          <w:snapToGrid w:val="0"/>
        </w:rPr>
        <w:t xml:space="preserve">Of note, the inputs stated </w:t>
      </w:r>
      <w:r w:rsidR="00997309" w:rsidRPr="00847053">
        <w:rPr>
          <w:snapToGrid w:val="0"/>
        </w:rPr>
        <w:t xml:space="preserve">vorasidenib reduces seizure frequency, which is a significant cause of morbidity in this population. </w:t>
      </w:r>
      <w:r w:rsidR="00B34970" w:rsidRPr="00EE1848">
        <w:rPr>
          <w:rFonts w:cs="Arial"/>
          <w:bCs/>
          <w:snapToGrid w:val="0"/>
        </w:rPr>
        <w:t>Clinicians highlight</w:t>
      </w:r>
      <w:r w:rsidR="00B34970">
        <w:rPr>
          <w:rFonts w:cs="Arial"/>
          <w:bCs/>
          <w:snapToGrid w:val="0"/>
        </w:rPr>
        <w:t>ed that</w:t>
      </w:r>
      <w:r w:rsidR="00B34970" w:rsidRPr="00EE1848">
        <w:rPr>
          <w:rFonts w:cs="Arial"/>
          <w:bCs/>
          <w:snapToGrid w:val="0"/>
        </w:rPr>
        <w:t xml:space="preserve"> stable disease on imaging is a clinically meaningful outcome that supports both physical and emotional wellbeing. Preserving quality of life is described as particularly important for younger patients, who are often diagnosed during key life stages.</w:t>
      </w:r>
      <w:r w:rsidR="00B34970">
        <w:rPr>
          <w:rFonts w:cs="Arial"/>
          <w:bCs/>
          <w:snapToGrid w:val="0"/>
        </w:rPr>
        <w:t xml:space="preserve"> </w:t>
      </w:r>
    </w:p>
    <w:p w14:paraId="660FB8B7" w14:textId="505A14FD" w:rsidR="009D3681" w:rsidRPr="00AD488E" w:rsidRDefault="00FB0676" w:rsidP="00F36268">
      <w:pPr>
        <w:pStyle w:val="3-BodyText"/>
        <w:rPr>
          <w:snapToGrid w:val="0"/>
        </w:rPr>
      </w:pPr>
      <w:r>
        <w:rPr>
          <w:snapToGrid w:val="0"/>
        </w:rPr>
        <w:t>V</w:t>
      </w:r>
      <w:r w:rsidRPr="00847053">
        <w:rPr>
          <w:snapToGrid w:val="0"/>
        </w:rPr>
        <w:t xml:space="preserve">orasidenib </w:t>
      </w:r>
      <w:r>
        <w:rPr>
          <w:snapToGrid w:val="0"/>
        </w:rPr>
        <w:t>wa</w:t>
      </w:r>
      <w:r w:rsidRPr="00847053">
        <w:rPr>
          <w:snapToGrid w:val="0"/>
        </w:rPr>
        <w:t>s described as providing an intermediate treatment option that allows patients to delay radiotherapy and chemotherapy</w:t>
      </w:r>
      <w:r>
        <w:rPr>
          <w:snapToGrid w:val="0"/>
        </w:rPr>
        <w:t xml:space="preserve">. </w:t>
      </w:r>
      <w:r w:rsidR="003512D5">
        <w:rPr>
          <w:rFonts w:cs="Arial"/>
          <w:bCs/>
          <w:snapToGrid w:val="0"/>
        </w:rPr>
        <w:t xml:space="preserve">Many inputs </w:t>
      </w:r>
      <w:r w:rsidR="00EE72A1">
        <w:rPr>
          <w:rFonts w:cs="Arial"/>
          <w:bCs/>
          <w:snapToGrid w:val="0"/>
        </w:rPr>
        <w:t>focused on</w:t>
      </w:r>
      <w:r w:rsidR="0024373D" w:rsidRPr="00AB2844">
        <w:rPr>
          <w:rFonts w:cs="Arial"/>
          <w:bCs/>
          <w:snapToGrid w:val="0"/>
        </w:rPr>
        <w:t xml:space="preserve"> d</w:t>
      </w:r>
      <w:r w:rsidR="00B34970" w:rsidRPr="00AB2844">
        <w:rPr>
          <w:rFonts w:cs="Arial"/>
          <w:bCs/>
          <w:snapToGrid w:val="0"/>
        </w:rPr>
        <w:t xml:space="preserve">elaying time to </w:t>
      </w:r>
      <w:r w:rsidR="00EE72A1">
        <w:rPr>
          <w:rFonts w:cs="Arial"/>
          <w:bCs/>
          <w:snapToGrid w:val="0"/>
        </w:rPr>
        <w:t>chemo</w:t>
      </w:r>
      <w:r w:rsidR="00B34970" w:rsidRPr="00AB2844">
        <w:rPr>
          <w:rFonts w:cs="Arial"/>
          <w:bCs/>
          <w:snapToGrid w:val="0"/>
        </w:rPr>
        <w:t>radiation</w:t>
      </w:r>
      <w:r w:rsidR="00EE72A1">
        <w:rPr>
          <w:rFonts w:cs="Arial"/>
          <w:bCs/>
          <w:snapToGrid w:val="0"/>
        </w:rPr>
        <w:t xml:space="preserve"> as being</w:t>
      </w:r>
      <w:r w:rsidR="00B34970" w:rsidRPr="00AB2844">
        <w:rPr>
          <w:rFonts w:cs="Arial"/>
          <w:bCs/>
          <w:snapToGrid w:val="0"/>
        </w:rPr>
        <w:t xml:space="preserve"> of paramount importance as these treatments severely impact </w:t>
      </w:r>
      <w:r w:rsidR="002602DF">
        <w:rPr>
          <w:rFonts w:cs="Arial"/>
          <w:bCs/>
          <w:snapToGrid w:val="0"/>
        </w:rPr>
        <w:t>QoL</w:t>
      </w:r>
      <w:r w:rsidR="00B34970" w:rsidRPr="00AB2844">
        <w:rPr>
          <w:rFonts w:cs="Arial"/>
          <w:bCs/>
          <w:snapToGrid w:val="0"/>
        </w:rPr>
        <w:t xml:space="preserve"> long</w:t>
      </w:r>
      <w:r w:rsidR="00B571FA">
        <w:rPr>
          <w:rFonts w:cs="Arial"/>
          <w:bCs/>
          <w:snapToGrid w:val="0"/>
        </w:rPr>
        <w:noBreakHyphen/>
      </w:r>
      <w:r w:rsidR="00B34970" w:rsidRPr="00AB2844">
        <w:rPr>
          <w:rFonts w:cs="Arial"/>
          <w:bCs/>
          <w:snapToGrid w:val="0"/>
        </w:rPr>
        <w:t>term</w:t>
      </w:r>
      <w:r w:rsidR="0093403B">
        <w:rPr>
          <w:rFonts w:cs="Arial"/>
          <w:bCs/>
          <w:snapToGrid w:val="0"/>
        </w:rPr>
        <w:t>,</w:t>
      </w:r>
      <w:r w:rsidR="00B34970" w:rsidRPr="00AB2844">
        <w:rPr>
          <w:rFonts w:cs="Arial"/>
          <w:bCs/>
          <w:snapToGrid w:val="0"/>
        </w:rPr>
        <w:t xml:space="preserve"> not only for the patient but also for families and </w:t>
      </w:r>
      <w:r w:rsidR="0075345E">
        <w:rPr>
          <w:rFonts w:cs="Arial"/>
          <w:bCs/>
          <w:snapToGrid w:val="0"/>
        </w:rPr>
        <w:t>carers</w:t>
      </w:r>
      <w:r w:rsidR="00B34970" w:rsidRPr="00AB2844">
        <w:rPr>
          <w:rFonts w:cs="Arial"/>
          <w:bCs/>
          <w:snapToGrid w:val="0"/>
        </w:rPr>
        <w:t>.</w:t>
      </w:r>
      <w:r w:rsidR="00916681" w:rsidRPr="00AB2844" w:rsidDel="00FB0676">
        <w:rPr>
          <w:rFonts w:cs="Arial"/>
          <w:bCs/>
          <w:snapToGrid w:val="0"/>
        </w:rPr>
        <w:t xml:space="preserve"> </w:t>
      </w:r>
      <w:r w:rsidR="00916681" w:rsidRPr="00AB2844">
        <w:rPr>
          <w:rFonts w:cs="Arial"/>
          <w:bCs/>
          <w:snapToGrid w:val="0"/>
        </w:rPr>
        <w:t>By delaying or avoiding radiotherapy and chemotherapy, input state</w:t>
      </w:r>
      <w:r w:rsidR="00D27AF6">
        <w:rPr>
          <w:rFonts w:cs="Arial"/>
          <w:bCs/>
          <w:snapToGrid w:val="0"/>
        </w:rPr>
        <w:t>d</w:t>
      </w:r>
      <w:r w:rsidR="00916681" w:rsidRPr="00AB2844">
        <w:rPr>
          <w:rFonts w:cs="Arial"/>
          <w:bCs/>
          <w:snapToGrid w:val="0"/>
        </w:rPr>
        <w:t xml:space="preserve"> patients</w:t>
      </w:r>
      <w:r w:rsidR="00916681" w:rsidRPr="00EE1848">
        <w:rPr>
          <w:rFonts w:cs="Arial"/>
          <w:bCs/>
          <w:snapToGrid w:val="0"/>
        </w:rPr>
        <w:t xml:space="preserve"> can preserve cognitive function, independence, and ability to work or engage in daily activities for longer. </w:t>
      </w:r>
      <w:r w:rsidR="00436E98">
        <w:rPr>
          <w:snapToGrid w:val="0"/>
        </w:rPr>
        <w:t>These treatments i</w:t>
      </w:r>
      <w:r w:rsidR="00847053" w:rsidRPr="00847053">
        <w:rPr>
          <w:rFonts w:cs="Arial"/>
          <w:bCs/>
          <w:snapToGrid w:val="0"/>
        </w:rPr>
        <w:t xml:space="preserve">n paediatric and young adult </w:t>
      </w:r>
      <w:r w:rsidR="00847053" w:rsidRPr="002F0FB0">
        <w:rPr>
          <w:rFonts w:cs="Arial"/>
          <w:bCs/>
          <w:snapToGrid w:val="0"/>
          <w:color w:val="000000" w:themeColor="text1"/>
        </w:rPr>
        <w:t>patients carr</w:t>
      </w:r>
      <w:r w:rsidR="009D3681">
        <w:rPr>
          <w:rFonts w:cs="Arial"/>
          <w:bCs/>
          <w:snapToGrid w:val="0"/>
          <w:color w:val="000000" w:themeColor="text1"/>
        </w:rPr>
        <w:t>y</w:t>
      </w:r>
      <w:r w:rsidR="00847053" w:rsidRPr="002F0FB0">
        <w:rPr>
          <w:rFonts w:cs="Arial"/>
          <w:bCs/>
          <w:snapToGrid w:val="0"/>
          <w:color w:val="000000" w:themeColor="text1"/>
        </w:rPr>
        <w:t xml:space="preserve"> particularly serious risks, including adverse effects </w:t>
      </w:r>
      <w:r w:rsidR="007B5C4A" w:rsidRPr="002F0FB0">
        <w:rPr>
          <w:rFonts w:cs="Arial"/>
          <w:bCs/>
          <w:snapToGrid w:val="0"/>
          <w:color w:val="000000" w:themeColor="text1"/>
        </w:rPr>
        <w:t>such as fatigue, cognitive decline, fertility issues, and long</w:t>
      </w:r>
      <w:r w:rsidR="00B571FA">
        <w:rPr>
          <w:rFonts w:cs="Arial"/>
          <w:bCs/>
          <w:snapToGrid w:val="0"/>
          <w:color w:val="000000" w:themeColor="text1"/>
        </w:rPr>
        <w:noBreakHyphen/>
      </w:r>
      <w:r w:rsidR="007B5C4A" w:rsidRPr="002F0FB0">
        <w:rPr>
          <w:rFonts w:cs="Arial"/>
          <w:bCs/>
          <w:snapToGrid w:val="0"/>
          <w:color w:val="000000" w:themeColor="text1"/>
        </w:rPr>
        <w:t>term neurocognitive impairment</w:t>
      </w:r>
      <w:r w:rsidR="00710BDF" w:rsidRPr="002F0FB0">
        <w:rPr>
          <w:rFonts w:cs="Arial"/>
          <w:bCs/>
          <w:snapToGrid w:val="0"/>
          <w:color w:val="000000" w:themeColor="text1"/>
        </w:rPr>
        <w:t xml:space="preserve"> </w:t>
      </w:r>
      <w:r w:rsidR="00847053" w:rsidRPr="002F0FB0">
        <w:rPr>
          <w:rFonts w:cs="Arial"/>
          <w:bCs/>
          <w:snapToGrid w:val="0"/>
          <w:color w:val="000000" w:themeColor="text1"/>
        </w:rPr>
        <w:t xml:space="preserve">as well as an increased risk of second malignancies. </w:t>
      </w:r>
    </w:p>
    <w:p w14:paraId="1EC49488" w14:textId="07A2D297" w:rsidR="00906AF8" w:rsidRPr="003D432B" w:rsidRDefault="00971048" w:rsidP="00F36268">
      <w:pPr>
        <w:pStyle w:val="3-BodyText"/>
        <w:rPr>
          <w:snapToGrid w:val="0"/>
        </w:rPr>
      </w:pPr>
      <w:r w:rsidRPr="002F0FB0">
        <w:rPr>
          <w:rFonts w:cs="Arial"/>
          <w:bCs/>
          <w:snapToGrid w:val="0"/>
          <w:color w:val="000000" w:themeColor="text1"/>
        </w:rPr>
        <w:t xml:space="preserve">Comments </w:t>
      </w:r>
      <w:r w:rsidR="00847053" w:rsidRPr="002F0FB0">
        <w:rPr>
          <w:rFonts w:cs="Arial"/>
          <w:bCs/>
          <w:snapToGrid w:val="0"/>
          <w:color w:val="000000" w:themeColor="text1"/>
        </w:rPr>
        <w:t>noted vorasidenib is generally described by clinicians as well tolerated, with minimal toxicity compared with traditional treatments. The primary safety concern identified is hepatotoxicity, which is noted to typically occur early in treatment</w:t>
      </w:r>
      <w:r w:rsidR="00847053" w:rsidRPr="00847053">
        <w:rPr>
          <w:rFonts w:cs="Arial"/>
          <w:bCs/>
          <w:snapToGrid w:val="0"/>
        </w:rPr>
        <w:t>, but can be monitored and managed through dose interruption or reduction. Long</w:t>
      </w:r>
      <w:r w:rsidR="00B571FA">
        <w:rPr>
          <w:rFonts w:cs="Arial"/>
          <w:bCs/>
          <w:snapToGrid w:val="0"/>
        </w:rPr>
        <w:noBreakHyphen/>
      </w:r>
      <w:r w:rsidR="00847053" w:rsidRPr="00847053">
        <w:rPr>
          <w:rFonts w:cs="Arial"/>
          <w:bCs/>
          <w:snapToGrid w:val="0"/>
        </w:rPr>
        <w:t>term safety data is acknowledged by clinicians to be limited, but they report no current signals of serious concern. Overall, the safety profile is noted as favourable, particularly when compared with the cumulative toxicities associated with chemotherapy and radiotherapy.</w:t>
      </w:r>
      <w:r w:rsidR="00EE1848" w:rsidRPr="00EE1848">
        <w:t xml:space="preserve"> </w:t>
      </w:r>
      <w:r w:rsidR="00C27D2D">
        <w:rPr>
          <w:rFonts w:cs="Arial"/>
          <w:bCs/>
          <w:snapToGrid w:val="0"/>
        </w:rPr>
        <w:t>The input</w:t>
      </w:r>
      <w:r w:rsidR="00880010">
        <w:rPr>
          <w:rFonts w:cs="Arial"/>
          <w:bCs/>
          <w:snapToGrid w:val="0"/>
        </w:rPr>
        <w:t>s</w:t>
      </w:r>
      <w:r w:rsidR="00C27D2D">
        <w:rPr>
          <w:rFonts w:cs="Arial"/>
          <w:bCs/>
          <w:snapToGrid w:val="0"/>
        </w:rPr>
        <w:t xml:space="preserve"> also noted that t</w:t>
      </w:r>
      <w:r w:rsidR="00D126B5" w:rsidRPr="00D126B5">
        <w:rPr>
          <w:rFonts w:cs="Arial"/>
          <w:bCs/>
          <w:snapToGrid w:val="0"/>
        </w:rPr>
        <w:t xml:space="preserve">he oral administration and outpatient management of vorasidenib are noted as an advantage that reduce treatment burden for patients, families, and carers. </w:t>
      </w:r>
    </w:p>
    <w:p w14:paraId="144BBDFD" w14:textId="66176488" w:rsidR="003D432B" w:rsidRPr="0050550F" w:rsidRDefault="00A2244F" w:rsidP="00F36268">
      <w:pPr>
        <w:pStyle w:val="3-BodyText"/>
        <w:rPr>
          <w:snapToGrid w:val="0"/>
          <w:color w:val="000000" w:themeColor="text1"/>
        </w:rPr>
      </w:pPr>
      <w:r w:rsidRPr="0050550F">
        <w:rPr>
          <w:rFonts w:cs="Arial"/>
          <w:bCs/>
          <w:snapToGrid w:val="0"/>
          <w:color w:val="000000" w:themeColor="text1"/>
        </w:rPr>
        <w:lastRenderedPageBreak/>
        <w:t xml:space="preserve">Individuals who have used vorasidenib for </w:t>
      </w:r>
      <w:r w:rsidR="00B92A02" w:rsidRPr="0050550F">
        <w:rPr>
          <w:rFonts w:cs="Arial"/>
          <w:bCs/>
          <w:snapToGrid w:val="0"/>
          <w:color w:val="000000" w:themeColor="text1"/>
        </w:rPr>
        <w:t xml:space="preserve">treatment </w:t>
      </w:r>
      <w:r w:rsidRPr="0050550F">
        <w:rPr>
          <w:rFonts w:cs="Arial"/>
          <w:bCs/>
          <w:snapToGrid w:val="0"/>
          <w:color w:val="000000" w:themeColor="text1"/>
        </w:rPr>
        <w:t>report it has been effective in stabilising their low</w:t>
      </w:r>
      <w:r w:rsidR="00B571FA">
        <w:rPr>
          <w:rFonts w:cs="Arial"/>
          <w:bCs/>
          <w:snapToGrid w:val="0"/>
          <w:color w:val="000000" w:themeColor="text1"/>
        </w:rPr>
        <w:noBreakHyphen/>
      </w:r>
      <w:r w:rsidRPr="0050550F">
        <w:rPr>
          <w:rFonts w:cs="Arial"/>
          <w:bCs/>
          <w:snapToGrid w:val="0"/>
          <w:color w:val="000000" w:themeColor="text1"/>
        </w:rPr>
        <w:t xml:space="preserve">grade gliomas. Many describe since commencing vorasidenib that their tumours have remained stable or have shown slight shrinkage on imaging. </w:t>
      </w:r>
      <w:r w:rsidR="003A3917">
        <w:rPr>
          <w:rFonts w:cs="Arial"/>
          <w:bCs/>
          <w:snapToGrid w:val="0"/>
          <w:color w:val="000000" w:themeColor="text1"/>
        </w:rPr>
        <w:t xml:space="preserve">Individuals with </w:t>
      </w:r>
      <w:r w:rsidR="00313989" w:rsidRPr="00313989">
        <w:rPr>
          <w:rFonts w:cs="Arial"/>
          <w:bCs/>
          <w:snapToGrid w:val="0"/>
          <w:color w:val="000000" w:themeColor="text1"/>
        </w:rPr>
        <w:t>(IDH)</w:t>
      </w:r>
      <w:r w:rsidR="00B571FA">
        <w:rPr>
          <w:rFonts w:cs="Arial"/>
          <w:bCs/>
          <w:snapToGrid w:val="0"/>
          <w:color w:val="000000" w:themeColor="text1"/>
        </w:rPr>
        <w:noBreakHyphen/>
      </w:r>
      <w:r w:rsidR="00313989" w:rsidRPr="00313989">
        <w:rPr>
          <w:rFonts w:cs="Arial"/>
          <w:bCs/>
          <w:snapToGrid w:val="0"/>
          <w:color w:val="000000" w:themeColor="text1"/>
        </w:rPr>
        <w:t>mutant astrocytoma or oligodendroglioma</w:t>
      </w:r>
      <w:r w:rsidR="00313989">
        <w:rPr>
          <w:rFonts w:cs="Arial"/>
          <w:bCs/>
          <w:snapToGrid w:val="0"/>
          <w:color w:val="000000" w:themeColor="text1"/>
        </w:rPr>
        <w:t xml:space="preserve"> also reported the high </w:t>
      </w:r>
      <w:r w:rsidR="00C43569">
        <w:rPr>
          <w:rFonts w:cs="Arial"/>
          <w:bCs/>
          <w:snapToGrid w:val="0"/>
          <w:color w:val="000000" w:themeColor="text1"/>
        </w:rPr>
        <w:t>psychological burden associated with</w:t>
      </w:r>
      <w:r w:rsidR="00313989" w:rsidRPr="00313989">
        <w:rPr>
          <w:rFonts w:cs="Arial"/>
          <w:bCs/>
          <w:snapToGrid w:val="0"/>
          <w:color w:val="000000" w:themeColor="text1"/>
        </w:rPr>
        <w:t xml:space="preserve"> </w:t>
      </w:r>
      <w:r w:rsidR="00FA6B82">
        <w:rPr>
          <w:rFonts w:cs="Arial"/>
          <w:bCs/>
          <w:snapToGrid w:val="0"/>
          <w:color w:val="000000" w:themeColor="text1"/>
        </w:rPr>
        <w:t>“watchful waiting”</w:t>
      </w:r>
      <w:r w:rsidR="004A10A9">
        <w:rPr>
          <w:rFonts w:cs="Arial"/>
          <w:bCs/>
          <w:snapToGrid w:val="0"/>
          <w:color w:val="000000" w:themeColor="text1"/>
        </w:rPr>
        <w:t xml:space="preserve"> (active surveillance)</w:t>
      </w:r>
      <w:r w:rsidR="00FA6B82">
        <w:rPr>
          <w:rFonts w:cs="Arial"/>
          <w:bCs/>
          <w:snapToGrid w:val="0"/>
          <w:color w:val="000000" w:themeColor="text1"/>
        </w:rPr>
        <w:t xml:space="preserve">. </w:t>
      </w:r>
      <w:r w:rsidRPr="0050550F">
        <w:rPr>
          <w:rFonts w:cs="Arial"/>
          <w:bCs/>
          <w:snapToGrid w:val="0"/>
          <w:color w:val="000000" w:themeColor="text1"/>
        </w:rPr>
        <w:t>Contributors emphasise</w:t>
      </w:r>
      <w:r w:rsidR="0021306B" w:rsidRPr="0050550F">
        <w:rPr>
          <w:rFonts w:cs="Arial"/>
          <w:bCs/>
          <w:snapToGrid w:val="0"/>
          <w:color w:val="000000" w:themeColor="text1"/>
        </w:rPr>
        <w:t>d that</w:t>
      </w:r>
      <w:r w:rsidRPr="0050550F">
        <w:rPr>
          <w:rFonts w:cs="Arial"/>
          <w:bCs/>
          <w:snapToGrid w:val="0"/>
          <w:color w:val="000000" w:themeColor="text1"/>
        </w:rPr>
        <w:t xml:space="preserve"> vorasidenib has allowed them to delay or avoid more invasive treatments such as repeat surgery, radiotherapy, or chemotherapy. Some individuals also report</w:t>
      </w:r>
      <w:r w:rsidR="0021306B" w:rsidRPr="0050550F">
        <w:rPr>
          <w:rFonts w:cs="Arial"/>
          <w:bCs/>
          <w:snapToGrid w:val="0"/>
          <w:color w:val="000000" w:themeColor="text1"/>
        </w:rPr>
        <w:t>ed</w:t>
      </w:r>
      <w:r w:rsidRPr="0050550F">
        <w:rPr>
          <w:rFonts w:cs="Arial"/>
          <w:bCs/>
          <w:snapToGrid w:val="0"/>
          <w:color w:val="000000" w:themeColor="text1"/>
        </w:rPr>
        <w:t xml:space="preserve"> a reduction in seizure frequency and severity, contributing to better disease control overall.</w:t>
      </w:r>
      <w:r w:rsidR="00373C17" w:rsidRPr="0050550F">
        <w:rPr>
          <w:rFonts w:cs="Arial"/>
          <w:bCs/>
          <w:snapToGrid w:val="0"/>
          <w:color w:val="000000" w:themeColor="text1"/>
        </w:rPr>
        <w:t xml:space="preserve"> Individual contributors note</w:t>
      </w:r>
      <w:r w:rsidR="0021306B" w:rsidRPr="0050550F">
        <w:rPr>
          <w:rFonts w:cs="Arial"/>
          <w:bCs/>
          <w:snapToGrid w:val="0"/>
          <w:color w:val="000000" w:themeColor="text1"/>
        </w:rPr>
        <w:t>d that</w:t>
      </w:r>
      <w:r w:rsidR="00373C17" w:rsidRPr="0050550F">
        <w:rPr>
          <w:rFonts w:cs="Arial"/>
          <w:bCs/>
          <w:snapToGrid w:val="0"/>
          <w:color w:val="000000" w:themeColor="text1"/>
        </w:rPr>
        <w:t xml:space="preserve"> any liver</w:t>
      </w:r>
      <w:r w:rsidR="00B571FA">
        <w:rPr>
          <w:rFonts w:cs="Arial"/>
          <w:bCs/>
          <w:snapToGrid w:val="0"/>
          <w:color w:val="000000" w:themeColor="text1"/>
        </w:rPr>
        <w:noBreakHyphen/>
      </w:r>
      <w:r w:rsidR="00373C17" w:rsidRPr="0050550F">
        <w:rPr>
          <w:rFonts w:cs="Arial"/>
          <w:bCs/>
          <w:snapToGrid w:val="0"/>
          <w:color w:val="000000" w:themeColor="text1"/>
        </w:rPr>
        <w:t>related issues were monitored closely and managed through dose adjustments or temporary treatment interruptions, without long</w:t>
      </w:r>
      <w:r w:rsidR="00B571FA">
        <w:rPr>
          <w:rFonts w:cs="Arial"/>
          <w:bCs/>
          <w:snapToGrid w:val="0"/>
          <w:color w:val="000000" w:themeColor="text1"/>
        </w:rPr>
        <w:noBreakHyphen/>
      </w:r>
      <w:r w:rsidR="00373C17" w:rsidRPr="0050550F">
        <w:rPr>
          <w:rFonts w:cs="Arial"/>
          <w:bCs/>
          <w:snapToGrid w:val="0"/>
          <w:color w:val="000000" w:themeColor="text1"/>
        </w:rPr>
        <w:t>term harm. Importantly, contributors consistently contrast the relatively mild safety profile of vorasidenib with the significant and often irreversible toxicities associated with chemotherapy and radiotherapy, including long</w:t>
      </w:r>
      <w:r w:rsidR="00B571FA">
        <w:rPr>
          <w:rFonts w:cs="Arial"/>
          <w:bCs/>
          <w:snapToGrid w:val="0"/>
          <w:color w:val="000000" w:themeColor="text1"/>
        </w:rPr>
        <w:noBreakHyphen/>
      </w:r>
      <w:r w:rsidR="00373C17" w:rsidRPr="0050550F">
        <w:rPr>
          <w:rFonts w:cs="Arial"/>
          <w:bCs/>
          <w:snapToGrid w:val="0"/>
          <w:color w:val="000000" w:themeColor="text1"/>
        </w:rPr>
        <w:t>term cognitive impairment and functional decline.</w:t>
      </w:r>
      <w:r w:rsidR="0020448E" w:rsidRPr="0050550F">
        <w:rPr>
          <w:rFonts w:cs="Arial"/>
          <w:bCs/>
          <w:snapToGrid w:val="0"/>
          <w:color w:val="000000" w:themeColor="text1"/>
        </w:rPr>
        <w:t xml:space="preserve"> </w:t>
      </w:r>
      <w:r w:rsidR="00C81CC6" w:rsidRPr="0050550F">
        <w:rPr>
          <w:rFonts w:cs="Arial"/>
          <w:bCs/>
          <w:snapToGrid w:val="0"/>
          <w:color w:val="000000" w:themeColor="text1"/>
        </w:rPr>
        <w:t xml:space="preserve">Individuals describe treatment with vorasidenib has had positive impacts on their quality of life including being able to continue working, studying, caring for family members, and participating in everyday activities while on treatment. </w:t>
      </w:r>
      <w:r w:rsidR="0020448E" w:rsidRPr="0050550F">
        <w:rPr>
          <w:rFonts w:cs="Arial"/>
          <w:bCs/>
          <w:snapToGrid w:val="0"/>
          <w:color w:val="000000" w:themeColor="text1"/>
        </w:rPr>
        <w:t>Contributors highlight</w:t>
      </w:r>
      <w:r w:rsidR="00E91F91" w:rsidRPr="0050550F">
        <w:rPr>
          <w:rFonts w:cs="Arial"/>
          <w:bCs/>
          <w:snapToGrid w:val="0"/>
          <w:color w:val="000000" w:themeColor="text1"/>
        </w:rPr>
        <w:t>ed</w:t>
      </w:r>
      <w:r w:rsidR="0020448E" w:rsidRPr="0050550F">
        <w:rPr>
          <w:rFonts w:cs="Arial"/>
          <w:bCs/>
          <w:snapToGrid w:val="0"/>
          <w:color w:val="000000" w:themeColor="text1"/>
        </w:rPr>
        <w:t xml:space="preserve"> the psychological benefits of disease stability, including reduced anxiety about progression, and an increased ability to </w:t>
      </w:r>
      <w:proofErr w:type="gramStart"/>
      <w:r w:rsidR="0020448E" w:rsidRPr="0050550F">
        <w:rPr>
          <w:rFonts w:cs="Arial"/>
          <w:bCs/>
          <w:snapToGrid w:val="0"/>
          <w:color w:val="000000" w:themeColor="text1"/>
        </w:rPr>
        <w:t>plan for the future</w:t>
      </w:r>
      <w:proofErr w:type="gramEnd"/>
      <w:r w:rsidR="00EA0647" w:rsidRPr="0050550F">
        <w:rPr>
          <w:rFonts w:cs="Arial"/>
          <w:bCs/>
          <w:snapToGrid w:val="0"/>
          <w:color w:val="000000" w:themeColor="text1"/>
        </w:rPr>
        <w:t xml:space="preserve"> and reduction in loneliness and depression</w:t>
      </w:r>
      <w:r w:rsidR="0020448E" w:rsidRPr="0050550F">
        <w:rPr>
          <w:rFonts w:cs="Arial"/>
          <w:bCs/>
          <w:snapToGrid w:val="0"/>
          <w:color w:val="000000" w:themeColor="text1"/>
        </w:rPr>
        <w:t xml:space="preserve">. </w:t>
      </w:r>
      <w:r w:rsidR="00AB713A" w:rsidRPr="0050550F">
        <w:rPr>
          <w:rFonts w:cs="Arial"/>
          <w:bCs/>
          <w:snapToGrid w:val="0"/>
          <w:color w:val="000000" w:themeColor="text1"/>
        </w:rPr>
        <w:t>The comments noted the convenience of an oral, once</w:t>
      </w:r>
      <w:r w:rsidR="00B571FA">
        <w:rPr>
          <w:rFonts w:cs="Arial"/>
          <w:bCs/>
          <w:snapToGrid w:val="0"/>
          <w:color w:val="000000" w:themeColor="text1"/>
        </w:rPr>
        <w:noBreakHyphen/>
      </w:r>
      <w:r w:rsidR="00AB713A" w:rsidRPr="0050550F">
        <w:rPr>
          <w:rFonts w:cs="Arial"/>
          <w:bCs/>
          <w:snapToGrid w:val="0"/>
          <w:color w:val="000000" w:themeColor="text1"/>
        </w:rPr>
        <w:t xml:space="preserve">daily medication. </w:t>
      </w:r>
      <w:r w:rsidR="004A3ED8" w:rsidRPr="0050550F">
        <w:rPr>
          <w:snapToGrid w:val="0"/>
          <w:color w:val="000000" w:themeColor="text1"/>
        </w:rPr>
        <w:t>The comments</w:t>
      </w:r>
      <w:r w:rsidR="00EA0647" w:rsidRPr="0050550F">
        <w:rPr>
          <w:snapToGrid w:val="0"/>
          <w:color w:val="000000" w:themeColor="text1"/>
        </w:rPr>
        <w:t xml:space="preserve"> reiterated </w:t>
      </w:r>
      <w:r w:rsidR="004A3ED8" w:rsidRPr="0050550F">
        <w:rPr>
          <w:snapToGrid w:val="0"/>
          <w:color w:val="000000" w:themeColor="text1"/>
        </w:rPr>
        <w:t>the current price of vorasidenib</w:t>
      </w:r>
      <w:r w:rsidR="00613FA3">
        <w:rPr>
          <w:snapToGrid w:val="0"/>
          <w:color w:val="000000" w:themeColor="text1"/>
        </w:rPr>
        <w:t xml:space="preserve"> to patients</w:t>
      </w:r>
      <w:r w:rsidR="004A3ED8" w:rsidRPr="0050550F">
        <w:rPr>
          <w:snapToGrid w:val="0"/>
          <w:color w:val="000000" w:themeColor="text1"/>
        </w:rPr>
        <w:t xml:space="preserve"> as extremely expensive, with inequality in access deeply concerning, especially considering it is the first targeted therapy specifically developed for low</w:t>
      </w:r>
      <w:r w:rsidR="00B571FA">
        <w:rPr>
          <w:snapToGrid w:val="0"/>
          <w:color w:val="000000" w:themeColor="text1"/>
        </w:rPr>
        <w:noBreakHyphen/>
      </w:r>
      <w:r w:rsidR="004A3ED8" w:rsidRPr="0050550F">
        <w:rPr>
          <w:snapToGrid w:val="0"/>
          <w:color w:val="000000" w:themeColor="text1"/>
        </w:rPr>
        <w:t>grade gliomas with IDH mutation. Those accessing vorasidenib through compassionate means expressed concern that they will be unable to afford to continue treatment if it is not listed on the PBS.</w:t>
      </w:r>
    </w:p>
    <w:p w14:paraId="513BA576" w14:textId="49C5389F" w:rsidR="008A2892" w:rsidRDefault="008A2892" w:rsidP="00F36268">
      <w:pPr>
        <w:pStyle w:val="3-BodyText"/>
        <w:rPr>
          <w:snapToGrid w:val="0"/>
        </w:rPr>
      </w:pPr>
      <w:r w:rsidRPr="008A2892">
        <w:rPr>
          <w:snapToGrid w:val="0"/>
        </w:rPr>
        <w:t xml:space="preserve">Many </w:t>
      </w:r>
      <w:r w:rsidR="004700DA">
        <w:rPr>
          <w:snapToGrid w:val="0"/>
        </w:rPr>
        <w:t xml:space="preserve">inputs from </w:t>
      </w:r>
      <w:r w:rsidRPr="008A2892">
        <w:rPr>
          <w:snapToGrid w:val="0"/>
        </w:rPr>
        <w:t>carers highlight</w:t>
      </w:r>
      <w:r w:rsidR="004700DA">
        <w:rPr>
          <w:snapToGrid w:val="0"/>
        </w:rPr>
        <w:t>ed</w:t>
      </w:r>
      <w:r w:rsidRPr="008A2892">
        <w:rPr>
          <w:snapToGrid w:val="0"/>
        </w:rPr>
        <w:t xml:space="preserve"> the severe impacts of conventional treatments such as surgery, radiotherapy, and chemotherapy. These treatments are often associated with cognitive impairment, extreme fatigue, personality changes, and loss of independence, which can profoundly alter family dynamics. As a result, carers note they frequently take on additional responsibilities, including full</w:t>
      </w:r>
      <w:r w:rsidRPr="008A2892">
        <w:rPr>
          <w:rFonts w:ascii="Cambria Math" w:hAnsi="Cambria Math" w:cs="Cambria Math"/>
          <w:snapToGrid w:val="0"/>
        </w:rPr>
        <w:t>‑</w:t>
      </w:r>
      <w:r w:rsidRPr="008A2892">
        <w:rPr>
          <w:snapToGrid w:val="0"/>
        </w:rPr>
        <w:t>time caregiving, managing medical appointments, and in some cases, becoming the sole income earner or primary caregiver for children. These changes place considerable pressure on families, both emotionally and practically.</w:t>
      </w:r>
    </w:p>
    <w:p w14:paraId="0C6A24C6" w14:textId="53947CCF" w:rsidR="0040636F" w:rsidRPr="00E1571B" w:rsidRDefault="001E0AC2" w:rsidP="00F36268">
      <w:pPr>
        <w:pStyle w:val="3-BodyText"/>
        <w:rPr>
          <w:bCs/>
          <w:snapToGrid w:val="0"/>
          <w:color w:val="000000" w:themeColor="text1"/>
        </w:rPr>
      </w:pPr>
      <w:r w:rsidRPr="00E1571B">
        <w:rPr>
          <w:bCs/>
          <w:snapToGrid w:val="0"/>
          <w:color w:val="000000" w:themeColor="text1"/>
        </w:rPr>
        <w:t>Consumer groups (Rare Cancers Australia, Brain Tumour Alliance Australia</w:t>
      </w:r>
      <w:r w:rsidR="003E6C12" w:rsidRPr="00E1571B">
        <w:rPr>
          <w:bCs/>
          <w:snapToGrid w:val="0"/>
          <w:color w:val="000000" w:themeColor="text1"/>
        </w:rPr>
        <w:t xml:space="preserve">, </w:t>
      </w:r>
      <w:r w:rsidR="00FA5BDF" w:rsidRPr="00E1571B">
        <w:rPr>
          <w:bCs/>
          <w:snapToGrid w:val="0"/>
          <w:color w:val="000000" w:themeColor="text1"/>
        </w:rPr>
        <w:t xml:space="preserve">Brain Tumour Alliance Australia – NSW, </w:t>
      </w:r>
      <w:r w:rsidR="00725628" w:rsidRPr="00E1571B">
        <w:rPr>
          <w:bCs/>
          <w:snapToGrid w:val="0"/>
          <w:color w:val="000000" w:themeColor="text1"/>
        </w:rPr>
        <w:t xml:space="preserve">The Brain Cancer Centre, </w:t>
      </w:r>
      <w:r w:rsidR="00C77219" w:rsidRPr="00E1571B">
        <w:rPr>
          <w:bCs/>
          <w:snapToGrid w:val="0"/>
          <w:color w:val="000000" w:themeColor="text1"/>
        </w:rPr>
        <w:t xml:space="preserve">Cure Brain Cancer Foundation, </w:t>
      </w:r>
      <w:r w:rsidR="005921C8" w:rsidRPr="00E1571B">
        <w:rPr>
          <w:bCs/>
          <w:snapToGrid w:val="0"/>
          <w:color w:val="000000" w:themeColor="text1"/>
        </w:rPr>
        <w:t>Peace of Mind Foundation</w:t>
      </w:r>
      <w:r w:rsidR="004D0D3B" w:rsidRPr="00E1571B">
        <w:rPr>
          <w:bCs/>
          <w:snapToGrid w:val="0"/>
          <w:color w:val="000000" w:themeColor="text1"/>
        </w:rPr>
        <w:t>, S</w:t>
      </w:r>
      <w:r w:rsidR="003E6C12" w:rsidRPr="00E1571B">
        <w:rPr>
          <w:bCs/>
          <w:snapToGrid w:val="0"/>
          <w:color w:val="000000" w:themeColor="text1"/>
        </w:rPr>
        <w:t>irv</w:t>
      </w:r>
      <w:r w:rsidRPr="00E1571B">
        <w:rPr>
          <w:bCs/>
          <w:snapToGrid w:val="0"/>
          <w:color w:val="000000" w:themeColor="text1"/>
        </w:rPr>
        <w:t>) were strongly supportive of the submission for vorasidenib</w:t>
      </w:r>
      <w:r w:rsidR="00E1571B">
        <w:rPr>
          <w:bCs/>
          <w:snapToGrid w:val="0"/>
          <w:color w:val="000000" w:themeColor="text1"/>
        </w:rPr>
        <w:t xml:space="preserve"> and echoed the same sentiments as the comments received for the July 2025 submission</w:t>
      </w:r>
      <w:r w:rsidRPr="00E1571B">
        <w:rPr>
          <w:bCs/>
          <w:snapToGrid w:val="0"/>
          <w:color w:val="000000" w:themeColor="text1"/>
        </w:rPr>
        <w:t xml:space="preserve">. </w:t>
      </w:r>
      <w:r w:rsidR="0040636F" w:rsidRPr="00E1571B">
        <w:rPr>
          <w:bCs/>
          <w:snapToGrid w:val="0"/>
          <w:color w:val="000000" w:themeColor="text1"/>
        </w:rPr>
        <w:t xml:space="preserve">The comments from consumer groups described the high unmet need for effective treatments for patients with glioma, and the impact of glioma and treatments (surgery, chemotherapy and radiotherapy) on typically relatively young adult patients and on their families. They also described the </w:t>
      </w:r>
      <w:r w:rsidR="0040636F" w:rsidRPr="00E1571B">
        <w:rPr>
          <w:bCs/>
          <w:snapToGrid w:val="0"/>
          <w:color w:val="000000" w:themeColor="text1"/>
        </w:rPr>
        <w:lastRenderedPageBreak/>
        <w:t xml:space="preserve">potential benefit of vorasidenib in terms of offering patients more time and a better </w:t>
      </w:r>
      <w:r w:rsidR="00CA623F">
        <w:rPr>
          <w:bCs/>
          <w:snapToGrid w:val="0"/>
          <w:color w:val="000000" w:themeColor="text1"/>
        </w:rPr>
        <w:t>QoL</w:t>
      </w:r>
      <w:r w:rsidR="0040636F" w:rsidRPr="00E1571B">
        <w:rPr>
          <w:bCs/>
          <w:snapToGrid w:val="0"/>
          <w:color w:val="000000" w:themeColor="text1"/>
        </w:rPr>
        <w:t xml:space="preserve"> by slowing disease progression and delaying the need for radiotherapy. The comments noted concerns regarding equity of access to vorasidenib treatment without PBS subsidisation. </w:t>
      </w:r>
    </w:p>
    <w:p w14:paraId="08271F60" w14:textId="3BA9917A" w:rsidR="00A47212" w:rsidRDefault="001548DE" w:rsidP="00F36268">
      <w:pPr>
        <w:pStyle w:val="3-BodyText"/>
        <w:rPr>
          <w:snapToGrid w:val="0"/>
          <w:color w:val="000000" w:themeColor="text1"/>
        </w:rPr>
      </w:pPr>
      <w:r>
        <w:rPr>
          <w:snapToGrid w:val="0"/>
        </w:rPr>
        <w:t>M</w:t>
      </w:r>
      <w:r w:rsidR="00A3042A" w:rsidRPr="00A3042A">
        <w:rPr>
          <w:snapToGrid w:val="0"/>
        </w:rPr>
        <w:t xml:space="preserve">edical </w:t>
      </w:r>
      <w:r w:rsidR="00A3042A" w:rsidRPr="00CC4DCD">
        <w:rPr>
          <w:snapToGrid w:val="0"/>
        </w:rPr>
        <w:t>organisation</w:t>
      </w:r>
      <w:r w:rsidR="00870DD3" w:rsidRPr="00CC4DCD">
        <w:rPr>
          <w:snapToGrid w:val="0"/>
        </w:rPr>
        <w:t>s</w:t>
      </w:r>
      <w:r w:rsidR="00166908" w:rsidRPr="00CC4DCD">
        <w:rPr>
          <w:snapToGrid w:val="0"/>
        </w:rPr>
        <w:t xml:space="preserve"> </w:t>
      </w:r>
      <w:r>
        <w:rPr>
          <w:snapToGrid w:val="0"/>
        </w:rPr>
        <w:t>(</w:t>
      </w:r>
      <w:r w:rsidR="00166908" w:rsidRPr="00CC4DCD">
        <w:rPr>
          <w:snapToGrid w:val="0"/>
        </w:rPr>
        <w:t>Australian and New Zealand Children’s Haematology/Oncology Group (ANZCHOG)</w:t>
      </w:r>
      <w:r w:rsidR="006401B5">
        <w:rPr>
          <w:snapToGrid w:val="0"/>
        </w:rPr>
        <w:t xml:space="preserve">, Australian Brain Cancer Research Alliance, </w:t>
      </w:r>
      <w:r w:rsidR="00A3042A" w:rsidRPr="00A3042A">
        <w:rPr>
          <w:snapToGrid w:val="0"/>
        </w:rPr>
        <w:t>Cooperative Trial Group for Neuro</w:t>
      </w:r>
      <w:r w:rsidR="00B571FA">
        <w:rPr>
          <w:snapToGrid w:val="0"/>
        </w:rPr>
        <w:noBreakHyphen/>
      </w:r>
      <w:r w:rsidR="00A3042A" w:rsidRPr="00A3042A">
        <w:rPr>
          <w:snapToGrid w:val="0"/>
        </w:rPr>
        <w:t>Oncology (COGNO)</w:t>
      </w:r>
      <w:r w:rsidR="00F913E7">
        <w:rPr>
          <w:snapToGrid w:val="0"/>
        </w:rPr>
        <w:t xml:space="preserve">, Macquarie University and Mark Hughes Foundation </w:t>
      </w:r>
      <w:r w:rsidR="00F913E7" w:rsidRPr="00597690">
        <w:rPr>
          <w:snapToGrid w:val="0"/>
        </w:rPr>
        <w:t>Centre for Brain Cancer Research</w:t>
      </w:r>
      <w:r w:rsidR="00F913E7">
        <w:rPr>
          <w:snapToGrid w:val="0"/>
        </w:rPr>
        <w:t>)</w:t>
      </w:r>
      <w:r w:rsidR="00A3042A" w:rsidRPr="00A3042A">
        <w:rPr>
          <w:snapToGrid w:val="0"/>
        </w:rPr>
        <w:t xml:space="preserve"> echoed those from consumer groups, and also noted the key trial evidence from the INDIGO trial and ongoing research including </w:t>
      </w:r>
      <w:r w:rsidR="004B2B6B">
        <w:rPr>
          <w:snapToGrid w:val="0"/>
        </w:rPr>
        <w:t>the</w:t>
      </w:r>
      <w:r w:rsidR="00A3042A" w:rsidRPr="00A3042A">
        <w:rPr>
          <w:snapToGrid w:val="0"/>
        </w:rPr>
        <w:t xml:space="preserve"> </w:t>
      </w:r>
      <w:r w:rsidR="004B2B6B" w:rsidRPr="00EE6832">
        <w:rPr>
          <w:snapToGrid w:val="0"/>
          <w:color w:val="000000" w:themeColor="text1"/>
        </w:rPr>
        <w:t>‘VIGOR’ trial</w:t>
      </w:r>
      <w:r w:rsidR="0054189F">
        <w:rPr>
          <w:snapToGrid w:val="0"/>
          <w:color w:val="000000" w:themeColor="text1"/>
        </w:rPr>
        <w:t xml:space="preserve"> which</w:t>
      </w:r>
      <w:r w:rsidR="00367EFD">
        <w:rPr>
          <w:snapToGrid w:val="0"/>
          <w:color w:val="000000" w:themeColor="text1"/>
        </w:rPr>
        <w:t xml:space="preserve"> </w:t>
      </w:r>
      <w:r w:rsidR="00367EFD" w:rsidRPr="00DB7034">
        <w:rPr>
          <w:snapToGrid w:val="0"/>
          <w:color w:val="000000" w:themeColor="text1"/>
        </w:rPr>
        <w:t>will assess</w:t>
      </w:r>
      <w:r w:rsidR="00A3042A" w:rsidRPr="00DB7034">
        <w:rPr>
          <w:snapToGrid w:val="0"/>
          <w:color w:val="000000" w:themeColor="text1"/>
        </w:rPr>
        <w:t xml:space="preserve"> </w:t>
      </w:r>
      <w:r w:rsidR="00A3042A">
        <w:rPr>
          <w:snapToGrid w:val="0"/>
          <w:color w:val="000000" w:themeColor="text1"/>
        </w:rPr>
        <w:t xml:space="preserve">vorasidenib </w:t>
      </w:r>
      <w:r w:rsidR="00A3042A" w:rsidRPr="00DB7034">
        <w:rPr>
          <w:snapToGrid w:val="0"/>
          <w:color w:val="000000" w:themeColor="text1"/>
        </w:rPr>
        <w:t>as maintenance therapy in patients with high</w:t>
      </w:r>
      <w:r w:rsidR="00B571FA">
        <w:rPr>
          <w:snapToGrid w:val="0"/>
          <w:color w:val="000000" w:themeColor="text1"/>
        </w:rPr>
        <w:noBreakHyphen/>
      </w:r>
      <w:r w:rsidR="00A3042A" w:rsidRPr="00DB7034">
        <w:rPr>
          <w:snapToGrid w:val="0"/>
          <w:color w:val="000000" w:themeColor="text1"/>
        </w:rPr>
        <w:t xml:space="preserve">risk grade 2 or </w:t>
      </w:r>
      <w:r w:rsidR="00367EFD" w:rsidRPr="00DB7034">
        <w:rPr>
          <w:snapToGrid w:val="0"/>
          <w:color w:val="000000" w:themeColor="text1"/>
        </w:rPr>
        <w:t xml:space="preserve">grade </w:t>
      </w:r>
      <w:r w:rsidR="00A3042A" w:rsidRPr="00DB7034">
        <w:rPr>
          <w:snapToGrid w:val="0"/>
          <w:color w:val="000000" w:themeColor="text1"/>
        </w:rPr>
        <w:t xml:space="preserve">3 astrocytoma following </w:t>
      </w:r>
      <w:r w:rsidR="00367EFD" w:rsidRPr="00DB7034">
        <w:rPr>
          <w:snapToGrid w:val="0"/>
          <w:color w:val="000000" w:themeColor="text1"/>
        </w:rPr>
        <w:t>standard post</w:t>
      </w:r>
      <w:r w:rsidR="00B571FA">
        <w:rPr>
          <w:snapToGrid w:val="0"/>
          <w:color w:val="000000" w:themeColor="text1"/>
        </w:rPr>
        <w:noBreakHyphen/>
      </w:r>
      <w:r w:rsidR="00367EFD" w:rsidRPr="00DB7034">
        <w:rPr>
          <w:snapToGrid w:val="0"/>
          <w:color w:val="000000" w:themeColor="text1"/>
        </w:rPr>
        <w:t>operative chemoradiotherapy</w:t>
      </w:r>
      <w:r w:rsidR="00A3042A" w:rsidRPr="00A3042A">
        <w:rPr>
          <w:snapToGrid w:val="0"/>
        </w:rPr>
        <w:t xml:space="preserve">. </w:t>
      </w:r>
      <w:r w:rsidR="00A47212" w:rsidRPr="00EE6832">
        <w:rPr>
          <w:snapToGrid w:val="0"/>
          <w:color w:val="000000" w:themeColor="text1"/>
        </w:rPr>
        <w:t xml:space="preserve">The inputs noted </w:t>
      </w:r>
      <w:r w:rsidR="00E571BB">
        <w:rPr>
          <w:snapToGrid w:val="0"/>
          <w:color w:val="000000" w:themeColor="text1"/>
        </w:rPr>
        <w:t>a</w:t>
      </w:r>
      <w:r w:rsidR="00A47212" w:rsidRPr="00EE6832">
        <w:rPr>
          <w:snapToGrid w:val="0"/>
          <w:color w:val="000000" w:themeColor="text1"/>
        </w:rPr>
        <w:t>dditional follow</w:t>
      </w:r>
      <w:r w:rsidR="00B571FA">
        <w:rPr>
          <w:snapToGrid w:val="0"/>
          <w:color w:val="000000" w:themeColor="text1"/>
        </w:rPr>
        <w:noBreakHyphen/>
      </w:r>
      <w:r w:rsidR="00A47212" w:rsidRPr="00EE6832">
        <w:rPr>
          <w:snapToGrid w:val="0"/>
          <w:color w:val="000000" w:themeColor="text1"/>
        </w:rPr>
        <w:t xml:space="preserve">up data from INDIGO </w:t>
      </w:r>
      <w:r w:rsidR="00B62E82" w:rsidRPr="00B62E82">
        <w:rPr>
          <w:snapToGrid w:val="0"/>
          <w:color w:val="000000" w:themeColor="text1"/>
        </w:rPr>
        <w:t xml:space="preserve">supported the robustness of previously reported data </w:t>
      </w:r>
      <w:r w:rsidR="00B62E82">
        <w:rPr>
          <w:snapToGrid w:val="0"/>
          <w:color w:val="000000" w:themeColor="text1"/>
        </w:rPr>
        <w:t xml:space="preserve">which </w:t>
      </w:r>
      <w:r w:rsidR="00A47212" w:rsidRPr="00EE6832">
        <w:rPr>
          <w:snapToGrid w:val="0"/>
          <w:color w:val="000000" w:themeColor="text1"/>
        </w:rPr>
        <w:t>showed consistent benefit in tumo</w:t>
      </w:r>
      <w:r w:rsidR="00E571BB">
        <w:rPr>
          <w:snapToGrid w:val="0"/>
          <w:color w:val="000000" w:themeColor="text1"/>
        </w:rPr>
        <w:t>u</w:t>
      </w:r>
      <w:r w:rsidR="00A47212" w:rsidRPr="00EE6832">
        <w:rPr>
          <w:snapToGrid w:val="0"/>
          <w:color w:val="000000" w:themeColor="text1"/>
        </w:rPr>
        <w:t>r growth suppression and suggested improved seizure control without negative effects on health</w:t>
      </w:r>
      <w:r w:rsidR="00B571FA">
        <w:rPr>
          <w:snapToGrid w:val="0"/>
          <w:color w:val="000000" w:themeColor="text1"/>
        </w:rPr>
        <w:noBreakHyphen/>
      </w:r>
      <w:r w:rsidR="00A47212" w:rsidRPr="00EE6832">
        <w:rPr>
          <w:snapToGrid w:val="0"/>
          <w:color w:val="000000" w:themeColor="text1"/>
        </w:rPr>
        <w:t>related quality of life or neurocognition compared with placebo.</w:t>
      </w:r>
      <w:r w:rsidR="002A7FB5" w:rsidRPr="00EE6832">
        <w:rPr>
          <w:snapToGrid w:val="0"/>
          <w:color w:val="000000" w:themeColor="text1"/>
        </w:rPr>
        <w:t xml:space="preserve"> </w:t>
      </w:r>
    </w:p>
    <w:p w14:paraId="774E7C71" w14:textId="004E4A92" w:rsidR="00F76BF1" w:rsidRDefault="00F76BF1" w:rsidP="00F36268">
      <w:pPr>
        <w:pStyle w:val="3-BodyText"/>
        <w:rPr>
          <w:snapToGrid w:val="0"/>
          <w:color w:val="000000" w:themeColor="text1"/>
        </w:rPr>
      </w:pPr>
      <w:r w:rsidRPr="00264A01">
        <w:rPr>
          <w:rFonts w:cs="Arial"/>
          <w:bCs/>
          <w:snapToGrid w:val="0"/>
          <w:szCs w:val="24"/>
        </w:rPr>
        <w:t>The PBAC noted the inputs were supportive of the evidence provided in the submission.</w:t>
      </w:r>
    </w:p>
    <w:bookmarkEnd w:id="3"/>
    <w:bookmarkEnd w:id="5"/>
    <w:p w14:paraId="4FB7E7DE" w14:textId="77777777" w:rsidR="001C3F45" w:rsidRDefault="001C3F45" w:rsidP="00F36268">
      <w:pPr>
        <w:pStyle w:val="4-SubsectionHeading"/>
      </w:pPr>
      <w:r>
        <w:t>Clinical claim</w:t>
      </w:r>
    </w:p>
    <w:p w14:paraId="5D470271" w14:textId="4AC2D2F7" w:rsidR="001C3F45" w:rsidRDefault="006274D1" w:rsidP="00F36268">
      <w:pPr>
        <w:pStyle w:val="3-BodyText"/>
      </w:pPr>
      <w:r>
        <w:t>A</w:t>
      </w:r>
      <w:r w:rsidRPr="006274D1">
        <w:t xml:space="preserve"> new data cut from the INDIGO trial </w:t>
      </w:r>
      <w:r>
        <w:t>was presented in the early re</w:t>
      </w:r>
      <w:r w:rsidR="00B571FA">
        <w:noBreakHyphen/>
      </w:r>
      <w:r>
        <w:t>entry resubmission</w:t>
      </w:r>
      <w:r w:rsidR="00AE7A08">
        <w:t xml:space="preserve"> </w:t>
      </w:r>
      <w:r w:rsidR="008D3BB0">
        <w:t xml:space="preserve">(see paragraph </w:t>
      </w:r>
      <w:r w:rsidR="009E176B">
        <w:fldChar w:fldCharType="begin"/>
      </w:r>
      <w:r w:rsidR="009E176B">
        <w:instrText xml:space="preserve"> REF _Ref222377108 \r \h </w:instrText>
      </w:r>
      <w:r w:rsidR="009E176B">
        <w:fldChar w:fldCharType="separate"/>
      </w:r>
      <w:r w:rsidR="00490573">
        <w:t>4.21</w:t>
      </w:r>
      <w:r w:rsidR="009E176B">
        <w:fldChar w:fldCharType="end"/>
      </w:r>
      <w:r w:rsidR="00B571FA">
        <w:noBreakHyphen/>
      </w:r>
      <w:r w:rsidR="009E176B">
        <w:fldChar w:fldCharType="begin"/>
      </w:r>
      <w:r w:rsidR="009E176B">
        <w:instrText xml:space="preserve"> REF _Ref222377110 \r \h </w:instrText>
      </w:r>
      <w:r w:rsidR="009E176B">
        <w:fldChar w:fldCharType="separate"/>
      </w:r>
      <w:r w:rsidR="00490573">
        <w:t>4.22</w:t>
      </w:r>
      <w:r w:rsidR="009E176B">
        <w:fldChar w:fldCharType="end"/>
      </w:r>
      <w:r w:rsidR="009E176B">
        <w:t>)</w:t>
      </w:r>
      <w:r>
        <w:t>.</w:t>
      </w:r>
      <w:r w:rsidR="00F612C7">
        <w:t xml:space="preserve"> This did not change the clinical claim </w:t>
      </w:r>
      <w:r w:rsidR="00E767D7">
        <w:t>of the submission.</w:t>
      </w:r>
      <w:r w:rsidRPr="006274D1">
        <w:t xml:space="preserve"> </w:t>
      </w:r>
    </w:p>
    <w:p w14:paraId="08359E3E" w14:textId="298D3B9B" w:rsidR="001C3F45" w:rsidRDefault="001C3F45" w:rsidP="00F36268">
      <w:pPr>
        <w:pStyle w:val="3-BodyText"/>
      </w:pPr>
      <w:r>
        <w:t xml:space="preserve">The PBAC </w:t>
      </w:r>
      <w:r w:rsidR="003C3EBF">
        <w:t xml:space="preserve">previously </w:t>
      </w:r>
      <w:r w:rsidR="00D56687" w:rsidRPr="00D56687">
        <w:t xml:space="preserve">accepted the clinical claim of superior efficacy compared to active surveillance in terms of radiographic progression and acknowledged that delaying the need for chemotherapy and radiotherapy is a clinically meaningful outcome that is likely to impact on patient quality of life (QoL) </w:t>
      </w:r>
      <w:r>
        <w:t>(</w:t>
      </w:r>
      <w:r w:rsidR="007F7C3B">
        <w:t>paragraph</w:t>
      </w:r>
      <w:r>
        <w:t xml:space="preserve"> 7.1, </w:t>
      </w:r>
      <w:r w:rsidR="00B005A2">
        <w:t>vorasidenib PSD</w:t>
      </w:r>
      <w:r>
        <w:t xml:space="preserve">, </w:t>
      </w:r>
      <w:r w:rsidR="00B005A2">
        <w:t xml:space="preserve">July </w:t>
      </w:r>
      <w:r>
        <w:t>2025</w:t>
      </w:r>
      <w:r w:rsidR="003C3EBF">
        <w:t xml:space="preserve"> PBAC </w:t>
      </w:r>
      <w:r w:rsidR="006B3AC9">
        <w:t>m</w:t>
      </w:r>
      <w:r w:rsidR="003C3EBF">
        <w:t>eeting</w:t>
      </w:r>
      <w:r>
        <w:t>).</w:t>
      </w:r>
      <w:r w:rsidR="007C3670">
        <w:t xml:space="preserve"> </w:t>
      </w:r>
      <w:r w:rsidR="007C3670">
        <w:rPr>
          <w:snapToGrid w:val="0"/>
        </w:rPr>
        <w:t xml:space="preserve">The PBAC considered the claim </w:t>
      </w:r>
      <w:r w:rsidR="003C3EBF">
        <w:rPr>
          <w:snapToGrid w:val="0"/>
        </w:rPr>
        <w:t>of</w:t>
      </w:r>
      <w:r w:rsidR="007C3670">
        <w:rPr>
          <w:snapToGrid w:val="0"/>
        </w:rPr>
        <w:t xml:space="preserve"> inferior safety compared with active surveillance was reasonable, and that there were no major safety concerns, though long term safety data are not available </w:t>
      </w:r>
      <w:r w:rsidR="001D42BD">
        <w:t>(</w:t>
      </w:r>
      <w:r w:rsidR="007F7C3B">
        <w:t>paragraph</w:t>
      </w:r>
      <w:r w:rsidR="001D42BD">
        <w:t xml:space="preserve"> 7.11, vorasidenib PSD, July 2025</w:t>
      </w:r>
      <w:r w:rsidR="003C3EBF">
        <w:t xml:space="preserve"> PBAC </w:t>
      </w:r>
      <w:r w:rsidR="006B3AC9">
        <w:t>m</w:t>
      </w:r>
      <w:r w:rsidR="003C3EBF">
        <w:t>eeting</w:t>
      </w:r>
      <w:r w:rsidR="001D42BD">
        <w:t>).</w:t>
      </w:r>
    </w:p>
    <w:p w14:paraId="553CC2AF" w14:textId="210AF978" w:rsidR="000105FC" w:rsidRPr="00CE42B4" w:rsidRDefault="000105FC" w:rsidP="00F36268">
      <w:pPr>
        <w:pStyle w:val="3-BodyText"/>
        <w:rPr>
          <w:snapToGrid w:val="0"/>
        </w:rPr>
      </w:pPr>
      <w:bookmarkStart w:id="6" w:name="_Hlk76376200"/>
      <w:r w:rsidRPr="00CE42B4">
        <w:rPr>
          <w:iCs/>
          <w:snapToGrid w:val="0"/>
        </w:rPr>
        <w:t>The</w:t>
      </w:r>
      <w:r w:rsidRPr="00CE42B4">
        <w:rPr>
          <w:snapToGrid w:val="0"/>
        </w:rPr>
        <w:t xml:space="preserve"> PBAC </w:t>
      </w:r>
      <w:r w:rsidR="00A762F6">
        <w:rPr>
          <w:snapToGrid w:val="0"/>
        </w:rPr>
        <w:t xml:space="preserve">maintained its view </w:t>
      </w:r>
      <w:r w:rsidRPr="00CE42B4">
        <w:rPr>
          <w:snapToGrid w:val="0"/>
        </w:rPr>
        <w:t>that the claim of superior comparative effectiveness was reasonable.</w:t>
      </w:r>
    </w:p>
    <w:p w14:paraId="69B3045A" w14:textId="0FD0EA07" w:rsidR="007A0A82" w:rsidRPr="004D19E5" w:rsidRDefault="000105FC" w:rsidP="00F36268">
      <w:pPr>
        <w:pStyle w:val="3-BodyText"/>
        <w:rPr>
          <w:snapToGrid w:val="0"/>
        </w:rPr>
      </w:pPr>
      <w:r w:rsidRPr="00CE42B4">
        <w:rPr>
          <w:snapToGrid w:val="0"/>
        </w:rPr>
        <w:t xml:space="preserve">The PBAC </w:t>
      </w:r>
      <w:r w:rsidR="00A762F6">
        <w:rPr>
          <w:snapToGrid w:val="0"/>
        </w:rPr>
        <w:t xml:space="preserve">maintained its view </w:t>
      </w:r>
      <w:r w:rsidRPr="00CE42B4">
        <w:rPr>
          <w:snapToGrid w:val="0"/>
        </w:rPr>
        <w:t>that the claim of inferior comparative safety was reasonable</w:t>
      </w:r>
      <w:bookmarkEnd w:id="6"/>
      <w:r>
        <w:rPr>
          <w:snapToGrid w:val="0"/>
        </w:rPr>
        <w:t>.</w:t>
      </w:r>
    </w:p>
    <w:p w14:paraId="0C04674D" w14:textId="77777777" w:rsidR="001C3F45" w:rsidRDefault="001C3F45" w:rsidP="00F36268">
      <w:pPr>
        <w:pStyle w:val="4-SubsectionHeading"/>
        <w:keepNext/>
        <w:keepLines/>
      </w:pPr>
      <w:r>
        <w:t>Economic analysis</w:t>
      </w:r>
    </w:p>
    <w:p w14:paraId="2C860D05" w14:textId="24C09C76" w:rsidR="00FF2374" w:rsidRDefault="00FF2374" w:rsidP="00F36268">
      <w:pPr>
        <w:pStyle w:val="3-BodyText"/>
        <w:keepNext/>
        <w:keepLines/>
      </w:pPr>
      <w:bookmarkStart w:id="7" w:name="_Ref225386369"/>
      <w:r>
        <w:t>At the July 2025 meeting, the PBAC considered that a more reasonable base case would</w:t>
      </w:r>
      <w:r w:rsidR="008261CC">
        <w:t>:</w:t>
      </w:r>
      <w:bookmarkEnd w:id="7"/>
      <w:r>
        <w:t xml:space="preserve"> </w:t>
      </w:r>
    </w:p>
    <w:p w14:paraId="2DAE45D8" w14:textId="24BCEA83" w:rsidR="00FF2374" w:rsidRPr="002C0247" w:rsidRDefault="00FF2374" w:rsidP="00F36268">
      <w:pPr>
        <w:pStyle w:val="3-BodyText"/>
        <w:numPr>
          <w:ilvl w:val="1"/>
          <w:numId w:val="4"/>
        </w:numPr>
        <w:ind w:left="1080"/>
      </w:pPr>
      <w:r w:rsidRPr="002C0247">
        <w:t xml:space="preserve">incorporate more conservative assumptions regarding PFS/OS (Weibull extrapolation function for PFS) and utility values (as per </w:t>
      </w:r>
      <w:r w:rsidR="002D3FC2">
        <w:t>d</w:t>
      </w:r>
      <w:r w:rsidRPr="002C0247">
        <w:t>abrafenib + trametinib submission, March 2024 PBAC meeting).</w:t>
      </w:r>
    </w:p>
    <w:p w14:paraId="11BA3ED2" w14:textId="22F53BC8" w:rsidR="00FF2374" w:rsidRDefault="00FF2374" w:rsidP="00F36268">
      <w:pPr>
        <w:pStyle w:val="3-BodyText"/>
        <w:numPr>
          <w:ilvl w:val="1"/>
          <w:numId w:val="4"/>
        </w:numPr>
        <w:ind w:left="1080"/>
      </w:pPr>
      <w:r w:rsidRPr="002C0247">
        <w:lastRenderedPageBreak/>
        <w:t xml:space="preserve">Including the revisions of the economic model as proposed, the resultant ICER should be of </w:t>
      </w:r>
      <w:r w:rsidR="00676844" w:rsidRPr="00676844">
        <w:t>$75,000 to &lt; $95,000</w:t>
      </w:r>
      <w:r w:rsidRPr="002C0247">
        <w:t>/QALY or less, reflecting the high level of uncertainty regarding the magnitude of long</w:t>
      </w:r>
      <w:r w:rsidR="00B571FA">
        <w:noBreakHyphen/>
      </w:r>
      <w:r w:rsidRPr="002C0247">
        <w:t xml:space="preserve">term benefits of treatment. </w:t>
      </w:r>
    </w:p>
    <w:p w14:paraId="1B07ED98" w14:textId="73CC4BE8" w:rsidR="00FF2374" w:rsidRDefault="0035719D" w:rsidP="00F36268">
      <w:pPr>
        <w:pStyle w:val="3-BodyText"/>
      </w:pPr>
      <w:r>
        <w:t xml:space="preserve">The resubmission </w:t>
      </w:r>
      <w:r w:rsidR="000978C5">
        <w:t xml:space="preserve">noted that the structure and function of the economic model were unchanged, but </w:t>
      </w:r>
      <w:proofErr w:type="gramStart"/>
      <w:r w:rsidR="009B24B2">
        <w:t>a number of</w:t>
      </w:r>
      <w:proofErr w:type="gramEnd"/>
      <w:r w:rsidR="009B24B2">
        <w:t xml:space="preserve"> inputs were revised</w:t>
      </w:r>
      <w:r w:rsidR="00AD66B7">
        <w:t xml:space="preserve"> and</w:t>
      </w:r>
      <w:r w:rsidR="00C103C9">
        <w:t xml:space="preserve"> </w:t>
      </w:r>
      <w:r w:rsidR="00AD66B7">
        <w:t>corrections applied</w:t>
      </w:r>
      <w:r w:rsidR="009B24B2">
        <w:t xml:space="preserve"> in the resubmission </w:t>
      </w:r>
      <w:r w:rsidR="00AD66B7">
        <w:t xml:space="preserve">model </w:t>
      </w:r>
      <w:r w:rsidR="009B24B2">
        <w:t>as outline</w:t>
      </w:r>
      <w:r w:rsidR="00D30F52">
        <w:t>d</w:t>
      </w:r>
      <w:r w:rsidR="009B24B2">
        <w:t xml:space="preserve"> in</w:t>
      </w:r>
      <w:r w:rsidR="00D30F52">
        <w:t xml:space="preserve"> </w:t>
      </w:r>
      <w:r w:rsidR="00D30F52">
        <w:fldChar w:fldCharType="begin"/>
      </w:r>
      <w:r w:rsidR="00D30F52">
        <w:instrText xml:space="preserve"> REF _Ref222318433 \h </w:instrText>
      </w:r>
      <w:r w:rsidR="00D30F52">
        <w:fldChar w:fldCharType="separate"/>
      </w:r>
      <w:r w:rsidR="0031315F">
        <w:t xml:space="preserve">Table </w:t>
      </w:r>
      <w:r w:rsidR="0031315F">
        <w:rPr>
          <w:noProof/>
        </w:rPr>
        <w:t>3</w:t>
      </w:r>
      <w:r w:rsidR="00D30F52">
        <w:fldChar w:fldCharType="end"/>
      </w:r>
      <w:r w:rsidR="0065568C">
        <w:t>.</w:t>
      </w:r>
      <w:r w:rsidR="009B24B2">
        <w:t xml:space="preserve"> </w:t>
      </w:r>
      <w:r w:rsidR="001A4064">
        <w:t xml:space="preserve">The resubmission proposed a </w:t>
      </w:r>
      <w:r w:rsidR="0024159D" w:rsidRPr="0024159D">
        <w:rPr>
          <w:sz w:val="2"/>
          <w:highlight w:val="black"/>
        </w:rPr>
        <w:t>redacted content</w:t>
      </w:r>
      <w:r w:rsidR="001A4064">
        <w:t>% reduction to the effective ex</w:t>
      </w:r>
      <w:r w:rsidR="00B571FA">
        <w:noBreakHyphen/>
      </w:r>
      <w:r w:rsidR="001A4064">
        <w:t>manufacturer price of vorasidenib.</w:t>
      </w:r>
      <w:r w:rsidR="00E8043B" w:rsidRPr="00265ED8">
        <w:t xml:space="preserve"> As an early re</w:t>
      </w:r>
      <w:r w:rsidR="00B571FA">
        <w:noBreakHyphen/>
      </w:r>
      <w:r w:rsidR="00E8043B" w:rsidRPr="00265ED8">
        <w:t xml:space="preserve">entry submission the </w:t>
      </w:r>
      <w:r w:rsidR="00EC6F42" w:rsidRPr="00265ED8">
        <w:t xml:space="preserve">revisions to the </w:t>
      </w:r>
      <w:r w:rsidR="00E8043B" w:rsidRPr="00265ED8">
        <w:t>economic model ha</w:t>
      </w:r>
      <w:r w:rsidR="00EC6F42" w:rsidRPr="00265ED8">
        <w:t>ve</w:t>
      </w:r>
      <w:r w:rsidR="00E8043B" w:rsidRPr="00265ED8">
        <w:t xml:space="preserve"> not been independently evalua</w:t>
      </w:r>
      <w:r w:rsidR="00EC6F42" w:rsidRPr="00265ED8">
        <w:t>ted.</w:t>
      </w:r>
    </w:p>
    <w:p w14:paraId="0DF86F1D" w14:textId="504CB5D5" w:rsidR="009B24B2" w:rsidRDefault="009B24B2" w:rsidP="00F36268">
      <w:pPr>
        <w:pStyle w:val="TableFigureHeading"/>
      </w:pPr>
      <w:bookmarkStart w:id="8" w:name="_Ref222318433"/>
      <w:r>
        <w:t xml:space="preserve">Table </w:t>
      </w:r>
      <w:fldSimple w:instr=" SEQ Table \* ARABIC ">
        <w:r w:rsidR="0031315F">
          <w:rPr>
            <w:noProof/>
          </w:rPr>
          <w:t>3</w:t>
        </w:r>
      </w:fldSimple>
      <w:bookmarkEnd w:id="8"/>
      <w:r>
        <w:t>: Resubmission model changes</w:t>
      </w:r>
    </w:p>
    <w:tbl>
      <w:tblPr>
        <w:tblStyle w:val="TableGrid"/>
        <w:tblW w:w="5000" w:type="pct"/>
        <w:tblLook w:val="04A0" w:firstRow="1" w:lastRow="0" w:firstColumn="1" w:lastColumn="0" w:noHBand="0" w:noVBand="1"/>
        <w:tblCaption w:val="Table 3: Resubmission model changes"/>
      </w:tblPr>
      <w:tblGrid>
        <w:gridCol w:w="2400"/>
        <w:gridCol w:w="6616"/>
      </w:tblGrid>
      <w:tr w:rsidR="002D01B2" w:rsidRPr="00DD38A9" w14:paraId="741124DB" w14:textId="77777777" w:rsidTr="00DE50B8">
        <w:tc>
          <w:tcPr>
            <w:tcW w:w="1331" w:type="pct"/>
          </w:tcPr>
          <w:p w14:paraId="6075285A" w14:textId="34D9977A" w:rsidR="002D01B2" w:rsidRPr="00DD38A9" w:rsidRDefault="002D01B2" w:rsidP="00F36268">
            <w:pPr>
              <w:pStyle w:val="TableText"/>
              <w:rPr>
                <w:b/>
                <w:bCs w:val="0"/>
              </w:rPr>
            </w:pPr>
            <w:r w:rsidRPr="00DD38A9">
              <w:rPr>
                <w:b/>
                <w:bCs w:val="0"/>
              </w:rPr>
              <w:t>Input</w:t>
            </w:r>
            <w:r w:rsidR="00092AF0">
              <w:rPr>
                <w:b/>
                <w:bCs w:val="0"/>
              </w:rPr>
              <w:t>/issue</w:t>
            </w:r>
          </w:p>
        </w:tc>
        <w:tc>
          <w:tcPr>
            <w:tcW w:w="3669" w:type="pct"/>
          </w:tcPr>
          <w:p w14:paraId="099A007B" w14:textId="6E77E101" w:rsidR="002D01B2" w:rsidRPr="00DD38A9" w:rsidRDefault="002D01B2" w:rsidP="00F36268">
            <w:pPr>
              <w:pStyle w:val="TableText"/>
              <w:rPr>
                <w:b/>
                <w:bCs w:val="0"/>
              </w:rPr>
            </w:pPr>
            <w:r w:rsidRPr="00DD38A9">
              <w:rPr>
                <w:b/>
                <w:bCs w:val="0"/>
              </w:rPr>
              <w:t>Description</w:t>
            </w:r>
            <w:r>
              <w:rPr>
                <w:b/>
                <w:bCs w:val="0"/>
              </w:rPr>
              <w:t xml:space="preserve"> of change</w:t>
            </w:r>
          </w:p>
        </w:tc>
      </w:tr>
      <w:tr w:rsidR="002D01B2" w14:paraId="43DACE3C" w14:textId="77777777" w:rsidTr="00DE50B8">
        <w:tc>
          <w:tcPr>
            <w:tcW w:w="1331" w:type="pct"/>
          </w:tcPr>
          <w:p w14:paraId="68FE8847" w14:textId="279859F3" w:rsidR="002D01B2" w:rsidRDefault="00455AD1" w:rsidP="00F36268">
            <w:pPr>
              <w:pStyle w:val="TableText"/>
            </w:pPr>
            <w:r>
              <w:t>Updates to fees, copayments and unit costs</w:t>
            </w:r>
          </w:p>
        </w:tc>
        <w:tc>
          <w:tcPr>
            <w:tcW w:w="3669" w:type="pct"/>
          </w:tcPr>
          <w:p w14:paraId="07BEF572" w14:textId="347FEABB" w:rsidR="00F75048" w:rsidRDefault="00D30F52" w:rsidP="00F36268">
            <w:pPr>
              <w:pStyle w:val="TableText"/>
            </w:pPr>
            <w:r>
              <w:t>U</w:t>
            </w:r>
            <w:r w:rsidR="002D01B2">
              <w:t xml:space="preserve">pdates </w:t>
            </w:r>
            <w:r>
              <w:t xml:space="preserve">were </w:t>
            </w:r>
            <w:r w:rsidR="002D01B2">
              <w:t>made to fees, copayments</w:t>
            </w:r>
            <w:r w:rsidR="00ED30C8">
              <w:t xml:space="preserve">, </w:t>
            </w:r>
            <w:r w:rsidR="002D01B2">
              <w:t>unit costs</w:t>
            </w:r>
            <w:r w:rsidR="00F00219">
              <w:t>, life tables</w:t>
            </w:r>
            <w:r w:rsidR="00FD3285">
              <w:t>, utilisatio</w:t>
            </w:r>
            <w:r w:rsidR="00DF78F4">
              <w:t>n</w:t>
            </w:r>
            <w:r w:rsidR="00A30B2F">
              <w:t xml:space="preserve"> data</w:t>
            </w:r>
            <w:r w:rsidR="00316021">
              <w:t>.</w:t>
            </w:r>
          </w:p>
        </w:tc>
      </w:tr>
      <w:tr w:rsidR="00516D5F" w14:paraId="02D667D6" w14:textId="77777777" w:rsidTr="00DE50B8">
        <w:tc>
          <w:tcPr>
            <w:tcW w:w="1331" w:type="pct"/>
          </w:tcPr>
          <w:p w14:paraId="4963B928" w14:textId="6E8B8269" w:rsidR="00516D5F" w:rsidRDefault="00516D5F" w:rsidP="00F36268">
            <w:pPr>
              <w:pStyle w:val="TableText"/>
            </w:pPr>
            <w:r>
              <w:t>Model corrections</w:t>
            </w:r>
          </w:p>
        </w:tc>
        <w:tc>
          <w:tcPr>
            <w:tcW w:w="3669" w:type="pct"/>
          </w:tcPr>
          <w:p w14:paraId="23090301" w14:textId="61301610" w:rsidR="00516D5F" w:rsidRDefault="00516D5F" w:rsidP="00F36268">
            <w:pPr>
              <w:pStyle w:val="TableText"/>
            </w:pPr>
            <w:r>
              <w:t>Revision of the MRI costs to reflect use in the INDIGO trial (</w:t>
            </w:r>
            <w:r w:rsidR="007F7C3B">
              <w:t>paragraph</w:t>
            </w:r>
            <w:r w:rsidR="00AD3885">
              <w:t xml:space="preserve"> 6.44</w:t>
            </w:r>
            <w:r w:rsidR="008E2619">
              <w:t>, vorasidenib PSD, July 2025 PBAC meeting</w:t>
            </w:r>
            <w:r w:rsidR="00AD3885">
              <w:t>)</w:t>
            </w:r>
          </w:p>
          <w:p w14:paraId="2BC50B11" w14:textId="0CCB5149" w:rsidR="00516D5F" w:rsidRDefault="00516D5F" w:rsidP="00F36268">
            <w:pPr>
              <w:pStyle w:val="TableText"/>
            </w:pPr>
            <w:r>
              <w:t>Correction to the calculation of costs per cycle to 30.44 days</w:t>
            </w:r>
            <w:r w:rsidR="007D2352">
              <w:t xml:space="preserve"> </w:t>
            </w:r>
            <w:r w:rsidR="00AD3885">
              <w:t>(</w:t>
            </w:r>
            <w:r w:rsidR="007F7C3B">
              <w:t>paragraph</w:t>
            </w:r>
            <w:r w:rsidR="00AD3885">
              <w:t xml:space="preserve"> 6.45</w:t>
            </w:r>
            <w:r w:rsidR="007C78B3">
              <w:t>, vorasidenib PSD, July 2025 PBAC meeting</w:t>
            </w:r>
            <w:r w:rsidR="00AD3885">
              <w:t>)</w:t>
            </w:r>
          </w:p>
          <w:p w14:paraId="11C30D00" w14:textId="41464C83" w:rsidR="00516D5F" w:rsidRDefault="00516D5F" w:rsidP="00F36268">
            <w:pPr>
              <w:pStyle w:val="TableText"/>
            </w:pPr>
            <w:r>
              <w:t>Correction of an error in transition probabilities.</w:t>
            </w:r>
          </w:p>
        </w:tc>
      </w:tr>
      <w:tr w:rsidR="002D01B2" w14:paraId="1C1EA93E" w14:textId="77777777" w:rsidTr="00DE50B8">
        <w:tc>
          <w:tcPr>
            <w:tcW w:w="1331" w:type="pct"/>
          </w:tcPr>
          <w:p w14:paraId="34BA628D" w14:textId="2D48021C" w:rsidR="002D01B2" w:rsidRDefault="00455AD1" w:rsidP="00F36268">
            <w:pPr>
              <w:pStyle w:val="TableText"/>
            </w:pPr>
            <w:r>
              <w:t>Extrapolation of PFS</w:t>
            </w:r>
          </w:p>
        </w:tc>
        <w:tc>
          <w:tcPr>
            <w:tcW w:w="3669" w:type="pct"/>
          </w:tcPr>
          <w:p w14:paraId="6D6378D0" w14:textId="3F04D71C" w:rsidR="002D01B2" w:rsidRDefault="00651972" w:rsidP="00F36268">
            <w:pPr>
              <w:pStyle w:val="TableText"/>
            </w:pPr>
            <w:r>
              <w:t xml:space="preserve">Updated PFS </w:t>
            </w:r>
            <w:r w:rsidR="00FA28D6">
              <w:t xml:space="preserve">(INV) </w:t>
            </w:r>
            <w:r>
              <w:t>extrapolations are applied in the revised economic analysis</w:t>
            </w:r>
            <w:r w:rsidR="00B30DE1">
              <w:t xml:space="preserve"> based on </w:t>
            </w:r>
            <w:r w:rsidR="00173915">
              <w:t>updated</w:t>
            </w:r>
            <w:r w:rsidR="00B30DE1">
              <w:t xml:space="preserve"> data from INDIGO</w:t>
            </w:r>
            <w:r w:rsidR="00173915">
              <w:t>.</w:t>
            </w:r>
          </w:p>
        </w:tc>
      </w:tr>
      <w:tr w:rsidR="002D01B2" w14:paraId="09987D4C" w14:textId="77777777" w:rsidTr="00DE50B8">
        <w:tc>
          <w:tcPr>
            <w:tcW w:w="1331" w:type="pct"/>
          </w:tcPr>
          <w:p w14:paraId="06646858" w14:textId="158BC684" w:rsidR="002D01B2" w:rsidRDefault="00455AD1" w:rsidP="00F36268">
            <w:pPr>
              <w:pStyle w:val="TableText"/>
            </w:pPr>
            <w:r>
              <w:t>Duration of treatment with vorasidenib</w:t>
            </w:r>
          </w:p>
        </w:tc>
        <w:tc>
          <w:tcPr>
            <w:tcW w:w="3669" w:type="pct"/>
          </w:tcPr>
          <w:p w14:paraId="5503B08A" w14:textId="37AA884F" w:rsidR="002D01B2" w:rsidRDefault="00FA1625" w:rsidP="00F36268">
            <w:pPr>
              <w:pStyle w:val="TableText"/>
            </w:pPr>
            <w:r>
              <w:t xml:space="preserve">Increased from </w:t>
            </w:r>
            <w:r w:rsidR="00190627">
              <w:t>5.37 years</w:t>
            </w:r>
            <w:r w:rsidR="001104CA">
              <w:t xml:space="preserve"> (mean)</w:t>
            </w:r>
            <w:r w:rsidR="003D6CD3">
              <w:t xml:space="preserve"> to </w:t>
            </w:r>
            <w:r w:rsidR="00B41BA1">
              <w:t>10.</w:t>
            </w:r>
            <w:r w:rsidR="000734A1">
              <w:t>16</w:t>
            </w:r>
            <w:r w:rsidR="00122586">
              <w:t xml:space="preserve"> years</w:t>
            </w:r>
            <w:r w:rsidR="003D6CD3">
              <w:t xml:space="preserve"> b</w:t>
            </w:r>
            <w:r w:rsidR="00CD2DD9">
              <w:t xml:space="preserve">ased </w:t>
            </w:r>
            <w:r w:rsidR="00FD231C">
              <w:t>on updated PFS (INV</w:t>
            </w:r>
            <w:r>
              <w:t xml:space="preserve">) </w:t>
            </w:r>
            <w:r w:rsidR="003D6CD3">
              <w:t>extrapolations.</w:t>
            </w:r>
            <w:r w:rsidR="00FD231C">
              <w:t xml:space="preserve"> </w:t>
            </w:r>
          </w:p>
        </w:tc>
      </w:tr>
      <w:tr w:rsidR="002D01B2" w14:paraId="784F2B2E" w14:textId="77777777" w:rsidTr="00DE50B8">
        <w:tc>
          <w:tcPr>
            <w:tcW w:w="1331" w:type="pct"/>
          </w:tcPr>
          <w:p w14:paraId="646BF29D" w14:textId="7234C8A1" w:rsidR="002D01B2" w:rsidRDefault="00455AD1" w:rsidP="00F36268">
            <w:pPr>
              <w:pStyle w:val="TableText"/>
            </w:pPr>
            <w:r>
              <w:t>Translation of PFS to OS</w:t>
            </w:r>
          </w:p>
        </w:tc>
        <w:tc>
          <w:tcPr>
            <w:tcW w:w="3669" w:type="pct"/>
          </w:tcPr>
          <w:p w14:paraId="1C4759DD" w14:textId="40183182" w:rsidR="002D01B2" w:rsidRDefault="00170835" w:rsidP="00F36268">
            <w:pPr>
              <w:pStyle w:val="TableText"/>
            </w:pPr>
            <w:r>
              <w:t>Unchanged, presented additional evidence to support</w:t>
            </w:r>
            <w:r w:rsidR="0076484C">
              <w:t xml:space="preserve"> the relationship between PFS and OS</w:t>
            </w:r>
            <w:r w:rsidR="009424B0">
              <w:t>.</w:t>
            </w:r>
          </w:p>
        </w:tc>
      </w:tr>
      <w:tr w:rsidR="002D01B2" w14:paraId="28C3758F" w14:textId="77777777" w:rsidTr="00DE50B8">
        <w:tc>
          <w:tcPr>
            <w:tcW w:w="1331" w:type="pct"/>
          </w:tcPr>
          <w:p w14:paraId="604F5A9A" w14:textId="4A53A9EA" w:rsidR="002D01B2" w:rsidRDefault="00092AF0" w:rsidP="00F36268">
            <w:pPr>
              <w:pStyle w:val="TableText"/>
            </w:pPr>
            <w:r>
              <w:t>Utilities</w:t>
            </w:r>
          </w:p>
        </w:tc>
        <w:tc>
          <w:tcPr>
            <w:tcW w:w="3669" w:type="pct"/>
          </w:tcPr>
          <w:p w14:paraId="5F53B13E" w14:textId="5EE4F4C2" w:rsidR="002D01B2" w:rsidRDefault="00F203B5" w:rsidP="00F36268">
            <w:pPr>
              <w:pStyle w:val="TableText"/>
            </w:pPr>
            <w:r>
              <w:t>Unchanged</w:t>
            </w:r>
            <w:r w:rsidR="007C1D47">
              <w:t xml:space="preserve"> (</w:t>
            </w:r>
            <w:r w:rsidR="00FE526A">
              <w:t>values from INDIGO</w:t>
            </w:r>
            <w:r w:rsidR="00C17937">
              <w:t xml:space="preserve"> </w:t>
            </w:r>
            <w:r w:rsidR="007C1D47">
              <w:t>and post</w:t>
            </w:r>
            <w:r w:rsidR="00B571FA">
              <w:noBreakHyphen/>
            </w:r>
            <w:r w:rsidR="007C1D47">
              <w:t>progression</w:t>
            </w:r>
            <w:r w:rsidR="00C17937">
              <w:t xml:space="preserve"> values based on linear decline</w:t>
            </w:r>
            <w:r w:rsidR="007C1D47">
              <w:t>)</w:t>
            </w:r>
          </w:p>
        </w:tc>
      </w:tr>
    </w:tbl>
    <w:p w14:paraId="072E2451" w14:textId="4BEF3ACF" w:rsidR="009928F2" w:rsidRDefault="009928F2" w:rsidP="00F36268">
      <w:pPr>
        <w:pStyle w:val="TableFigureFooter"/>
      </w:pPr>
      <w:r>
        <w:t>Abbreviations: INV = investigator assessed; KM = Kaplan</w:t>
      </w:r>
      <w:r w:rsidR="00B571FA">
        <w:noBreakHyphen/>
      </w:r>
      <w:r>
        <w:t xml:space="preserve">Meier; </w:t>
      </w:r>
      <w:r w:rsidR="001830BD">
        <w:t xml:space="preserve">MRI = magnetic resonance imaging; OS = overall survival; </w:t>
      </w:r>
      <w:r>
        <w:t>PFS = progression free survival; PSD = public summary document</w:t>
      </w:r>
    </w:p>
    <w:p w14:paraId="7BB28CC8" w14:textId="09AC873C" w:rsidR="008261CC" w:rsidRPr="001369ED" w:rsidRDefault="00824EAF" w:rsidP="00F36268">
      <w:pPr>
        <w:pStyle w:val="3-BodyText"/>
        <w:numPr>
          <w:ilvl w:val="0"/>
          <w:numId w:val="0"/>
        </w:numPr>
        <w:ind w:left="720" w:hanging="720"/>
        <w:rPr>
          <w:b/>
          <w:bCs/>
        </w:rPr>
      </w:pPr>
      <w:r>
        <w:rPr>
          <w:b/>
          <w:bCs/>
        </w:rPr>
        <w:t>Corrections and u</w:t>
      </w:r>
      <w:r w:rsidR="008261CC" w:rsidRPr="001369ED">
        <w:rPr>
          <w:b/>
          <w:bCs/>
        </w:rPr>
        <w:t>pdates to fees, copayments</w:t>
      </w:r>
      <w:r>
        <w:rPr>
          <w:b/>
          <w:bCs/>
        </w:rPr>
        <w:t xml:space="preserve">, </w:t>
      </w:r>
      <w:r w:rsidR="008261CC" w:rsidRPr="001369ED">
        <w:rPr>
          <w:b/>
          <w:bCs/>
        </w:rPr>
        <w:t>unit costs</w:t>
      </w:r>
    </w:p>
    <w:p w14:paraId="30718578" w14:textId="04E994C6" w:rsidR="00824EAF" w:rsidRDefault="00DA0E92" w:rsidP="00F36268">
      <w:pPr>
        <w:pStyle w:val="3-BodyText"/>
      </w:pPr>
      <w:r>
        <w:t xml:space="preserve">The resubmission updated </w:t>
      </w:r>
      <w:r w:rsidR="00DD6C17">
        <w:t>MBS fees, PBS prices</w:t>
      </w:r>
      <w:r w:rsidR="00C10F10">
        <w:t xml:space="preserve">, </w:t>
      </w:r>
      <w:r w:rsidR="00DD6C17">
        <w:t>mark</w:t>
      </w:r>
      <w:r w:rsidR="00B571FA">
        <w:noBreakHyphen/>
      </w:r>
      <w:r w:rsidR="00DD6C17">
        <w:t>ups</w:t>
      </w:r>
      <w:r w:rsidR="00C10F10">
        <w:t xml:space="preserve"> and copayments</w:t>
      </w:r>
      <w:r w:rsidR="000B5E56">
        <w:t xml:space="preserve"> and CGRP inhibitor utilisation data. </w:t>
      </w:r>
      <w:r w:rsidR="00F44928">
        <w:t>Updated life tables were also applied (Nov 2025 release).</w:t>
      </w:r>
      <w:r w:rsidR="00C10F10">
        <w:t xml:space="preserve"> In </w:t>
      </w:r>
      <w:r w:rsidR="00F44928">
        <w:t xml:space="preserve">response to </w:t>
      </w:r>
      <w:r w:rsidR="009D1712">
        <w:t xml:space="preserve">issues identified in the </w:t>
      </w:r>
      <w:r w:rsidR="00350B33">
        <w:t>July 2025 submission</w:t>
      </w:r>
      <w:r w:rsidR="00183F05">
        <w:t>,</w:t>
      </w:r>
      <w:r w:rsidR="00350B33">
        <w:t xml:space="preserve"> the calculation of drug costs per cycle were corrected</w:t>
      </w:r>
      <w:r w:rsidR="003E1704">
        <w:t xml:space="preserve"> (</w:t>
      </w:r>
      <w:r w:rsidR="00630292">
        <w:t>paragraph</w:t>
      </w:r>
      <w:r w:rsidR="003E1704">
        <w:t xml:space="preserve"> 6.45</w:t>
      </w:r>
      <w:r w:rsidR="007D6FB7">
        <w:t>,</w:t>
      </w:r>
      <w:r w:rsidR="003E1704">
        <w:t xml:space="preserve"> </w:t>
      </w:r>
      <w:r w:rsidR="00E65E3D">
        <w:t xml:space="preserve">vorasidenib PSD, July 2025 PBAC </w:t>
      </w:r>
      <w:r w:rsidR="007D6FB7">
        <w:t>m</w:t>
      </w:r>
      <w:r w:rsidR="00E65E3D">
        <w:t xml:space="preserve">eeting) </w:t>
      </w:r>
      <w:r w:rsidR="003E1704">
        <w:t xml:space="preserve">and MRI costs were revised </w:t>
      </w:r>
      <w:r w:rsidR="00E65E3D">
        <w:t>to reflect use in the INDIGO trial (</w:t>
      </w:r>
      <w:r w:rsidR="00630292">
        <w:t>paragraph</w:t>
      </w:r>
      <w:r w:rsidR="00E65E3D">
        <w:t xml:space="preserve"> 6.44 vorasidenib PSD, July 2025 PBAC </w:t>
      </w:r>
      <w:r w:rsidR="00163162">
        <w:t>m</w:t>
      </w:r>
      <w:r w:rsidR="00E65E3D">
        <w:t xml:space="preserve">eeting). </w:t>
      </w:r>
      <w:r w:rsidR="00541E0A">
        <w:t>The resubmission also noted that there was a</w:t>
      </w:r>
      <w:r w:rsidR="00E87EB2">
        <w:t>n</w:t>
      </w:r>
      <w:r w:rsidR="00541E0A">
        <w:t xml:space="preserve"> error in the July 2025 model that was identified </w:t>
      </w:r>
      <w:r w:rsidR="007A7B73">
        <w:t xml:space="preserve">and corrected in the resubmission model. </w:t>
      </w:r>
      <w:r w:rsidR="007A68B2">
        <w:t>T</w:t>
      </w:r>
      <w:r w:rsidR="00662A7E">
        <w:t>he resubmission reported that t</w:t>
      </w:r>
      <w:r w:rsidR="007A7B73">
        <w:t xml:space="preserve">ogether these </w:t>
      </w:r>
      <w:r w:rsidR="00747CF2">
        <w:t xml:space="preserve">changes resulted in a small increase in the ICER </w:t>
      </w:r>
      <w:r w:rsidR="007A68B2">
        <w:t xml:space="preserve">(from </w:t>
      </w:r>
      <w:r w:rsidR="00795FA2" w:rsidRPr="00795FA2">
        <w:t>$155,000 to &lt; $255,000</w:t>
      </w:r>
      <w:r w:rsidR="007A68B2">
        <w:t xml:space="preserve"> to </w:t>
      </w:r>
      <w:r w:rsidR="00795FA2" w:rsidRPr="00795FA2">
        <w:t>$155,000 to &lt; $255,000</w:t>
      </w:r>
      <w:r w:rsidR="007A68B2">
        <w:t xml:space="preserve"> per QALY</w:t>
      </w:r>
      <w:r w:rsidR="007A68B2" w:rsidRPr="00265ED8">
        <w:t>)</w:t>
      </w:r>
      <w:r w:rsidR="00662A7E" w:rsidRPr="00265ED8">
        <w:t xml:space="preserve">. </w:t>
      </w:r>
      <w:r w:rsidR="00126EF2" w:rsidRPr="00265ED8">
        <w:t xml:space="preserve">The resubmission applied </w:t>
      </w:r>
      <w:r w:rsidR="005E18CC" w:rsidRPr="00265ED8">
        <w:t>wholesale mark</w:t>
      </w:r>
      <w:r w:rsidR="00B571FA">
        <w:noBreakHyphen/>
      </w:r>
      <w:r w:rsidR="005E18CC" w:rsidRPr="00265ED8">
        <w:t xml:space="preserve">ups </w:t>
      </w:r>
      <w:r w:rsidR="00AA51E8" w:rsidRPr="00265ED8">
        <w:t>applicable from</w:t>
      </w:r>
      <w:r w:rsidR="005E18CC" w:rsidRPr="00265ED8">
        <w:t xml:space="preserve"> </w:t>
      </w:r>
      <w:r w:rsidR="00E83615" w:rsidRPr="00265ED8">
        <w:t>1 July 2026</w:t>
      </w:r>
      <w:r w:rsidR="00F24B17" w:rsidRPr="00265ED8">
        <w:rPr>
          <w:rStyle w:val="FootnoteReference"/>
        </w:rPr>
        <w:footnoteReference w:id="2"/>
      </w:r>
      <w:r w:rsidR="00E83615" w:rsidRPr="00265ED8">
        <w:t xml:space="preserve"> rather than current mark</w:t>
      </w:r>
      <w:r w:rsidR="00B571FA">
        <w:noBreakHyphen/>
      </w:r>
      <w:r w:rsidR="00E83615" w:rsidRPr="00265ED8">
        <w:t>ups</w:t>
      </w:r>
      <w:r w:rsidR="000C57EB" w:rsidRPr="00265ED8">
        <w:t xml:space="preserve">, however this is </w:t>
      </w:r>
      <w:r w:rsidR="00DC48F1" w:rsidRPr="00265ED8">
        <w:t>likely to have a minimal impact on the ICER</w:t>
      </w:r>
      <w:r w:rsidR="00E83615" w:rsidRPr="00265ED8">
        <w:t>.</w:t>
      </w:r>
      <w:r w:rsidR="00C10F10">
        <w:t xml:space="preserve"> </w:t>
      </w:r>
    </w:p>
    <w:p w14:paraId="6E1CBAFF" w14:textId="5E80DFE6" w:rsidR="00824EAF" w:rsidRPr="001369ED" w:rsidRDefault="00824EAF" w:rsidP="00F36268">
      <w:pPr>
        <w:pStyle w:val="3-BodyText"/>
        <w:numPr>
          <w:ilvl w:val="0"/>
          <w:numId w:val="0"/>
        </w:numPr>
        <w:rPr>
          <w:b/>
          <w:bCs/>
        </w:rPr>
      </w:pPr>
      <w:r w:rsidRPr="001369ED">
        <w:rPr>
          <w:b/>
          <w:bCs/>
        </w:rPr>
        <w:t>Extrapolation of PFS</w:t>
      </w:r>
    </w:p>
    <w:p w14:paraId="68A92F53" w14:textId="4346C11D" w:rsidR="00850262" w:rsidRDefault="00FA2282" w:rsidP="00F36268">
      <w:pPr>
        <w:pStyle w:val="3-BodyText"/>
      </w:pPr>
      <w:r>
        <w:lastRenderedPageBreak/>
        <w:t>In July 2025 the PBAC considered that the limited duration of follow up in the trial and the lack of OS data resulted in a high level of uncertainty in the modelled outcomes. The PBAC considered the main area of uncertainty was the extrapolation of PFS for patients treated with vorasidenib, which also resulted in a large OS difference because post</w:t>
      </w:r>
      <w:r w:rsidR="00B571FA">
        <w:noBreakHyphen/>
      </w:r>
      <w:r>
        <w:t>progression survival was assumed to be the same in both arms (</w:t>
      </w:r>
      <w:r w:rsidR="00630292">
        <w:t>paragraph</w:t>
      </w:r>
      <w:r w:rsidR="00CF7C68">
        <w:t xml:space="preserve"> </w:t>
      </w:r>
      <w:r>
        <w:t>7.12</w:t>
      </w:r>
      <w:r w:rsidR="00CF7C68">
        <w:t>,</w:t>
      </w:r>
      <w:r>
        <w:t xml:space="preserve"> </w:t>
      </w:r>
      <w:r w:rsidR="006036F8">
        <w:t xml:space="preserve">vorasidenib PSD, July 2025 PBAC </w:t>
      </w:r>
      <w:r w:rsidR="00CF7C68">
        <w:t>m</w:t>
      </w:r>
      <w:r w:rsidR="006036F8">
        <w:t>eeting)</w:t>
      </w:r>
      <w:r>
        <w:t xml:space="preserve">. </w:t>
      </w:r>
      <w:r w:rsidR="00850262">
        <w:t>The PBAC considered that th</w:t>
      </w:r>
      <w:r w:rsidR="00E45F49">
        <w:t>e model should be revised to incorporate more conservative assumptions regarding PFS/OS (Weibull</w:t>
      </w:r>
      <w:r w:rsidR="007557E8">
        <w:t xml:space="preserve"> extrapolation function for PFS) (</w:t>
      </w:r>
      <w:r w:rsidR="00630292">
        <w:t>paragraph</w:t>
      </w:r>
      <w:r w:rsidR="007557E8">
        <w:t xml:space="preserve"> 7.15, vorasidenib PSD, July 2025 PBAC meeting). The resubmission did not apply a more conservative functions for PFS as</w:t>
      </w:r>
      <w:r w:rsidR="00804D09">
        <w:t xml:space="preserve"> requested by the PBAC</w:t>
      </w:r>
      <w:r w:rsidR="00804D09" w:rsidRPr="00A074E9">
        <w:t xml:space="preserve">. Instead, the resubmission </w:t>
      </w:r>
      <w:r w:rsidR="0086324C" w:rsidRPr="00A074E9">
        <w:t>provided additional follow</w:t>
      </w:r>
      <w:r w:rsidR="00B571FA">
        <w:noBreakHyphen/>
      </w:r>
      <w:r w:rsidR="0086324C" w:rsidRPr="00A074E9">
        <w:t xml:space="preserve">up from the INDIGO trial to </w:t>
      </w:r>
      <w:r w:rsidR="00B44811">
        <w:t>address the PBAC's concerns regarding the uncertainty of PFS extrapolations.</w:t>
      </w:r>
    </w:p>
    <w:p w14:paraId="292598B0" w14:textId="2B706DA9" w:rsidR="00F612C7" w:rsidRDefault="00A074E9" w:rsidP="00F36268">
      <w:pPr>
        <w:pStyle w:val="3-BodyText"/>
      </w:pPr>
      <w:bookmarkStart w:id="9" w:name="_Ref222377108"/>
      <w:r>
        <w:t>In the July 2025 submission n</w:t>
      </w:r>
      <w:r w:rsidR="006E1462">
        <w:t>o</w:t>
      </w:r>
      <w:r w:rsidR="003E1E70" w:rsidRPr="003E1E70">
        <w:t xml:space="preserve"> comparative data were available beyond the extended follow</w:t>
      </w:r>
      <w:r w:rsidR="00B571FA">
        <w:noBreakHyphen/>
      </w:r>
      <w:r w:rsidR="003E1E70" w:rsidRPr="003E1E70">
        <w:t>up analysis</w:t>
      </w:r>
      <w:r w:rsidR="00B82336">
        <w:t xml:space="preserve"> (</w:t>
      </w:r>
      <w:r w:rsidR="00B82336" w:rsidRPr="00B44811">
        <w:t xml:space="preserve">herein referred to as the </w:t>
      </w:r>
      <w:r w:rsidR="00B82336">
        <w:t>Mar</w:t>
      </w:r>
      <w:r w:rsidR="00B82336" w:rsidRPr="00B44811">
        <w:t xml:space="preserve"> 2</w:t>
      </w:r>
      <w:r w:rsidR="00B82336">
        <w:t>3</w:t>
      </w:r>
      <w:r w:rsidR="00B82336" w:rsidRPr="00B44811">
        <w:t xml:space="preserve"> DCO</w:t>
      </w:r>
      <w:r w:rsidR="00B82336">
        <w:t>)</w:t>
      </w:r>
      <w:r w:rsidR="003E1E70" w:rsidRPr="003E1E70">
        <w:t>, with a median follow</w:t>
      </w:r>
      <w:r w:rsidR="00B571FA">
        <w:noBreakHyphen/>
      </w:r>
      <w:r w:rsidR="003E1E70" w:rsidRPr="003E1E70">
        <w:t>up of 17.3 months for PFS</w:t>
      </w:r>
      <w:r w:rsidR="00764B56">
        <w:t xml:space="preserve"> (</w:t>
      </w:r>
      <w:r w:rsidR="00630292">
        <w:t>paragraph</w:t>
      </w:r>
      <w:r w:rsidR="00764B56">
        <w:t xml:space="preserve"> 7.8, vorasidenib PSD, July 2025</w:t>
      </w:r>
      <w:r w:rsidR="00645FB3">
        <w:t xml:space="preserve"> PBAC </w:t>
      </w:r>
      <w:r w:rsidR="00FF098E">
        <w:t>m</w:t>
      </w:r>
      <w:r w:rsidR="00645FB3">
        <w:t>eeting</w:t>
      </w:r>
      <w:r w:rsidR="00764B56">
        <w:t>)</w:t>
      </w:r>
      <w:r w:rsidR="006E1462">
        <w:t xml:space="preserve"> as t</w:t>
      </w:r>
      <w:r w:rsidR="00F612C7" w:rsidRPr="006274D1">
        <w:t xml:space="preserve">he INDIGO trial had been unblinded at that time because the prespecified efficacy boundary for PFS had been met. Patients in the placebo arm were then permitted to cross over to vorasidenib to ensure ethical access to treatment. The </w:t>
      </w:r>
      <w:r w:rsidR="00441C21">
        <w:t>resubmission provided updated data from the INDIGO trial. The n</w:t>
      </w:r>
      <w:r w:rsidR="00F612C7" w:rsidRPr="006274D1">
        <w:t>ew data cut provides approximately 22 months of additional follow</w:t>
      </w:r>
      <w:r w:rsidR="00B571FA">
        <w:noBreakHyphen/>
      </w:r>
      <w:r w:rsidR="00F612C7" w:rsidRPr="006274D1">
        <w:t xml:space="preserve">up data, to 17 </w:t>
      </w:r>
      <w:r w:rsidR="00F612C7" w:rsidRPr="00B44811">
        <w:t xml:space="preserve">January 2025 (herein referred to as the Jan 25 DCO). </w:t>
      </w:r>
      <w:r w:rsidR="00241006" w:rsidRPr="006274D1">
        <w:t xml:space="preserve">Updated PFS </w:t>
      </w:r>
      <w:r w:rsidR="00241006">
        <w:t xml:space="preserve">data and </w:t>
      </w:r>
      <w:r w:rsidR="00241006" w:rsidRPr="006274D1">
        <w:t xml:space="preserve">extrapolations </w:t>
      </w:r>
      <w:r w:rsidR="00CE2594">
        <w:t>we</w:t>
      </w:r>
      <w:r w:rsidR="00241006" w:rsidRPr="006274D1">
        <w:t>re applied in the revised economic analysis.</w:t>
      </w:r>
      <w:bookmarkEnd w:id="9"/>
    </w:p>
    <w:p w14:paraId="52848247" w14:textId="0D61EA4C" w:rsidR="006804BF" w:rsidRDefault="00513A48" w:rsidP="00F36268">
      <w:pPr>
        <w:pStyle w:val="3-BodyText"/>
      </w:pPr>
      <w:bookmarkStart w:id="10" w:name="_Ref222377110"/>
      <w:r>
        <w:t xml:space="preserve">The </w:t>
      </w:r>
      <w:r w:rsidR="00E77C31">
        <w:t>re</w:t>
      </w:r>
      <w:r>
        <w:t>submission noted that</w:t>
      </w:r>
      <w:r w:rsidR="00EA4F67">
        <w:t xml:space="preserve"> the</w:t>
      </w:r>
      <w:r>
        <w:t xml:space="preserve"> economic model presented in the initial submission applied PFS data as assessed by the Blinded Independent Review Committee (BIRC), consistent with the primary endpoint of the INDIGO trial. Following unblinding of the study on 7 March 2023, PFS per BIRC assessment was no longer required to determine patient eligibility for crossover </w:t>
      </w:r>
      <w:r w:rsidR="004966BD">
        <w:t>so</w:t>
      </w:r>
      <w:r>
        <w:t xml:space="preserve"> central reading of study images was discontinued. Therefore, the Jan 25 DCO includes only PFS as assessed by the study investigators (INV).</w:t>
      </w:r>
      <w:bookmarkEnd w:id="10"/>
      <w:r w:rsidR="00EA4F67">
        <w:t xml:space="preserve"> </w:t>
      </w:r>
    </w:p>
    <w:p w14:paraId="6BCD14DC" w14:textId="01E62F6C" w:rsidR="006804BF" w:rsidRPr="006A4DC6" w:rsidRDefault="006804BF" w:rsidP="0024159D">
      <w:pPr>
        <w:pStyle w:val="TableFigureHeading"/>
      </w:pPr>
      <w:r w:rsidRPr="006A4DC6">
        <w:lastRenderedPageBreak/>
        <w:t xml:space="preserve">Figure </w:t>
      </w:r>
      <w:fldSimple w:instr=" SEQ Figure \* ARABIC ">
        <w:r w:rsidR="0031315F">
          <w:rPr>
            <w:noProof/>
          </w:rPr>
          <w:t>1</w:t>
        </w:r>
      </w:fldSimple>
      <w:r w:rsidRPr="006A4DC6">
        <w:t xml:space="preserve">: </w:t>
      </w:r>
      <w:r w:rsidR="00520AE2" w:rsidRPr="006A4DC6">
        <w:t>Kaplan</w:t>
      </w:r>
      <w:r w:rsidR="00B571FA">
        <w:noBreakHyphen/>
      </w:r>
      <w:r w:rsidR="00520AE2" w:rsidRPr="006A4DC6">
        <w:t>Meier estimate</w:t>
      </w:r>
      <w:r w:rsidR="005606F8" w:rsidRPr="006A4DC6">
        <w:t>s</w:t>
      </w:r>
      <w:r w:rsidR="00520AE2" w:rsidRPr="006A4DC6">
        <w:t xml:space="preserve"> of PFS</w:t>
      </w:r>
    </w:p>
    <w:p w14:paraId="7A86625B" w14:textId="6A5D3093" w:rsidR="008A5739" w:rsidRPr="006A4DC6" w:rsidRDefault="008A5739" w:rsidP="0024159D">
      <w:pPr>
        <w:pStyle w:val="TableFigureHeading"/>
      </w:pPr>
      <w:r w:rsidRPr="006A4DC6">
        <w:t xml:space="preserve">A </w:t>
      </w:r>
      <w:r w:rsidR="00B571FA">
        <w:noBreakHyphen/>
      </w:r>
      <w:r w:rsidRPr="006A4DC6">
        <w:t xml:space="preserve"> BICR as used in July 2025 submission</w:t>
      </w:r>
      <w:r w:rsidRPr="006A4DC6">
        <w:tab/>
      </w:r>
      <w:r w:rsidR="004C4BA7">
        <w:tab/>
        <w:t xml:space="preserve">    </w:t>
      </w:r>
      <w:r w:rsidRPr="006A4DC6">
        <w:t xml:space="preserve">B </w:t>
      </w:r>
      <w:r w:rsidR="00B571FA">
        <w:noBreakHyphen/>
      </w:r>
      <w:r w:rsidRPr="006A4DC6">
        <w:t xml:space="preserve"> INV Jan 25 DCO as used in the resubmission</w:t>
      </w:r>
    </w:p>
    <w:p w14:paraId="02B58D81" w14:textId="71825B5F" w:rsidR="005A31F4" w:rsidRDefault="005A31F4" w:rsidP="0024159D">
      <w:pPr>
        <w:keepNext/>
        <w:keepLines/>
      </w:pPr>
      <w:r w:rsidRPr="00A92949">
        <w:rPr>
          <w:noProof/>
        </w:rPr>
        <w:drawing>
          <wp:inline distT="0" distB="0" distL="0" distR="0" wp14:anchorId="0A02398D" wp14:editId="0425EE46">
            <wp:extent cx="2733172" cy="1987826"/>
            <wp:effectExtent l="0" t="0" r="0" b="0"/>
            <wp:docPr id="193160763" name="Picture 1" descr="Figure 1: Kaplan Meier estimates of PFS&#10;A   BICR as used in July 2025 submiss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3160763" name="Picture 1" descr="Figure 1: Kaplan Meier estimates of PFS&#10;A   BICR as used in July 2025 submission"/>
                    <pic:cNvPicPr>
                      <a:picLocks noChangeAspect="1" noChangeArrowheads="1"/>
                    </pic:cNvPicPr>
                  </pic:nvPicPr>
                  <pic:blipFill rotWithShape="1">
                    <a:blip r:embed="rId11">
                      <a:extLst>
                        <a:ext uri="{28A0092B-C50C-407E-A947-70E740481C1C}">
                          <a14:useLocalDpi xmlns:a14="http://schemas.microsoft.com/office/drawing/2010/main" val="0"/>
                        </a:ext>
                      </a:extLst>
                    </a:blip>
                    <a:srcRect l="2220" t="8862" r="22589"/>
                    <a:stretch>
                      <a:fillRect/>
                    </a:stretch>
                  </pic:blipFill>
                  <pic:spPr bwMode="auto">
                    <a:xfrm>
                      <a:off x="0" y="0"/>
                      <a:ext cx="2747915" cy="1998548"/>
                    </a:xfrm>
                    <a:prstGeom prst="rect">
                      <a:avLst/>
                    </a:prstGeom>
                    <a:noFill/>
                    <a:ln>
                      <a:noFill/>
                    </a:ln>
                    <a:extLst>
                      <a:ext uri="{53640926-AAD7-44D8-BBD7-CCE9431645EC}">
                        <a14:shadowObscured xmlns:a14="http://schemas.microsoft.com/office/drawing/2010/main"/>
                      </a:ext>
                    </a:extLst>
                  </pic:spPr>
                </pic:pic>
              </a:graphicData>
            </a:graphic>
          </wp:inline>
        </w:drawing>
      </w:r>
      <w:r w:rsidR="00F958D9">
        <w:rPr>
          <w:noProof/>
        </w:rPr>
        <w:drawing>
          <wp:inline distT="0" distB="0" distL="0" distR="0" wp14:anchorId="195B8921" wp14:editId="543996A1">
            <wp:extent cx="2830190" cy="1987550"/>
            <wp:effectExtent l="0" t="0" r="8890" b="0"/>
            <wp:docPr id="940435843" name="Picture 1" descr="Figure 1: Kaplan Meier estimates of PFS&#10;B   INV Jan 25 DCO as used in the resubmiss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40435843" name="Picture 1" descr="Figure 1: Kaplan Meier estimates of PFS&#10;B   INV Jan 25 DCO as used in the resubmission"/>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867170" cy="2013520"/>
                    </a:xfrm>
                    <a:prstGeom prst="rect">
                      <a:avLst/>
                    </a:prstGeom>
                    <a:noFill/>
                  </pic:spPr>
                </pic:pic>
              </a:graphicData>
            </a:graphic>
          </wp:inline>
        </w:drawing>
      </w:r>
    </w:p>
    <w:p w14:paraId="529FCF22" w14:textId="488DF1F9" w:rsidR="00850341" w:rsidRDefault="004E11BE" w:rsidP="0024159D">
      <w:pPr>
        <w:pStyle w:val="TableFigureFooter"/>
        <w:keepNext/>
      </w:pPr>
      <w:r>
        <w:t xml:space="preserve">Source: </w:t>
      </w:r>
      <w:r w:rsidR="00D64911">
        <w:t>Figure C</w:t>
      </w:r>
      <w:r w:rsidR="00B571FA">
        <w:noBreakHyphen/>
      </w:r>
      <w:r w:rsidR="00D64911">
        <w:t xml:space="preserve">1 resubmission (p12), </w:t>
      </w:r>
      <w:r w:rsidR="00AF5EA9">
        <w:t>Figure 1 vorasidenib PSD, July 2025 PBAC meeting.</w:t>
      </w:r>
      <w:r w:rsidR="00850341" w:rsidRPr="00850341">
        <w:t xml:space="preserve"> </w:t>
      </w:r>
    </w:p>
    <w:p w14:paraId="1CACD459" w14:textId="009C0866" w:rsidR="00850341" w:rsidRDefault="00850341" w:rsidP="0024159D">
      <w:pPr>
        <w:pStyle w:val="TableFigureFooter"/>
        <w:keepNext/>
      </w:pPr>
      <w:r>
        <w:t>Abbreviations: INV = investigator assessed; DCO = data cut off; KM = Kaplan</w:t>
      </w:r>
      <w:r w:rsidR="00B571FA">
        <w:noBreakHyphen/>
      </w:r>
      <w:r>
        <w:t>Meier; PFS = progression free survival</w:t>
      </w:r>
    </w:p>
    <w:p w14:paraId="73EDCADC" w14:textId="77777777" w:rsidR="004366CC" w:rsidRDefault="004366CC" w:rsidP="00F36268">
      <w:pPr>
        <w:pStyle w:val="Tableheading"/>
      </w:pPr>
    </w:p>
    <w:p w14:paraId="42346223" w14:textId="230C4B14" w:rsidR="00F16E97" w:rsidRPr="00466699" w:rsidRDefault="00431767" w:rsidP="00F36268">
      <w:pPr>
        <w:pStyle w:val="3-BodyText"/>
      </w:pPr>
      <w:r>
        <w:t xml:space="preserve">The resubmission </w:t>
      </w:r>
      <w:r w:rsidR="00A2672F">
        <w:t xml:space="preserve">provided a comparison of </w:t>
      </w:r>
      <w:r w:rsidR="00D105FE">
        <w:t>PFS (BICR</w:t>
      </w:r>
      <w:r w:rsidR="00204230">
        <w:t>)</w:t>
      </w:r>
      <w:r w:rsidR="00D105FE">
        <w:t xml:space="preserve"> with PFS (INV) based on the March 2023 DCO to </w:t>
      </w:r>
      <w:r w:rsidR="00F62AFE">
        <w:t>examine the impact of the chang</w:t>
      </w:r>
      <w:r w:rsidR="00204230">
        <w:t>ing from BICR to INV</w:t>
      </w:r>
      <w:r w:rsidR="00312EFC">
        <w:t xml:space="preserve"> (see </w:t>
      </w:r>
      <w:r w:rsidR="00312EFC">
        <w:fldChar w:fldCharType="begin"/>
      </w:r>
      <w:r w:rsidR="00312EFC">
        <w:instrText xml:space="preserve"> REF _Ref222326369 \h </w:instrText>
      </w:r>
      <w:r w:rsidR="00312EFC">
        <w:fldChar w:fldCharType="separate"/>
      </w:r>
      <w:r w:rsidR="0031315F" w:rsidRPr="00C50C56">
        <w:t xml:space="preserve">Figure </w:t>
      </w:r>
      <w:r w:rsidR="0031315F">
        <w:rPr>
          <w:noProof/>
        </w:rPr>
        <w:t>2</w:t>
      </w:r>
      <w:r w:rsidR="00312EFC">
        <w:fldChar w:fldCharType="end"/>
      </w:r>
      <w:r w:rsidR="006F7198">
        <w:t xml:space="preserve">. </w:t>
      </w:r>
      <w:r w:rsidR="00F16E97">
        <w:t xml:space="preserve">The </w:t>
      </w:r>
      <w:r w:rsidR="00B307D2">
        <w:t>re</w:t>
      </w:r>
      <w:r w:rsidR="00F16E97">
        <w:t xml:space="preserve">submission noted that </w:t>
      </w:r>
      <w:r w:rsidR="00B307D2">
        <w:t>f</w:t>
      </w:r>
      <w:r w:rsidR="00F16E97">
        <w:t xml:space="preserve">or both </w:t>
      </w:r>
      <w:r w:rsidR="00B307D2">
        <w:t xml:space="preserve">the </w:t>
      </w:r>
      <w:r w:rsidR="00F16E97">
        <w:t>placebo and vorasidenib</w:t>
      </w:r>
      <w:r w:rsidR="00B307D2">
        <w:t xml:space="preserve"> arms</w:t>
      </w:r>
      <w:r w:rsidR="00F16E97">
        <w:t xml:space="preserve">, PFS (INV) was longer than PFS (BIRC). </w:t>
      </w:r>
      <w:r w:rsidR="00B307D2">
        <w:t>The resubmission argued that r</w:t>
      </w:r>
      <w:r w:rsidR="00F16E97">
        <w:t>esults based on PFS (INV) are potentially more applicable to Australian practice than PFS (BIRC), given that clinician</w:t>
      </w:r>
      <w:r w:rsidR="00B571FA">
        <w:noBreakHyphen/>
      </w:r>
      <w:r w:rsidR="00F16E97">
        <w:t>based assessment of PFS is more likely to resemble PFS (INV) since, in practice, MRI scans are not sent to a blinded independent review committee for assessment.</w:t>
      </w:r>
    </w:p>
    <w:p w14:paraId="19C995CF" w14:textId="4E4CF39C" w:rsidR="005606F8" w:rsidRDefault="00B73231" w:rsidP="00F36268">
      <w:pPr>
        <w:pStyle w:val="3-BodyText"/>
      </w:pPr>
      <w:r>
        <w:t xml:space="preserve">The lognormal extrapolation was the function that best fit the </w:t>
      </w:r>
      <w:r w:rsidR="00DC4357" w:rsidRPr="00DC4357">
        <w:t>Kaplan</w:t>
      </w:r>
      <w:r w:rsidR="00B571FA">
        <w:noBreakHyphen/>
      </w:r>
      <w:r w:rsidR="00DC4357" w:rsidRPr="00DC4357">
        <w:t xml:space="preserve">Meier </w:t>
      </w:r>
      <w:r w:rsidR="00DC4357">
        <w:t>(</w:t>
      </w:r>
      <w:r>
        <w:t>KM</w:t>
      </w:r>
      <w:r w:rsidR="00DC4357">
        <w:t>)</w:t>
      </w:r>
      <w:r>
        <w:t xml:space="preserve"> functions according to the </w:t>
      </w:r>
      <w:proofErr w:type="spellStart"/>
      <w:r>
        <w:t>Aikaike</w:t>
      </w:r>
      <w:proofErr w:type="spellEnd"/>
      <w:r>
        <w:t xml:space="preserve"> Information Criterion (AIC) </w:t>
      </w:r>
      <w:r w:rsidR="00C92A22">
        <w:t xml:space="preserve">for both </w:t>
      </w:r>
      <w:r w:rsidR="001838F2">
        <w:t>INV and BICR</w:t>
      </w:r>
      <w:r w:rsidR="00A974E9">
        <w:t xml:space="preserve"> for the March 2023 DCO</w:t>
      </w:r>
      <w:r>
        <w:t>.</w:t>
      </w:r>
      <w:r w:rsidR="000D1708">
        <w:t xml:space="preserve"> </w:t>
      </w:r>
      <w:r w:rsidR="00DC3306">
        <w:t xml:space="preserve">The resubmission noted that </w:t>
      </w:r>
      <w:r w:rsidR="007F3B32">
        <w:t xml:space="preserve">the </w:t>
      </w:r>
      <w:r w:rsidR="001C35A5">
        <w:t>modelled incremental</w:t>
      </w:r>
      <w:r w:rsidR="00B45687">
        <w:t xml:space="preserve"> PFS</w:t>
      </w:r>
      <w:r w:rsidR="001C35A5">
        <w:t xml:space="preserve"> (discounted)</w:t>
      </w:r>
      <w:r w:rsidR="00B45687">
        <w:t xml:space="preserve"> was 31.37 months for PFS (BICR) and </w:t>
      </w:r>
      <w:r w:rsidR="001E438C">
        <w:t>37.96</w:t>
      </w:r>
      <w:r w:rsidR="001C35A5">
        <w:t xml:space="preserve"> for PFS</w:t>
      </w:r>
      <w:r w:rsidR="001E438C">
        <w:t xml:space="preserve"> (INV). Although the </w:t>
      </w:r>
      <w:r w:rsidR="000C4C1E">
        <w:t xml:space="preserve">modelled </w:t>
      </w:r>
      <w:r w:rsidR="001E438C">
        <w:t xml:space="preserve">incremental </w:t>
      </w:r>
      <w:r w:rsidR="000C4C1E">
        <w:t>PFS benefit</w:t>
      </w:r>
      <w:r w:rsidR="00B45687">
        <w:t xml:space="preserve"> </w:t>
      </w:r>
      <w:r w:rsidR="000C4C1E">
        <w:t xml:space="preserve">was </w:t>
      </w:r>
      <w:r w:rsidR="001C35A5">
        <w:t xml:space="preserve">greater </w:t>
      </w:r>
      <w:r w:rsidR="000C4C1E">
        <w:t>using the INV data, the</w:t>
      </w:r>
      <w:r w:rsidR="00A4677A">
        <w:t xml:space="preserve"> modelled</w:t>
      </w:r>
      <w:r w:rsidR="000C4C1E">
        <w:t xml:space="preserve"> incremental costs were also higher</w:t>
      </w:r>
      <w:r w:rsidR="00010F72">
        <w:t xml:space="preserve"> due to the longer time on treatment. The resubmission state</w:t>
      </w:r>
      <w:r w:rsidR="00A4677A">
        <w:t>d</w:t>
      </w:r>
      <w:r w:rsidR="00010F72">
        <w:t xml:space="preserve"> that the impact of the change from PFS (BIRC) to PFS (INV) results in slightly higher ICERs, and the change does not favour vorasidenib.</w:t>
      </w:r>
    </w:p>
    <w:p w14:paraId="70F9F6DA" w14:textId="57812FA8" w:rsidR="00E74B1D" w:rsidRPr="00C50C56" w:rsidRDefault="00E74B1D" w:rsidP="00F36268">
      <w:pPr>
        <w:pStyle w:val="TableFigureHeading"/>
      </w:pPr>
      <w:bookmarkStart w:id="11" w:name="_Ref222326369"/>
      <w:r w:rsidRPr="00C50C56">
        <w:lastRenderedPageBreak/>
        <w:t xml:space="preserve">Figure </w:t>
      </w:r>
      <w:fldSimple w:instr=" SEQ Figure \* ARABIC ">
        <w:r w:rsidR="0031315F">
          <w:rPr>
            <w:noProof/>
          </w:rPr>
          <w:t>2</w:t>
        </w:r>
      </w:fldSimple>
      <w:bookmarkEnd w:id="11"/>
      <w:r w:rsidRPr="00C50C56">
        <w:t xml:space="preserve">: </w:t>
      </w:r>
      <w:r w:rsidR="00EB1EE9" w:rsidRPr="00C50C56">
        <w:t>Comparison of PFS (INV) and PFS (BICR) KM functions March 2023 DCO</w:t>
      </w:r>
      <w:r w:rsidR="00C04F28" w:rsidRPr="00C50C56">
        <w:t xml:space="preserve"> with </w:t>
      </w:r>
      <w:r w:rsidR="002E619C" w:rsidRPr="00C50C56">
        <w:t>extrapolation</w:t>
      </w:r>
      <w:r w:rsidR="00AF6639" w:rsidRPr="00C50C56">
        <w:t xml:space="preserve"> (lognormal)</w:t>
      </w:r>
    </w:p>
    <w:p w14:paraId="041C8435" w14:textId="6E635811" w:rsidR="00433777" w:rsidRDefault="00433777" w:rsidP="00F36268">
      <w:pPr>
        <w:pStyle w:val="Tableheading"/>
        <w:keepNext/>
        <w:keepLines/>
      </w:pPr>
      <w:r>
        <w:rPr>
          <w:noProof/>
        </w:rPr>
        <w:drawing>
          <wp:inline distT="0" distB="0" distL="0" distR="0" wp14:anchorId="743666C7" wp14:editId="7ABD608F">
            <wp:extent cx="5588986" cy="3863340"/>
            <wp:effectExtent l="0" t="0" r="0" b="3810"/>
            <wp:docPr id="1592241448" name="Picture 2" descr="Figure 2: Comparison of PFS (INV) and PFS (BICR) KM functions March 2023 DCO with extrapolation (lognorm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92241448" name="Picture 2" descr="Figure 2: Comparison of PFS (INV) and PFS (BICR) KM functions March 2023 DCO with extrapolation (lognormal)"/>
                    <pic:cNvPicPr>
                      <a:picLocks noChangeAspect="1" noChangeArrowheads="1"/>
                    </pic:cNvPicPr>
                  </pic:nvPicPr>
                  <pic:blipFill rotWithShape="1">
                    <a:blip r:embed="rId13" cstate="print">
                      <a:extLst>
                        <a:ext uri="{28A0092B-C50C-407E-A947-70E740481C1C}">
                          <a14:useLocalDpi xmlns:a14="http://schemas.microsoft.com/office/drawing/2010/main" val="0"/>
                        </a:ext>
                      </a:extLst>
                    </a:blip>
                    <a:srcRect/>
                    <a:stretch>
                      <a:fillRect/>
                    </a:stretch>
                  </pic:blipFill>
                  <pic:spPr bwMode="auto">
                    <a:xfrm>
                      <a:off x="0" y="0"/>
                      <a:ext cx="5612071" cy="3879298"/>
                    </a:xfrm>
                    <a:prstGeom prst="rect">
                      <a:avLst/>
                    </a:prstGeom>
                    <a:noFill/>
                    <a:ln>
                      <a:noFill/>
                    </a:ln>
                    <a:extLst>
                      <a:ext uri="{53640926-AAD7-44D8-BBD7-CCE9431645EC}">
                        <a14:shadowObscured xmlns:a14="http://schemas.microsoft.com/office/drawing/2010/main"/>
                      </a:ext>
                    </a:extLst>
                  </pic:spPr>
                </pic:pic>
              </a:graphicData>
            </a:graphic>
          </wp:inline>
        </w:drawing>
      </w:r>
    </w:p>
    <w:p w14:paraId="64696992" w14:textId="71A86E60" w:rsidR="00850341" w:rsidRDefault="00C00D6A" w:rsidP="00F36268">
      <w:pPr>
        <w:pStyle w:val="TableFigureFooter"/>
      </w:pPr>
      <w:r>
        <w:t>Source: Figure C</w:t>
      </w:r>
      <w:r w:rsidR="00B571FA">
        <w:noBreakHyphen/>
      </w:r>
      <w:r>
        <w:t>2 resubmission p</w:t>
      </w:r>
      <w:r w:rsidR="004037F7">
        <w:t>13</w:t>
      </w:r>
      <w:r w:rsidR="00850341" w:rsidRPr="00850341">
        <w:t xml:space="preserve"> </w:t>
      </w:r>
    </w:p>
    <w:p w14:paraId="76A8566C" w14:textId="2C43305C" w:rsidR="00850341" w:rsidRDefault="00850341" w:rsidP="00F36268">
      <w:pPr>
        <w:pStyle w:val="TableFigureFooter"/>
      </w:pPr>
      <w:r>
        <w:t>Abbreviations: INV = investigator assessed; DCO = data cut off; KM = Kaplan</w:t>
      </w:r>
      <w:r w:rsidR="00B571FA">
        <w:noBreakHyphen/>
      </w:r>
      <w:r>
        <w:t>Meier; PFS = progression free survival</w:t>
      </w:r>
    </w:p>
    <w:p w14:paraId="71DE4274" w14:textId="77777777" w:rsidR="00850341" w:rsidRDefault="00850341" w:rsidP="00F36268">
      <w:pPr>
        <w:pStyle w:val="TableFigureFooter"/>
        <w:keepNext/>
        <w:keepLines/>
      </w:pPr>
    </w:p>
    <w:p w14:paraId="42944B57" w14:textId="49D403FE" w:rsidR="00D344E7" w:rsidRDefault="009B358D" w:rsidP="00F36268">
      <w:pPr>
        <w:pStyle w:val="3-BodyText"/>
      </w:pPr>
      <w:r>
        <w:t xml:space="preserve">The resubmission also presented </w:t>
      </w:r>
      <w:r w:rsidR="00F61B82">
        <w:t>a comparison of the KM trace of PFS (INV) from the Mar</w:t>
      </w:r>
      <w:r w:rsidR="004646A4">
        <w:t>ch</w:t>
      </w:r>
      <w:r w:rsidR="00F61B82">
        <w:t xml:space="preserve"> 2023 and Jan 2025 DCOs</w:t>
      </w:r>
      <w:r w:rsidR="000B659A">
        <w:t xml:space="preserve"> (see </w:t>
      </w:r>
      <w:r w:rsidR="000B659A">
        <w:fldChar w:fldCharType="begin"/>
      </w:r>
      <w:r w:rsidR="000B659A">
        <w:instrText xml:space="preserve"> REF _Ref222326731 \h </w:instrText>
      </w:r>
      <w:r w:rsidR="000B659A">
        <w:fldChar w:fldCharType="separate"/>
      </w:r>
      <w:r w:rsidR="0031315F" w:rsidRPr="000461B6">
        <w:t xml:space="preserve">Figure </w:t>
      </w:r>
      <w:r w:rsidR="0031315F">
        <w:rPr>
          <w:noProof/>
        </w:rPr>
        <w:t>3</w:t>
      </w:r>
      <w:r w:rsidR="000B659A">
        <w:fldChar w:fldCharType="end"/>
      </w:r>
      <w:r w:rsidR="000B659A">
        <w:t>)</w:t>
      </w:r>
      <w:r w:rsidR="009A61AC">
        <w:t xml:space="preserve">. </w:t>
      </w:r>
      <w:r w:rsidR="00F42159">
        <w:t>T</w:t>
      </w:r>
      <w:r w:rsidR="00F42159" w:rsidRPr="00BA175F">
        <w:t xml:space="preserve">he KM for PFS (INV) from Jan 2025 </w:t>
      </w:r>
      <w:r w:rsidR="00F42159">
        <w:t>showed a less steep</w:t>
      </w:r>
      <w:r w:rsidR="00F42159" w:rsidRPr="00BA175F">
        <w:t xml:space="preserve"> decline </w:t>
      </w:r>
      <w:r w:rsidR="00F42159">
        <w:t xml:space="preserve">than </w:t>
      </w:r>
      <w:r w:rsidR="00F42159" w:rsidRPr="00BA175F">
        <w:t>was seen in the tail of the KM for PFS (INV) from Mar 2023</w:t>
      </w:r>
      <w:r w:rsidR="00DD5BB9">
        <w:t xml:space="preserve"> DCO</w:t>
      </w:r>
      <w:r w:rsidR="00582CF3">
        <w:t xml:space="preserve">, indicating the </w:t>
      </w:r>
      <w:r w:rsidR="00FC6BB1">
        <w:t>unreliability of the tail of the KM for the earlier data cut, where</w:t>
      </w:r>
      <w:r w:rsidR="002F268C">
        <w:t xml:space="preserve"> low numbers of patients remained at risk</w:t>
      </w:r>
      <w:r w:rsidR="00C757D2">
        <w:t>. The resubmission noted that there were few additional events in the placebo arm</w:t>
      </w:r>
      <w:r w:rsidR="007610B0">
        <w:t xml:space="preserve"> for the Jan 25 DCO</w:t>
      </w:r>
      <w:r w:rsidR="00624CBF">
        <w:t>, which may be because almost all patients had crossed over to vorasidenib at the time of unblinding.</w:t>
      </w:r>
      <w:r w:rsidR="00622C97">
        <w:t xml:space="preserve"> </w:t>
      </w:r>
    </w:p>
    <w:p w14:paraId="22786297" w14:textId="462DA5E8" w:rsidR="00624CBF" w:rsidRPr="000461B6" w:rsidRDefault="00624CBF" w:rsidP="00F36268">
      <w:pPr>
        <w:pStyle w:val="TableFigureHeading"/>
      </w:pPr>
      <w:bookmarkStart w:id="12" w:name="_Ref222326731"/>
      <w:r w:rsidRPr="000461B6">
        <w:lastRenderedPageBreak/>
        <w:t xml:space="preserve">Figure </w:t>
      </w:r>
      <w:fldSimple w:instr=" SEQ Figure \* ARABIC ">
        <w:r w:rsidR="0031315F">
          <w:rPr>
            <w:noProof/>
          </w:rPr>
          <w:t>3</w:t>
        </w:r>
      </w:fldSimple>
      <w:bookmarkEnd w:id="12"/>
      <w:r w:rsidRPr="000461B6">
        <w:t xml:space="preserve">: </w:t>
      </w:r>
      <w:r w:rsidR="00C45C2B" w:rsidRPr="000461B6">
        <w:t>Comparison of KM functions based on PFS (INV) from Mar 2023 DCO and based on PFS (INV) Jan 2025 DCO</w:t>
      </w:r>
    </w:p>
    <w:p w14:paraId="4ECFE5C6" w14:textId="7870D556" w:rsidR="00C45C2B" w:rsidRDefault="00EB0DBF" w:rsidP="00F36268">
      <w:pPr>
        <w:pStyle w:val="Tableheading"/>
        <w:keepNext/>
        <w:keepLines/>
      </w:pPr>
      <w:r>
        <w:rPr>
          <w:noProof/>
        </w:rPr>
        <w:drawing>
          <wp:inline distT="0" distB="0" distL="0" distR="0" wp14:anchorId="1BB5468C" wp14:editId="20B3C187">
            <wp:extent cx="5692140" cy="3956342"/>
            <wp:effectExtent l="0" t="0" r="3810" b="6350"/>
            <wp:docPr id="2075155314" name="Picture 6" descr="Figure 3: Comparison of KM functions based on PFS (INV) from Mar 2023 DCO and based on PFS (INV) Jan 2025 DC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75155314" name="Picture 6" descr="Figure 3: Comparison of KM functions based on PFS (INV) from Mar 2023 DCO and based on PFS (INV) Jan 2025 DCO"/>
                    <pic:cNvPicPr>
                      <a:picLocks noChangeAspect="1" noChangeArrowheads="1"/>
                    </pic:cNvPicPr>
                  </pic:nvPicPr>
                  <pic:blipFill rotWithShape="1">
                    <a:blip r:embed="rId14" cstate="print">
                      <a:extLst>
                        <a:ext uri="{28A0092B-C50C-407E-A947-70E740481C1C}">
                          <a14:useLocalDpi xmlns:a14="http://schemas.microsoft.com/office/drawing/2010/main" val="0"/>
                        </a:ext>
                      </a:extLst>
                    </a:blip>
                    <a:srcRect l="1493" t="5842" r="1015" b="901"/>
                    <a:stretch>
                      <a:fillRect/>
                    </a:stretch>
                  </pic:blipFill>
                  <pic:spPr bwMode="auto">
                    <a:xfrm>
                      <a:off x="0" y="0"/>
                      <a:ext cx="5727654" cy="3981026"/>
                    </a:xfrm>
                    <a:prstGeom prst="rect">
                      <a:avLst/>
                    </a:prstGeom>
                    <a:noFill/>
                    <a:ln>
                      <a:noFill/>
                    </a:ln>
                    <a:extLst>
                      <a:ext uri="{53640926-AAD7-44D8-BBD7-CCE9431645EC}">
                        <a14:shadowObscured xmlns:a14="http://schemas.microsoft.com/office/drawing/2010/main"/>
                      </a:ext>
                    </a:extLst>
                  </pic:spPr>
                </pic:pic>
              </a:graphicData>
            </a:graphic>
          </wp:inline>
        </w:drawing>
      </w:r>
    </w:p>
    <w:p w14:paraId="2EF84B58" w14:textId="11CAF2AA" w:rsidR="00EB0DBF" w:rsidRDefault="00EB0DBF" w:rsidP="00F36268">
      <w:pPr>
        <w:pStyle w:val="TableFigureFooter"/>
        <w:keepNext/>
        <w:keepLines/>
        <w:spacing w:after="0"/>
      </w:pPr>
      <w:r>
        <w:t>Source: Resubmission figure C</w:t>
      </w:r>
      <w:r w:rsidR="00B571FA">
        <w:noBreakHyphen/>
      </w:r>
      <w:r>
        <w:t>3 (p</w:t>
      </w:r>
      <w:r w:rsidR="005472CC">
        <w:t>14)</w:t>
      </w:r>
    </w:p>
    <w:p w14:paraId="21386867" w14:textId="7D900B5F" w:rsidR="00850341" w:rsidRDefault="00850341" w:rsidP="00F36268">
      <w:pPr>
        <w:pStyle w:val="Tablefootnote"/>
        <w:spacing w:after="240"/>
      </w:pPr>
      <w:r>
        <w:t>Abbreviations: INV = investigator assessed; DCO = data cut off; KM = Kaplan</w:t>
      </w:r>
      <w:r w:rsidR="00B571FA">
        <w:noBreakHyphen/>
      </w:r>
      <w:r>
        <w:t>Meier; PFS = progression free survival</w:t>
      </w:r>
    </w:p>
    <w:p w14:paraId="3799D703" w14:textId="440198B2" w:rsidR="0040554F" w:rsidRPr="0093044A" w:rsidRDefault="005162ED" w:rsidP="00F36268">
      <w:pPr>
        <w:pStyle w:val="3-BodyText"/>
      </w:pPr>
      <w:r w:rsidRPr="0093044A">
        <w:t>In July 2025 the PBAC noted the Weibull function was more conservative than lognormal, but was still a good fit for the KM data</w:t>
      </w:r>
      <w:r w:rsidR="00F05372" w:rsidRPr="0093044A">
        <w:t xml:space="preserve">. </w:t>
      </w:r>
      <w:r w:rsidR="00C5645D" w:rsidRPr="0093044A">
        <w:t xml:space="preserve">The resubmission noted that </w:t>
      </w:r>
      <w:r w:rsidR="00EB45CE" w:rsidRPr="0093044A">
        <w:t>for the updated data the parametric function with the best fit</w:t>
      </w:r>
      <w:r w:rsidR="00F0191D" w:rsidRPr="0093044A">
        <w:t xml:space="preserve"> remained lognormal</w:t>
      </w:r>
      <w:r w:rsidR="00494F62" w:rsidRPr="0093044A">
        <w:t xml:space="preserve">, but the parametric functions fit </w:t>
      </w:r>
      <w:r w:rsidR="005E2A0D" w:rsidRPr="0093044A">
        <w:t xml:space="preserve">to the Jan 25 DCO suggested longer PFS for </w:t>
      </w:r>
      <w:r w:rsidR="003A3F61" w:rsidRPr="0093044A">
        <w:t xml:space="preserve">vorasidenib </w:t>
      </w:r>
      <w:r w:rsidR="005E2A0D" w:rsidRPr="0093044A">
        <w:t xml:space="preserve">than those </w:t>
      </w:r>
      <w:r w:rsidR="003A3F61" w:rsidRPr="0093044A">
        <w:t>used in the July 2025 submission (Mar 2023 DCO)</w:t>
      </w:r>
      <w:r w:rsidR="00F0191D" w:rsidRPr="0093044A">
        <w:t>.</w:t>
      </w:r>
      <w:r w:rsidR="003A3F61" w:rsidRPr="0093044A">
        <w:t xml:space="preserve"> </w:t>
      </w:r>
      <w:r w:rsidR="003D2238" w:rsidRPr="0093044A">
        <w:t xml:space="preserve">The resubmission also noted that the extent of uncertainty around the extrapolated PFS function was reduced </w:t>
      </w:r>
      <w:r w:rsidR="00336EC4" w:rsidRPr="0093044A">
        <w:t>with the additional follow</w:t>
      </w:r>
      <w:r w:rsidR="00B571FA">
        <w:noBreakHyphen/>
      </w:r>
      <w:r w:rsidR="00336EC4" w:rsidRPr="0093044A">
        <w:t>up data</w:t>
      </w:r>
      <w:r w:rsidR="006155B1" w:rsidRPr="0093044A">
        <w:t xml:space="preserve">, with </w:t>
      </w:r>
      <w:r w:rsidR="009545F6" w:rsidRPr="0093044A">
        <w:t xml:space="preserve">substantially </w:t>
      </w:r>
      <w:r w:rsidR="006155B1" w:rsidRPr="0093044A">
        <w:t xml:space="preserve">less variation between the </w:t>
      </w:r>
      <w:r w:rsidR="00EB7104" w:rsidRPr="0093044A">
        <w:t xml:space="preserve">most conservative and most optimistic </w:t>
      </w:r>
      <w:r w:rsidR="009545F6" w:rsidRPr="0093044A">
        <w:t>functions</w:t>
      </w:r>
      <w:r w:rsidR="0073415C" w:rsidRPr="0093044A">
        <w:t xml:space="preserve"> (see </w:t>
      </w:r>
      <w:r w:rsidR="00CF6DD4" w:rsidRPr="0093044A">
        <w:fldChar w:fldCharType="begin"/>
      </w:r>
      <w:r w:rsidR="00CF6DD4" w:rsidRPr="0093044A">
        <w:instrText xml:space="preserve"> REF _Ref222328039 \h </w:instrText>
      </w:r>
      <w:r w:rsidR="0093044A">
        <w:instrText xml:space="preserve"> \* MERGEFORMAT </w:instrText>
      </w:r>
      <w:r w:rsidR="00CF6DD4" w:rsidRPr="0093044A">
        <w:fldChar w:fldCharType="separate"/>
      </w:r>
      <w:r w:rsidR="0031315F">
        <w:t>Figure 4</w:t>
      </w:r>
      <w:r w:rsidR="00CF6DD4" w:rsidRPr="0093044A">
        <w:fldChar w:fldCharType="end"/>
      </w:r>
      <w:r w:rsidR="00CF6DD4" w:rsidRPr="0093044A">
        <w:t>)</w:t>
      </w:r>
      <w:r w:rsidR="009545F6" w:rsidRPr="0093044A">
        <w:t>.</w:t>
      </w:r>
      <w:r w:rsidR="00CF6DD4" w:rsidRPr="0093044A">
        <w:t xml:space="preserve"> </w:t>
      </w:r>
      <w:r w:rsidR="000D4D30" w:rsidRPr="0093044A">
        <w:t>Using the most conservative function</w:t>
      </w:r>
      <w:r w:rsidR="00987609" w:rsidRPr="0093044A">
        <w:t xml:space="preserve"> (Weibull) rather than the best fitting (lognormal</w:t>
      </w:r>
      <w:r w:rsidR="0093044A" w:rsidRPr="0093044A">
        <w:t xml:space="preserve">) increased the ICER by </w:t>
      </w:r>
      <w:r w:rsidR="0024159D" w:rsidRPr="0024159D">
        <w:rPr>
          <w:sz w:val="2"/>
          <w:highlight w:val="black"/>
        </w:rPr>
        <w:t>redacted content</w:t>
      </w:r>
      <w:r w:rsidR="0093044A" w:rsidRPr="0093044A">
        <w:t>%.</w:t>
      </w:r>
    </w:p>
    <w:p w14:paraId="01E68260" w14:textId="019BFC40" w:rsidR="0040554F" w:rsidRDefault="0040554F" w:rsidP="00F36268">
      <w:pPr>
        <w:pStyle w:val="TableFigureHeading"/>
      </w:pPr>
      <w:bookmarkStart w:id="13" w:name="_Ref222328039"/>
      <w:bookmarkStart w:id="14" w:name="_Toc217038952"/>
      <w:r>
        <w:lastRenderedPageBreak/>
        <w:t xml:space="preserve">Figure </w:t>
      </w:r>
      <w:fldSimple w:instr=" SEQ Figure \* ARABIC ">
        <w:r w:rsidR="0031315F">
          <w:rPr>
            <w:noProof/>
          </w:rPr>
          <w:t>4</w:t>
        </w:r>
      </w:fldSimple>
      <w:bookmarkEnd w:id="13"/>
      <w:r>
        <w:t>: Comparison of KM functions, with most optimistic and most conservative parametric extrapolations based on PFS (INV) from Mar 2023 DCO and based on PFS (INV) Jan 2025 DCO</w:t>
      </w:r>
      <w:bookmarkEnd w:id="14"/>
      <w:r>
        <w:t xml:space="preserve"> </w:t>
      </w:r>
    </w:p>
    <w:p w14:paraId="03245C91" w14:textId="77777777" w:rsidR="0040554F" w:rsidRDefault="0040554F" w:rsidP="00F36268">
      <w:r>
        <w:rPr>
          <w:noProof/>
        </w:rPr>
        <w:drawing>
          <wp:inline distT="0" distB="0" distL="0" distR="0" wp14:anchorId="24FFE94B" wp14:editId="7E9D6488">
            <wp:extent cx="5669280" cy="3898883"/>
            <wp:effectExtent l="0" t="0" r="7620" b="6985"/>
            <wp:docPr id="78744522" name="Picture 1" descr="Figure 4: Comparison of KM functions, with most optimistic and most conservative parametric extrapolations based on PFS (INV) from Mar 2023 DCO and based on PFS (INV) Jan 2025 DCO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744522" name="Picture 1" descr="Figure 4: Comparison of KM functions, with most optimistic and most conservative parametric extrapolations based on PFS (INV) from Mar 2023 DCO and based on PFS (INV) Jan 2025 DCO "/>
                    <pic:cNvPicPr>
                      <a:picLocks noChangeAspect="1" noChangeArrowheads="1"/>
                    </pic:cNvPicPr>
                  </pic:nvPicPr>
                  <pic:blipFill rotWithShape="1">
                    <a:blip r:embed="rId15" cstate="print">
                      <a:extLst>
                        <a:ext uri="{28A0092B-C50C-407E-A947-70E740481C1C}">
                          <a14:useLocalDpi xmlns:a14="http://schemas.microsoft.com/office/drawing/2010/main" val="0"/>
                        </a:ext>
                      </a:extLst>
                    </a:blip>
                    <a:srcRect/>
                    <a:stretch>
                      <a:fillRect/>
                    </a:stretch>
                  </pic:blipFill>
                  <pic:spPr bwMode="auto">
                    <a:xfrm>
                      <a:off x="0" y="0"/>
                      <a:ext cx="5716881" cy="3931619"/>
                    </a:xfrm>
                    <a:prstGeom prst="rect">
                      <a:avLst/>
                    </a:prstGeom>
                    <a:noFill/>
                    <a:ln>
                      <a:noFill/>
                    </a:ln>
                    <a:extLst>
                      <a:ext uri="{53640926-AAD7-44D8-BBD7-CCE9431645EC}">
                        <a14:shadowObscured xmlns:a14="http://schemas.microsoft.com/office/drawing/2010/main"/>
                      </a:ext>
                    </a:extLst>
                  </pic:spPr>
                </pic:pic>
              </a:graphicData>
            </a:graphic>
          </wp:inline>
        </w:drawing>
      </w:r>
    </w:p>
    <w:p w14:paraId="19C5394E" w14:textId="40E686FD" w:rsidR="00753294" w:rsidRDefault="00753294" w:rsidP="00F36268">
      <w:pPr>
        <w:pStyle w:val="TableFigureFooter"/>
      </w:pPr>
      <w:r>
        <w:t xml:space="preserve">Source: Figure </w:t>
      </w:r>
      <w:r w:rsidR="005C4637">
        <w:t>C</w:t>
      </w:r>
      <w:r w:rsidR="00B571FA">
        <w:noBreakHyphen/>
      </w:r>
      <w:r w:rsidR="005C4637">
        <w:t>4 resubmission (p15)</w:t>
      </w:r>
    </w:p>
    <w:p w14:paraId="6E61B00E" w14:textId="24AD8D9B" w:rsidR="00A321CE" w:rsidRDefault="00A321CE" w:rsidP="00F36268">
      <w:pPr>
        <w:pStyle w:val="TableFigureFooter"/>
      </w:pPr>
      <w:r>
        <w:t>Abbreviations: INV = investigator assessed</w:t>
      </w:r>
      <w:r w:rsidR="009341D1">
        <w:t>; DCO = data cut off; KM = Kaplan</w:t>
      </w:r>
      <w:r w:rsidR="00B571FA">
        <w:noBreakHyphen/>
      </w:r>
      <w:r w:rsidR="009341D1">
        <w:t>Meier; PFS = progression free survival</w:t>
      </w:r>
    </w:p>
    <w:p w14:paraId="63578663" w14:textId="4A8DDFF1" w:rsidR="001C3F45" w:rsidRPr="0031073D" w:rsidRDefault="0031073D" w:rsidP="00F36268">
      <w:pPr>
        <w:pStyle w:val="3-BodyText"/>
        <w:numPr>
          <w:ilvl w:val="0"/>
          <w:numId w:val="0"/>
        </w:numPr>
        <w:ind w:left="720" w:hanging="720"/>
        <w:rPr>
          <w:b/>
          <w:bCs/>
        </w:rPr>
      </w:pPr>
      <w:r w:rsidRPr="0031073D">
        <w:rPr>
          <w:b/>
          <w:bCs/>
        </w:rPr>
        <w:t>Duration of treatment with vorasidenib</w:t>
      </w:r>
    </w:p>
    <w:p w14:paraId="764099EC" w14:textId="4CA2B566" w:rsidR="0031073D" w:rsidRDefault="00C377FA" w:rsidP="00F36268">
      <w:pPr>
        <w:pStyle w:val="3-BodyText"/>
      </w:pPr>
      <w:r>
        <w:rPr>
          <w:snapToGrid w:val="0"/>
          <w:lang w:val="en-GB"/>
        </w:rPr>
        <w:t xml:space="preserve">In </w:t>
      </w:r>
      <w:r w:rsidR="00EE60FF">
        <w:rPr>
          <w:snapToGrid w:val="0"/>
          <w:lang w:val="en-GB"/>
        </w:rPr>
        <w:t xml:space="preserve">July 2025 </w:t>
      </w:r>
      <w:r>
        <w:rPr>
          <w:snapToGrid w:val="0"/>
        </w:rPr>
        <w:t>t</w:t>
      </w:r>
      <w:r w:rsidRPr="00084B28">
        <w:rPr>
          <w:snapToGrid w:val="0"/>
        </w:rPr>
        <w:t xml:space="preserve">he PBAC </w:t>
      </w:r>
      <w:r>
        <w:rPr>
          <w:snapToGrid w:val="0"/>
        </w:rPr>
        <w:t>considered</w:t>
      </w:r>
      <w:r w:rsidRPr="00084B28">
        <w:rPr>
          <w:snapToGrid w:val="0"/>
        </w:rPr>
        <w:t xml:space="preserve"> that the treatment duration for vorasidenib </w:t>
      </w:r>
      <w:r>
        <w:rPr>
          <w:snapToGrid w:val="0"/>
        </w:rPr>
        <w:t xml:space="preserve">(64.5 months) </w:t>
      </w:r>
      <w:r w:rsidRPr="00084B28">
        <w:rPr>
          <w:snapToGrid w:val="0"/>
        </w:rPr>
        <w:t xml:space="preserve">was </w:t>
      </w:r>
      <w:r>
        <w:rPr>
          <w:snapToGrid w:val="0"/>
        </w:rPr>
        <w:t xml:space="preserve">highly </w:t>
      </w:r>
      <w:r w:rsidRPr="00084B28">
        <w:rPr>
          <w:snapToGrid w:val="0"/>
        </w:rPr>
        <w:t xml:space="preserve">uncertain as it was based on </w:t>
      </w:r>
      <w:r>
        <w:rPr>
          <w:snapToGrid w:val="0"/>
        </w:rPr>
        <w:t xml:space="preserve">extensive </w:t>
      </w:r>
      <w:r w:rsidRPr="00084B28">
        <w:rPr>
          <w:snapToGrid w:val="0"/>
        </w:rPr>
        <w:t xml:space="preserve">extrapolation of </w:t>
      </w:r>
      <w:r>
        <w:rPr>
          <w:snapToGrid w:val="0"/>
        </w:rPr>
        <w:t xml:space="preserve">radiographic </w:t>
      </w:r>
      <w:r w:rsidRPr="00084B28">
        <w:rPr>
          <w:snapToGrid w:val="0"/>
        </w:rPr>
        <w:t>PFS for the vorasidenib arm in the INDIGO trial</w:t>
      </w:r>
      <w:r>
        <w:rPr>
          <w:snapToGrid w:val="0"/>
        </w:rPr>
        <w:t xml:space="preserve"> and was driven by the extrapolation function chosen</w:t>
      </w:r>
      <w:r w:rsidR="00EE60FF">
        <w:rPr>
          <w:snapToGrid w:val="0"/>
        </w:rPr>
        <w:t xml:space="preserve"> (paragraph 7.13</w:t>
      </w:r>
      <w:r w:rsidR="00B978FC">
        <w:rPr>
          <w:snapToGrid w:val="0"/>
        </w:rPr>
        <w:t xml:space="preserve">, vorasidenib PSD, July 2025 PBAC </w:t>
      </w:r>
      <w:r w:rsidR="00583988">
        <w:rPr>
          <w:snapToGrid w:val="0"/>
        </w:rPr>
        <w:t>m</w:t>
      </w:r>
      <w:r w:rsidR="00B978FC">
        <w:rPr>
          <w:snapToGrid w:val="0"/>
        </w:rPr>
        <w:t xml:space="preserve">eeting). </w:t>
      </w:r>
      <w:r w:rsidR="001170F0">
        <w:rPr>
          <w:snapToGrid w:val="0"/>
        </w:rPr>
        <w:t xml:space="preserve">The resubmission noted that </w:t>
      </w:r>
      <w:r w:rsidR="001170F0">
        <w:t>time on treatment is now estimated to be longer due to the switch from PFS (BIRC) to PFS (INV)</w:t>
      </w:r>
      <w:r w:rsidR="005F3057">
        <w:t xml:space="preserve">. The revised model </w:t>
      </w:r>
      <w:r w:rsidR="00A62BF5">
        <w:t xml:space="preserve">resulted in a mean treatment duration of </w:t>
      </w:r>
      <w:r w:rsidR="00AB375D">
        <w:t>10.16</w:t>
      </w:r>
      <w:r w:rsidR="00F64D72">
        <w:t xml:space="preserve"> </w:t>
      </w:r>
      <w:r w:rsidR="005B00A6">
        <w:t>years (</w:t>
      </w:r>
      <w:r w:rsidR="00F7081B">
        <w:t xml:space="preserve">121.9 </w:t>
      </w:r>
      <w:r w:rsidR="00F64D72">
        <w:t>months</w:t>
      </w:r>
      <w:r w:rsidR="005A44F9">
        <w:t>)</w:t>
      </w:r>
      <w:r w:rsidR="00F7081B">
        <w:t xml:space="preserve"> based on the </w:t>
      </w:r>
      <w:r w:rsidR="00727DC5">
        <w:t>total progression</w:t>
      </w:r>
      <w:r w:rsidR="00B571FA">
        <w:noBreakHyphen/>
      </w:r>
      <w:r w:rsidR="00727DC5">
        <w:t xml:space="preserve">free life years (undiscounted) for the vorasidenib arm, </w:t>
      </w:r>
      <w:r w:rsidR="001B284D">
        <w:t>for</w:t>
      </w:r>
      <w:r w:rsidR="00727DC5">
        <w:t xml:space="preserve"> a 40</w:t>
      </w:r>
      <w:r w:rsidR="00B571FA">
        <w:noBreakHyphen/>
      </w:r>
      <w:r w:rsidR="00727DC5">
        <w:t>year time horizon</w:t>
      </w:r>
      <w:r w:rsidR="00A62BF5">
        <w:t xml:space="preserve">. </w:t>
      </w:r>
    </w:p>
    <w:p w14:paraId="14D6F528" w14:textId="6DFE99FB" w:rsidR="00E04BF3" w:rsidRDefault="00E04BF3" w:rsidP="00F36268">
      <w:pPr>
        <w:pStyle w:val="3-BodyText"/>
        <w:numPr>
          <w:ilvl w:val="0"/>
          <w:numId w:val="0"/>
        </w:numPr>
        <w:rPr>
          <w:b/>
          <w:bCs/>
        </w:rPr>
      </w:pPr>
      <w:r w:rsidRPr="00E04BF3">
        <w:rPr>
          <w:b/>
          <w:bCs/>
        </w:rPr>
        <w:t>Translation of PFS to OS</w:t>
      </w:r>
    </w:p>
    <w:p w14:paraId="2ABCF08C" w14:textId="212B29AD" w:rsidR="00224A07" w:rsidRDefault="00752C1F" w:rsidP="00F36268">
      <w:pPr>
        <w:pStyle w:val="3-BodyText"/>
      </w:pPr>
      <w:r>
        <w:t>In July 2025 t</w:t>
      </w:r>
      <w:r w:rsidRPr="00531A03">
        <w:t xml:space="preserve">he </w:t>
      </w:r>
      <w:r>
        <w:t>PBAC c</w:t>
      </w:r>
      <w:r w:rsidRPr="00531A03">
        <w:t xml:space="preserve">onsidered it is unclear </w:t>
      </w:r>
      <w:r>
        <w:t>to what extent</w:t>
      </w:r>
      <w:r w:rsidRPr="00531A03">
        <w:t xml:space="preserve"> the improvements in radiographic </w:t>
      </w:r>
      <w:r>
        <w:t>PFS</w:t>
      </w:r>
      <w:r w:rsidRPr="00531A03">
        <w:t xml:space="preserve"> associated with vorasidenib treatment will translate into improvements in OS, and noted further analyses </w:t>
      </w:r>
      <w:r>
        <w:t xml:space="preserve">of the INDIGO trial </w:t>
      </w:r>
      <w:r w:rsidRPr="00531A03">
        <w:t xml:space="preserve">will not be informative due to the large number of patients who crossed over </w:t>
      </w:r>
      <w:r>
        <w:t xml:space="preserve">from the placebo arm </w:t>
      </w:r>
      <w:r w:rsidRPr="00531A03">
        <w:t xml:space="preserve">to receive vorasidenib. </w:t>
      </w:r>
      <w:r w:rsidRPr="00252DB4">
        <w:t xml:space="preserve">The PBAC noted that due to the indolent nature of the disease it was not possible to demonstrate a difference in </w:t>
      </w:r>
      <w:r>
        <w:t>OS</w:t>
      </w:r>
      <w:r w:rsidRPr="00252DB4">
        <w:t xml:space="preserve"> within the trial</w:t>
      </w:r>
      <w:r>
        <w:t xml:space="preserve"> (paragraph </w:t>
      </w:r>
      <w:r w:rsidR="00CD206D">
        <w:t xml:space="preserve">7.9, vorasidenib PSD, July 2025 PBAC meeting). </w:t>
      </w:r>
      <w:r w:rsidR="00491563" w:rsidRPr="0084014B">
        <w:t xml:space="preserve">Due to </w:t>
      </w:r>
      <w:r w:rsidR="00491563">
        <w:t xml:space="preserve">the lack of </w:t>
      </w:r>
      <w:r w:rsidR="00491563">
        <w:lastRenderedPageBreak/>
        <w:t>meaningful OS</w:t>
      </w:r>
      <w:r w:rsidR="00491563" w:rsidRPr="0084014B">
        <w:t xml:space="preserve"> data in the INDIGO trial, the probability of transitioning from the progressed disease health state to the dead state was derived from an analysis of Australian brain tumour registry data, and was assumed to be the same for the vorasidenib and active surveillance arms</w:t>
      </w:r>
      <w:r w:rsidR="00491563">
        <w:t>. This was unchanged in the resubmission</w:t>
      </w:r>
      <w:r w:rsidR="00655CA0">
        <w:t>, which did not revise the structure of the model.</w:t>
      </w:r>
      <w:r w:rsidR="004D4C0A">
        <w:t xml:space="preserve"> The resubmission stated that </w:t>
      </w:r>
      <w:r w:rsidR="008B30DF">
        <w:t xml:space="preserve">it is generally accepted that delaying glioma growth and </w:t>
      </w:r>
      <w:r w:rsidR="00224A07">
        <w:t>malignant transformation to higher</w:t>
      </w:r>
      <w:r w:rsidR="00B571FA">
        <w:noBreakHyphen/>
      </w:r>
      <w:r w:rsidR="00224A07">
        <w:t>grade disease improves long</w:t>
      </w:r>
      <w:r w:rsidR="00B571FA">
        <w:noBreakHyphen/>
      </w:r>
      <w:r w:rsidR="00224A07">
        <w:t>term survival, and that evidence from other settings supports this relationship</w:t>
      </w:r>
      <w:r w:rsidR="006F148F">
        <w:t>:</w:t>
      </w:r>
    </w:p>
    <w:p w14:paraId="35ADE664" w14:textId="56B58C91" w:rsidR="006F148F" w:rsidRDefault="006F148F" w:rsidP="00F36268">
      <w:pPr>
        <w:pStyle w:val="ListParagraph"/>
        <w:numPr>
          <w:ilvl w:val="0"/>
          <w:numId w:val="6"/>
        </w:numPr>
        <w:suppressAutoHyphens/>
        <w:spacing w:after="160" w:line="259" w:lineRule="auto"/>
        <w:ind w:left="1134" w:hanging="426"/>
        <w:contextualSpacing/>
        <w:jc w:val="both"/>
      </w:pPr>
      <w:r>
        <w:t>The RTOG 9802 study,</w:t>
      </w:r>
      <w:r w:rsidDel="006F68D7">
        <w:t xml:space="preserve"> </w:t>
      </w:r>
      <w:r>
        <w:t xml:space="preserve">which compared </w:t>
      </w:r>
      <w:r w:rsidRPr="005450C1">
        <w:t xml:space="preserve">radiotherapy </w:t>
      </w:r>
      <w:r>
        <w:t xml:space="preserve">(RT) </w:t>
      </w:r>
      <w:r w:rsidRPr="005450C1">
        <w:t>with or without chemotherapy</w:t>
      </w:r>
      <w:r>
        <w:t xml:space="preserve"> (CT)</w:t>
      </w:r>
      <w:r w:rsidRPr="005450C1">
        <w:t xml:space="preserve"> in high</w:t>
      </w:r>
      <w:r w:rsidR="00B571FA">
        <w:noBreakHyphen/>
      </w:r>
      <w:r w:rsidRPr="005450C1">
        <w:t>risk low</w:t>
      </w:r>
      <w:r w:rsidR="00B571FA">
        <w:noBreakHyphen/>
      </w:r>
      <w:r w:rsidRPr="005450C1">
        <w:t>grade glioma</w:t>
      </w:r>
      <w:r>
        <w:t xml:space="preserve"> in patients with high</w:t>
      </w:r>
      <w:r w:rsidR="00B571FA">
        <w:noBreakHyphen/>
      </w:r>
      <w:r>
        <w:t>risk grade 2 glioma, showed that delaying progression translated into improved OS. As with INDIGO, the trial initially showed only a gain in PFS, OS gains emerged after long</w:t>
      </w:r>
      <w:r w:rsidR="00B571FA">
        <w:noBreakHyphen/>
      </w:r>
      <w:r>
        <w:t>term follow</w:t>
      </w:r>
      <w:r w:rsidR="00B571FA">
        <w:noBreakHyphen/>
      </w:r>
      <w:r>
        <w:t>up</w:t>
      </w:r>
      <w:r w:rsidRPr="0038030C">
        <w:t xml:space="preserve">. </w:t>
      </w:r>
    </w:p>
    <w:p w14:paraId="6B6C6656" w14:textId="4C4C0611" w:rsidR="006F148F" w:rsidRDefault="006F148F" w:rsidP="00F36268">
      <w:pPr>
        <w:pStyle w:val="ListParagraph"/>
        <w:numPr>
          <w:ilvl w:val="0"/>
          <w:numId w:val="5"/>
        </w:numPr>
        <w:spacing w:after="160" w:line="259" w:lineRule="auto"/>
        <w:ind w:left="1134" w:hanging="426"/>
        <w:contextualSpacing/>
        <w:jc w:val="both"/>
      </w:pPr>
      <w:r>
        <w:t>A meta</w:t>
      </w:r>
      <w:r w:rsidR="00B571FA">
        <w:noBreakHyphen/>
      </w:r>
      <w:r>
        <w:t>analysis of 91 glioblastoma trials (Han 2014</w:t>
      </w:r>
      <w:r w:rsidRPr="0038030C">
        <w:t>)</w:t>
      </w:r>
      <w:r>
        <w:t xml:space="preserve"> demonstrated that prolonged PFS was associated with better OS outcomes. The meta</w:t>
      </w:r>
      <w:r w:rsidR="00B571FA">
        <w:noBreakHyphen/>
      </w:r>
      <w:r>
        <w:t>analysis</w:t>
      </w:r>
      <w:r w:rsidRPr="00304F36">
        <w:t xml:space="preserve"> demonstrated a strong correlation between PFS and OS (R² = 0.92 for hazard ratios).</w:t>
      </w:r>
    </w:p>
    <w:p w14:paraId="389EF38B" w14:textId="3CA89AF3" w:rsidR="006F148F" w:rsidRDefault="006F148F" w:rsidP="00F36268">
      <w:pPr>
        <w:pStyle w:val="ListParagraph"/>
        <w:numPr>
          <w:ilvl w:val="0"/>
          <w:numId w:val="5"/>
        </w:numPr>
        <w:spacing w:after="160" w:line="259" w:lineRule="auto"/>
        <w:ind w:left="1134" w:hanging="426"/>
        <w:contextualSpacing/>
        <w:jc w:val="both"/>
      </w:pPr>
      <w:r>
        <w:t xml:space="preserve">Analysis from the </w:t>
      </w:r>
      <w:r w:rsidR="002946B1">
        <w:t>Australian brain tumour registry (</w:t>
      </w:r>
      <w:r>
        <w:t>BRAIN</w:t>
      </w:r>
      <w:r w:rsidR="002946B1">
        <w:t>)</w:t>
      </w:r>
      <w:r>
        <w:t xml:space="preserve"> indicates that longer PFS correlates with longer post</w:t>
      </w:r>
      <w:r w:rsidR="00B571FA">
        <w:noBreakHyphen/>
      </w:r>
      <w:r>
        <w:t>progression survival.</w:t>
      </w:r>
    </w:p>
    <w:p w14:paraId="3B0BA5CE" w14:textId="4D751F4F" w:rsidR="00752C1F" w:rsidRPr="00D80E5E" w:rsidRDefault="006741AF" w:rsidP="00F36268">
      <w:pPr>
        <w:pStyle w:val="3-BodyText"/>
        <w:rPr>
          <w:snapToGrid w:val="0"/>
        </w:rPr>
      </w:pPr>
      <w:r>
        <w:rPr>
          <w:snapToGrid w:val="0"/>
        </w:rPr>
        <w:t xml:space="preserve">The resubmission also noted that </w:t>
      </w:r>
      <w:r w:rsidR="00D80E5E">
        <w:t>there have now been 5 deaths in the vorasidenib arm of the INDIGO trial. Though this reflects a small proportion of patients, the projected KM OS function for vorasidenib produced by the model, by application of post</w:t>
      </w:r>
      <w:r w:rsidR="00B571FA">
        <w:noBreakHyphen/>
      </w:r>
      <w:r w:rsidR="00D80E5E">
        <w:t>progression survival data from the BRAIN registry, is consistent with the actual KM OS function observed in the trial.</w:t>
      </w:r>
    </w:p>
    <w:p w14:paraId="6F3B4127" w14:textId="4715B4D4" w:rsidR="00F33FE2" w:rsidRDefault="00F33FE2" w:rsidP="00F36268">
      <w:pPr>
        <w:pStyle w:val="3-BodyText"/>
        <w:numPr>
          <w:ilvl w:val="0"/>
          <w:numId w:val="0"/>
        </w:numPr>
        <w:rPr>
          <w:b/>
          <w:bCs/>
        </w:rPr>
      </w:pPr>
      <w:r>
        <w:rPr>
          <w:b/>
          <w:bCs/>
        </w:rPr>
        <w:t>Utility values</w:t>
      </w:r>
    </w:p>
    <w:p w14:paraId="12DF1CDF" w14:textId="631E526E" w:rsidR="00E04BF3" w:rsidRDefault="00851C7A" w:rsidP="00F36268">
      <w:pPr>
        <w:pStyle w:val="3-BodyText"/>
      </w:pPr>
      <w:r>
        <w:t xml:space="preserve">In July 2025 the PBAC noted that the health state utilities, though based on the available </w:t>
      </w:r>
      <w:r w:rsidR="00966F90" w:rsidRPr="003D59F9">
        <w:rPr>
          <w:snapToGrid w:val="0"/>
          <w:lang w:val="en-GB"/>
        </w:rPr>
        <w:t xml:space="preserve">quality of life </w:t>
      </w:r>
      <w:r>
        <w:t>data from INDIGO, appeared high given the symptom burden for patients with glioma</w:t>
      </w:r>
      <w:r w:rsidR="00731AD1">
        <w:t xml:space="preserve"> (para</w:t>
      </w:r>
      <w:r w:rsidR="00475A24">
        <w:t>graph</w:t>
      </w:r>
      <w:r w:rsidR="00731AD1">
        <w:t xml:space="preserve"> 7.12, vorasidenib PSD, July 2025 PBAC meeting)</w:t>
      </w:r>
      <w:r w:rsidR="007D392A">
        <w:t xml:space="preserve"> and considered that </w:t>
      </w:r>
      <w:r w:rsidR="00DF5000">
        <w:t xml:space="preserve">the economic model should be revised </w:t>
      </w:r>
      <w:r w:rsidR="001B316B">
        <w:t xml:space="preserve">to use values as per the </w:t>
      </w:r>
      <w:r w:rsidR="006F6595">
        <w:t>d</w:t>
      </w:r>
      <w:proofErr w:type="spellStart"/>
      <w:r w:rsidR="00533679">
        <w:rPr>
          <w:lang w:val="en-GB"/>
        </w:rPr>
        <w:t>abrafenib</w:t>
      </w:r>
      <w:proofErr w:type="spellEnd"/>
      <w:r w:rsidR="00533679">
        <w:rPr>
          <w:lang w:val="en-GB"/>
        </w:rPr>
        <w:t xml:space="preserve"> + trametinib submission </w:t>
      </w:r>
      <w:r w:rsidR="00533679">
        <w:t>(para</w:t>
      </w:r>
      <w:r w:rsidR="00475A24">
        <w:t>graph</w:t>
      </w:r>
      <w:r w:rsidR="00533679">
        <w:t xml:space="preserve"> 7.15, vorasidenib PSD, July 2025 PBAC meeting). The resubmission </w:t>
      </w:r>
      <w:r w:rsidR="00943B61">
        <w:t xml:space="preserve">did not revise the utility values in the base case </w:t>
      </w:r>
      <w:r w:rsidR="00076D2D">
        <w:t xml:space="preserve">as requested. The resubmission </w:t>
      </w:r>
      <w:r w:rsidR="00AC319B">
        <w:t xml:space="preserve">argued that the </w:t>
      </w:r>
      <w:r w:rsidR="008574AB">
        <w:t>utility values from INDIGO were specific to the relevant patient population</w:t>
      </w:r>
      <w:r w:rsidR="000C12E5">
        <w:t xml:space="preserve">, whereas the values </w:t>
      </w:r>
      <w:r w:rsidR="006F6595">
        <w:t>used in the d</w:t>
      </w:r>
      <w:proofErr w:type="spellStart"/>
      <w:r w:rsidR="006F6595">
        <w:rPr>
          <w:lang w:val="en-GB"/>
        </w:rPr>
        <w:t>abrafenib</w:t>
      </w:r>
      <w:proofErr w:type="spellEnd"/>
      <w:r w:rsidR="006F6595">
        <w:rPr>
          <w:lang w:val="en-GB"/>
        </w:rPr>
        <w:t xml:space="preserve"> + trametinib submission </w:t>
      </w:r>
      <w:r w:rsidR="00E21E50">
        <w:rPr>
          <w:lang w:val="en-GB"/>
        </w:rPr>
        <w:t xml:space="preserve">reflect quality of life in patients with </w:t>
      </w:r>
      <w:r w:rsidR="005B5364" w:rsidRPr="005B5364">
        <w:t>with high</w:t>
      </w:r>
      <w:r w:rsidR="00B571FA">
        <w:noBreakHyphen/>
      </w:r>
      <w:r w:rsidR="005B5364" w:rsidRPr="005B5364">
        <w:t>grade glioma</w:t>
      </w:r>
      <w:r w:rsidR="005B5364" w:rsidRPr="00BF150F">
        <w:t xml:space="preserve"> </w:t>
      </w:r>
      <w:r w:rsidR="005B5364" w:rsidRPr="002E34EE">
        <w:t>who</w:t>
      </w:r>
      <w:r w:rsidR="005B5364" w:rsidRPr="00BF150F">
        <w:t xml:space="preserve"> are stable after surgery</w:t>
      </w:r>
      <w:r w:rsidR="005B5364">
        <w:t>, without undergoing radiotherapy or chemotherapy.</w:t>
      </w:r>
      <w:r w:rsidR="003023C5">
        <w:t xml:space="preserve"> </w:t>
      </w:r>
      <w:r w:rsidR="004E612C">
        <w:t xml:space="preserve">The </w:t>
      </w:r>
      <w:r w:rsidR="00666A57">
        <w:t xml:space="preserve">resubmission noted that </w:t>
      </w:r>
      <w:r w:rsidR="00433653">
        <w:t xml:space="preserve">use </w:t>
      </w:r>
      <w:r w:rsidR="00673047">
        <w:t xml:space="preserve">of values </w:t>
      </w:r>
      <w:r w:rsidR="00666A57">
        <w:t xml:space="preserve">derived from the target population </w:t>
      </w:r>
      <w:r w:rsidR="00433653">
        <w:t xml:space="preserve">is consistent with </w:t>
      </w:r>
      <w:r w:rsidR="00673047">
        <w:t xml:space="preserve">the PBAC </w:t>
      </w:r>
      <w:r w:rsidR="007105B2">
        <w:t>G</w:t>
      </w:r>
      <w:r w:rsidR="00673047">
        <w:t>uidelines.</w:t>
      </w:r>
      <w:r w:rsidR="00482EB9">
        <w:t xml:space="preserve"> </w:t>
      </w:r>
      <w:r w:rsidR="00D353D7">
        <w:t>S</w:t>
      </w:r>
      <w:r w:rsidR="00D353D7" w:rsidRPr="00146408">
        <w:t>ensitivity analyses applying the 0.8</w:t>
      </w:r>
      <w:r w:rsidR="00D353D7">
        <w:t>9</w:t>
      </w:r>
      <w:r w:rsidR="00D353D7" w:rsidRPr="00146408">
        <w:t xml:space="preserve"> utility weight</w:t>
      </w:r>
      <w:r w:rsidR="00D353D7">
        <w:t xml:space="preserve"> </w:t>
      </w:r>
      <w:r w:rsidR="008750B4">
        <w:t xml:space="preserve">for </w:t>
      </w:r>
      <w:r w:rsidR="00EF3FEF">
        <w:t>progression</w:t>
      </w:r>
      <w:r w:rsidR="00B571FA">
        <w:noBreakHyphen/>
      </w:r>
      <w:r w:rsidR="00EF3FEF">
        <w:t xml:space="preserve">free disease </w:t>
      </w:r>
      <w:r w:rsidR="00873F23">
        <w:t xml:space="preserve">and 0.73 </w:t>
      </w:r>
      <w:r w:rsidR="00566077">
        <w:t>for post</w:t>
      </w:r>
      <w:r w:rsidR="00B571FA">
        <w:noBreakHyphen/>
      </w:r>
      <w:r w:rsidR="00566077">
        <w:t xml:space="preserve">progression </w:t>
      </w:r>
      <w:r w:rsidR="00873F23">
        <w:t xml:space="preserve">(with linear decline) </w:t>
      </w:r>
      <w:r w:rsidR="00D353D7">
        <w:t xml:space="preserve">indicated that </w:t>
      </w:r>
      <w:r w:rsidR="00E54311">
        <w:t>this had a minimal impact on the ICER (</w:t>
      </w:r>
      <w:r w:rsidR="004866D3">
        <w:t>&lt;</w:t>
      </w:r>
      <w:r w:rsidR="0024159D" w:rsidRPr="0024159D">
        <w:rPr>
          <w:sz w:val="2"/>
          <w:highlight w:val="black"/>
        </w:rPr>
        <w:t>redacted content</w:t>
      </w:r>
      <w:r w:rsidR="004866D3">
        <w:t>% increase).</w:t>
      </w:r>
      <w:r w:rsidR="00FB0646">
        <w:t xml:space="preserve"> The resubmission also provided sensitivity analyses using non</w:t>
      </w:r>
      <w:r w:rsidR="00B571FA">
        <w:noBreakHyphen/>
      </w:r>
      <w:r w:rsidR="00FB0646">
        <w:t xml:space="preserve">linear decline in </w:t>
      </w:r>
      <w:r w:rsidR="00243485">
        <w:t>post</w:t>
      </w:r>
      <w:r w:rsidR="00B571FA">
        <w:noBreakHyphen/>
      </w:r>
      <w:r w:rsidR="00243485">
        <w:t xml:space="preserve">progression utility, which increased the ICER by up to </w:t>
      </w:r>
      <w:r w:rsidR="0024159D" w:rsidRPr="0024159D">
        <w:rPr>
          <w:sz w:val="2"/>
          <w:highlight w:val="black"/>
        </w:rPr>
        <w:t>redacted content</w:t>
      </w:r>
      <w:r w:rsidR="00243485">
        <w:t>%.</w:t>
      </w:r>
    </w:p>
    <w:p w14:paraId="2FCB7303" w14:textId="77777777" w:rsidR="001C3F45" w:rsidRDefault="001C3F45" w:rsidP="00F36268">
      <w:pPr>
        <w:pStyle w:val="3-BodyText"/>
        <w:numPr>
          <w:ilvl w:val="0"/>
          <w:numId w:val="0"/>
        </w:numPr>
        <w:rPr>
          <w:u w:val="single"/>
        </w:rPr>
      </w:pPr>
      <w:r w:rsidRPr="0076585C">
        <w:rPr>
          <w:u w:val="single"/>
        </w:rPr>
        <w:lastRenderedPageBreak/>
        <w:t>Results</w:t>
      </w:r>
    </w:p>
    <w:p w14:paraId="401A544B" w14:textId="73B26543" w:rsidR="00BD2FCB" w:rsidRDefault="003C3233" w:rsidP="00F36268">
      <w:pPr>
        <w:pStyle w:val="3-BodyText"/>
      </w:pPr>
      <w:r>
        <w:t xml:space="preserve">The resubmission presented stepped changes to the </w:t>
      </w:r>
      <w:r w:rsidR="00B868B6">
        <w:t xml:space="preserve">model, as shown in </w:t>
      </w:r>
      <w:r w:rsidR="00B868B6">
        <w:fldChar w:fldCharType="begin"/>
      </w:r>
      <w:r w:rsidR="00B868B6">
        <w:instrText xml:space="preserve"> REF _Ref222374239 \h </w:instrText>
      </w:r>
      <w:r w:rsidR="00B868B6">
        <w:fldChar w:fldCharType="separate"/>
      </w:r>
      <w:r w:rsidR="0031315F">
        <w:t xml:space="preserve">Table </w:t>
      </w:r>
      <w:r w:rsidR="0031315F">
        <w:rPr>
          <w:noProof/>
        </w:rPr>
        <w:t>4</w:t>
      </w:r>
      <w:r w:rsidR="00B868B6">
        <w:fldChar w:fldCharType="end"/>
      </w:r>
      <w:r w:rsidR="00B008CC">
        <w:t>. The revised ICER</w:t>
      </w:r>
      <w:r w:rsidR="001E4078">
        <w:t xml:space="preserve"> was </w:t>
      </w:r>
      <w:r w:rsidR="00B2712F" w:rsidRPr="00B2712F">
        <w:t>$95,000 to &lt; $115,000</w:t>
      </w:r>
      <w:r w:rsidR="0024159D">
        <w:t xml:space="preserve"> </w:t>
      </w:r>
      <w:r w:rsidR="001E4078">
        <w:t>per QALY</w:t>
      </w:r>
      <w:r w:rsidR="0062655C">
        <w:t>. The sponsor acknowledged that</w:t>
      </w:r>
      <w:r w:rsidR="0062655C" w:rsidRPr="00293DFD">
        <w:t xml:space="preserve"> the base case ICER</w:t>
      </w:r>
      <w:r w:rsidR="00860882">
        <w:t xml:space="preserve"> </w:t>
      </w:r>
      <w:r w:rsidR="0062655C" w:rsidRPr="00293DFD">
        <w:t xml:space="preserve">exceeds </w:t>
      </w:r>
      <w:r w:rsidR="0020080D">
        <w:t xml:space="preserve">the </w:t>
      </w:r>
      <w:r w:rsidR="006317CC" w:rsidRPr="006317CC">
        <w:t>$75,000 to &lt; $95,000</w:t>
      </w:r>
      <w:r w:rsidR="0062655C" w:rsidRPr="00293DFD">
        <w:t>/QALY</w:t>
      </w:r>
      <w:r w:rsidR="0062655C">
        <w:t xml:space="preserve"> </w:t>
      </w:r>
      <w:r w:rsidR="00860882">
        <w:t xml:space="preserve">requested by the PBAC </w:t>
      </w:r>
      <w:r w:rsidR="0062655C">
        <w:t>but maintained vorasidenib is a cost</w:t>
      </w:r>
      <w:r w:rsidR="00B571FA">
        <w:noBreakHyphen/>
      </w:r>
      <w:r w:rsidR="0062655C">
        <w:t>effective treatment option</w:t>
      </w:r>
      <w:r w:rsidR="001132D9">
        <w:t xml:space="preserve"> and the ICER is within</w:t>
      </w:r>
      <w:r w:rsidR="007835D7">
        <w:t xml:space="preserve"> the range previously accepted for </w:t>
      </w:r>
      <w:r w:rsidR="00860882">
        <w:t>diseases where no other treatments are available</w:t>
      </w:r>
      <w:r w:rsidR="0062655C">
        <w:t>.</w:t>
      </w:r>
      <w:r w:rsidR="0062655C" w:rsidRPr="00293DFD">
        <w:t xml:space="preserve"> </w:t>
      </w:r>
      <w:r w:rsidR="00EB0FFF">
        <w:t>The Pre</w:t>
      </w:r>
      <w:r w:rsidR="00B571FA">
        <w:noBreakHyphen/>
      </w:r>
      <w:r w:rsidR="00EB0FFF">
        <w:t>PBAC Response</w:t>
      </w:r>
      <w:r w:rsidR="0024159D">
        <w:t xml:space="preserve"> </w:t>
      </w:r>
      <w:r w:rsidR="00CC553D">
        <w:t>stat</w:t>
      </w:r>
      <w:r w:rsidR="00F30C9A">
        <w:t xml:space="preserve">ed </w:t>
      </w:r>
      <w:r w:rsidR="006B1EE0">
        <w:t xml:space="preserve">the proposed </w:t>
      </w:r>
      <w:r w:rsidR="00EB0FFF" w:rsidRPr="00EB0FFF">
        <w:t xml:space="preserve">ICER of </w:t>
      </w:r>
      <w:r w:rsidR="00B2712F" w:rsidRPr="00B2712F">
        <w:t xml:space="preserve">$95,000 to &lt; $115,000 </w:t>
      </w:r>
      <w:r w:rsidR="00EB0FFF" w:rsidRPr="00EB0FFF">
        <w:t>/QALY sits within the range the PBAC has previously accepted for rare conditions with comparable PBAC assessment around the quality of evidence presented.</w:t>
      </w:r>
      <w:r w:rsidR="003023C5">
        <w:t xml:space="preserve"> </w:t>
      </w:r>
    </w:p>
    <w:p w14:paraId="359BB348" w14:textId="02FA3D1B" w:rsidR="00FD7089" w:rsidRDefault="007E7FFC" w:rsidP="00F36268">
      <w:pPr>
        <w:pStyle w:val="TableFigureHeading"/>
        <w:rPr>
          <w:u w:val="single"/>
        </w:rPr>
      </w:pPr>
      <w:bookmarkStart w:id="15" w:name="_Ref222374239"/>
      <w:r>
        <w:t xml:space="preserve">Table </w:t>
      </w:r>
      <w:fldSimple w:instr=" SEQ Table \* ARABIC ">
        <w:r w:rsidR="0031315F">
          <w:rPr>
            <w:noProof/>
          </w:rPr>
          <w:t>4</w:t>
        </w:r>
      </w:fldSimple>
      <w:bookmarkEnd w:id="15"/>
      <w:r>
        <w:t xml:space="preserve">: </w:t>
      </w:r>
      <w:r w:rsidR="003C3233">
        <w:t>Revised model (stepped changes)</w:t>
      </w:r>
    </w:p>
    <w:tbl>
      <w:tblPr>
        <w:tblStyle w:val="TableGrid"/>
        <w:tblW w:w="5000" w:type="pct"/>
        <w:tblLayout w:type="fixed"/>
        <w:tblLook w:val="04A0" w:firstRow="1" w:lastRow="0" w:firstColumn="1" w:lastColumn="0" w:noHBand="0" w:noVBand="1"/>
        <w:tblCaption w:val="Table 4: Revised model (stepped changes)"/>
      </w:tblPr>
      <w:tblGrid>
        <w:gridCol w:w="2122"/>
        <w:gridCol w:w="1134"/>
        <w:gridCol w:w="850"/>
        <w:gridCol w:w="1134"/>
        <w:gridCol w:w="1134"/>
        <w:gridCol w:w="709"/>
        <w:gridCol w:w="992"/>
        <w:gridCol w:w="941"/>
      </w:tblGrid>
      <w:tr w:rsidR="00FD7089" w:rsidRPr="00E43C50" w14:paraId="5C3B9D2C" w14:textId="77777777" w:rsidTr="007E7FFC">
        <w:trPr>
          <w:tblHeader/>
        </w:trPr>
        <w:tc>
          <w:tcPr>
            <w:tcW w:w="2122" w:type="dxa"/>
            <w:vMerge w:val="restart"/>
            <w:tcMar>
              <w:left w:w="28" w:type="dxa"/>
              <w:right w:w="28" w:type="dxa"/>
            </w:tcMar>
          </w:tcPr>
          <w:p w14:paraId="7E351F3E" w14:textId="77777777" w:rsidR="00E43C50" w:rsidRPr="00E43C50" w:rsidRDefault="00E43C50" w:rsidP="00F36268">
            <w:pPr>
              <w:pStyle w:val="TableText"/>
              <w:rPr>
                <w:rFonts w:eastAsiaTheme="minorHAnsi"/>
              </w:rPr>
            </w:pPr>
          </w:p>
        </w:tc>
        <w:tc>
          <w:tcPr>
            <w:tcW w:w="1984" w:type="dxa"/>
            <w:gridSpan w:val="2"/>
            <w:tcMar>
              <w:left w:w="28" w:type="dxa"/>
              <w:right w:w="28" w:type="dxa"/>
            </w:tcMar>
            <w:vAlign w:val="center"/>
          </w:tcPr>
          <w:p w14:paraId="56FC7752" w14:textId="77777777" w:rsidR="00E43C50" w:rsidRPr="00FD7089" w:rsidRDefault="00E43C50" w:rsidP="00F36268">
            <w:pPr>
              <w:pStyle w:val="TableText"/>
              <w:jc w:val="center"/>
              <w:rPr>
                <w:rFonts w:eastAsiaTheme="minorHAnsi"/>
                <w:b/>
                <w:bCs w:val="0"/>
              </w:rPr>
            </w:pPr>
            <w:r w:rsidRPr="00FD7089">
              <w:rPr>
                <w:rFonts w:eastAsiaTheme="minorHAnsi"/>
                <w:b/>
                <w:bCs w:val="0"/>
              </w:rPr>
              <w:t>Lifetime discounted costs</w:t>
            </w:r>
          </w:p>
        </w:tc>
        <w:tc>
          <w:tcPr>
            <w:tcW w:w="1134" w:type="dxa"/>
            <w:vMerge w:val="restart"/>
            <w:tcMar>
              <w:left w:w="28" w:type="dxa"/>
              <w:right w:w="28" w:type="dxa"/>
            </w:tcMar>
            <w:vAlign w:val="center"/>
          </w:tcPr>
          <w:p w14:paraId="2E7A70E9" w14:textId="77777777" w:rsidR="00E43C50" w:rsidRPr="00FD7089" w:rsidRDefault="00E43C50" w:rsidP="00F36268">
            <w:pPr>
              <w:pStyle w:val="TableText"/>
              <w:jc w:val="center"/>
              <w:rPr>
                <w:rFonts w:eastAsiaTheme="minorHAnsi"/>
                <w:b/>
                <w:bCs w:val="0"/>
              </w:rPr>
            </w:pPr>
            <w:r w:rsidRPr="00FD7089">
              <w:rPr>
                <w:rFonts w:eastAsiaTheme="minorHAnsi"/>
                <w:b/>
                <w:bCs w:val="0"/>
              </w:rPr>
              <w:t>Incremental costs</w:t>
            </w:r>
          </w:p>
        </w:tc>
        <w:tc>
          <w:tcPr>
            <w:tcW w:w="1843" w:type="dxa"/>
            <w:gridSpan w:val="2"/>
            <w:tcMar>
              <w:left w:w="28" w:type="dxa"/>
              <w:right w:w="28" w:type="dxa"/>
            </w:tcMar>
            <w:vAlign w:val="center"/>
          </w:tcPr>
          <w:p w14:paraId="2A4A789B" w14:textId="77777777" w:rsidR="00E43C50" w:rsidRPr="00FD7089" w:rsidRDefault="00E43C50" w:rsidP="00F36268">
            <w:pPr>
              <w:pStyle w:val="TableText"/>
              <w:jc w:val="center"/>
              <w:rPr>
                <w:rFonts w:eastAsiaTheme="minorHAnsi"/>
                <w:b/>
                <w:bCs w:val="0"/>
              </w:rPr>
            </w:pPr>
            <w:r w:rsidRPr="00FD7089">
              <w:rPr>
                <w:rFonts w:eastAsiaTheme="minorHAnsi"/>
                <w:b/>
                <w:bCs w:val="0"/>
              </w:rPr>
              <w:t>Lifetime discounted QALYs</w:t>
            </w:r>
          </w:p>
        </w:tc>
        <w:tc>
          <w:tcPr>
            <w:tcW w:w="992" w:type="dxa"/>
            <w:vMerge w:val="restart"/>
            <w:tcMar>
              <w:left w:w="28" w:type="dxa"/>
              <w:right w:w="28" w:type="dxa"/>
            </w:tcMar>
            <w:vAlign w:val="center"/>
          </w:tcPr>
          <w:p w14:paraId="0601A39C" w14:textId="77777777" w:rsidR="00E43C50" w:rsidRPr="00FD7089" w:rsidRDefault="00E43C50" w:rsidP="00F36268">
            <w:pPr>
              <w:pStyle w:val="TableText"/>
              <w:jc w:val="center"/>
              <w:rPr>
                <w:rFonts w:eastAsiaTheme="minorHAnsi"/>
                <w:b/>
                <w:bCs w:val="0"/>
              </w:rPr>
            </w:pPr>
            <w:r w:rsidRPr="00FD7089">
              <w:rPr>
                <w:rFonts w:eastAsiaTheme="minorHAnsi"/>
                <w:b/>
                <w:bCs w:val="0"/>
              </w:rPr>
              <w:t>Incremental QALYs</w:t>
            </w:r>
          </w:p>
        </w:tc>
        <w:tc>
          <w:tcPr>
            <w:tcW w:w="941" w:type="dxa"/>
            <w:vMerge w:val="restart"/>
            <w:tcMar>
              <w:left w:w="28" w:type="dxa"/>
              <w:right w:w="28" w:type="dxa"/>
            </w:tcMar>
            <w:vAlign w:val="center"/>
          </w:tcPr>
          <w:p w14:paraId="07EE4E39" w14:textId="77777777" w:rsidR="00E43C50" w:rsidRPr="00FD7089" w:rsidRDefault="00E43C50" w:rsidP="00F36268">
            <w:pPr>
              <w:pStyle w:val="TableText"/>
              <w:jc w:val="center"/>
              <w:rPr>
                <w:rFonts w:eastAsiaTheme="minorHAnsi"/>
                <w:b/>
                <w:bCs w:val="0"/>
              </w:rPr>
            </w:pPr>
            <w:r w:rsidRPr="00FD7089">
              <w:rPr>
                <w:rFonts w:eastAsiaTheme="minorHAnsi"/>
                <w:b/>
                <w:bCs w:val="0"/>
              </w:rPr>
              <w:t>ICER per QALY gained</w:t>
            </w:r>
          </w:p>
        </w:tc>
      </w:tr>
      <w:tr w:rsidR="00FD7089" w:rsidRPr="00E43C50" w14:paraId="599330D4" w14:textId="77777777" w:rsidTr="00D74F7D">
        <w:trPr>
          <w:tblHeader/>
        </w:trPr>
        <w:tc>
          <w:tcPr>
            <w:tcW w:w="2122" w:type="dxa"/>
            <w:vMerge/>
            <w:shd w:val="clear" w:color="auto" w:fill="E8E6F6"/>
            <w:tcMar>
              <w:left w:w="28" w:type="dxa"/>
              <w:right w:w="28" w:type="dxa"/>
            </w:tcMar>
          </w:tcPr>
          <w:p w14:paraId="76099139" w14:textId="77777777" w:rsidR="00E43C50" w:rsidRPr="00E43C50" w:rsidRDefault="00E43C50" w:rsidP="00F36268">
            <w:pPr>
              <w:pStyle w:val="TableText"/>
              <w:rPr>
                <w:rFonts w:eastAsiaTheme="minorHAnsi"/>
              </w:rPr>
            </w:pPr>
          </w:p>
        </w:tc>
        <w:tc>
          <w:tcPr>
            <w:tcW w:w="1134" w:type="dxa"/>
            <w:tcMar>
              <w:left w:w="28" w:type="dxa"/>
              <w:right w:w="28" w:type="dxa"/>
            </w:tcMar>
            <w:vAlign w:val="center"/>
          </w:tcPr>
          <w:p w14:paraId="68153BA7" w14:textId="77777777" w:rsidR="00E43C50" w:rsidRPr="00FD7089" w:rsidRDefault="00E43C50" w:rsidP="00F36268">
            <w:pPr>
              <w:pStyle w:val="TableText"/>
              <w:rPr>
                <w:rFonts w:eastAsiaTheme="minorHAnsi"/>
                <w:b/>
                <w:bCs w:val="0"/>
              </w:rPr>
            </w:pPr>
            <w:r w:rsidRPr="00FD7089">
              <w:rPr>
                <w:rFonts w:eastAsiaTheme="minorHAnsi"/>
                <w:b/>
                <w:bCs w:val="0"/>
              </w:rPr>
              <w:t>Vorasidenib</w:t>
            </w:r>
          </w:p>
        </w:tc>
        <w:tc>
          <w:tcPr>
            <w:tcW w:w="850" w:type="dxa"/>
            <w:tcMar>
              <w:left w:w="28" w:type="dxa"/>
              <w:right w:w="28" w:type="dxa"/>
            </w:tcMar>
            <w:vAlign w:val="center"/>
          </w:tcPr>
          <w:p w14:paraId="119E70EE" w14:textId="77777777" w:rsidR="00E43C50" w:rsidRPr="00FD7089" w:rsidRDefault="00E43C50" w:rsidP="00F36268">
            <w:pPr>
              <w:pStyle w:val="TableText"/>
              <w:rPr>
                <w:rFonts w:eastAsiaTheme="minorHAnsi"/>
                <w:b/>
                <w:bCs w:val="0"/>
              </w:rPr>
            </w:pPr>
            <w:r w:rsidRPr="00FD7089">
              <w:rPr>
                <w:rFonts w:eastAsiaTheme="minorHAnsi"/>
                <w:b/>
                <w:bCs w:val="0"/>
              </w:rPr>
              <w:t>Placebo</w:t>
            </w:r>
          </w:p>
        </w:tc>
        <w:tc>
          <w:tcPr>
            <w:tcW w:w="1134" w:type="dxa"/>
            <w:vMerge/>
            <w:tcMar>
              <w:left w:w="28" w:type="dxa"/>
              <w:right w:w="28" w:type="dxa"/>
            </w:tcMar>
            <w:vAlign w:val="center"/>
          </w:tcPr>
          <w:p w14:paraId="065F0639" w14:textId="77777777" w:rsidR="00E43C50" w:rsidRPr="00E43C50" w:rsidRDefault="00E43C50" w:rsidP="00F36268">
            <w:pPr>
              <w:pStyle w:val="TableText"/>
              <w:rPr>
                <w:rFonts w:eastAsiaTheme="minorHAnsi"/>
              </w:rPr>
            </w:pPr>
          </w:p>
        </w:tc>
        <w:tc>
          <w:tcPr>
            <w:tcW w:w="1134" w:type="dxa"/>
            <w:tcMar>
              <w:left w:w="28" w:type="dxa"/>
              <w:right w:w="28" w:type="dxa"/>
            </w:tcMar>
            <w:vAlign w:val="center"/>
          </w:tcPr>
          <w:p w14:paraId="067E6F2F" w14:textId="77777777" w:rsidR="00E43C50" w:rsidRPr="00FD7089" w:rsidRDefault="00E43C50" w:rsidP="00F36268">
            <w:pPr>
              <w:pStyle w:val="TableText"/>
              <w:rPr>
                <w:rFonts w:eastAsiaTheme="minorHAnsi"/>
                <w:b/>
                <w:bCs w:val="0"/>
              </w:rPr>
            </w:pPr>
            <w:r w:rsidRPr="00FD7089">
              <w:rPr>
                <w:rFonts w:eastAsiaTheme="minorHAnsi"/>
                <w:b/>
                <w:bCs w:val="0"/>
              </w:rPr>
              <w:t>Vorasidenib</w:t>
            </w:r>
          </w:p>
        </w:tc>
        <w:tc>
          <w:tcPr>
            <w:tcW w:w="709" w:type="dxa"/>
            <w:tcMar>
              <w:left w:w="28" w:type="dxa"/>
              <w:right w:w="28" w:type="dxa"/>
            </w:tcMar>
            <w:vAlign w:val="center"/>
          </w:tcPr>
          <w:p w14:paraId="3B7C1393" w14:textId="77777777" w:rsidR="00E43C50" w:rsidRPr="00FD7089" w:rsidRDefault="00E43C50" w:rsidP="00F36268">
            <w:pPr>
              <w:pStyle w:val="TableText"/>
              <w:rPr>
                <w:rFonts w:eastAsiaTheme="minorHAnsi"/>
                <w:b/>
                <w:bCs w:val="0"/>
              </w:rPr>
            </w:pPr>
            <w:r w:rsidRPr="00FD7089">
              <w:rPr>
                <w:rFonts w:eastAsiaTheme="minorHAnsi"/>
                <w:b/>
                <w:bCs w:val="0"/>
              </w:rPr>
              <w:t>Placebo</w:t>
            </w:r>
          </w:p>
        </w:tc>
        <w:tc>
          <w:tcPr>
            <w:tcW w:w="992" w:type="dxa"/>
            <w:vMerge/>
            <w:shd w:val="clear" w:color="auto" w:fill="E8E6F6"/>
            <w:tcMar>
              <w:left w:w="28" w:type="dxa"/>
              <w:right w:w="28" w:type="dxa"/>
            </w:tcMar>
            <w:vAlign w:val="center"/>
          </w:tcPr>
          <w:p w14:paraId="2207BC68" w14:textId="77777777" w:rsidR="00E43C50" w:rsidRPr="00E43C50" w:rsidRDefault="00E43C50" w:rsidP="00F36268">
            <w:pPr>
              <w:pStyle w:val="TableText"/>
              <w:rPr>
                <w:rFonts w:eastAsiaTheme="minorHAnsi"/>
              </w:rPr>
            </w:pPr>
          </w:p>
        </w:tc>
        <w:tc>
          <w:tcPr>
            <w:tcW w:w="941" w:type="dxa"/>
            <w:vMerge/>
            <w:shd w:val="clear" w:color="auto" w:fill="E8E6F6"/>
            <w:tcMar>
              <w:left w:w="28" w:type="dxa"/>
              <w:right w:w="28" w:type="dxa"/>
            </w:tcMar>
            <w:vAlign w:val="center"/>
          </w:tcPr>
          <w:p w14:paraId="1DD398A2" w14:textId="77777777" w:rsidR="00E43C50" w:rsidRPr="00E43C50" w:rsidRDefault="00E43C50" w:rsidP="00F36268">
            <w:pPr>
              <w:pStyle w:val="TableText"/>
              <w:rPr>
                <w:rFonts w:eastAsiaTheme="minorHAnsi"/>
              </w:rPr>
            </w:pPr>
          </w:p>
        </w:tc>
      </w:tr>
      <w:tr w:rsidR="00FD7089" w:rsidRPr="00E43C50" w14:paraId="1B676E36" w14:textId="77777777" w:rsidTr="00D74F7D">
        <w:tc>
          <w:tcPr>
            <w:tcW w:w="2122" w:type="dxa"/>
            <w:tcMar>
              <w:left w:w="28" w:type="dxa"/>
              <w:right w:w="28" w:type="dxa"/>
            </w:tcMar>
          </w:tcPr>
          <w:p w14:paraId="7EC514C5" w14:textId="77777777" w:rsidR="00E43C50" w:rsidRPr="00E43C50" w:rsidRDefault="00E43C50" w:rsidP="00F36268">
            <w:pPr>
              <w:pStyle w:val="TableText"/>
              <w:rPr>
                <w:rFonts w:eastAsiaTheme="minorHAnsi"/>
              </w:rPr>
            </w:pPr>
            <w:r w:rsidRPr="00E43C50">
              <w:rPr>
                <w:rFonts w:eastAsiaTheme="minorHAnsi"/>
              </w:rPr>
              <w:t>Base case considered by the PBAC in July 2025</w:t>
            </w:r>
          </w:p>
        </w:tc>
        <w:tc>
          <w:tcPr>
            <w:tcW w:w="1134" w:type="dxa"/>
            <w:tcMar>
              <w:left w:w="28" w:type="dxa"/>
              <w:right w:w="28" w:type="dxa"/>
            </w:tcMar>
            <w:vAlign w:val="center"/>
          </w:tcPr>
          <w:p w14:paraId="69BACF03" w14:textId="36FCDCC7" w:rsidR="00E43C50" w:rsidRPr="00E43C50" w:rsidRDefault="00E43C50" w:rsidP="00F36268">
            <w:pPr>
              <w:pStyle w:val="TableText"/>
              <w:jc w:val="center"/>
              <w:rPr>
                <w:rFonts w:eastAsiaTheme="minorHAnsi"/>
              </w:rPr>
            </w:pPr>
            <w:r w:rsidRPr="00E43C50">
              <w:rPr>
                <w:rFonts w:eastAsiaTheme="minorHAnsi"/>
              </w:rPr>
              <w:t>$</w:t>
            </w:r>
            <w:r w:rsidR="0024159D" w:rsidRPr="0024159D">
              <w:rPr>
                <w:rFonts w:eastAsiaTheme="minorHAnsi"/>
                <w:sz w:val="2"/>
                <w:highlight w:val="black"/>
              </w:rPr>
              <w:t>redacted content</w:t>
            </w:r>
          </w:p>
        </w:tc>
        <w:tc>
          <w:tcPr>
            <w:tcW w:w="850" w:type="dxa"/>
            <w:tcMar>
              <w:left w:w="28" w:type="dxa"/>
              <w:right w:w="28" w:type="dxa"/>
            </w:tcMar>
            <w:vAlign w:val="center"/>
          </w:tcPr>
          <w:p w14:paraId="3EA49343" w14:textId="77777777" w:rsidR="00E43C50" w:rsidRPr="00E43C50" w:rsidRDefault="00E43C50" w:rsidP="00F36268">
            <w:pPr>
              <w:pStyle w:val="TableText"/>
              <w:jc w:val="center"/>
              <w:rPr>
                <w:rFonts w:eastAsiaTheme="minorHAnsi"/>
              </w:rPr>
            </w:pPr>
            <w:r w:rsidRPr="00E43C50">
              <w:rPr>
                <w:rFonts w:eastAsiaTheme="minorHAnsi"/>
              </w:rPr>
              <w:t>$167,634</w:t>
            </w:r>
          </w:p>
        </w:tc>
        <w:tc>
          <w:tcPr>
            <w:tcW w:w="1134" w:type="dxa"/>
            <w:tcMar>
              <w:left w:w="28" w:type="dxa"/>
              <w:right w:w="28" w:type="dxa"/>
            </w:tcMar>
            <w:vAlign w:val="center"/>
          </w:tcPr>
          <w:p w14:paraId="4AB23DC4" w14:textId="4CFB2E70" w:rsidR="00E43C50" w:rsidRPr="00E43C50" w:rsidRDefault="00E43C50" w:rsidP="00F36268">
            <w:pPr>
              <w:pStyle w:val="TableText"/>
              <w:jc w:val="center"/>
              <w:rPr>
                <w:rFonts w:eastAsiaTheme="minorHAnsi"/>
              </w:rPr>
            </w:pPr>
            <w:r w:rsidRPr="00E43C50">
              <w:rPr>
                <w:rFonts w:eastAsiaTheme="minorHAnsi"/>
              </w:rPr>
              <w:t>$</w:t>
            </w:r>
            <w:r w:rsidR="0024159D" w:rsidRPr="0024159D">
              <w:rPr>
                <w:rFonts w:eastAsiaTheme="minorHAnsi"/>
                <w:sz w:val="2"/>
                <w:highlight w:val="black"/>
              </w:rPr>
              <w:t>redacted content</w:t>
            </w:r>
          </w:p>
        </w:tc>
        <w:tc>
          <w:tcPr>
            <w:tcW w:w="1134" w:type="dxa"/>
            <w:tcMar>
              <w:left w:w="28" w:type="dxa"/>
              <w:right w:w="28" w:type="dxa"/>
            </w:tcMar>
            <w:vAlign w:val="center"/>
          </w:tcPr>
          <w:p w14:paraId="32F86C89" w14:textId="77777777" w:rsidR="00E43C50" w:rsidRPr="00E43C50" w:rsidRDefault="00E43C50" w:rsidP="00F36268">
            <w:pPr>
              <w:pStyle w:val="TableText"/>
              <w:jc w:val="center"/>
              <w:rPr>
                <w:rFonts w:eastAsiaTheme="minorHAnsi"/>
              </w:rPr>
            </w:pPr>
            <w:r w:rsidRPr="00E43C50">
              <w:rPr>
                <w:rFonts w:eastAsiaTheme="minorHAnsi"/>
              </w:rPr>
              <w:t>6.206</w:t>
            </w:r>
          </w:p>
        </w:tc>
        <w:tc>
          <w:tcPr>
            <w:tcW w:w="709" w:type="dxa"/>
            <w:tcMar>
              <w:left w:w="28" w:type="dxa"/>
              <w:right w:w="28" w:type="dxa"/>
            </w:tcMar>
            <w:vAlign w:val="center"/>
          </w:tcPr>
          <w:p w14:paraId="7F687F8F" w14:textId="77777777" w:rsidR="00E43C50" w:rsidRPr="00E43C50" w:rsidRDefault="00E43C50" w:rsidP="00F36268">
            <w:pPr>
              <w:pStyle w:val="TableText"/>
              <w:jc w:val="center"/>
              <w:rPr>
                <w:rFonts w:eastAsiaTheme="minorHAnsi"/>
              </w:rPr>
            </w:pPr>
            <w:r w:rsidRPr="00E43C50">
              <w:rPr>
                <w:rFonts w:eastAsiaTheme="minorHAnsi"/>
              </w:rPr>
              <w:t>4.203</w:t>
            </w:r>
          </w:p>
        </w:tc>
        <w:tc>
          <w:tcPr>
            <w:tcW w:w="992" w:type="dxa"/>
            <w:tcMar>
              <w:left w:w="28" w:type="dxa"/>
              <w:right w:w="28" w:type="dxa"/>
            </w:tcMar>
            <w:vAlign w:val="center"/>
          </w:tcPr>
          <w:p w14:paraId="66F28F34" w14:textId="77777777" w:rsidR="00E43C50" w:rsidRPr="00E43C50" w:rsidRDefault="00E43C50" w:rsidP="00F36268">
            <w:pPr>
              <w:pStyle w:val="TableText"/>
              <w:jc w:val="center"/>
              <w:rPr>
                <w:rFonts w:eastAsiaTheme="minorHAnsi"/>
              </w:rPr>
            </w:pPr>
            <w:r w:rsidRPr="00E43C50">
              <w:rPr>
                <w:rFonts w:eastAsiaTheme="minorHAnsi"/>
              </w:rPr>
              <w:t>2.003</w:t>
            </w:r>
          </w:p>
        </w:tc>
        <w:tc>
          <w:tcPr>
            <w:tcW w:w="941" w:type="dxa"/>
            <w:tcMar>
              <w:left w:w="28" w:type="dxa"/>
              <w:right w:w="28" w:type="dxa"/>
            </w:tcMar>
            <w:vAlign w:val="center"/>
          </w:tcPr>
          <w:p w14:paraId="026C9A48" w14:textId="10D8B0CD" w:rsidR="00E43C50" w:rsidRPr="00B11526" w:rsidRDefault="00E43C50" w:rsidP="00F36268">
            <w:pPr>
              <w:pStyle w:val="TableText"/>
              <w:jc w:val="center"/>
              <w:rPr>
                <w:rFonts w:eastAsiaTheme="minorHAnsi"/>
                <w:vertAlign w:val="superscript"/>
              </w:rPr>
            </w:pPr>
            <w:r w:rsidRPr="00E43C50">
              <w:rPr>
                <w:rFonts w:eastAsiaTheme="minorHAnsi"/>
              </w:rPr>
              <w:t>$</w:t>
            </w:r>
            <w:r w:rsidR="0024159D" w:rsidRPr="0024159D">
              <w:rPr>
                <w:rFonts w:eastAsiaTheme="minorHAnsi"/>
                <w:sz w:val="2"/>
                <w:highlight w:val="black"/>
              </w:rPr>
              <w:t>redacted content</w:t>
            </w:r>
            <w:r w:rsidR="00DC1F31">
              <w:rPr>
                <w:rFonts w:eastAsiaTheme="minorHAnsi"/>
                <w:vertAlign w:val="superscript"/>
              </w:rPr>
              <w:t>1</w:t>
            </w:r>
          </w:p>
        </w:tc>
      </w:tr>
      <w:tr w:rsidR="00FD7089" w:rsidRPr="00E43C50" w14:paraId="38A3E74D" w14:textId="77777777" w:rsidTr="00D74F7D">
        <w:tc>
          <w:tcPr>
            <w:tcW w:w="2122" w:type="dxa"/>
            <w:tcMar>
              <w:left w:w="28" w:type="dxa"/>
              <w:right w:w="28" w:type="dxa"/>
            </w:tcMar>
          </w:tcPr>
          <w:p w14:paraId="728548C3" w14:textId="6DA26E93" w:rsidR="00E43C50" w:rsidRPr="00E43C50" w:rsidRDefault="004F14B2" w:rsidP="00F36268">
            <w:pPr>
              <w:pStyle w:val="TableText"/>
              <w:rPr>
                <w:rFonts w:eastAsiaTheme="minorHAnsi"/>
              </w:rPr>
            </w:pPr>
            <w:r>
              <w:rPr>
                <w:rFonts w:eastAsiaTheme="minorHAnsi"/>
              </w:rPr>
              <w:t xml:space="preserve">1: </w:t>
            </w:r>
            <w:r w:rsidR="00E43C50" w:rsidRPr="00E43C50">
              <w:rPr>
                <w:rFonts w:eastAsiaTheme="minorHAnsi"/>
              </w:rPr>
              <w:t>Updates to fees, copayments, unit costs, life tables and corrections</w:t>
            </w:r>
          </w:p>
        </w:tc>
        <w:tc>
          <w:tcPr>
            <w:tcW w:w="1134" w:type="dxa"/>
            <w:tcMar>
              <w:left w:w="28" w:type="dxa"/>
              <w:right w:w="28" w:type="dxa"/>
            </w:tcMar>
            <w:vAlign w:val="center"/>
          </w:tcPr>
          <w:p w14:paraId="7E454324" w14:textId="727AAD76" w:rsidR="00E43C50" w:rsidRPr="00E43C50" w:rsidRDefault="00E43C50" w:rsidP="00F36268">
            <w:pPr>
              <w:pStyle w:val="TableText"/>
              <w:jc w:val="center"/>
              <w:rPr>
                <w:rFonts w:eastAsiaTheme="minorHAnsi"/>
              </w:rPr>
            </w:pPr>
            <w:r w:rsidRPr="00E43C50">
              <w:rPr>
                <w:rFonts w:eastAsiaTheme="minorHAnsi"/>
              </w:rPr>
              <w:t>$</w:t>
            </w:r>
            <w:r w:rsidR="0024159D" w:rsidRPr="0024159D">
              <w:rPr>
                <w:rFonts w:eastAsiaTheme="minorHAnsi"/>
                <w:sz w:val="2"/>
                <w:highlight w:val="black"/>
              </w:rPr>
              <w:t>redacted content</w:t>
            </w:r>
          </w:p>
        </w:tc>
        <w:tc>
          <w:tcPr>
            <w:tcW w:w="850" w:type="dxa"/>
            <w:tcMar>
              <w:left w:w="28" w:type="dxa"/>
              <w:right w:w="28" w:type="dxa"/>
            </w:tcMar>
            <w:vAlign w:val="center"/>
          </w:tcPr>
          <w:p w14:paraId="422DC845" w14:textId="479D20A5" w:rsidR="00E43C50" w:rsidRPr="004D19E5" w:rsidRDefault="00E43C50" w:rsidP="00F36268">
            <w:pPr>
              <w:pStyle w:val="TableText"/>
              <w:jc w:val="center"/>
              <w:rPr>
                <w:rFonts w:eastAsiaTheme="minorHAnsi"/>
                <w:vertAlign w:val="superscript"/>
              </w:rPr>
            </w:pPr>
            <w:r w:rsidRPr="00E43C50">
              <w:rPr>
                <w:rFonts w:eastAsiaTheme="minorHAnsi"/>
              </w:rPr>
              <w:t>$</w:t>
            </w:r>
            <w:r w:rsidR="009604E6">
              <w:rPr>
                <w:rFonts w:eastAsiaTheme="minorHAnsi"/>
              </w:rPr>
              <w:t>177</w:t>
            </w:r>
            <w:r w:rsidR="00595FAC">
              <w:rPr>
                <w:rFonts w:eastAsiaTheme="minorHAnsi"/>
              </w:rPr>
              <w:t>,044</w:t>
            </w:r>
            <w:r w:rsidR="00595FAC">
              <w:rPr>
                <w:rFonts w:eastAsiaTheme="minorHAnsi"/>
                <w:vertAlign w:val="superscript"/>
              </w:rPr>
              <w:t>a</w:t>
            </w:r>
          </w:p>
        </w:tc>
        <w:tc>
          <w:tcPr>
            <w:tcW w:w="1134" w:type="dxa"/>
            <w:tcMar>
              <w:left w:w="28" w:type="dxa"/>
              <w:right w:w="28" w:type="dxa"/>
            </w:tcMar>
            <w:vAlign w:val="center"/>
          </w:tcPr>
          <w:p w14:paraId="7168D335" w14:textId="07544DA8" w:rsidR="00E43C50" w:rsidRPr="00E43C50" w:rsidRDefault="00E43C50" w:rsidP="00F36268">
            <w:pPr>
              <w:pStyle w:val="TableText"/>
              <w:jc w:val="center"/>
              <w:rPr>
                <w:rFonts w:eastAsiaTheme="minorHAnsi"/>
              </w:rPr>
            </w:pPr>
            <w:r w:rsidRPr="00E43C50">
              <w:rPr>
                <w:rFonts w:eastAsiaTheme="minorHAnsi"/>
              </w:rPr>
              <w:t>$</w:t>
            </w:r>
            <w:r w:rsidR="0024159D" w:rsidRPr="0024159D">
              <w:rPr>
                <w:rFonts w:eastAsiaTheme="minorHAnsi"/>
                <w:sz w:val="2"/>
                <w:highlight w:val="black"/>
              </w:rPr>
              <w:t>redacted content</w:t>
            </w:r>
          </w:p>
        </w:tc>
        <w:tc>
          <w:tcPr>
            <w:tcW w:w="1134" w:type="dxa"/>
            <w:tcMar>
              <w:left w:w="28" w:type="dxa"/>
              <w:right w:w="28" w:type="dxa"/>
            </w:tcMar>
            <w:vAlign w:val="center"/>
          </w:tcPr>
          <w:p w14:paraId="5D7B97C8" w14:textId="77777777" w:rsidR="00E43C50" w:rsidRPr="00E43C50" w:rsidRDefault="00E43C50" w:rsidP="00F36268">
            <w:pPr>
              <w:pStyle w:val="TableText"/>
              <w:jc w:val="center"/>
              <w:rPr>
                <w:rFonts w:eastAsiaTheme="minorHAnsi"/>
              </w:rPr>
            </w:pPr>
            <w:r w:rsidRPr="00E43C50">
              <w:rPr>
                <w:rFonts w:eastAsiaTheme="minorHAnsi"/>
              </w:rPr>
              <w:t>6.143</w:t>
            </w:r>
          </w:p>
        </w:tc>
        <w:tc>
          <w:tcPr>
            <w:tcW w:w="709" w:type="dxa"/>
            <w:tcMar>
              <w:left w:w="28" w:type="dxa"/>
              <w:right w:w="28" w:type="dxa"/>
            </w:tcMar>
            <w:vAlign w:val="center"/>
          </w:tcPr>
          <w:p w14:paraId="697AB37D" w14:textId="77777777" w:rsidR="00E43C50" w:rsidRPr="00E43C50" w:rsidRDefault="00E43C50" w:rsidP="00F36268">
            <w:pPr>
              <w:pStyle w:val="TableText"/>
              <w:jc w:val="center"/>
              <w:rPr>
                <w:rFonts w:eastAsiaTheme="minorHAnsi"/>
              </w:rPr>
            </w:pPr>
            <w:r w:rsidRPr="00E43C50">
              <w:rPr>
                <w:rFonts w:eastAsiaTheme="minorHAnsi"/>
              </w:rPr>
              <w:t>4.130</w:t>
            </w:r>
          </w:p>
        </w:tc>
        <w:tc>
          <w:tcPr>
            <w:tcW w:w="992" w:type="dxa"/>
            <w:tcMar>
              <w:left w:w="28" w:type="dxa"/>
              <w:right w:w="28" w:type="dxa"/>
            </w:tcMar>
            <w:vAlign w:val="center"/>
          </w:tcPr>
          <w:p w14:paraId="2344A877" w14:textId="77777777" w:rsidR="00E43C50" w:rsidRPr="00E43C50" w:rsidRDefault="00E43C50" w:rsidP="00F36268">
            <w:pPr>
              <w:pStyle w:val="TableText"/>
              <w:jc w:val="center"/>
              <w:rPr>
                <w:rFonts w:eastAsiaTheme="minorHAnsi"/>
              </w:rPr>
            </w:pPr>
            <w:r w:rsidRPr="00E43C50">
              <w:rPr>
                <w:rFonts w:eastAsiaTheme="minorHAnsi"/>
              </w:rPr>
              <w:t>2.013</w:t>
            </w:r>
          </w:p>
        </w:tc>
        <w:tc>
          <w:tcPr>
            <w:tcW w:w="941" w:type="dxa"/>
            <w:tcMar>
              <w:left w:w="28" w:type="dxa"/>
              <w:right w:w="28" w:type="dxa"/>
            </w:tcMar>
            <w:vAlign w:val="center"/>
          </w:tcPr>
          <w:p w14:paraId="1BFF9FD8" w14:textId="07828988" w:rsidR="00E43C50" w:rsidRPr="00B11526" w:rsidRDefault="00E43C50" w:rsidP="00F36268">
            <w:pPr>
              <w:pStyle w:val="TableText"/>
              <w:jc w:val="center"/>
              <w:rPr>
                <w:rFonts w:eastAsiaTheme="minorHAnsi"/>
                <w:i/>
                <w:vertAlign w:val="superscript"/>
              </w:rPr>
            </w:pPr>
            <w:r w:rsidRPr="00E43C50">
              <w:rPr>
                <w:rFonts w:eastAsiaTheme="minorHAnsi"/>
              </w:rPr>
              <w:t>$</w:t>
            </w:r>
            <w:r w:rsidR="0024159D" w:rsidRPr="0024159D">
              <w:rPr>
                <w:rFonts w:eastAsiaTheme="minorHAnsi"/>
                <w:sz w:val="2"/>
                <w:highlight w:val="black"/>
              </w:rPr>
              <w:t>redacted content</w:t>
            </w:r>
            <w:r w:rsidR="00DC1F31">
              <w:rPr>
                <w:rFonts w:eastAsiaTheme="minorHAnsi"/>
                <w:vertAlign w:val="superscript"/>
              </w:rPr>
              <w:t>1</w:t>
            </w:r>
          </w:p>
        </w:tc>
      </w:tr>
      <w:tr w:rsidR="00FD7089" w:rsidRPr="00E43C50" w14:paraId="794B1AE6" w14:textId="77777777" w:rsidTr="00D74F7D">
        <w:tc>
          <w:tcPr>
            <w:tcW w:w="2122" w:type="dxa"/>
            <w:tcMar>
              <w:left w:w="28" w:type="dxa"/>
              <w:right w:w="28" w:type="dxa"/>
            </w:tcMar>
          </w:tcPr>
          <w:p w14:paraId="733C3601" w14:textId="13D67D9B" w:rsidR="00E43C50" w:rsidRPr="00E43C50" w:rsidRDefault="004F14B2" w:rsidP="00F36268">
            <w:pPr>
              <w:pStyle w:val="TableText"/>
              <w:rPr>
                <w:rFonts w:eastAsiaTheme="minorHAnsi"/>
              </w:rPr>
            </w:pPr>
            <w:r>
              <w:rPr>
                <w:rFonts w:eastAsiaTheme="minorHAnsi"/>
              </w:rPr>
              <w:t xml:space="preserve">2: </w:t>
            </w:r>
            <w:r w:rsidR="00E43C50" w:rsidRPr="00E43C50">
              <w:rPr>
                <w:rFonts w:eastAsiaTheme="minorHAnsi"/>
              </w:rPr>
              <w:t>Updates to proposed price of vorasidenib</w:t>
            </w:r>
          </w:p>
        </w:tc>
        <w:tc>
          <w:tcPr>
            <w:tcW w:w="1134" w:type="dxa"/>
            <w:tcMar>
              <w:left w:w="28" w:type="dxa"/>
              <w:right w:w="28" w:type="dxa"/>
            </w:tcMar>
            <w:vAlign w:val="center"/>
          </w:tcPr>
          <w:p w14:paraId="67F0BAAC" w14:textId="5CAD8F2D" w:rsidR="00E43C50" w:rsidRPr="00E43C50" w:rsidRDefault="00E43C50" w:rsidP="00F36268">
            <w:pPr>
              <w:pStyle w:val="TableText"/>
              <w:jc w:val="center"/>
              <w:rPr>
                <w:rFonts w:eastAsiaTheme="minorHAnsi"/>
              </w:rPr>
            </w:pPr>
            <w:r w:rsidRPr="00E43C50">
              <w:rPr>
                <w:rFonts w:eastAsiaTheme="minorHAnsi"/>
              </w:rPr>
              <w:t>$</w:t>
            </w:r>
            <w:r w:rsidR="0024159D" w:rsidRPr="0024159D">
              <w:rPr>
                <w:rFonts w:eastAsiaTheme="minorHAnsi"/>
                <w:sz w:val="2"/>
                <w:highlight w:val="black"/>
              </w:rPr>
              <w:t>redacted content</w:t>
            </w:r>
          </w:p>
        </w:tc>
        <w:tc>
          <w:tcPr>
            <w:tcW w:w="850" w:type="dxa"/>
            <w:tcMar>
              <w:left w:w="28" w:type="dxa"/>
              <w:right w:w="28" w:type="dxa"/>
            </w:tcMar>
            <w:vAlign w:val="center"/>
          </w:tcPr>
          <w:p w14:paraId="1936517F" w14:textId="77777777" w:rsidR="00E43C50" w:rsidRPr="00E43C50" w:rsidRDefault="00E43C50" w:rsidP="00F36268">
            <w:pPr>
              <w:pStyle w:val="TableText"/>
              <w:jc w:val="center"/>
              <w:rPr>
                <w:rFonts w:eastAsiaTheme="minorHAnsi"/>
              </w:rPr>
            </w:pPr>
            <w:r w:rsidRPr="00E43C50">
              <w:rPr>
                <w:rFonts w:eastAsiaTheme="minorHAnsi"/>
              </w:rPr>
              <w:t>$177,044</w:t>
            </w:r>
          </w:p>
        </w:tc>
        <w:tc>
          <w:tcPr>
            <w:tcW w:w="1134" w:type="dxa"/>
            <w:tcMar>
              <w:left w:w="28" w:type="dxa"/>
              <w:right w:w="28" w:type="dxa"/>
            </w:tcMar>
            <w:vAlign w:val="center"/>
          </w:tcPr>
          <w:p w14:paraId="53E13606" w14:textId="71E25EE0" w:rsidR="00E43C50" w:rsidRPr="00E43C50" w:rsidRDefault="00E43C50" w:rsidP="00F36268">
            <w:pPr>
              <w:pStyle w:val="TableText"/>
              <w:jc w:val="center"/>
              <w:rPr>
                <w:rFonts w:eastAsiaTheme="minorHAnsi"/>
              </w:rPr>
            </w:pPr>
            <w:r w:rsidRPr="00E43C50">
              <w:rPr>
                <w:rFonts w:eastAsiaTheme="minorHAnsi"/>
              </w:rPr>
              <w:t>$</w:t>
            </w:r>
            <w:r w:rsidR="0024159D" w:rsidRPr="0024159D">
              <w:rPr>
                <w:rFonts w:eastAsiaTheme="minorHAnsi"/>
                <w:sz w:val="2"/>
                <w:highlight w:val="black"/>
              </w:rPr>
              <w:t>redacted content</w:t>
            </w:r>
          </w:p>
        </w:tc>
        <w:tc>
          <w:tcPr>
            <w:tcW w:w="1134" w:type="dxa"/>
            <w:tcMar>
              <w:left w:w="28" w:type="dxa"/>
              <w:right w:w="28" w:type="dxa"/>
            </w:tcMar>
            <w:vAlign w:val="center"/>
          </w:tcPr>
          <w:p w14:paraId="01E26990" w14:textId="77777777" w:rsidR="00E43C50" w:rsidRPr="00E43C50" w:rsidRDefault="00E43C50" w:rsidP="00F36268">
            <w:pPr>
              <w:pStyle w:val="TableText"/>
              <w:jc w:val="center"/>
              <w:rPr>
                <w:rFonts w:eastAsiaTheme="minorHAnsi"/>
              </w:rPr>
            </w:pPr>
            <w:r w:rsidRPr="00E43C50">
              <w:rPr>
                <w:rFonts w:eastAsiaTheme="minorHAnsi"/>
              </w:rPr>
              <w:t>6.143</w:t>
            </w:r>
          </w:p>
        </w:tc>
        <w:tc>
          <w:tcPr>
            <w:tcW w:w="709" w:type="dxa"/>
            <w:tcMar>
              <w:left w:w="28" w:type="dxa"/>
              <w:right w:w="28" w:type="dxa"/>
            </w:tcMar>
            <w:vAlign w:val="center"/>
          </w:tcPr>
          <w:p w14:paraId="65F86392" w14:textId="77777777" w:rsidR="00E43C50" w:rsidRPr="00E43C50" w:rsidRDefault="00E43C50" w:rsidP="00F36268">
            <w:pPr>
              <w:pStyle w:val="TableText"/>
              <w:jc w:val="center"/>
              <w:rPr>
                <w:rFonts w:eastAsiaTheme="minorHAnsi"/>
              </w:rPr>
            </w:pPr>
            <w:r w:rsidRPr="00E43C50">
              <w:rPr>
                <w:rFonts w:eastAsiaTheme="minorHAnsi"/>
              </w:rPr>
              <w:t>4.130</w:t>
            </w:r>
          </w:p>
        </w:tc>
        <w:tc>
          <w:tcPr>
            <w:tcW w:w="992" w:type="dxa"/>
            <w:tcMar>
              <w:left w:w="28" w:type="dxa"/>
              <w:right w:w="28" w:type="dxa"/>
            </w:tcMar>
            <w:vAlign w:val="center"/>
          </w:tcPr>
          <w:p w14:paraId="0510C2F8" w14:textId="77777777" w:rsidR="00E43C50" w:rsidRPr="00E43C50" w:rsidRDefault="00E43C50" w:rsidP="00F36268">
            <w:pPr>
              <w:pStyle w:val="TableText"/>
              <w:jc w:val="center"/>
              <w:rPr>
                <w:rFonts w:eastAsiaTheme="minorHAnsi"/>
              </w:rPr>
            </w:pPr>
            <w:r w:rsidRPr="00E43C50">
              <w:rPr>
                <w:rFonts w:eastAsiaTheme="minorHAnsi"/>
              </w:rPr>
              <w:t>2.013</w:t>
            </w:r>
          </w:p>
        </w:tc>
        <w:tc>
          <w:tcPr>
            <w:tcW w:w="941" w:type="dxa"/>
            <w:tcMar>
              <w:left w:w="28" w:type="dxa"/>
              <w:right w:w="28" w:type="dxa"/>
            </w:tcMar>
            <w:vAlign w:val="center"/>
          </w:tcPr>
          <w:p w14:paraId="6F144FED" w14:textId="0CB348C3" w:rsidR="00E43C50" w:rsidRPr="00B11526" w:rsidRDefault="00E43C50" w:rsidP="00F36268">
            <w:pPr>
              <w:pStyle w:val="TableText"/>
              <w:jc w:val="center"/>
              <w:rPr>
                <w:rFonts w:eastAsiaTheme="minorHAnsi"/>
                <w:vertAlign w:val="superscript"/>
              </w:rPr>
            </w:pPr>
            <w:r w:rsidRPr="00E43C50">
              <w:rPr>
                <w:rFonts w:eastAsiaTheme="minorHAnsi"/>
              </w:rPr>
              <w:t>$</w:t>
            </w:r>
            <w:r w:rsidR="0024159D" w:rsidRPr="0024159D">
              <w:rPr>
                <w:rFonts w:eastAsiaTheme="minorHAnsi"/>
                <w:sz w:val="2"/>
                <w:highlight w:val="black"/>
              </w:rPr>
              <w:t>redacted content</w:t>
            </w:r>
            <w:r w:rsidR="006C2FBE">
              <w:rPr>
                <w:rFonts w:eastAsiaTheme="minorHAnsi"/>
                <w:vertAlign w:val="superscript"/>
              </w:rPr>
              <w:t>2</w:t>
            </w:r>
          </w:p>
        </w:tc>
      </w:tr>
      <w:tr w:rsidR="00FD7089" w:rsidRPr="00E43C50" w14:paraId="720B30E3" w14:textId="77777777" w:rsidTr="00D74F7D">
        <w:tc>
          <w:tcPr>
            <w:tcW w:w="2122" w:type="dxa"/>
            <w:tcMar>
              <w:left w:w="28" w:type="dxa"/>
              <w:right w:w="28" w:type="dxa"/>
            </w:tcMar>
          </w:tcPr>
          <w:p w14:paraId="1AEB0CD9" w14:textId="157FCDF2" w:rsidR="00E43C50" w:rsidRPr="00E43C50" w:rsidRDefault="004F14B2" w:rsidP="00F36268">
            <w:pPr>
              <w:pStyle w:val="TableText"/>
              <w:rPr>
                <w:rFonts w:eastAsiaTheme="minorHAnsi"/>
              </w:rPr>
            </w:pPr>
            <w:r>
              <w:rPr>
                <w:rFonts w:eastAsiaTheme="minorHAnsi"/>
              </w:rPr>
              <w:t xml:space="preserve">3: </w:t>
            </w:r>
            <w:r w:rsidR="00E43C50" w:rsidRPr="00E43C50">
              <w:rPr>
                <w:rFonts w:eastAsiaTheme="minorHAnsi"/>
              </w:rPr>
              <w:t xml:space="preserve">Switch from PFS (BIRC) to PFS (INV) using Mar 2023 DCO </w:t>
            </w:r>
          </w:p>
        </w:tc>
        <w:tc>
          <w:tcPr>
            <w:tcW w:w="1134" w:type="dxa"/>
            <w:tcMar>
              <w:left w:w="28" w:type="dxa"/>
              <w:right w:w="28" w:type="dxa"/>
            </w:tcMar>
            <w:vAlign w:val="center"/>
          </w:tcPr>
          <w:p w14:paraId="46589B20" w14:textId="3D8F6CE3" w:rsidR="00E43C50" w:rsidRPr="00E43C50" w:rsidRDefault="00E43C50" w:rsidP="00F36268">
            <w:pPr>
              <w:pStyle w:val="TableText"/>
              <w:jc w:val="center"/>
              <w:rPr>
                <w:rFonts w:eastAsiaTheme="minorHAnsi"/>
              </w:rPr>
            </w:pPr>
            <w:r w:rsidRPr="00E43C50">
              <w:rPr>
                <w:rFonts w:eastAsiaTheme="minorHAnsi"/>
              </w:rPr>
              <w:t>$</w:t>
            </w:r>
            <w:r w:rsidR="0024159D" w:rsidRPr="0024159D">
              <w:rPr>
                <w:rFonts w:eastAsiaTheme="minorHAnsi"/>
                <w:sz w:val="2"/>
                <w:highlight w:val="black"/>
              </w:rPr>
              <w:t>redacted content</w:t>
            </w:r>
          </w:p>
        </w:tc>
        <w:tc>
          <w:tcPr>
            <w:tcW w:w="850" w:type="dxa"/>
            <w:tcMar>
              <w:left w:w="28" w:type="dxa"/>
              <w:right w:w="28" w:type="dxa"/>
            </w:tcMar>
            <w:vAlign w:val="center"/>
          </w:tcPr>
          <w:p w14:paraId="5044009A" w14:textId="77777777" w:rsidR="00E43C50" w:rsidRPr="00E43C50" w:rsidRDefault="00E43C50" w:rsidP="00F36268">
            <w:pPr>
              <w:pStyle w:val="TableText"/>
              <w:jc w:val="center"/>
              <w:rPr>
                <w:rFonts w:eastAsiaTheme="minorHAnsi"/>
              </w:rPr>
            </w:pPr>
            <w:r w:rsidRPr="00E43C50">
              <w:rPr>
                <w:rFonts w:eastAsiaTheme="minorHAnsi"/>
              </w:rPr>
              <w:t>$175,982</w:t>
            </w:r>
          </w:p>
        </w:tc>
        <w:tc>
          <w:tcPr>
            <w:tcW w:w="1134" w:type="dxa"/>
            <w:tcMar>
              <w:left w:w="28" w:type="dxa"/>
              <w:right w:w="28" w:type="dxa"/>
            </w:tcMar>
            <w:vAlign w:val="center"/>
          </w:tcPr>
          <w:p w14:paraId="5BD7F5F3" w14:textId="391AFA29" w:rsidR="00E43C50" w:rsidRPr="00E43C50" w:rsidRDefault="00E43C50" w:rsidP="00F36268">
            <w:pPr>
              <w:pStyle w:val="TableText"/>
              <w:jc w:val="center"/>
              <w:rPr>
                <w:rFonts w:eastAsiaTheme="minorHAnsi"/>
              </w:rPr>
            </w:pPr>
            <w:r w:rsidRPr="00E43C50">
              <w:rPr>
                <w:rFonts w:eastAsiaTheme="minorHAnsi"/>
              </w:rPr>
              <w:t>$</w:t>
            </w:r>
            <w:r w:rsidR="0024159D" w:rsidRPr="0024159D">
              <w:rPr>
                <w:rFonts w:eastAsiaTheme="minorHAnsi"/>
                <w:sz w:val="2"/>
                <w:highlight w:val="black"/>
              </w:rPr>
              <w:t>redacted content</w:t>
            </w:r>
          </w:p>
        </w:tc>
        <w:tc>
          <w:tcPr>
            <w:tcW w:w="1134" w:type="dxa"/>
            <w:tcMar>
              <w:left w:w="28" w:type="dxa"/>
              <w:right w:w="28" w:type="dxa"/>
            </w:tcMar>
            <w:vAlign w:val="center"/>
          </w:tcPr>
          <w:p w14:paraId="07035B99" w14:textId="77777777" w:rsidR="00E43C50" w:rsidRPr="00E43C50" w:rsidRDefault="00E43C50" w:rsidP="00F36268">
            <w:pPr>
              <w:pStyle w:val="TableText"/>
              <w:jc w:val="center"/>
              <w:rPr>
                <w:rFonts w:eastAsiaTheme="minorHAnsi"/>
              </w:rPr>
            </w:pPr>
            <w:r w:rsidRPr="00E43C50">
              <w:rPr>
                <w:rFonts w:eastAsiaTheme="minorHAnsi"/>
              </w:rPr>
              <w:t>6.782</w:t>
            </w:r>
          </w:p>
        </w:tc>
        <w:tc>
          <w:tcPr>
            <w:tcW w:w="709" w:type="dxa"/>
            <w:tcMar>
              <w:left w:w="28" w:type="dxa"/>
              <w:right w:w="28" w:type="dxa"/>
            </w:tcMar>
            <w:vAlign w:val="center"/>
          </w:tcPr>
          <w:p w14:paraId="26DDBAC6" w14:textId="77777777" w:rsidR="00E43C50" w:rsidRPr="00E43C50" w:rsidRDefault="00E43C50" w:rsidP="00F36268">
            <w:pPr>
              <w:pStyle w:val="TableText"/>
              <w:jc w:val="center"/>
              <w:rPr>
                <w:rFonts w:eastAsiaTheme="minorHAnsi"/>
              </w:rPr>
            </w:pPr>
            <w:r w:rsidRPr="00E43C50">
              <w:rPr>
                <w:rFonts w:eastAsiaTheme="minorHAnsi"/>
              </w:rPr>
              <w:t>4.355</w:t>
            </w:r>
          </w:p>
        </w:tc>
        <w:tc>
          <w:tcPr>
            <w:tcW w:w="992" w:type="dxa"/>
            <w:tcMar>
              <w:left w:w="28" w:type="dxa"/>
              <w:right w:w="28" w:type="dxa"/>
            </w:tcMar>
            <w:vAlign w:val="center"/>
          </w:tcPr>
          <w:p w14:paraId="23530EA1" w14:textId="77777777" w:rsidR="00E43C50" w:rsidRPr="00E43C50" w:rsidRDefault="00E43C50" w:rsidP="00F36268">
            <w:pPr>
              <w:pStyle w:val="TableText"/>
              <w:jc w:val="center"/>
              <w:rPr>
                <w:rFonts w:eastAsiaTheme="minorHAnsi"/>
              </w:rPr>
            </w:pPr>
            <w:r w:rsidRPr="00E43C50">
              <w:rPr>
                <w:rFonts w:eastAsiaTheme="minorHAnsi"/>
              </w:rPr>
              <w:t>2.427</w:t>
            </w:r>
          </w:p>
        </w:tc>
        <w:tc>
          <w:tcPr>
            <w:tcW w:w="941" w:type="dxa"/>
            <w:tcMar>
              <w:left w:w="28" w:type="dxa"/>
              <w:right w:w="28" w:type="dxa"/>
            </w:tcMar>
            <w:vAlign w:val="center"/>
          </w:tcPr>
          <w:p w14:paraId="44650204" w14:textId="07A94350" w:rsidR="00E43C50" w:rsidRPr="00B11526" w:rsidRDefault="00E43C50" w:rsidP="00F36268">
            <w:pPr>
              <w:pStyle w:val="TableText"/>
              <w:jc w:val="center"/>
              <w:rPr>
                <w:rFonts w:eastAsiaTheme="minorHAnsi"/>
                <w:vertAlign w:val="superscript"/>
              </w:rPr>
            </w:pPr>
            <w:r w:rsidRPr="00E43C50">
              <w:rPr>
                <w:rFonts w:eastAsiaTheme="minorHAnsi"/>
              </w:rPr>
              <w:t>$</w:t>
            </w:r>
            <w:r w:rsidR="0024159D" w:rsidRPr="0024159D">
              <w:rPr>
                <w:rFonts w:eastAsiaTheme="minorHAnsi"/>
                <w:sz w:val="2"/>
                <w:highlight w:val="black"/>
              </w:rPr>
              <w:t>redacted content</w:t>
            </w:r>
            <w:r w:rsidR="006C2FBE">
              <w:rPr>
                <w:rFonts w:eastAsiaTheme="minorHAnsi"/>
                <w:vertAlign w:val="superscript"/>
              </w:rPr>
              <w:t>2</w:t>
            </w:r>
          </w:p>
        </w:tc>
      </w:tr>
      <w:tr w:rsidR="00FD7089" w:rsidRPr="00E43C50" w14:paraId="4B1C6B6F" w14:textId="77777777" w:rsidTr="00D74F7D">
        <w:tc>
          <w:tcPr>
            <w:tcW w:w="2122" w:type="dxa"/>
            <w:tcMar>
              <w:left w:w="28" w:type="dxa"/>
              <w:right w:w="28" w:type="dxa"/>
            </w:tcMar>
          </w:tcPr>
          <w:p w14:paraId="103456AA" w14:textId="4020D5DD" w:rsidR="00E43C50" w:rsidRPr="00E43C50" w:rsidRDefault="004F14B2" w:rsidP="00F36268">
            <w:pPr>
              <w:pStyle w:val="TableText"/>
              <w:rPr>
                <w:rFonts w:eastAsiaTheme="minorHAnsi"/>
              </w:rPr>
            </w:pPr>
            <w:r>
              <w:rPr>
                <w:rFonts w:eastAsiaTheme="minorHAnsi"/>
              </w:rPr>
              <w:t xml:space="preserve">4: </w:t>
            </w:r>
            <w:r w:rsidR="00E43C50" w:rsidRPr="00E43C50">
              <w:rPr>
                <w:rFonts w:eastAsiaTheme="minorHAnsi"/>
              </w:rPr>
              <w:t>Switch from PFS (INV) from Mar 2023 DCO to PFS (INV) from Jan 2025 DCO</w:t>
            </w:r>
          </w:p>
        </w:tc>
        <w:tc>
          <w:tcPr>
            <w:tcW w:w="1134" w:type="dxa"/>
            <w:tcMar>
              <w:left w:w="28" w:type="dxa"/>
              <w:right w:w="28" w:type="dxa"/>
            </w:tcMar>
            <w:vAlign w:val="center"/>
          </w:tcPr>
          <w:p w14:paraId="42ED7F8A" w14:textId="12EF7DD2" w:rsidR="00E43C50" w:rsidRPr="00E43C50" w:rsidRDefault="00E43C50" w:rsidP="00F36268">
            <w:pPr>
              <w:pStyle w:val="TableText"/>
              <w:jc w:val="center"/>
              <w:rPr>
                <w:rFonts w:eastAsiaTheme="minorHAnsi"/>
              </w:rPr>
            </w:pPr>
            <w:r w:rsidRPr="00E43C50">
              <w:rPr>
                <w:rFonts w:eastAsiaTheme="minorHAnsi"/>
              </w:rPr>
              <w:t>$</w:t>
            </w:r>
            <w:r w:rsidR="0024159D" w:rsidRPr="0024159D">
              <w:rPr>
                <w:rFonts w:eastAsiaTheme="minorHAnsi"/>
                <w:sz w:val="2"/>
                <w:highlight w:val="black"/>
              </w:rPr>
              <w:t>redacted content</w:t>
            </w:r>
          </w:p>
        </w:tc>
        <w:tc>
          <w:tcPr>
            <w:tcW w:w="850" w:type="dxa"/>
            <w:tcMar>
              <w:left w:w="28" w:type="dxa"/>
              <w:right w:w="28" w:type="dxa"/>
            </w:tcMar>
            <w:vAlign w:val="center"/>
          </w:tcPr>
          <w:p w14:paraId="2C42AB6C" w14:textId="77777777" w:rsidR="00E43C50" w:rsidRPr="00E43C50" w:rsidRDefault="00E43C50" w:rsidP="00F36268">
            <w:pPr>
              <w:pStyle w:val="TableText"/>
              <w:jc w:val="center"/>
              <w:rPr>
                <w:rFonts w:eastAsiaTheme="minorHAnsi"/>
              </w:rPr>
            </w:pPr>
            <w:r w:rsidRPr="00E43C50">
              <w:rPr>
                <w:rFonts w:eastAsiaTheme="minorHAnsi"/>
              </w:rPr>
              <w:t>$175,826</w:t>
            </w:r>
          </w:p>
        </w:tc>
        <w:tc>
          <w:tcPr>
            <w:tcW w:w="1134" w:type="dxa"/>
            <w:tcMar>
              <w:left w:w="28" w:type="dxa"/>
              <w:right w:w="28" w:type="dxa"/>
            </w:tcMar>
            <w:vAlign w:val="center"/>
          </w:tcPr>
          <w:p w14:paraId="14B7235B" w14:textId="77A5237C" w:rsidR="00E43C50" w:rsidRPr="00E43C50" w:rsidRDefault="00E43C50" w:rsidP="00F36268">
            <w:pPr>
              <w:pStyle w:val="TableText"/>
              <w:jc w:val="center"/>
              <w:rPr>
                <w:rFonts w:eastAsiaTheme="minorHAnsi"/>
              </w:rPr>
            </w:pPr>
            <w:r w:rsidRPr="00E43C50">
              <w:rPr>
                <w:rFonts w:eastAsiaTheme="minorHAnsi"/>
              </w:rPr>
              <w:t>$</w:t>
            </w:r>
            <w:r w:rsidR="0024159D" w:rsidRPr="0024159D">
              <w:rPr>
                <w:rFonts w:eastAsiaTheme="minorHAnsi"/>
                <w:sz w:val="2"/>
                <w:highlight w:val="black"/>
              </w:rPr>
              <w:t>redacted content</w:t>
            </w:r>
          </w:p>
        </w:tc>
        <w:tc>
          <w:tcPr>
            <w:tcW w:w="1134" w:type="dxa"/>
            <w:tcMar>
              <w:left w:w="28" w:type="dxa"/>
              <w:right w:w="28" w:type="dxa"/>
            </w:tcMar>
            <w:vAlign w:val="center"/>
          </w:tcPr>
          <w:p w14:paraId="50D41AB9" w14:textId="77777777" w:rsidR="00E43C50" w:rsidRPr="00E43C50" w:rsidRDefault="00E43C50" w:rsidP="00F36268">
            <w:pPr>
              <w:pStyle w:val="TableText"/>
              <w:jc w:val="center"/>
              <w:rPr>
                <w:rFonts w:eastAsiaTheme="minorHAnsi"/>
              </w:rPr>
            </w:pPr>
            <w:r w:rsidRPr="00E43C50">
              <w:rPr>
                <w:rFonts w:eastAsiaTheme="minorHAnsi"/>
              </w:rPr>
              <w:t>7.942</w:t>
            </w:r>
          </w:p>
        </w:tc>
        <w:tc>
          <w:tcPr>
            <w:tcW w:w="709" w:type="dxa"/>
            <w:tcMar>
              <w:left w:w="28" w:type="dxa"/>
              <w:right w:w="28" w:type="dxa"/>
            </w:tcMar>
            <w:vAlign w:val="center"/>
          </w:tcPr>
          <w:p w14:paraId="7411FBAD" w14:textId="77777777" w:rsidR="00E43C50" w:rsidRPr="00E43C50" w:rsidRDefault="00E43C50" w:rsidP="00F36268">
            <w:pPr>
              <w:pStyle w:val="TableText"/>
              <w:jc w:val="center"/>
              <w:rPr>
                <w:rFonts w:eastAsiaTheme="minorHAnsi"/>
              </w:rPr>
            </w:pPr>
            <w:r w:rsidRPr="00E43C50">
              <w:rPr>
                <w:rFonts w:eastAsiaTheme="minorHAnsi"/>
              </w:rPr>
              <w:t>4.387</w:t>
            </w:r>
          </w:p>
        </w:tc>
        <w:tc>
          <w:tcPr>
            <w:tcW w:w="992" w:type="dxa"/>
            <w:tcMar>
              <w:left w:w="28" w:type="dxa"/>
              <w:right w:w="28" w:type="dxa"/>
            </w:tcMar>
            <w:vAlign w:val="center"/>
          </w:tcPr>
          <w:p w14:paraId="70F11F32" w14:textId="77777777" w:rsidR="00E43C50" w:rsidRPr="00E43C50" w:rsidRDefault="00E43C50" w:rsidP="00F36268">
            <w:pPr>
              <w:pStyle w:val="TableText"/>
              <w:jc w:val="center"/>
              <w:rPr>
                <w:rFonts w:eastAsiaTheme="minorHAnsi"/>
              </w:rPr>
            </w:pPr>
            <w:r w:rsidRPr="00E43C50">
              <w:rPr>
                <w:rFonts w:eastAsiaTheme="minorHAnsi"/>
              </w:rPr>
              <w:t>3.555</w:t>
            </w:r>
          </w:p>
        </w:tc>
        <w:tc>
          <w:tcPr>
            <w:tcW w:w="941" w:type="dxa"/>
            <w:tcMar>
              <w:left w:w="28" w:type="dxa"/>
              <w:right w:w="28" w:type="dxa"/>
            </w:tcMar>
            <w:vAlign w:val="center"/>
          </w:tcPr>
          <w:p w14:paraId="6D46AB09" w14:textId="1EE7DC85" w:rsidR="00E43C50" w:rsidRPr="00B11526" w:rsidRDefault="00E43C50" w:rsidP="00F36268">
            <w:pPr>
              <w:pStyle w:val="TableText"/>
              <w:jc w:val="center"/>
              <w:rPr>
                <w:rFonts w:eastAsiaTheme="minorHAnsi"/>
                <w:vertAlign w:val="superscript"/>
              </w:rPr>
            </w:pPr>
            <w:r w:rsidRPr="00E43C50">
              <w:rPr>
                <w:rFonts w:eastAsiaTheme="minorHAnsi"/>
              </w:rPr>
              <w:t>$</w:t>
            </w:r>
            <w:r w:rsidR="0024159D" w:rsidRPr="0024159D">
              <w:rPr>
                <w:rFonts w:eastAsiaTheme="minorHAnsi"/>
                <w:sz w:val="2"/>
                <w:highlight w:val="black"/>
              </w:rPr>
              <w:t>redacted content</w:t>
            </w:r>
            <w:r w:rsidR="00027990">
              <w:rPr>
                <w:rFonts w:eastAsiaTheme="minorHAnsi"/>
                <w:vertAlign w:val="superscript"/>
              </w:rPr>
              <w:t>3</w:t>
            </w:r>
          </w:p>
        </w:tc>
      </w:tr>
      <w:tr w:rsidR="00FD7089" w:rsidRPr="00257B96" w14:paraId="7477EAD5" w14:textId="77777777" w:rsidTr="00D74F7D">
        <w:tc>
          <w:tcPr>
            <w:tcW w:w="2122" w:type="dxa"/>
            <w:tcMar>
              <w:left w:w="28" w:type="dxa"/>
              <w:right w:w="28" w:type="dxa"/>
            </w:tcMar>
          </w:tcPr>
          <w:p w14:paraId="1C526236" w14:textId="77777777" w:rsidR="00E43C50" w:rsidRPr="00257B96" w:rsidRDefault="00E43C50" w:rsidP="00F36268">
            <w:pPr>
              <w:pStyle w:val="TableText"/>
              <w:rPr>
                <w:rFonts w:eastAsiaTheme="minorHAnsi"/>
                <w:b/>
                <w:bCs w:val="0"/>
              </w:rPr>
            </w:pPr>
            <w:r w:rsidRPr="00257B96">
              <w:rPr>
                <w:rFonts w:eastAsiaTheme="minorHAnsi"/>
                <w:b/>
                <w:bCs w:val="0"/>
              </w:rPr>
              <w:t>Revised base case economic evaluation presented in the resubmission</w:t>
            </w:r>
          </w:p>
        </w:tc>
        <w:tc>
          <w:tcPr>
            <w:tcW w:w="1134" w:type="dxa"/>
            <w:tcMar>
              <w:left w:w="28" w:type="dxa"/>
              <w:right w:w="28" w:type="dxa"/>
            </w:tcMar>
            <w:vAlign w:val="center"/>
          </w:tcPr>
          <w:p w14:paraId="1F8E5FC6" w14:textId="636C1607" w:rsidR="00E43C50" w:rsidRPr="00257B96" w:rsidRDefault="00E43C50" w:rsidP="00F36268">
            <w:pPr>
              <w:pStyle w:val="TableText"/>
              <w:jc w:val="center"/>
              <w:rPr>
                <w:rFonts w:eastAsiaTheme="minorHAnsi"/>
                <w:b/>
                <w:bCs w:val="0"/>
              </w:rPr>
            </w:pPr>
            <w:r w:rsidRPr="00257B96">
              <w:rPr>
                <w:rFonts w:eastAsiaTheme="minorHAnsi"/>
                <w:b/>
                <w:bCs w:val="0"/>
              </w:rPr>
              <w:t>$</w:t>
            </w:r>
            <w:r w:rsidR="0024159D" w:rsidRPr="0024159D">
              <w:rPr>
                <w:rFonts w:eastAsiaTheme="minorHAnsi"/>
                <w:b/>
                <w:bCs w:val="0"/>
                <w:sz w:val="2"/>
                <w:highlight w:val="black"/>
              </w:rPr>
              <w:t>redacted content</w:t>
            </w:r>
          </w:p>
        </w:tc>
        <w:tc>
          <w:tcPr>
            <w:tcW w:w="850" w:type="dxa"/>
            <w:tcMar>
              <w:left w:w="28" w:type="dxa"/>
              <w:right w:w="28" w:type="dxa"/>
            </w:tcMar>
            <w:vAlign w:val="center"/>
          </w:tcPr>
          <w:p w14:paraId="33FD0493" w14:textId="77777777" w:rsidR="00E43C50" w:rsidRPr="00257B96" w:rsidRDefault="00E43C50" w:rsidP="00F36268">
            <w:pPr>
              <w:pStyle w:val="TableText"/>
              <w:jc w:val="center"/>
              <w:rPr>
                <w:rFonts w:eastAsiaTheme="minorHAnsi"/>
                <w:b/>
                <w:bCs w:val="0"/>
              </w:rPr>
            </w:pPr>
            <w:r w:rsidRPr="00257B96">
              <w:rPr>
                <w:rFonts w:eastAsiaTheme="minorHAnsi"/>
                <w:b/>
                <w:bCs w:val="0"/>
              </w:rPr>
              <w:t>$175,826</w:t>
            </w:r>
          </w:p>
        </w:tc>
        <w:tc>
          <w:tcPr>
            <w:tcW w:w="1134" w:type="dxa"/>
            <w:tcMar>
              <w:left w:w="28" w:type="dxa"/>
              <w:right w:w="28" w:type="dxa"/>
            </w:tcMar>
            <w:vAlign w:val="center"/>
          </w:tcPr>
          <w:p w14:paraId="0CA5467C" w14:textId="493B892C" w:rsidR="00E43C50" w:rsidRPr="00257B96" w:rsidRDefault="00E43C50" w:rsidP="00F36268">
            <w:pPr>
              <w:pStyle w:val="TableText"/>
              <w:jc w:val="center"/>
              <w:rPr>
                <w:rFonts w:eastAsiaTheme="minorHAnsi"/>
                <w:b/>
                <w:bCs w:val="0"/>
              </w:rPr>
            </w:pPr>
            <w:r w:rsidRPr="00257B96">
              <w:rPr>
                <w:rFonts w:eastAsiaTheme="minorHAnsi"/>
                <w:b/>
                <w:bCs w:val="0"/>
              </w:rPr>
              <w:t>$</w:t>
            </w:r>
            <w:r w:rsidR="0024159D" w:rsidRPr="0024159D">
              <w:rPr>
                <w:rFonts w:eastAsiaTheme="minorHAnsi"/>
                <w:b/>
                <w:bCs w:val="0"/>
                <w:sz w:val="2"/>
                <w:highlight w:val="black"/>
              </w:rPr>
              <w:t>redacted content</w:t>
            </w:r>
          </w:p>
        </w:tc>
        <w:tc>
          <w:tcPr>
            <w:tcW w:w="1134" w:type="dxa"/>
            <w:tcMar>
              <w:left w:w="28" w:type="dxa"/>
              <w:right w:w="28" w:type="dxa"/>
            </w:tcMar>
            <w:vAlign w:val="center"/>
          </w:tcPr>
          <w:p w14:paraId="3B8DB6AC" w14:textId="77777777" w:rsidR="00E43C50" w:rsidRPr="00257B96" w:rsidRDefault="00E43C50" w:rsidP="00F36268">
            <w:pPr>
              <w:pStyle w:val="TableText"/>
              <w:jc w:val="center"/>
              <w:rPr>
                <w:rFonts w:eastAsiaTheme="minorHAnsi"/>
                <w:b/>
                <w:bCs w:val="0"/>
              </w:rPr>
            </w:pPr>
            <w:r w:rsidRPr="00257B96">
              <w:rPr>
                <w:rFonts w:eastAsiaTheme="minorHAnsi"/>
                <w:b/>
                <w:bCs w:val="0"/>
              </w:rPr>
              <w:t>7.942</w:t>
            </w:r>
          </w:p>
        </w:tc>
        <w:tc>
          <w:tcPr>
            <w:tcW w:w="709" w:type="dxa"/>
            <w:tcMar>
              <w:left w:w="28" w:type="dxa"/>
              <w:right w:w="28" w:type="dxa"/>
            </w:tcMar>
            <w:vAlign w:val="center"/>
          </w:tcPr>
          <w:p w14:paraId="46A5C418" w14:textId="77777777" w:rsidR="00E43C50" w:rsidRPr="00257B96" w:rsidRDefault="00E43C50" w:rsidP="00F36268">
            <w:pPr>
              <w:pStyle w:val="TableText"/>
              <w:jc w:val="center"/>
              <w:rPr>
                <w:rFonts w:eastAsiaTheme="minorHAnsi"/>
                <w:b/>
                <w:bCs w:val="0"/>
              </w:rPr>
            </w:pPr>
            <w:r w:rsidRPr="00257B96">
              <w:rPr>
                <w:rFonts w:eastAsiaTheme="minorHAnsi"/>
                <w:b/>
                <w:bCs w:val="0"/>
              </w:rPr>
              <w:t>4.387</w:t>
            </w:r>
          </w:p>
        </w:tc>
        <w:tc>
          <w:tcPr>
            <w:tcW w:w="992" w:type="dxa"/>
            <w:tcMar>
              <w:left w:w="28" w:type="dxa"/>
              <w:right w:w="28" w:type="dxa"/>
            </w:tcMar>
            <w:vAlign w:val="center"/>
          </w:tcPr>
          <w:p w14:paraId="60609DDD" w14:textId="77777777" w:rsidR="00E43C50" w:rsidRPr="00257B96" w:rsidRDefault="00E43C50" w:rsidP="00F36268">
            <w:pPr>
              <w:pStyle w:val="TableText"/>
              <w:jc w:val="center"/>
              <w:rPr>
                <w:rFonts w:eastAsiaTheme="minorHAnsi"/>
                <w:b/>
                <w:bCs w:val="0"/>
              </w:rPr>
            </w:pPr>
            <w:r w:rsidRPr="00257B96">
              <w:rPr>
                <w:rFonts w:eastAsiaTheme="minorHAnsi"/>
                <w:b/>
                <w:bCs w:val="0"/>
              </w:rPr>
              <w:t>3.555</w:t>
            </w:r>
          </w:p>
        </w:tc>
        <w:tc>
          <w:tcPr>
            <w:tcW w:w="941" w:type="dxa"/>
            <w:tcMar>
              <w:left w:w="28" w:type="dxa"/>
              <w:right w:w="28" w:type="dxa"/>
            </w:tcMar>
            <w:vAlign w:val="center"/>
          </w:tcPr>
          <w:p w14:paraId="75951C9F" w14:textId="00F416A9" w:rsidR="00E43C50" w:rsidRPr="00B11526" w:rsidRDefault="00E43C50" w:rsidP="00F36268">
            <w:pPr>
              <w:pStyle w:val="TableText"/>
              <w:jc w:val="center"/>
              <w:rPr>
                <w:rFonts w:eastAsiaTheme="minorHAnsi"/>
                <w:b/>
                <w:bCs w:val="0"/>
                <w:vertAlign w:val="superscript"/>
              </w:rPr>
            </w:pPr>
            <w:r w:rsidRPr="00B2712F">
              <w:rPr>
                <w:rFonts w:eastAsiaTheme="minorHAnsi"/>
                <w:b/>
                <w:bCs w:val="0"/>
              </w:rPr>
              <w:t>$</w:t>
            </w:r>
            <w:r w:rsidR="0024159D" w:rsidRPr="0024159D">
              <w:rPr>
                <w:rFonts w:eastAsiaTheme="minorHAnsi"/>
                <w:b/>
                <w:bCs w:val="0"/>
                <w:sz w:val="2"/>
                <w:highlight w:val="black"/>
              </w:rPr>
              <w:t>redacted content</w:t>
            </w:r>
            <w:r w:rsidR="00027990">
              <w:rPr>
                <w:rFonts w:eastAsiaTheme="minorHAnsi"/>
                <w:b/>
                <w:bCs w:val="0"/>
                <w:vertAlign w:val="superscript"/>
              </w:rPr>
              <w:t>3</w:t>
            </w:r>
          </w:p>
        </w:tc>
      </w:tr>
      <w:tr w:rsidR="00FD7089" w:rsidRPr="00E43C50" w14:paraId="232362B0" w14:textId="77777777" w:rsidTr="00D74F7D">
        <w:tc>
          <w:tcPr>
            <w:tcW w:w="2122" w:type="dxa"/>
            <w:tcMar>
              <w:left w:w="28" w:type="dxa"/>
              <w:right w:w="28" w:type="dxa"/>
            </w:tcMar>
          </w:tcPr>
          <w:p w14:paraId="3778DCF3" w14:textId="77777777" w:rsidR="00E43C50" w:rsidRPr="00E43C50" w:rsidRDefault="00E43C50" w:rsidP="00F36268">
            <w:pPr>
              <w:pStyle w:val="TableText"/>
              <w:rPr>
                <w:rFonts w:eastAsiaTheme="minorHAnsi"/>
              </w:rPr>
            </w:pPr>
            <w:r w:rsidRPr="00E43C50">
              <w:rPr>
                <w:rFonts w:eastAsiaTheme="minorHAnsi"/>
              </w:rPr>
              <w:t>Alternate revised base case</w:t>
            </w:r>
          </w:p>
          <w:p w14:paraId="32C11B96" w14:textId="293F1332" w:rsidR="00E43C50" w:rsidRPr="00E43C50" w:rsidRDefault="00E43C50" w:rsidP="00F36268">
            <w:pPr>
              <w:pStyle w:val="TableText"/>
              <w:rPr>
                <w:rFonts w:eastAsiaTheme="minorHAnsi"/>
              </w:rPr>
            </w:pPr>
            <w:r w:rsidRPr="00E43C50">
              <w:rPr>
                <w:rFonts w:eastAsiaTheme="minorHAnsi"/>
              </w:rPr>
              <w:t xml:space="preserve">Application of </w:t>
            </w:r>
            <w:proofErr w:type="spellStart"/>
            <w:r w:rsidRPr="00E43C50">
              <w:rPr>
                <w:rFonts w:eastAsiaTheme="minorHAnsi"/>
              </w:rPr>
              <w:t>SPRs</w:t>
            </w:r>
            <w:r w:rsidR="00595FAC" w:rsidRPr="004D19E5">
              <w:rPr>
                <w:rFonts w:eastAsiaTheme="minorHAnsi"/>
                <w:vertAlign w:val="superscript"/>
              </w:rPr>
              <w:t>b</w:t>
            </w:r>
            <w:proofErr w:type="spellEnd"/>
            <w:r w:rsidRPr="00E43C50">
              <w:rPr>
                <w:rFonts w:eastAsiaTheme="minorHAnsi"/>
              </w:rPr>
              <w:t xml:space="preserve"> to price of vorasidenib over time</w:t>
            </w:r>
          </w:p>
        </w:tc>
        <w:tc>
          <w:tcPr>
            <w:tcW w:w="1134" w:type="dxa"/>
            <w:tcMar>
              <w:left w:w="28" w:type="dxa"/>
              <w:right w:w="28" w:type="dxa"/>
            </w:tcMar>
            <w:vAlign w:val="center"/>
          </w:tcPr>
          <w:p w14:paraId="354C2402" w14:textId="7CAB7AD3" w:rsidR="00E43C50" w:rsidRPr="00E43C50" w:rsidRDefault="00E43C50" w:rsidP="00F36268">
            <w:pPr>
              <w:pStyle w:val="TableText"/>
              <w:jc w:val="center"/>
              <w:rPr>
                <w:rFonts w:eastAsiaTheme="minorHAnsi"/>
              </w:rPr>
            </w:pPr>
            <w:r w:rsidRPr="00E43C50">
              <w:rPr>
                <w:rFonts w:eastAsiaTheme="minorHAnsi"/>
              </w:rPr>
              <w:t>$</w:t>
            </w:r>
            <w:r w:rsidR="0024159D" w:rsidRPr="0024159D">
              <w:rPr>
                <w:rFonts w:eastAsiaTheme="minorHAnsi"/>
                <w:sz w:val="2"/>
                <w:highlight w:val="black"/>
              </w:rPr>
              <w:t>redacted content</w:t>
            </w:r>
          </w:p>
        </w:tc>
        <w:tc>
          <w:tcPr>
            <w:tcW w:w="850" w:type="dxa"/>
            <w:tcMar>
              <w:left w:w="28" w:type="dxa"/>
              <w:right w:w="28" w:type="dxa"/>
            </w:tcMar>
            <w:vAlign w:val="center"/>
          </w:tcPr>
          <w:p w14:paraId="450E2463" w14:textId="77777777" w:rsidR="00E43C50" w:rsidRPr="00E43C50" w:rsidRDefault="00E43C50" w:rsidP="00F36268">
            <w:pPr>
              <w:pStyle w:val="TableText"/>
              <w:jc w:val="center"/>
              <w:rPr>
                <w:rFonts w:eastAsiaTheme="minorHAnsi"/>
              </w:rPr>
            </w:pPr>
            <w:r w:rsidRPr="00E43C50">
              <w:rPr>
                <w:rFonts w:eastAsiaTheme="minorHAnsi"/>
              </w:rPr>
              <w:t>$175,826</w:t>
            </w:r>
          </w:p>
        </w:tc>
        <w:tc>
          <w:tcPr>
            <w:tcW w:w="1134" w:type="dxa"/>
            <w:tcMar>
              <w:left w:w="28" w:type="dxa"/>
              <w:right w:w="28" w:type="dxa"/>
            </w:tcMar>
            <w:vAlign w:val="center"/>
          </w:tcPr>
          <w:p w14:paraId="4A96C4A1" w14:textId="1C50BA69" w:rsidR="00E43C50" w:rsidRPr="00E43C50" w:rsidRDefault="00E43C50" w:rsidP="00F36268">
            <w:pPr>
              <w:pStyle w:val="TableText"/>
              <w:jc w:val="center"/>
              <w:rPr>
                <w:rFonts w:eastAsiaTheme="minorHAnsi"/>
              </w:rPr>
            </w:pPr>
            <w:r w:rsidRPr="00E43C50">
              <w:rPr>
                <w:rFonts w:eastAsiaTheme="minorHAnsi"/>
              </w:rPr>
              <w:t>$</w:t>
            </w:r>
            <w:r w:rsidR="0024159D" w:rsidRPr="0024159D">
              <w:rPr>
                <w:rFonts w:eastAsiaTheme="minorHAnsi"/>
                <w:sz w:val="2"/>
                <w:highlight w:val="black"/>
              </w:rPr>
              <w:t>redacted content</w:t>
            </w:r>
          </w:p>
        </w:tc>
        <w:tc>
          <w:tcPr>
            <w:tcW w:w="1134" w:type="dxa"/>
            <w:tcMar>
              <w:left w:w="28" w:type="dxa"/>
              <w:right w:w="28" w:type="dxa"/>
            </w:tcMar>
            <w:vAlign w:val="center"/>
          </w:tcPr>
          <w:p w14:paraId="15022617" w14:textId="77777777" w:rsidR="00E43C50" w:rsidRPr="00E43C50" w:rsidRDefault="00E43C50" w:rsidP="00F36268">
            <w:pPr>
              <w:pStyle w:val="TableText"/>
              <w:jc w:val="center"/>
              <w:rPr>
                <w:rFonts w:eastAsiaTheme="minorHAnsi"/>
              </w:rPr>
            </w:pPr>
            <w:r w:rsidRPr="00E43C50">
              <w:rPr>
                <w:rFonts w:eastAsiaTheme="minorHAnsi"/>
              </w:rPr>
              <w:t>7.942</w:t>
            </w:r>
          </w:p>
        </w:tc>
        <w:tc>
          <w:tcPr>
            <w:tcW w:w="709" w:type="dxa"/>
            <w:tcMar>
              <w:left w:w="28" w:type="dxa"/>
              <w:right w:w="28" w:type="dxa"/>
            </w:tcMar>
            <w:vAlign w:val="center"/>
          </w:tcPr>
          <w:p w14:paraId="0E7BEC6B" w14:textId="77777777" w:rsidR="00E43C50" w:rsidRPr="00E43C50" w:rsidRDefault="00E43C50" w:rsidP="00F36268">
            <w:pPr>
              <w:pStyle w:val="TableText"/>
              <w:jc w:val="center"/>
              <w:rPr>
                <w:rFonts w:eastAsiaTheme="minorHAnsi"/>
              </w:rPr>
            </w:pPr>
            <w:r w:rsidRPr="00E43C50">
              <w:rPr>
                <w:rFonts w:eastAsiaTheme="minorHAnsi"/>
              </w:rPr>
              <w:t>4.387</w:t>
            </w:r>
          </w:p>
        </w:tc>
        <w:tc>
          <w:tcPr>
            <w:tcW w:w="992" w:type="dxa"/>
            <w:tcMar>
              <w:left w:w="28" w:type="dxa"/>
              <w:right w:w="28" w:type="dxa"/>
            </w:tcMar>
            <w:vAlign w:val="center"/>
          </w:tcPr>
          <w:p w14:paraId="432970DB" w14:textId="77777777" w:rsidR="00E43C50" w:rsidRPr="00E43C50" w:rsidRDefault="00E43C50" w:rsidP="00F36268">
            <w:pPr>
              <w:pStyle w:val="TableText"/>
              <w:jc w:val="center"/>
              <w:rPr>
                <w:rFonts w:eastAsiaTheme="minorHAnsi"/>
              </w:rPr>
            </w:pPr>
            <w:r w:rsidRPr="00E43C50">
              <w:rPr>
                <w:rFonts w:eastAsiaTheme="minorHAnsi"/>
              </w:rPr>
              <w:t>3.555</w:t>
            </w:r>
          </w:p>
        </w:tc>
        <w:tc>
          <w:tcPr>
            <w:tcW w:w="941" w:type="dxa"/>
            <w:tcMar>
              <w:left w:w="28" w:type="dxa"/>
              <w:right w:w="28" w:type="dxa"/>
            </w:tcMar>
            <w:vAlign w:val="center"/>
          </w:tcPr>
          <w:p w14:paraId="27DB4CF0" w14:textId="4BCBB2B6" w:rsidR="00E43C50" w:rsidRPr="00B11526" w:rsidRDefault="00E43C50" w:rsidP="00F36268">
            <w:pPr>
              <w:pStyle w:val="TableText"/>
              <w:jc w:val="center"/>
              <w:rPr>
                <w:rFonts w:eastAsiaTheme="minorHAnsi"/>
                <w:vertAlign w:val="superscript"/>
              </w:rPr>
            </w:pPr>
            <w:r w:rsidRPr="00E43C50">
              <w:rPr>
                <w:rFonts w:eastAsiaTheme="minorHAnsi"/>
              </w:rPr>
              <w:t>$</w:t>
            </w:r>
            <w:r w:rsidR="0024159D" w:rsidRPr="0024159D">
              <w:rPr>
                <w:rFonts w:eastAsiaTheme="minorHAnsi"/>
                <w:sz w:val="2"/>
                <w:highlight w:val="black"/>
              </w:rPr>
              <w:t>redacted content</w:t>
            </w:r>
            <w:r w:rsidR="00027990">
              <w:rPr>
                <w:rFonts w:eastAsiaTheme="minorHAnsi"/>
                <w:vertAlign w:val="superscript"/>
              </w:rPr>
              <w:t>3</w:t>
            </w:r>
          </w:p>
        </w:tc>
      </w:tr>
    </w:tbl>
    <w:p w14:paraId="392679EF" w14:textId="00047AD8" w:rsidR="00E43C50" w:rsidRDefault="00E43C50" w:rsidP="00F36268">
      <w:pPr>
        <w:pStyle w:val="TableFigureFooter"/>
        <w:rPr>
          <w:rFonts w:eastAsiaTheme="minorHAnsi"/>
        </w:rPr>
      </w:pPr>
      <w:r>
        <w:rPr>
          <w:rFonts w:eastAsiaTheme="minorHAnsi"/>
        </w:rPr>
        <w:t>Source: Table C</w:t>
      </w:r>
      <w:r w:rsidR="00B571FA">
        <w:rPr>
          <w:rFonts w:eastAsiaTheme="minorHAnsi"/>
        </w:rPr>
        <w:noBreakHyphen/>
      </w:r>
      <w:r>
        <w:rPr>
          <w:rFonts w:eastAsiaTheme="minorHAnsi"/>
        </w:rPr>
        <w:t>6 resubmissio</w:t>
      </w:r>
      <w:r w:rsidR="00AC0B24">
        <w:rPr>
          <w:rFonts w:eastAsiaTheme="minorHAnsi"/>
        </w:rPr>
        <w:t>n</w:t>
      </w:r>
      <w:r>
        <w:rPr>
          <w:rFonts w:eastAsiaTheme="minorHAnsi"/>
        </w:rPr>
        <w:t xml:space="preserve"> pp25</w:t>
      </w:r>
      <w:r w:rsidR="00B571FA">
        <w:rPr>
          <w:rFonts w:eastAsiaTheme="minorHAnsi"/>
        </w:rPr>
        <w:noBreakHyphen/>
      </w:r>
      <w:r>
        <w:rPr>
          <w:rFonts w:eastAsiaTheme="minorHAnsi"/>
        </w:rPr>
        <w:t>26</w:t>
      </w:r>
    </w:p>
    <w:p w14:paraId="1F8DC910" w14:textId="20DA28F6" w:rsidR="00E43C50" w:rsidRPr="00E43C50" w:rsidRDefault="00E43C50" w:rsidP="00F36268">
      <w:pPr>
        <w:pStyle w:val="TableFigureFooter"/>
        <w:rPr>
          <w:rFonts w:eastAsiaTheme="minorHAnsi"/>
        </w:rPr>
      </w:pPr>
      <w:r w:rsidRPr="00E43C50">
        <w:rPr>
          <w:rFonts w:eastAsiaTheme="minorHAnsi"/>
        </w:rPr>
        <w:t>Abbreviations: ABS = Australian Bureau of Statistics; CGRP = calcitonin gene</w:t>
      </w:r>
      <w:r w:rsidR="00B571FA">
        <w:rPr>
          <w:rFonts w:eastAsiaTheme="minorHAnsi"/>
        </w:rPr>
        <w:noBreakHyphen/>
      </w:r>
      <w:r w:rsidRPr="00E43C50">
        <w:rPr>
          <w:rFonts w:eastAsiaTheme="minorHAnsi"/>
        </w:rPr>
        <w:t>related peptide; DCO = data cutoff; INV = investigator</w:t>
      </w:r>
      <w:r w:rsidR="00B571FA">
        <w:rPr>
          <w:rFonts w:eastAsiaTheme="minorHAnsi"/>
        </w:rPr>
        <w:noBreakHyphen/>
      </w:r>
      <w:r w:rsidRPr="00E43C50">
        <w:rPr>
          <w:rFonts w:eastAsiaTheme="minorHAnsi"/>
        </w:rPr>
        <w:t>assessed; Jan = January; MBS = Medicare Benefits Schedule; MINS = PBAC minutes from the July 2025 PBAC meeting for item 5.15; Nov = November; PBS = Pharmaceutical Benefits Scheme; QALYs = quality</w:t>
      </w:r>
      <w:r w:rsidR="00B571FA">
        <w:rPr>
          <w:rFonts w:eastAsiaTheme="minorHAnsi"/>
        </w:rPr>
        <w:noBreakHyphen/>
      </w:r>
      <w:r w:rsidRPr="00E43C50">
        <w:rPr>
          <w:rFonts w:eastAsiaTheme="minorHAnsi"/>
        </w:rPr>
        <w:t>adjusted life years; SPRs = statutory price reductions.</w:t>
      </w:r>
    </w:p>
    <w:p w14:paraId="3828C6EA" w14:textId="0F0E9237" w:rsidR="00595FAC" w:rsidRDefault="00686727" w:rsidP="00F36268">
      <w:pPr>
        <w:pStyle w:val="TableFigureFooter"/>
        <w:rPr>
          <w:rFonts w:eastAsiaTheme="minorHAnsi"/>
        </w:rPr>
      </w:pPr>
      <w:r>
        <w:rPr>
          <w:rFonts w:eastAsiaTheme="minorHAnsi"/>
        </w:rPr>
        <w:t>a Value corrected in pre</w:t>
      </w:r>
      <w:r w:rsidR="00B571FA">
        <w:rPr>
          <w:rFonts w:eastAsiaTheme="minorHAnsi"/>
        </w:rPr>
        <w:noBreakHyphen/>
      </w:r>
      <w:r>
        <w:rPr>
          <w:rFonts w:eastAsiaTheme="minorHAnsi"/>
        </w:rPr>
        <w:t>PBAC response</w:t>
      </w:r>
      <w:r w:rsidR="0071776C">
        <w:rPr>
          <w:rFonts w:eastAsiaTheme="minorHAnsi"/>
        </w:rPr>
        <w:t>.</w:t>
      </w:r>
    </w:p>
    <w:p w14:paraId="1D673D76" w14:textId="10D9FC3F" w:rsidR="00E43C50" w:rsidRDefault="00595FAC" w:rsidP="00B11526">
      <w:pPr>
        <w:pStyle w:val="TableFigureFooter"/>
        <w:spacing w:after="0"/>
        <w:rPr>
          <w:rFonts w:eastAsiaTheme="minorHAnsi"/>
        </w:rPr>
      </w:pPr>
      <w:r>
        <w:rPr>
          <w:rFonts w:eastAsiaTheme="minorHAnsi"/>
        </w:rPr>
        <w:t>b</w:t>
      </w:r>
      <w:r w:rsidR="00E43C50" w:rsidRPr="00E43C50">
        <w:rPr>
          <w:rFonts w:eastAsiaTheme="minorHAnsi"/>
        </w:rPr>
        <w:t xml:space="preserve"> The alternate base case assumes that a statutory reduction of 5% will be applied to the approved ex</w:t>
      </w:r>
      <w:r w:rsidR="00B571FA">
        <w:rPr>
          <w:rFonts w:eastAsiaTheme="minorHAnsi"/>
        </w:rPr>
        <w:noBreakHyphen/>
      </w:r>
      <w:r w:rsidR="00E43C50" w:rsidRPr="00E43C50">
        <w:rPr>
          <w:rFonts w:eastAsiaTheme="minorHAnsi"/>
        </w:rPr>
        <w:t>manufacturer price (AEMP) at 5 years from the beginning of first cycle of the model, a further 5% reduction in AEMP will apply at 10 years, and then a 30% reduction in the AEMP will apply at 15 years. No changes are made to the proposed rebate.</w:t>
      </w:r>
    </w:p>
    <w:p w14:paraId="04CA9B81" w14:textId="77777777" w:rsidR="0020478B" w:rsidRPr="0020478B" w:rsidRDefault="0020478B" w:rsidP="0020478B">
      <w:pPr>
        <w:jc w:val="left"/>
        <w:rPr>
          <w:rFonts w:ascii="Arial Narrow" w:hAnsi="Arial Narrow" w:cstheme="minorHAnsi"/>
          <w:bCs/>
          <w:i/>
          <w:iCs/>
          <w:sz w:val="18"/>
          <w:szCs w:val="18"/>
        </w:rPr>
      </w:pPr>
      <w:r w:rsidRPr="0020478B">
        <w:rPr>
          <w:rFonts w:ascii="Arial Narrow" w:hAnsi="Arial Narrow" w:cstheme="minorHAnsi"/>
          <w:bCs/>
          <w:i/>
          <w:iCs/>
          <w:sz w:val="18"/>
          <w:szCs w:val="18"/>
        </w:rPr>
        <w:t xml:space="preserve">The redacted values correspond to the following ranges: </w:t>
      </w:r>
    </w:p>
    <w:p w14:paraId="6BBC52C4" w14:textId="26C164E8" w:rsidR="0020478B" w:rsidRPr="00DC1F31" w:rsidRDefault="0020478B" w:rsidP="0020478B">
      <w:pPr>
        <w:jc w:val="left"/>
        <w:rPr>
          <w:rFonts w:ascii="Arial Narrow" w:hAnsi="Arial Narrow" w:cs="Arial"/>
          <w:bCs/>
          <w:i/>
          <w:sz w:val="18"/>
          <w:szCs w:val="18"/>
        </w:rPr>
      </w:pPr>
      <w:r w:rsidRPr="0020478B">
        <w:rPr>
          <w:rFonts w:ascii="Arial Narrow" w:hAnsi="Arial Narrow" w:cs="Arial"/>
          <w:i/>
          <w:sz w:val="18"/>
          <w:szCs w:val="18"/>
          <w:vertAlign w:val="superscript"/>
        </w:rPr>
        <w:t>1</w:t>
      </w:r>
      <w:r w:rsidRPr="0020478B">
        <w:rPr>
          <w:rFonts w:ascii="Arial Narrow" w:hAnsi="Arial Narrow" w:cs="Arial"/>
          <w:i/>
          <w:sz w:val="18"/>
          <w:szCs w:val="18"/>
        </w:rPr>
        <w:t xml:space="preserve"> </w:t>
      </w:r>
      <w:r w:rsidR="00DC1F31" w:rsidRPr="00DC1F31">
        <w:rPr>
          <w:rFonts w:ascii="Arial Narrow" w:hAnsi="Arial Narrow" w:cs="Arial"/>
          <w:bCs/>
          <w:i/>
          <w:sz w:val="18"/>
          <w:szCs w:val="18"/>
        </w:rPr>
        <w:t>$155,000 to &lt; $255,000</w:t>
      </w:r>
    </w:p>
    <w:p w14:paraId="32C01E2B" w14:textId="1B31F54F" w:rsidR="0020478B" w:rsidRPr="0024159D" w:rsidRDefault="0020478B" w:rsidP="0020478B">
      <w:pPr>
        <w:jc w:val="left"/>
        <w:rPr>
          <w:rFonts w:ascii="Arial Narrow" w:hAnsi="Arial Narrow" w:cs="Arial"/>
          <w:bCs/>
          <w:i/>
          <w:sz w:val="18"/>
          <w:szCs w:val="18"/>
        </w:rPr>
      </w:pPr>
      <w:r w:rsidRPr="0020478B">
        <w:rPr>
          <w:rFonts w:ascii="Arial Narrow" w:hAnsi="Arial Narrow" w:cs="Arial"/>
          <w:i/>
          <w:sz w:val="18"/>
          <w:szCs w:val="18"/>
          <w:vertAlign w:val="superscript"/>
        </w:rPr>
        <w:t>2</w:t>
      </w:r>
      <w:r w:rsidRPr="0020478B">
        <w:rPr>
          <w:rFonts w:ascii="Arial Narrow" w:hAnsi="Arial Narrow" w:cs="Arial"/>
          <w:i/>
          <w:sz w:val="18"/>
          <w:szCs w:val="18"/>
        </w:rPr>
        <w:t xml:space="preserve"> </w:t>
      </w:r>
      <w:r w:rsidR="006C2FBE" w:rsidRPr="006C2FBE">
        <w:rPr>
          <w:rFonts w:ascii="Arial Narrow" w:hAnsi="Arial Narrow" w:cs="Arial"/>
          <w:bCs/>
          <w:i/>
          <w:sz w:val="18"/>
          <w:szCs w:val="18"/>
        </w:rPr>
        <w:t>$115,000 to &lt; $135,000</w:t>
      </w:r>
    </w:p>
    <w:p w14:paraId="21AEC89F" w14:textId="77777777" w:rsidR="00027990" w:rsidRPr="00027990" w:rsidRDefault="0020478B" w:rsidP="00027990">
      <w:pPr>
        <w:jc w:val="left"/>
        <w:rPr>
          <w:rFonts w:ascii="Arial Narrow" w:hAnsi="Arial Narrow" w:cs="Arial"/>
          <w:bCs/>
          <w:i/>
          <w:sz w:val="18"/>
          <w:szCs w:val="18"/>
        </w:rPr>
      </w:pPr>
      <w:r w:rsidRPr="0020478B">
        <w:rPr>
          <w:rFonts w:ascii="Arial Narrow" w:hAnsi="Arial Narrow" w:cs="Arial"/>
          <w:i/>
          <w:sz w:val="18"/>
          <w:szCs w:val="18"/>
          <w:vertAlign w:val="superscript"/>
        </w:rPr>
        <w:t>3</w:t>
      </w:r>
      <w:r w:rsidRPr="0020478B">
        <w:rPr>
          <w:rFonts w:ascii="Arial Narrow" w:hAnsi="Arial Narrow" w:cs="Arial"/>
          <w:i/>
          <w:sz w:val="18"/>
          <w:szCs w:val="18"/>
        </w:rPr>
        <w:t xml:space="preserve"> </w:t>
      </w:r>
      <w:r w:rsidR="00027990" w:rsidRPr="00027990">
        <w:rPr>
          <w:rFonts w:ascii="Arial Narrow" w:hAnsi="Arial Narrow" w:cs="Arial"/>
          <w:bCs/>
          <w:i/>
          <w:sz w:val="18"/>
          <w:szCs w:val="18"/>
        </w:rPr>
        <w:t xml:space="preserve">$95,000 to &lt; $115,000 </w:t>
      </w:r>
    </w:p>
    <w:p w14:paraId="7C803331" w14:textId="77777777" w:rsidR="0020478B" w:rsidRPr="00E43C50" w:rsidRDefault="0020478B" w:rsidP="00F36268">
      <w:pPr>
        <w:pStyle w:val="TableFigureFooter"/>
        <w:rPr>
          <w:rFonts w:eastAsiaTheme="minorHAnsi"/>
        </w:rPr>
      </w:pPr>
    </w:p>
    <w:p w14:paraId="0915C6E1" w14:textId="7238E6A0" w:rsidR="007358AE" w:rsidRDefault="001C3F45" w:rsidP="00F36268">
      <w:pPr>
        <w:pStyle w:val="3-BodyText"/>
      </w:pPr>
      <w:r>
        <w:t>The</w:t>
      </w:r>
      <w:r w:rsidDel="00F77F29">
        <w:t xml:space="preserve"> </w:t>
      </w:r>
      <w:r>
        <w:t xml:space="preserve">resubmission </w:t>
      </w:r>
      <w:r w:rsidR="00164E37">
        <w:t>presented sensitivity analyses</w:t>
      </w:r>
      <w:r w:rsidR="00D82939">
        <w:t>, the most relevant analyses are</w:t>
      </w:r>
      <w:r w:rsidR="00164E37">
        <w:t xml:space="preserve"> shown in </w:t>
      </w:r>
      <w:r w:rsidR="00D82939">
        <w:fldChar w:fldCharType="begin"/>
      </w:r>
      <w:r w:rsidR="00D82939">
        <w:instrText xml:space="preserve"> REF _Ref222377556 \h </w:instrText>
      </w:r>
      <w:r w:rsidR="00D82939">
        <w:fldChar w:fldCharType="separate"/>
      </w:r>
      <w:r w:rsidR="0031315F">
        <w:t xml:space="preserve">Table </w:t>
      </w:r>
      <w:r w:rsidR="0031315F">
        <w:rPr>
          <w:noProof/>
        </w:rPr>
        <w:t>5</w:t>
      </w:r>
      <w:r w:rsidR="00D82939">
        <w:fldChar w:fldCharType="end"/>
      </w:r>
      <w:r w:rsidR="00D82939">
        <w:t>.</w:t>
      </w:r>
    </w:p>
    <w:p w14:paraId="5F683B0B" w14:textId="316DC267" w:rsidR="007358AE" w:rsidRDefault="001C3F45" w:rsidP="00F36268">
      <w:pPr>
        <w:pStyle w:val="TableFigureHeading"/>
      </w:pPr>
      <w:bookmarkStart w:id="16" w:name="_Ref222377556"/>
      <w:r>
        <w:lastRenderedPageBreak/>
        <w:t xml:space="preserve">Table </w:t>
      </w:r>
      <w:fldSimple w:instr=" SEQ Table \* ARABIC ">
        <w:r w:rsidR="0031315F">
          <w:rPr>
            <w:noProof/>
          </w:rPr>
          <w:t>5</w:t>
        </w:r>
      </w:fldSimple>
      <w:bookmarkEnd w:id="16"/>
      <w:r>
        <w:t xml:space="preserve">: </w:t>
      </w:r>
      <w:r w:rsidR="007358AE">
        <w:t>Sensitivity analyses for</w:t>
      </w:r>
      <w:r>
        <w:t xml:space="preserve"> revised economic evaluation</w:t>
      </w:r>
    </w:p>
    <w:tbl>
      <w:tblPr>
        <w:tblStyle w:val="TableGrid"/>
        <w:tblW w:w="0" w:type="auto"/>
        <w:tblLook w:val="04A0" w:firstRow="1" w:lastRow="0" w:firstColumn="1" w:lastColumn="0" w:noHBand="0" w:noVBand="1"/>
        <w:tblCaption w:val="Table 5: Sensitivity analyses for revised economic evaluation"/>
      </w:tblPr>
      <w:tblGrid>
        <w:gridCol w:w="3517"/>
        <w:gridCol w:w="1400"/>
        <w:gridCol w:w="1368"/>
        <w:gridCol w:w="1366"/>
        <w:gridCol w:w="1365"/>
      </w:tblGrid>
      <w:tr w:rsidR="007358AE" w:rsidRPr="00B62CD3" w14:paraId="1260247D" w14:textId="77777777" w:rsidTr="00DE3B78">
        <w:trPr>
          <w:cantSplit/>
          <w:tblHeader/>
        </w:trPr>
        <w:tc>
          <w:tcPr>
            <w:tcW w:w="3517" w:type="dxa"/>
          </w:tcPr>
          <w:p w14:paraId="3CADF68E" w14:textId="77777777" w:rsidR="007358AE" w:rsidRPr="00B62CD3" w:rsidRDefault="007358AE" w:rsidP="00F36268">
            <w:pPr>
              <w:pStyle w:val="Tabletext0"/>
              <w:rPr>
                <w:rFonts w:ascii="Arial Narrow" w:hAnsi="Arial Narrow"/>
                <w:b/>
                <w:bCs/>
              </w:rPr>
            </w:pPr>
          </w:p>
        </w:tc>
        <w:tc>
          <w:tcPr>
            <w:tcW w:w="1400" w:type="dxa"/>
            <w:vAlign w:val="center"/>
          </w:tcPr>
          <w:p w14:paraId="78D86C17" w14:textId="77777777" w:rsidR="007358AE" w:rsidRPr="00B62CD3" w:rsidRDefault="007358AE" w:rsidP="00F36268">
            <w:pPr>
              <w:pStyle w:val="Tabletext0"/>
              <w:jc w:val="center"/>
              <w:rPr>
                <w:rFonts w:ascii="Arial Narrow" w:hAnsi="Arial Narrow"/>
                <w:b/>
                <w:bCs/>
              </w:rPr>
            </w:pPr>
            <w:r w:rsidRPr="00B62CD3">
              <w:rPr>
                <w:rFonts w:ascii="Arial Narrow" w:hAnsi="Arial Narrow"/>
                <w:b/>
                <w:bCs/>
              </w:rPr>
              <w:t>Incremental costs</w:t>
            </w:r>
          </w:p>
        </w:tc>
        <w:tc>
          <w:tcPr>
            <w:tcW w:w="1368" w:type="dxa"/>
            <w:vAlign w:val="center"/>
          </w:tcPr>
          <w:p w14:paraId="21B7ABA3" w14:textId="77777777" w:rsidR="007358AE" w:rsidRPr="00B62CD3" w:rsidRDefault="007358AE" w:rsidP="00F36268">
            <w:pPr>
              <w:pStyle w:val="Tabletext0"/>
              <w:jc w:val="center"/>
              <w:rPr>
                <w:rFonts w:ascii="Arial Narrow" w:hAnsi="Arial Narrow"/>
                <w:b/>
                <w:bCs/>
              </w:rPr>
            </w:pPr>
            <w:r w:rsidRPr="00B62CD3">
              <w:rPr>
                <w:rFonts w:ascii="Arial Narrow" w:hAnsi="Arial Narrow"/>
                <w:b/>
                <w:bCs/>
              </w:rPr>
              <w:t>Incremental QALYs</w:t>
            </w:r>
          </w:p>
        </w:tc>
        <w:tc>
          <w:tcPr>
            <w:tcW w:w="1366" w:type="dxa"/>
            <w:vAlign w:val="center"/>
          </w:tcPr>
          <w:p w14:paraId="1E405AAB" w14:textId="77777777" w:rsidR="007358AE" w:rsidRPr="00B62CD3" w:rsidRDefault="007358AE" w:rsidP="00F36268">
            <w:pPr>
              <w:pStyle w:val="Tabletext0"/>
              <w:jc w:val="center"/>
              <w:rPr>
                <w:rFonts w:ascii="Arial Narrow" w:hAnsi="Arial Narrow"/>
                <w:b/>
                <w:bCs/>
              </w:rPr>
            </w:pPr>
            <w:r w:rsidRPr="00B62CD3">
              <w:rPr>
                <w:rFonts w:ascii="Arial Narrow" w:hAnsi="Arial Narrow"/>
                <w:b/>
                <w:bCs/>
              </w:rPr>
              <w:t>ICER</w:t>
            </w:r>
          </w:p>
        </w:tc>
        <w:tc>
          <w:tcPr>
            <w:tcW w:w="1365" w:type="dxa"/>
            <w:vAlign w:val="center"/>
          </w:tcPr>
          <w:p w14:paraId="25E30C6B" w14:textId="77777777" w:rsidR="007358AE" w:rsidRPr="00B62CD3" w:rsidRDefault="007358AE" w:rsidP="00F36268">
            <w:pPr>
              <w:pStyle w:val="Tabletext0"/>
              <w:jc w:val="center"/>
              <w:rPr>
                <w:rFonts w:ascii="Arial Narrow" w:hAnsi="Arial Narrow"/>
                <w:b/>
                <w:bCs/>
              </w:rPr>
            </w:pPr>
            <w:r w:rsidRPr="00B62CD3">
              <w:rPr>
                <w:rFonts w:ascii="Arial Narrow" w:hAnsi="Arial Narrow"/>
                <w:b/>
                <w:bCs/>
              </w:rPr>
              <w:t>Change to ICER</w:t>
            </w:r>
          </w:p>
        </w:tc>
      </w:tr>
      <w:tr w:rsidR="007358AE" w:rsidRPr="00B62CD3" w14:paraId="005C51F7" w14:textId="77777777" w:rsidTr="00DE3B78">
        <w:trPr>
          <w:cantSplit/>
          <w:tblHeader/>
        </w:trPr>
        <w:tc>
          <w:tcPr>
            <w:tcW w:w="3517" w:type="dxa"/>
          </w:tcPr>
          <w:p w14:paraId="0D648B0E" w14:textId="77777777" w:rsidR="007358AE" w:rsidRPr="00B62CD3" w:rsidRDefault="007358AE" w:rsidP="00F36268">
            <w:pPr>
              <w:pStyle w:val="Tabletext0"/>
              <w:rPr>
                <w:rFonts w:ascii="Arial Narrow" w:hAnsi="Arial Narrow"/>
                <w:b/>
                <w:bCs/>
              </w:rPr>
            </w:pPr>
            <w:r w:rsidRPr="00B62CD3">
              <w:rPr>
                <w:rFonts w:ascii="Arial Narrow" w:hAnsi="Arial Narrow"/>
                <w:b/>
                <w:bCs/>
              </w:rPr>
              <w:t>Base case</w:t>
            </w:r>
          </w:p>
        </w:tc>
        <w:tc>
          <w:tcPr>
            <w:tcW w:w="1400" w:type="dxa"/>
            <w:vAlign w:val="center"/>
          </w:tcPr>
          <w:p w14:paraId="6537620A" w14:textId="22BA1687" w:rsidR="007358AE" w:rsidRPr="00B62CD3" w:rsidRDefault="007358AE" w:rsidP="00F36268">
            <w:pPr>
              <w:pStyle w:val="Tabletext0"/>
              <w:jc w:val="center"/>
              <w:rPr>
                <w:rFonts w:ascii="Arial Narrow" w:hAnsi="Arial Narrow"/>
                <w:b/>
                <w:bCs/>
              </w:rPr>
            </w:pPr>
            <w:r w:rsidRPr="00B62CD3">
              <w:rPr>
                <w:rFonts w:ascii="Arial Narrow" w:hAnsi="Arial Narrow"/>
                <w:b/>
                <w:bCs/>
              </w:rPr>
              <w:t>$</w:t>
            </w:r>
            <w:r w:rsidR="0024159D" w:rsidRPr="0024159D">
              <w:rPr>
                <w:rFonts w:ascii="Arial Narrow" w:hAnsi="Arial Narrow"/>
                <w:b/>
                <w:bCs/>
                <w:sz w:val="2"/>
                <w:highlight w:val="black"/>
              </w:rPr>
              <w:t>redacted content</w:t>
            </w:r>
          </w:p>
        </w:tc>
        <w:tc>
          <w:tcPr>
            <w:tcW w:w="1368" w:type="dxa"/>
            <w:vAlign w:val="center"/>
          </w:tcPr>
          <w:p w14:paraId="18B8FE30" w14:textId="77777777" w:rsidR="007358AE" w:rsidRPr="00B62CD3" w:rsidRDefault="007358AE" w:rsidP="00F36268">
            <w:pPr>
              <w:pStyle w:val="Tabletext0"/>
              <w:jc w:val="center"/>
              <w:rPr>
                <w:rFonts w:ascii="Arial Narrow" w:hAnsi="Arial Narrow"/>
                <w:b/>
                <w:bCs/>
              </w:rPr>
            </w:pPr>
            <w:r w:rsidRPr="00B62CD3">
              <w:rPr>
                <w:rFonts w:ascii="Arial Narrow" w:hAnsi="Arial Narrow"/>
                <w:b/>
                <w:bCs/>
              </w:rPr>
              <w:t>3.555</w:t>
            </w:r>
          </w:p>
        </w:tc>
        <w:tc>
          <w:tcPr>
            <w:tcW w:w="1366" w:type="dxa"/>
            <w:vAlign w:val="center"/>
          </w:tcPr>
          <w:p w14:paraId="0BFC4824" w14:textId="6E22A9AE" w:rsidR="007358AE" w:rsidRPr="00B11526" w:rsidRDefault="007358AE" w:rsidP="00F36268">
            <w:pPr>
              <w:pStyle w:val="Tabletext0"/>
              <w:jc w:val="center"/>
              <w:rPr>
                <w:rFonts w:ascii="Arial Narrow" w:hAnsi="Arial Narrow"/>
                <w:b/>
                <w:bCs/>
                <w:vertAlign w:val="superscript"/>
              </w:rPr>
            </w:pPr>
            <w:r w:rsidRPr="00B62CD3">
              <w:rPr>
                <w:rFonts w:ascii="Arial Narrow" w:hAnsi="Arial Narrow"/>
                <w:b/>
                <w:bCs/>
              </w:rPr>
              <w:t>$</w:t>
            </w:r>
            <w:r w:rsidR="0024159D" w:rsidRPr="0024159D">
              <w:rPr>
                <w:rFonts w:ascii="Arial Narrow" w:hAnsi="Arial Narrow"/>
                <w:b/>
                <w:bCs/>
                <w:sz w:val="2"/>
                <w:highlight w:val="black"/>
              </w:rPr>
              <w:t>redacted content</w:t>
            </w:r>
            <w:r w:rsidR="00283D8A">
              <w:rPr>
                <w:rFonts w:ascii="Arial Narrow" w:hAnsi="Arial Narrow"/>
                <w:b/>
                <w:bCs/>
                <w:vertAlign w:val="superscript"/>
              </w:rPr>
              <w:t>1</w:t>
            </w:r>
          </w:p>
        </w:tc>
        <w:tc>
          <w:tcPr>
            <w:tcW w:w="1365" w:type="dxa"/>
            <w:vAlign w:val="center"/>
          </w:tcPr>
          <w:p w14:paraId="6868323E" w14:textId="6B1AE129" w:rsidR="007358AE" w:rsidRPr="00B62CD3" w:rsidRDefault="00B571FA" w:rsidP="00F36268">
            <w:pPr>
              <w:pStyle w:val="Tabletext0"/>
              <w:jc w:val="center"/>
              <w:rPr>
                <w:rFonts w:ascii="Arial Narrow" w:hAnsi="Arial Narrow"/>
                <w:b/>
                <w:bCs/>
              </w:rPr>
            </w:pPr>
            <w:r>
              <w:rPr>
                <w:rFonts w:ascii="Arial Narrow" w:hAnsi="Arial Narrow"/>
                <w:b/>
                <w:bCs/>
              </w:rPr>
              <w:noBreakHyphen/>
            </w:r>
          </w:p>
        </w:tc>
      </w:tr>
      <w:tr w:rsidR="007358AE" w:rsidRPr="00B62CD3" w14:paraId="35818473" w14:textId="77777777" w:rsidTr="00DE3B78">
        <w:trPr>
          <w:cantSplit/>
        </w:trPr>
        <w:tc>
          <w:tcPr>
            <w:tcW w:w="9016" w:type="dxa"/>
            <w:gridSpan w:val="5"/>
            <w:vAlign w:val="center"/>
          </w:tcPr>
          <w:p w14:paraId="03642F91" w14:textId="5BB587B2" w:rsidR="007358AE" w:rsidRPr="00B62CD3" w:rsidRDefault="007358AE" w:rsidP="00F36268">
            <w:pPr>
              <w:pStyle w:val="Tabletext0"/>
              <w:rPr>
                <w:rFonts w:ascii="Arial Narrow" w:hAnsi="Arial Narrow"/>
                <w:b/>
                <w:bCs/>
              </w:rPr>
            </w:pPr>
            <w:r w:rsidRPr="00B62CD3">
              <w:rPr>
                <w:rFonts w:ascii="Arial Narrow" w:hAnsi="Arial Narrow"/>
                <w:b/>
                <w:bCs/>
              </w:rPr>
              <w:t>Discount rate (base case = 5%)</w:t>
            </w:r>
          </w:p>
        </w:tc>
      </w:tr>
      <w:tr w:rsidR="007358AE" w:rsidRPr="00B62CD3" w14:paraId="733C5BFF" w14:textId="77777777" w:rsidTr="00DE3B78">
        <w:trPr>
          <w:cantSplit/>
        </w:trPr>
        <w:tc>
          <w:tcPr>
            <w:tcW w:w="3517" w:type="dxa"/>
          </w:tcPr>
          <w:p w14:paraId="44C30126" w14:textId="77777777" w:rsidR="007358AE" w:rsidRPr="00B62CD3" w:rsidRDefault="007358AE" w:rsidP="00F36268">
            <w:pPr>
              <w:pStyle w:val="Tabletext0"/>
              <w:rPr>
                <w:rFonts w:ascii="Arial Narrow" w:hAnsi="Arial Narrow"/>
              </w:rPr>
            </w:pPr>
            <w:r w:rsidRPr="00B62CD3">
              <w:rPr>
                <w:rFonts w:ascii="Arial Narrow" w:hAnsi="Arial Narrow"/>
              </w:rPr>
              <w:t>0%</w:t>
            </w:r>
          </w:p>
        </w:tc>
        <w:tc>
          <w:tcPr>
            <w:tcW w:w="1400" w:type="dxa"/>
            <w:vAlign w:val="center"/>
          </w:tcPr>
          <w:p w14:paraId="080FF2B0" w14:textId="6784A139" w:rsidR="007358AE" w:rsidRPr="00B62CD3" w:rsidRDefault="007358AE" w:rsidP="00F36268">
            <w:pPr>
              <w:pStyle w:val="Tabletext0"/>
              <w:jc w:val="center"/>
              <w:rPr>
                <w:rFonts w:ascii="Arial Narrow" w:hAnsi="Arial Narrow"/>
              </w:rPr>
            </w:pPr>
            <w:r w:rsidRPr="00B62CD3">
              <w:rPr>
                <w:rFonts w:ascii="Arial Narrow" w:hAnsi="Arial Narrow"/>
              </w:rPr>
              <w:t>$</w:t>
            </w:r>
            <w:r w:rsidR="0024159D" w:rsidRPr="0024159D">
              <w:rPr>
                <w:rFonts w:ascii="Arial Narrow" w:hAnsi="Arial Narrow"/>
                <w:sz w:val="2"/>
                <w:highlight w:val="black"/>
              </w:rPr>
              <w:t>redacted content</w:t>
            </w:r>
          </w:p>
        </w:tc>
        <w:tc>
          <w:tcPr>
            <w:tcW w:w="1368" w:type="dxa"/>
            <w:vAlign w:val="center"/>
          </w:tcPr>
          <w:p w14:paraId="66DE0248" w14:textId="77777777" w:rsidR="007358AE" w:rsidRPr="00B62CD3" w:rsidRDefault="007358AE" w:rsidP="00F36268">
            <w:pPr>
              <w:pStyle w:val="Tabletext0"/>
              <w:jc w:val="center"/>
              <w:rPr>
                <w:rFonts w:ascii="Arial Narrow" w:hAnsi="Arial Narrow"/>
              </w:rPr>
            </w:pPr>
            <w:r w:rsidRPr="00B62CD3">
              <w:rPr>
                <w:rFonts w:ascii="Arial Narrow" w:hAnsi="Arial Narrow"/>
              </w:rPr>
              <w:t>7.325</w:t>
            </w:r>
          </w:p>
        </w:tc>
        <w:tc>
          <w:tcPr>
            <w:tcW w:w="1366" w:type="dxa"/>
            <w:vAlign w:val="center"/>
          </w:tcPr>
          <w:p w14:paraId="6E0A74C5" w14:textId="71651685" w:rsidR="007358AE" w:rsidRPr="00B11526" w:rsidRDefault="007358AE" w:rsidP="00F36268">
            <w:pPr>
              <w:pStyle w:val="Tabletext0"/>
              <w:jc w:val="center"/>
              <w:rPr>
                <w:rFonts w:ascii="Arial Narrow" w:hAnsi="Arial Narrow"/>
                <w:vertAlign w:val="superscript"/>
              </w:rPr>
            </w:pPr>
            <w:r w:rsidRPr="00B62CD3">
              <w:rPr>
                <w:rFonts w:ascii="Arial Narrow" w:hAnsi="Arial Narrow"/>
              </w:rPr>
              <w:t>$</w:t>
            </w:r>
            <w:r w:rsidR="0024159D" w:rsidRPr="0024159D">
              <w:rPr>
                <w:rFonts w:ascii="Arial Narrow" w:hAnsi="Arial Narrow"/>
                <w:sz w:val="2"/>
                <w:highlight w:val="black"/>
              </w:rPr>
              <w:t>redacted content</w:t>
            </w:r>
            <w:r w:rsidR="001854BB">
              <w:rPr>
                <w:rFonts w:ascii="Arial Narrow" w:hAnsi="Arial Narrow"/>
                <w:vertAlign w:val="superscript"/>
              </w:rPr>
              <w:t>2</w:t>
            </w:r>
          </w:p>
        </w:tc>
        <w:tc>
          <w:tcPr>
            <w:tcW w:w="1365" w:type="dxa"/>
            <w:vAlign w:val="center"/>
          </w:tcPr>
          <w:p w14:paraId="222EA9FF" w14:textId="686A1124" w:rsidR="007358AE" w:rsidRPr="00B62CD3" w:rsidRDefault="00B571FA" w:rsidP="00F36268">
            <w:pPr>
              <w:pStyle w:val="Tabletext0"/>
              <w:jc w:val="center"/>
              <w:rPr>
                <w:rFonts w:ascii="Arial Narrow" w:hAnsi="Arial Narrow"/>
              </w:rPr>
            </w:pPr>
            <w:r>
              <w:rPr>
                <w:rFonts w:ascii="Arial Narrow" w:hAnsi="Arial Narrow"/>
              </w:rPr>
              <w:noBreakHyphen/>
            </w:r>
            <w:r w:rsidR="0024159D" w:rsidRPr="0024159D">
              <w:rPr>
                <w:rFonts w:ascii="Arial Narrow" w:hAnsi="Arial Narrow"/>
                <w:sz w:val="2"/>
                <w:highlight w:val="black"/>
              </w:rPr>
              <w:t>redacted content</w:t>
            </w:r>
            <w:r w:rsidR="007358AE" w:rsidRPr="00B62CD3">
              <w:rPr>
                <w:rFonts w:ascii="Arial Narrow" w:hAnsi="Arial Narrow"/>
              </w:rPr>
              <w:t>%</w:t>
            </w:r>
          </w:p>
        </w:tc>
      </w:tr>
      <w:tr w:rsidR="007358AE" w:rsidRPr="00B62CD3" w14:paraId="65942B66" w14:textId="77777777" w:rsidTr="00DE3B78">
        <w:trPr>
          <w:cantSplit/>
        </w:trPr>
        <w:tc>
          <w:tcPr>
            <w:tcW w:w="3517" w:type="dxa"/>
          </w:tcPr>
          <w:p w14:paraId="6DA246F6" w14:textId="77777777" w:rsidR="007358AE" w:rsidRPr="00B62CD3" w:rsidRDefault="007358AE" w:rsidP="00F36268">
            <w:pPr>
              <w:pStyle w:val="Tabletext0"/>
              <w:rPr>
                <w:rFonts w:ascii="Arial Narrow" w:hAnsi="Arial Narrow"/>
              </w:rPr>
            </w:pPr>
            <w:r w:rsidRPr="00B62CD3">
              <w:rPr>
                <w:rFonts w:ascii="Arial Narrow" w:hAnsi="Arial Narrow"/>
              </w:rPr>
              <w:t>3.5%</w:t>
            </w:r>
          </w:p>
        </w:tc>
        <w:tc>
          <w:tcPr>
            <w:tcW w:w="1400" w:type="dxa"/>
            <w:vAlign w:val="center"/>
          </w:tcPr>
          <w:p w14:paraId="058938FE" w14:textId="1FA4FEDD" w:rsidR="007358AE" w:rsidRPr="00B62CD3" w:rsidRDefault="007358AE" w:rsidP="00F36268">
            <w:pPr>
              <w:pStyle w:val="Tabletext0"/>
              <w:jc w:val="center"/>
              <w:rPr>
                <w:rFonts w:ascii="Arial Narrow" w:hAnsi="Arial Narrow"/>
              </w:rPr>
            </w:pPr>
            <w:r w:rsidRPr="00B62CD3">
              <w:rPr>
                <w:rFonts w:ascii="Arial Narrow" w:hAnsi="Arial Narrow"/>
              </w:rPr>
              <w:t>$</w:t>
            </w:r>
            <w:r w:rsidR="0024159D" w:rsidRPr="0024159D">
              <w:rPr>
                <w:rFonts w:ascii="Arial Narrow" w:hAnsi="Arial Narrow"/>
                <w:sz w:val="2"/>
                <w:highlight w:val="black"/>
              </w:rPr>
              <w:t>redacted content</w:t>
            </w:r>
          </w:p>
        </w:tc>
        <w:tc>
          <w:tcPr>
            <w:tcW w:w="1368" w:type="dxa"/>
            <w:vAlign w:val="center"/>
          </w:tcPr>
          <w:p w14:paraId="7C5C11DB" w14:textId="77777777" w:rsidR="007358AE" w:rsidRPr="00B62CD3" w:rsidRDefault="007358AE" w:rsidP="00F36268">
            <w:pPr>
              <w:pStyle w:val="Tabletext0"/>
              <w:jc w:val="center"/>
              <w:rPr>
                <w:rFonts w:ascii="Arial Narrow" w:hAnsi="Arial Narrow"/>
              </w:rPr>
            </w:pPr>
            <w:r w:rsidRPr="00B62CD3">
              <w:rPr>
                <w:rFonts w:ascii="Arial Narrow" w:hAnsi="Arial Narrow"/>
              </w:rPr>
              <w:t>4.320</w:t>
            </w:r>
          </w:p>
        </w:tc>
        <w:tc>
          <w:tcPr>
            <w:tcW w:w="1366" w:type="dxa"/>
            <w:vAlign w:val="center"/>
          </w:tcPr>
          <w:p w14:paraId="7325F77D" w14:textId="73FA2D95" w:rsidR="007358AE" w:rsidRPr="00B11526" w:rsidRDefault="007358AE" w:rsidP="00F36268">
            <w:pPr>
              <w:pStyle w:val="Tabletext0"/>
              <w:jc w:val="center"/>
              <w:rPr>
                <w:rFonts w:ascii="Arial Narrow" w:hAnsi="Arial Narrow"/>
                <w:vertAlign w:val="superscript"/>
              </w:rPr>
            </w:pPr>
            <w:r w:rsidRPr="00B62CD3">
              <w:rPr>
                <w:rFonts w:ascii="Arial Narrow" w:hAnsi="Arial Narrow"/>
              </w:rPr>
              <w:t>$</w:t>
            </w:r>
            <w:r w:rsidR="0024159D" w:rsidRPr="0024159D">
              <w:rPr>
                <w:rFonts w:ascii="Arial Narrow" w:hAnsi="Arial Narrow"/>
                <w:sz w:val="2"/>
                <w:highlight w:val="black"/>
              </w:rPr>
              <w:t>redacted content</w:t>
            </w:r>
            <w:r w:rsidR="00283D8A">
              <w:rPr>
                <w:rFonts w:ascii="Arial Narrow" w:hAnsi="Arial Narrow"/>
                <w:vertAlign w:val="superscript"/>
              </w:rPr>
              <w:t>1</w:t>
            </w:r>
          </w:p>
        </w:tc>
        <w:tc>
          <w:tcPr>
            <w:tcW w:w="1365" w:type="dxa"/>
            <w:vAlign w:val="center"/>
          </w:tcPr>
          <w:p w14:paraId="12947D36" w14:textId="0BB70013" w:rsidR="007358AE" w:rsidRPr="00B62CD3" w:rsidRDefault="00B571FA" w:rsidP="00F36268">
            <w:pPr>
              <w:pStyle w:val="Tabletext0"/>
              <w:jc w:val="center"/>
              <w:rPr>
                <w:rFonts w:ascii="Arial Narrow" w:hAnsi="Arial Narrow"/>
              </w:rPr>
            </w:pPr>
            <w:r>
              <w:rPr>
                <w:rFonts w:ascii="Arial Narrow" w:hAnsi="Arial Narrow"/>
              </w:rPr>
              <w:noBreakHyphen/>
            </w:r>
            <w:r w:rsidR="0024159D" w:rsidRPr="0024159D">
              <w:rPr>
                <w:rFonts w:ascii="Arial Narrow" w:hAnsi="Arial Narrow"/>
                <w:sz w:val="2"/>
                <w:highlight w:val="black"/>
              </w:rPr>
              <w:t>redacted content</w:t>
            </w:r>
            <w:r w:rsidR="007358AE" w:rsidRPr="00B62CD3">
              <w:rPr>
                <w:rFonts w:ascii="Arial Narrow" w:hAnsi="Arial Narrow"/>
              </w:rPr>
              <w:t>%</w:t>
            </w:r>
          </w:p>
        </w:tc>
      </w:tr>
      <w:tr w:rsidR="007358AE" w:rsidRPr="00B62CD3" w14:paraId="5FA73066" w14:textId="77777777" w:rsidTr="00DE3B78">
        <w:trPr>
          <w:cantSplit/>
        </w:trPr>
        <w:tc>
          <w:tcPr>
            <w:tcW w:w="9016" w:type="dxa"/>
            <w:gridSpan w:val="5"/>
            <w:vAlign w:val="center"/>
          </w:tcPr>
          <w:p w14:paraId="0051DD66" w14:textId="5CE7F55C" w:rsidR="007358AE" w:rsidRPr="00B62CD3" w:rsidRDefault="007358AE" w:rsidP="00F36268">
            <w:pPr>
              <w:pStyle w:val="Tabletext0"/>
              <w:rPr>
                <w:rFonts w:ascii="Arial Narrow" w:hAnsi="Arial Narrow"/>
                <w:b/>
                <w:bCs/>
              </w:rPr>
            </w:pPr>
            <w:r w:rsidRPr="00B62CD3">
              <w:rPr>
                <w:rFonts w:ascii="Arial Narrow" w:hAnsi="Arial Narrow"/>
                <w:b/>
                <w:bCs/>
              </w:rPr>
              <w:t>Time horizon (base case = 40 years)</w:t>
            </w:r>
          </w:p>
        </w:tc>
      </w:tr>
      <w:tr w:rsidR="007358AE" w:rsidRPr="00B62CD3" w14:paraId="2BA4E178" w14:textId="77777777" w:rsidTr="00DE3B78">
        <w:trPr>
          <w:cantSplit/>
        </w:trPr>
        <w:tc>
          <w:tcPr>
            <w:tcW w:w="3517" w:type="dxa"/>
          </w:tcPr>
          <w:p w14:paraId="2BF8A88D" w14:textId="77777777" w:rsidR="007358AE" w:rsidRPr="00B62CD3" w:rsidRDefault="007358AE" w:rsidP="00F36268">
            <w:pPr>
              <w:pStyle w:val="Tabletext0"/>
              <w:rPr>
                <w:rFonts w:ascii="Arial Narrow" w:hAnsi="Arial Narrow"/>
              </w:rPr>
            </w:pPr>
            <w:r w:rsidRPr="00B62CD3">
              <w:rPr>
                <w:rFonts w:ascii="Arial Narrow" w:hAnsi="Arial Narrow"/>
              </w:rPr>
              <w:t>30 years</w:t>
            </w:r>
          </w:p>
        </w:tc>
        <w:tc>
          <w:tcPr>
            <w:tcW w:w="1400" w:type="dxa"/>
            <w:vAlign w:val="center"/>
          </w:tcPr>
          <w:p w14:paraId="7D66F5DF" w14:textId="0C4C5602" w:rsidR="007358AE" w:rsidRPr="00B62CD3" w:rsidRDefault="007358AE" w:rsidP="00F36268">
            <w:pPr>
              <w:pStyle w:val="Tabletext0"/>
              <w:jc w:val="center"/>
              <w:rPr>
                <w:rFonts w:ascii="Arial Narrow" w:hAnsi="Arial Narrow"/>
              </w:rPr>
            </w:pPr>
            <w:r w:rsidRPr="00B62CD3">
              <w:rPr>
                <w:rFonts w:ascii="Arial Narrow" w:hAnsi="Arial Narrow"/>
              </w:rPr>
              <w:t>$</w:t>
            </w:r>
            <w:r w:rsidR="0024159D" w:rsidRPr="0024159D">
              <w:rPr>
                <w:rFonts w:ascii="Arial Narrow" w:hAnsi="Arial Narrow"/>
                <w:sz w:val="2"/>
                <w:highlight w:val="black"/>
              </w:rPr>
              <w:t>redacted content</w:t>
            </w:r>
          </w:p>
        </w:tc>
        <w:tc>
          <w:tcPr>
            <w:tcW w:w="1368" w:type="dxa"/>
            <w:vAlign w:val="center"/>
          </w:tcPr>
          <w:p w14:paraId="71F3653E" w14:textId="77777777" w:rsidR="007358AE" w:rsidRPr="00B62CD3" w:rsidRDefault="007358AE" w:rsidP="00F36268">
            <w:pPr>
              <w:pStyle w:val="Tabletext0"/>
              <w:jc w:val="center"/>
              <w:rPr>
                <w:rFonts w:ascii="Arial Narrow" w:hAnsi="Arial Narrow"/>
              </w:rPr>
            </w:pPr>
            <w:r w:rsidRPr="00B62CD3">
              <w:rPr>
                <w:rFonts w:ascii="Arial Narrow" w:hAnsi="Arial Narrow"/>
              </w:rPr>
              <w:t>3.386</w:t>
            </w:r>
          </w:p>
        </w:tc>
        <w:tc>
          <w:tcPr>
            <w:tcW w:w="1366" w:type="dxa"/>
            <w:vAlign w:val="center"/>
          </w:tcPr>
          <w:p w14:paraId="217FF7D5" w14:textId="0B96F2EB" w:rsidR="007358AE" w:rsidRPr="00B11526" w:rsidRDefault="007358AE" w:rsidP="00F36268">
            <w:pPr>
              <w:pStyle w:val="Tabletext0"/>
              <w:jc w:val="center"/>
              <w:rPr>
                <w:rFonts w:ascii="Arial Narrow" w:hAnsi="Arial Narrow"/>
                <w:vertAlign w:val="superscript"/>
              </w:rPr>
            </w:pPr>
            <w:r w:rsidRPr="00B62CD3">
              <w:rPr>
                <w:rFonts w:ascii="Arial Narrow" w:hAnsi="Arial Narrow"/>
              </w:rPr>
              <w:t>$</w:t>
            </w:r>
            <w:r w:rsidR="0024159D" w:rsidRPr="0024159D">
              <w:rPr>
                <w:rFonts w:ascii="Arial Narrow" w:hAnsi="Arial Narrow"/>
                <w:sz w:val="2"/>
                <w:highlight w:val="black"/>
              </w:rPr>
              <w:t>redacted content</w:t>
            </w:r>
            <w:r w:rsidR="00283D8A">
              <w:rPr>
                <w:rFonts w:ascii="Arial Narrow" w:hAnsi="Arial Narrow"/>
                <w:vertAlign w:val="superscript"/>
              </w:rPr>
              <w:t>1</w:t>
            </w:r>
          </w:p>
        </w:tc>
        <w:tc>
          <w:tcPr>
            <w:tcW w:w="1365" w:type="dxa"/>
            <w:vAlign w:val="center"/>
          </w:tcPr>
          <w:p w14:paraId="4553670B" w14:textId="3070FB27" w:rsidR="007358AE" w:rsidRPr="00B62CD3" w:rsidRDefault="007358AE" w:rsidP="00F36268">
            <w:pPr>
              <w:pStyle w:val="Tabletext0"/>
              <w:jc w:val="center"/>
              <w:rPr>
                <w:rFonts w:ascii="Arial Narrow" w:hAnsi="Arial Narrow"/>
              </w:rPr>
            </w:pPr>
            <w:r w:rsidRPr="00B62CD3">
              <w:rPr>
                <w:rFonts w:ascii="Arial Narrow" w:hAnsi="Arial Narrow"/>
              </w:rPr>
              <w:t>+</w:t>
            </w:r>
            <w:r w:rsidR="0024159D" w:rsidRPr="0024159D">
              <w:rPr>
                <w:rFonts w:ascii="Arial Narrow" w:hAnsi="Arial Narrow"/>
                <w:sz w:val="2"/>
                <w:highlight w:val="black"/>
              </w:rPr>
              <w:t>redacted content</w:t>
            </w:r>
            <w:r w:rsidRPr="00B62CD3">
              <w:rPr>
                <w:rFonts w:ascii="Arial Narrow" w:hAnsi="Arial Narrow"/>
              </w:rPr>
              <w:t>%</w:t>
            </w:r>
          </w:p>
        </w:tc>
      </w:tr>
      <w:tr w:rsidR="007358AE" w:rsidRPr="00B62CD3" w14:paraId="5DC81AD7" w14:textId="77777777" w:rsidTr="00DE3B78">
        <w:trPr>
          <w:cantSplit/>
        </w:trPr>
        <w:tc>
          <w:tcPr>
            <w:tcW w:w="3517" w:type="dxa"/>
          </w:tcPr>
          <w:p w14:paraId="6F6A9594" w14:textId="77777777" w:rsidR="007358AE" w:rsidRPr="00B62CD3" w:rsidRDefault="007358AE" w:rsidP="00F36268">
            <w:pPr>
              <w:pStyle w:val="Tabletext0"/>
              <w:rPr>
                <w:rFonts w:ascii="Arial Narrow" w:hAnsi="Arial Narrow"/>
              </w:rPr>
            </w:pPr>
            <w:r w:rsidRPr="00B62CD3">
              <w:rPr>
                <w:rFonts w:ascii="Arial Narrow" w:hAnsi="Arial Narrow"/>
              </w:rPr>
              <w:t>50 years</w:t>
            </w:r>
          </w:p>
        </w:tc>
        <w:tc>
          <w:tcPr>
            <w:tcW w:w="1400" w:type="dxa"/>
            <w:vAlign w:val="center"/>
          </w:tcPr>
          <w:p w14:paraId="66F93890" w14:textId="6B8D5AD2" w:rsidR="007358AE" w:rsidRPr="00B62CD3" w:rsidRDefault="007358AE" w:rsidP="00F36268">
            <w:pPr>
              <w:pStyle w:val="Tabletext0"/>
              <w:jc w:val="center"/>
              <w:rPr>
                <w:rFonts w:ascii="Arial Narrow" w:hAnsi="Arial Narrow"/>
              </w:rPr>
            </w:pPr>
            <w:r w:rsidRPr="00B62CD3">
              <w:rPr>
                <w:rFonts w:ascii="Arial Narrow" w:hAnsi="Arial Narrow"/>
              </w:rPr>
              <w:t>$</w:t>
            </w:r>
            <w:r w:rsidR="0024159D" w:rsidRPr="0024159D">
              <w:rPr>
                <w:rFonts w:ascii="Arial Narrow" w:hAnsi="Arial Narrow"/>
                <w:sz w:val="2"/>
                <w:highlight w:val="black"/>
              </w:rPr>
              <w:t>redacted content</w:t>
            </w:r>
          </w:p>
        </w:tc>
        <w:tc>
          <w:tcPr>
            <w:tcW w:w="1368" w:type="dxa"/>
            <w:vAlign w:val="center"/>
          </w:tcPr>
          <w:p w14:paraId="01FBD870" w14:textId="77777777" w:rsidR="007358AE" w:rsidRPr="00B62CD3" w:rsidRDefault="007358AE" w:rsidP="00F36268">
            <w:pPr>
              <w:pStyle w:val="Tabletext0"/>
              <w:jc w:val="center"/>
              <w:rPr>
                <w:rFonts w:ascii="Arial Narrow" w:hAnsi="Arial Narrow"/>
              </w:rPr>
            </w:pPr>
            <w:r w:rsidRPr="00B62CD3">
              <w:rPr>
                <w:rFonts w:ascii="Arial Narrow" w:hAnsi="Arial Narrow"/>
              </w:rPr>
              <w:t>3.607</w:t>
            </w:r>
          </w:p>
        </w:tc>
        <w:tc>
          <w:tcPr>
            <w:tcW w:w="1366" w:type="dxa"/>
            <w:vAlign w:val="center"/>
          </w:tcPr>
          <w:p w14:paraId="35AAF849" w14:textId="080EEF51" w:rsidR="007358AE" w:rsidRPr="00B11526" w:rsidRDefault="007358AE" w:rsidP="00F36268">
            <w:pPr>
              <w:pStyle w:val="Tabletext0"/>
              <w:jc w:val="center"/>
              <w:rPr>
                <w:rFonts w:ascii="Arial Narrow" w:hAnsi="Arial Narrow"/>
                <w:vertAlign w:val="superscript"/>
              </w:rPr>
            </w:pPr>
            <w:r w:rsidRPr="00B62CD3">
              <w:rPr>
                <w:rFonts w:ascii="Arial Narrow" w:hAnsi="Arial Narrow"/>
              </w:rPr>
              <w:t>$</w:t>
            </w:r>
            <w:r w:rsidR="0024159D" w:rsidRPr="0024159D">
              <w:rPr>
                <w:rFonts w:ascii="Arial Narrow" w:hAnsi="Arial Narrow"/>
                <w:sz w:val="2"/>
                <w:highlight w:val="black"/>
              </w:rPr>
              <w:t>redacted content</w:t>
            </w:r>
            <w:r w:rsidR="00283D8A">
              <w:rPr>
                <w:rFonts w:ascii="Arial Narrow" w:hAnsi="Arial Narrow"/>
                <w:vertAlign w:val="superscript"/>
              </w:rPr>
              <w:t>1</w:t>
            </w:r>
          </w:p>
        </w:tc>
        <w:tc>
          <w:tcPr>
            <w:tcW w:w="1365" w:type="dxa"/>
            <w:vAlign w:val="center"/>
          </w:tcPr>
          <w:p w14:paraId="7B03D9D1" w14:textId="4E39F3AF" w:rsidR="007358AE" w:rsidRPr="00B62CD3" w:rsidRDefault="00B571FA" w:rsidP="00F36268">
            <w:pPr>
              <w:pStyle w:val="Tabletext0"/>
              <w:jc w:val="center"/>
              <w:rPr>
                <w:rFonts w:ascii="Arial Narrow" w:hAnsi="Arial Narrow"/>
              </w:rPr>
            </w:pPr>
            <w:r>
              <w:rPr>
                <w:rFonts w:ascii="Arial Narrow" w:hAnsi="Arial Narrow"/>
              </w:rPr>
              <w:noBreakHyphen/>
            </w:r>
            <w:r w:rsidR="0024159D" w:rsidRPr="0024159D">
              <w:rPr>
                <w:rFonts w:ascii="Arial Narrow" w:hAnsi="Arial Narrow"/>
                <w:sz w:val="2"/>
                <w:highlight w:val="black"/>
              </w:rPr>
              <w:t>redacted content</w:t>
            </w:r>
            <w:r w:rsidR="007358AE" w:rsidRPr="00B62CD3">
              <w:rPr>
                <w:rFonts w:ascii="Arial Narrow" w:hAnsi="Arial Narrow"/>
              </w:rPr>
              <w:t>%</w:t>
            </w:r>
          </w:p>
        </w:tc>
      </w:tr>
      <w:tr w:rsidR="007358AE" w:rsidRPr="00B62CD3" w14:paraId="6E64AC95" w14:textId="77777777" w:rsidTr="00DE3B78">
        <w:trPr>
          <w:cantSplit/>
        </w:trPr>
        <w:tc>
          <w:tcPr>
            <w:tcW w:w="9016" w:type="dxa"/>
            <w:gridSpan w:val="5"/>
            <w:vAlign w:val="center"/>
          </w:tcPr>
          <w:p w14:paraId="60BA83F1" w14:textId="258CA3E0" w:rsidR="007358AE" w:rsidRPr="00B62CD3" w:rsidRDefault="007358AE" w:rsidP="00F36268">
            <w:pPr>
              <w:pStyle w:val="Tabletext0"/>
              <w:rPr>
                <w:rFonts w:ascii="Arial Narrow" w:hAnsi="Arial Narrow"/>
                <w:b/>
                <w:bCs/>
              </w:rPr>
            </w:pPr>
            <w:r w:rsidRPr="00B62CD3">
              <w:rPr>
                <w:rFonts w:ascii="Arial Narrow" w:hAnsi="Arial Narrow"/>
                <w:b/>
                <w:bCs/>
              </w:rPr>
              <w:t>Parametric function fitted to PFS in the vorasidenib arm (base case = lognormal)</w:t>
            </w:r>
          </w:p>
        </w:tc>
      </w:tr>
      <w:tr w:rsidR="007358AE" w:rsidRPr="00B62CD3" w14:paraId="199585C7" w14:textId="77777777" w:rsidTr="00DE3B78">
        <w:trPr>
          <w:cantSplit/>
        </w:trPr>
        <w:tc>
          <w:tcPr>
            <w:tcW w:w="3517" w:type="dxa"/>
          </w:tcPr>
          <w:p w14:paraId="273DCFE2" w14:textId="77777777" w:rsidR="007358AE" w:rsidRPr="00B62CD3" w:rsidRDefault="007358AE" w:rsidP="00F36268">
            <w:pPr>
              <w:pStyle w:val="Tabletext0"/>
              <w:rPr>
                <w:rFonts w:ascii="Arial Narrow" w:hAnsi="Arial Narrow"/>
              </w:rPr>
            </w:pPr>
            <w:r w:rsidRPr="00B62CD3">
              <w:rPr>
                <w:rFonts w:ascii="Arial Narrow" w:hAnsi="Arial Narrow"/>
              </w:rPr>
              <w:t>Exponential</w:t>
            </w:r>
          </w:p>
        </w:tc>
        <w:tc>
          <w:tcPr>
            <w:tcW w:w="1400" w:type="dxa"/>
            <w:vAlign w:val="center"/>
          </w:tcPr>
          <w:p w14:paraId="095CDF68" w14:textId="47633688" w:rsidR="007358AE" w:rsidRPr="00B62CD3" w:rsidRDefault="007358AE" w:rsidP="00F36268">
            <w:pPr>
              <w:pStyle w:val="Tabletext0"/>
              <w:jc w:val="center"/>
              <w:rPr>
                <w:rFonts w:ascii="Arial Narrow" w:hAnsi="Arial Narrow"/>
              </w:rPr>
            </w:pPr>
            <w:r w:rsidRPr="00B62CD3">
              <w:rPr>
                <w:rFonts w:ascii="Arial Narrow" w:hAnsi="Arial Narrow"/>
              </w:rPr>
              <w:t>$</w:t>
            </w:r>
            <w:r w:rsidR="0024159D" w:rsidRPr="0024159D">
              <w:rPr>
                <w:rFonts w:ascii="Arial Narrow" w:hAnsi="Arial Narrow"/>
                <w:sz w:val="2"/>
                <w:highlight w:val="black"/>
              </w:rPr>
              <w:t>redacted content</w:t>
            </w:r>
          </w:p>
        </w:tc>
        <w:tc>
          <w:tcPr>
            <w:tcW w:w="1368" w:type="dxa"/>
            <w:vAlign w:val="center"/>
          </w:tcPr>
          <w:p w14:paraId="4AF34523" w14:textId="77777777" w:rsidR="007358AE" w:rsidRPr="00B62CD3" w:rsidRDefault="007358AE" w:rsidP="00F36268">
            <w:pPr>
              <w:pStyle w:val="Tabletext0"/>
              <w:jc w:val="center"/>
              <w:rPr>
                <w:rFonts w:ascii="Arial Narrow" w:hAnsi="Arial Narrow"/>
              </w:rPr>
            </w:pPr>
            <w:r w:rsidRPr="00B62CD3">
              <w:rPr>
                <w:rFonts w:ascii="Arial Narrow" w:hAnsi="Arial Narrow"/>
              </w:rPr>
              <w:t>2.605</w:t>
            </w:r>
          </w:p>
        </w:tc>
        <w:tc>
          <w:tcPr>
            <w:tcW w:w="1366" w:type="dxa"/>
            <w:vAlign w:val="center"/>
          </w:tcPr>
          <w:p w14:paraId="71B03DEF" w14:textId="7A9FB834" w:rsidR="007358AE" w:rsidRPr="00B11526" w:rsidRDefault="007358AE" w:rsidP="00F36268">
            <w:pPr>
              <w:pStyle w:val="Tabletext0"/>
              <w:jc w:val="center"/>
              <w:rPr>
                <w:rFonts w:ascii="Arial Narrow" w:hAnsi="Arial Narrow"/>
                <w:vertAlign w:val="superscript"/>
              </w:rPr>
            </w:pPr>
            <w:r w:rsidRPr="00B62CD3">
              <w:rPr>
                <w:rFonts w:ascii="Arial Narrow" w:hAnsi="Arial Narrow"/>
              </w:rPr>
              <w:t>$</w:t>
            </w:r>
            <w:r w:rsidR="0024159D" w:rsidRPr="0024159D">
              <w:rPr>
                <w:rFonts w:ascii="Arial Narrow" w:hAnsi="Arial Narrow"/>
                <w:sz w:val="2"/>
                <w:highlight w:val="black"/>
              </w:rPr>
              <w:t>redacted content</w:t>
            </w:r>
            <w:r w:rsidR="0078174A">
              <w:rPr>
                <w:rFonts w:ascii="Arial Narrow" w:hAnsi="Arial Narrow"/>
                <w:vertAlign w:val="superscript"/>
              </w:rPr>
              <w:t>3</w:t>
            </w:r>
          </w:p>
        </w:tc>
        <w:tc>
          <w:tcPr>
            <w:tcW w:w="1365" w:type="dxa"/>
            <w:vAlign w:val="center"/>
          </w:tcPr>
          <w:p w14:paraId="1144DB16" w14:textId="7F4520D0" w:rsidR="007358AE" w:rsidRPr="00B62CD3" w:rsidRDefault="007358AE" w:rsidP="00F36268">
            <w:pPr>
              <w:pStyle w:val="Tabletext0"/>
              <w:jc w:val="center"/>
              <w:rPr>
                <w:rFonts w:ascii="Arial Narrow" w:hAnsi="Arial Narrow"/>
              </w:rPr>
            </w:pPr>
            <w:r w:rsidRPr="00B62CD3">
              <w:rPr>
                <w:rFonts w:ascii="Arial Narrow" w:hAnsi="Arial Narrow"/>
              </w:rPr>
              <w:t>+</w:t>
            </w:r>
            <w:r w:rsidR="0024159D" w:rsidRPr="0024159D">
              <w:rPr>
                <w:rFonts w:ascii="Arial Narrow" w:hAnsi="Arial Narrow"/>
                <w:sz w:val="2"/>
                <w:highlight w:val="black"/>
              </w:rPr>
              <w:t>redacted content</w:t>
            </w:r>
            <w:r w:rsidRPr="00B62CD3">
              <w:rPr>
                <w:rFonts w:ascii="Arial Narrow" w:hAnsi="Arial Narrow"/>
              </w:rPr>
              <w:t>%</w:t>
            </w:r>
          </w:p>
        </w:tc>
      </w:tr>
      <w:tr w:rsidR="007358AE" w:rsidRPr="00B62CD3" w14:paraId="1192D86C" w14:textId="77777777" w:rsidTr="00DE3B78">
        <w:trPr>
          <w:cantSplit/>
        </w:trPr>
        <w:tc>
          <w:tcPr>
            <w:tcW w:w="3517" w:type="dxa"/>
          </w:tcPr>
          <w:p w14:paraId="1839F245" w14:textId="77777777" w:rsidR="007358AE" w:rsidRPr="00B62CD3" w:rsidRDefault="007358AE" w:rsidP="00F36268">
            <w:pPr>
              <w:pStyle w:val="Tabletext0"/>
              <w:rPr>
                <w:rFonts w:ascii="Arial Narrow" w:hAnsi="Arial Narrow"/>
              </w:rPr>
            </w:pPr>
            <w:r w:rsidRPr="00B62CD3">
              <w:rPr>
                <w:rFonts w:ascii="Arial Narrow" w:hAnsi="Arial Narrow"/>
              </w:rPr>
              <w:t>Weibull</w:t>
            </w:r>
          </w:p>
        </w:tc>
        <w:tc>
          <w:tcPr>
            <w:tcW w:w="1400" w:type="dxa"/>
            <w:vAlign w:val="center"/>
          </w:tcPr>
          <w:p w14:paraId="021005C8" w14:textId="5F0509F2" w:rsidR="007358AE" w:rsidRPr="00B62CD3" w:rsidRDefault="007358AE" w:rsidP="00F36268">
            <w:pPr>
              <w:pStyle w:val="Tabletext0"/>
              <w:jc w:val="center"/>
              <w:rPr>
                <w:rFonts w:ascii="Arial Narrow" w:hAnsi="Arial Narrow"/>
              </w:rPr>
            </w:pPr>
            <w:r w:rsidRPr="00B62CD3">
              <w:rPr>
                <w:rFonts w:ascii="Arial Narrow" w:hAnsi="Arial Narrow"/>
              </w:rPr>
              <w:t>$</w:t>
            </w:r>
            <w:r w:rsidR="0024159D" w:rsidRPr="0024159D">
              <w:rPr>
                <w:rFonts w:ascii="Arial Narrow" w:hAnsi="Arial Narrow"/>
                <w:sz w:val="2"/>
                <w:highlight w:val="black"/>
              </w:rPr>
              <w:t>redacted content</w:t>
            </w:r>
          </w:p>
        </w:tc>
        <w:tc>
          <w:tcPr>
            <w:tcW w:w="1368" w:type="dxa"/>
            <w:vAlign w:val="center"/>
          </w:tcPr>
          <w:p w14:paraId="3BBA6C6C" w14:textId="77777777" w:rsidR="007358AE" w:rsidRPr="00B62CD3" w:rsidRDefault="007358AE" w:rsidP="00F36268">
            <w:pPr>
              <w:pStyle w:val="Tabletext0"/>
              <w:jc w:val="center"/>
              <w:rPr>
                <w:rFonts w:ascii="Arial Narrow" w:hAnsi="Arial Narrow"/>
              </w:rPr>
            </w:pPr>
            <w:r w:rsidRPr="00B62CD3">
              <w:rPr>
                <w:rFonts w:ascii="Arial Narrow" w:hAnsi="Arial Narrow"/>
              </w:rPr>
              <w:t>2.518</w:t>
            </w:r>
          </w:p>
        </w:tc>
        <w:tc>
          <w:tcPr>
            <w:tcW w:w="1366" w:type="dxa"/>
            <w:vAlign w:val="center"/>
          </w:tcPr>
          <w:p w14:paraId="79DE4FDD" w14:textId="51A5E3BD" w:rsidR="007358AE" w:rsidRPr="00B11526" w:rsidRDefault="007358AE" w:rsidP="00F36268">
            <w:pPr>
              <w:pStyle w:val="Tabletext0"/>
              <w:jc w:val="center"/>
              <w:rPr>
                <w:rFonts w:ascii="Arial Narrow" w:hAnsi="Arial Narrow"/>
                <w:vertAlign w:val="superscript"/>
              </w:rPr>
            </w:pPr>
            <w:r w:rsidRPr="00B62CD3">
              <w:rPr>
                <w:rFonts w:ascii="Arial Narrow" w:hAnsi="Arial Narrow"/>
              </w:rPr>
              <w:t>$</w:t>
            </w:r>
            <w:r w:rsidR="0024159D" w:rsidRPr="0024159D">
              <w:rPr>
                <w:rFonts w:ascii="Arial Narrow" w:hAnsi="Arial Narrow"/>
                <w:sz w:val="2"/>
                <w:highlight w:val="black"/>
              </w:rPr>
              <w:t>redacted content</w:t>
            </w:r>
            <w:r w:rsidR="0078174A">
              <w:rPr>
                <w:rFonts w:ascii="Arial Narrow" w:hAnsi="Arial Narrow"/>
                <w:vertAlign w:val="superscript"/>
              </w:rPr>
              <w:t>3</w:t>
            </w:r>
          </w:p>
        </w:tc>
        <w:tc>
          <w:tcPr>
            <w:tcW w:w="1365" w:type="dxa"/>
            <w:vAlign w:val="center"/>
          </w:tcPr>
          <w:p w14:paraId="60AABFF4" w14:textId="086480CD" w:rsidR="007358AE" w:rsidRPr="00B62CD3" w:rsidRDefault="007358AE" w:rsidP="00F36268">
            <w:pPr>
              <w:pStyle w:val="Tabletext0"/>
              <w:jc w:val="center"/>
              <w:rPr>
                <w:rFonts w:ascii="Arial Narrow" w:hAnsi="Arial Narrow"/>
              </w:rPr>
            </w:pPr>
            <w:r w:rsidRPr="00B62CD3">
              <w:rPr>
                <w:rFonts w:ascii="Arial Narrow" w:hAnsi="Arial Narrow"/>
              </w:rPr>
              <w:t>+</w:t>
            </w:r>
            <w:r w:rsidR="0024159D" w:rsidRPr="0024159D">
              <w:rPr>
                <w:rFonts w:ascii="Arial Narrow" w:hAnsi="Arial Narrow"/>
                <w:sz w:val="2"/>
                <w:highlight w:val="black"/>
              </w:rPr>
              <w:t>redacted content</w:t>
            </w:r>
            <w:r w:rsidRPr="00B62CD3">
              <w:rPr>
                <w:rFonts w:ascii="Arial Narrow" w:hAnsi="Arial Narrow"/>
              </w:rPr>
              <w:t>%</w:t>
            </w:r>
          </w:p>
        </w:tc>
      </w:tr>
      <w:tr w:rsidR="007358AE" w:rsidRPr="00B62CD3" w14:paraId="20D99FCF" w14:textId="77777777" w:rsidTr="00DE3B78">
        <w:trPr>
          <w:cantSplit/>
        </w:trPr>
        <w:tc>
          <w:tcPr>
            <w:tcW w:w="3517" w:type="dxa"/>
          </w:tcPr>
          <w:p w14:paraId="49856679" w14:textId="77777777" w:rsidR="007358AE" w:rsidRPr="00B62CD3" w:rsidRDefault="007358AE" w:rsidP="00F36268">
            <w:pPr>
              <w:pStyle w:val="Tabletext0"/>
              <w:rPr>
                <w:rFonts w:ascii="Arial Narrow" w:hAnsi="Arial Narrow"/>
              </w:rPr>
            </w:pPr>
            <w:r w:rsidRPr="00B62CD3">
              <w:rPr>
                <w:rFonts w:ascii="Arial Narrow" w:hAnsi="Arial Narrow"/>
              </w:rPr>
              <w:t>Gompertz</w:t>
            </w:r>
          </w:p>
        </w:tc>
        <w:tc>
          <w:tcPr>
            <w:tcW w:w="1400" w:type="dxa"/>
            <w:vAlign w:val="center"/>
          </w:tcPr>
          <w:p w14:paraId="1DB9157D" w14:textId="3794A02E" w:rsidR="007358AE" w:rsidRPr="00B62CD3" w:rsidRDefault="007358AE" w:rsidP="00F36268">
            <w:pPr>
              <w:pStyle w:val="Tabletext0"/>
              <w:jc w:val="center"/>
              <w:rPr>
                <w:rFonts w:ascii="Arial Narrow" w:hAnsi="Arial Narrow"/>
              </w:rPr>
            </w:pPr>
            <w:r w:rsidRPr="00B62CD3">
              <w:rPr>
                <w:rFonts w:ascii="Arial Narrow" w:hAnsi="Arial Narrow"/>
              </w:rPr>
              <w:t>$</w:t>
            </w:r>
            <w:r w:rsidR="0024159D" w:rsidRPr="0024159D">
              <w:rPr>
                <w:rFonts w:ascii="Arial Narrow" w:hAnsi="Arial Narrow"/>
                <w:sz w:val="2"/>
                <w:highlight w:val="black"/>
              </w:rPr>
              <w:t>redacted content</w:t>
            </w:r>
          </w:p>
        </w:tc>
        <w:tc>
          <w:tcPr>
            <w:tcW w:w="1368" w:type="dxa"/>
            <w:vAlign w:val="center"/>
          </w:tcPr>
          <w:p w14:paraId="607A149B" w14:textId="77777777" w:rsidR="007358AE" w:rsidRPr="00B62CD3" w:rsidRDefault="007358AE" w:rsidP="00F36268">
            <w:pPr>
              <w:pStyle w:val="Tabletext0"/>
              <w:jc w:val="center"/>
              <w:rPr>
                <w:rFonts w:ascii="Arial Narrow" w:hAnsi="Arial Narrow"/>
              </w:rPr>
            </w:pPr>
            <w:r w:rsidRPr="00B62CD3">
              <w:rPr>
                <w:rFonts w:ascii="Arial Narrow" w:hAnsi="Arial Narrow"/>
              </w:rPr>
              <w:t>2.825</w:t>
            </w:r>
          </w:p>
        </w:tc>
        <w:tc>
          <w:tcPr>
            <w:tcW w:w="1366" w:type="dxa"/>
            <w:vAlign w:val="center"/>
          </w:tcPr>
          <w:p w14:paraId="467560FD" w14:textId="1BE68952" w:rsidR="007358AE" w:rsidRPr="00B11526" w:rsidRDefault="007358AE" w:rsidP="00F36268">
            <w:pPr>
              <w:pStyle w:val="Tabletext0"/>
              <w:jc w:val="center"/>
              <w:rPr>
                <w:rFonts w:ascii="Arial Narrow" w:hAnsi="Arial Narrow"/>
                <w:vertAlign w:val="superscript"/>
              </w:rPr>
            </w:pPr>
            <w:r w:rsidRPr="00B62CD3">
              <w:rPr>
                <w:rFonts w:ascii="Arial Narrow" w:hAnsi="Arial Narrow"/>
              </w:rPr>
              <w:t>$</w:t>
            </w:r>
            <w:r w:rsidR="0024159D" w:rsidRPr="0024159D">
              <w:rPr>
                <w:rFonts w:ascii="Arial Narrow" w:hAnsi="Arial Narrow"/>
                <w:sz w:val="2"/>
                <w:highlight w:val="black"/>
              </w:rPr>
              <w:t>redacted content</w:t>
            </w:r>
            <w:r w:rsidR="00283D8A">
              <w:rPr>
                <w:rFonts w:ascii="Arial Narrow" w:hAnsi="Arial Narrow"/>
                <w:vertAlign w:val="superscript"/>
              </w:rPr>
              <w:t>1</w:t>
            </w:r>
          </w:p>
        </w:tc>
        <w:tc>
          <w:tcPr>
            <w:tcW w:w="1365" w:type="dxa"/>
            <w:vAlign w:val="center"/>
          </w:tcPr>
          <w:p w14:paraId="2016AC38" w14:textId="7E7FF299" w:rsidR="007358AE" w:rsidRPr="00B62CD3" w:rsidRDefault="007358AE" w:rsidP="00F36268">
            <w:pPr>
              <w:pStyle w:val="Tabletext0"/>
              <w:jc w:val="center"/>
              <w:rPr>
                <w:rFonts w:ascii="Arial Narrow" w:hAnsi="Arial Narrow"/>
              </w:rPr>
            </w:pPr>
            <w:r w:rsidRPr="00B62CD3">
              <w:rPr>
                <w:rFonts w:ascii="Arial Narrow" w:hAnsi="Arial Narrow"/>
              </w:rPr>
              <w:t>+</w:t>
            </w:r>
            <w:r w:rsidR="0024159D" w:rsidRPr="0024159D">
              <w:rPr>
                <w:rFonts w:ascii="Arial Narrow" w:hAnsi="Arial Narrow"/>
                <w:sz w:val="2"/>
                <w:highlight w:val="black"/>
              </w:rPr>
              <w:t>redacted content</w:t>
            </w:r>
            <w:r w:rsidRPr="00B62CD3">
              <w:rPr>
                <w:rFonts w:ascii="Arial Narrow" w:hAnsi="Arial Narrow"/>
              </w:rPr>
              <w:t>%</w:t>
            </w:r>
          </w:p>
        </w:tc>
      </w:tr>
      <w:tr w:rsidR="007358AE" w:rsidRPr="00B62CD3" w14:paraId="3A3F3078" w14:textId="77777777" w:rsidTr="00DE3B78">
        <w:trPr>
          <w:cantSplit/>
        </w:trPr>
        <w:tc>
          <w:tcPr>
            <w:tcW w:w="3517" w:type="dxa"/>
          </w:tcPr>
          <w:p w14:paraId="57D49C45" w14:textId="77777777" w:rsidR="007358AE" w:rsidRPr="00B62CD3" w:rsidRDefault="007358AE" w:rsidP="00F36268">
            <w:pPr>
              <w:pStyle w:val="Tabletext0"/>
              <w:rPr>
                <w:rFonts w:ascii="Arial Narrow" w:hAnsi="Arial Narrow"/>
              </w:rPr>
            </w:pPr>
            <w:r w:rsidRPr="00B62CD3">
              <w:rPr>
                <w:rFonts w:ascii="Arial Narrow" w:hAnsi="Arial Narrow"/>
              </w:rPr>
              <w:t>Generalised gamma</w:t>
            </w:r>
          </w:p>
        </w:tc>
        <w:tc>
          <w:tcPr>
            <w:tcW w:w="1400" w:type="dxa"/>
            <w:vAlign w:val="center"/>
          </w:tcPr>
          <w:p w14:paraId="127BD544" w14:textId="2434385F" w:rsidR="007358AE" w:rsidRPr="00B62CD3" w:rsidRDefault="007358AE" w:rsidP="00F36268">
            <w:pPr>
              <w:pStyle w:val="Tabletext0"/>
              <w:jc w:val="center"/>
              <w:rPr>
                <w:rFonts w:ascii="Arial Narrow" w:hAnsi="Arial Narrow"/>
              </w:rPr>
            </w:pPr>
            <w:r w:rsidRPr="00B62CD3">
              <w:rPr>
                <w:rFonts w:ascii="Arial Narrow" w:hAnsi="Arial Narrow"/>
              </w:rPr>
              <w:t>$</w:t>
            </w:r>
            <w:r w:rsidR="0024159D" w:rsidRPr="0024159D">
              <w:rPr>
                <w:rFonts w:ascii="Arial Narrow" w:hAnsi="Arial Narrow"/>
                <w:sz w:val="2"/>
                <w:highlight w:val="black"/>
              </w:rPr>
              <w:t>redacted content</w:t>
            </w:r>
          </w:p>
        </w:tc>
        <w:tc>
          <w:tcPr>
            <w:tcW w:w="1368" w:type="dxa"/>
            <w:vAlign w:val="center"/>
          </w:tcPr>
          <w:p w14:paraId="33B14F25" w14:textId="77777777" w:rsidR="007358AE" w:rsidRPr="00B62CD3" w:rsidRDefault="007358AE" w:rsidP="00F36268">
            <w:pPr>
              <w:pStyle w:val="Tabletext0"/>
              <w:jc w:val="center"/>
              <w:rPr>
                <w:rFonts w:ascii="Arial Narrow" w:hAnsi="Arial Narrow"/>
              </w:rPr>
            </w:pPr>
            <w:r w:rsidRPr="00B62CD3">
              <w:rPr>
                <w:rFonts w:ascii="Arial Narrow" w:hAnsi="Arial Narrow"/>
              </w:rPr>
              <w:t>4.216</w:t>
            </w:r>
          </w:p>
        </w:tc>
        <w:tc>
          <w:tcPr>
            <w:tcW w:w="1366" w:type="dxa"/>
            <w:vAlign w:val="center"/>
          </w:tcPr>
          <w:p w14:paraId="3436162F" w14:textId="3620E2D5" w:rsidR="007358AE" w:rsidRPr="00B11526" w:rsidRDefault="007358AE" w:rsidP="00F36268">
            <w:pPr>
              <w:pStyle w:val="Tabletext0"/>
              <w:jc w:val="center"/>
              <w:rPr>
                <w:rFonts w:ascii="Arial Narrow" w:hAnsi="Arial Narrow"/>
                <w:vertAlign w:val="superscript"/>
              </w:rPr>
            </w:pPr>
            <w:r w:rsidRPr="00B62CD3">
              <w:rPr>
                <w:rFonts w:ascii="Arial Narrow" w:hAnsi="Arial Narrow"/>
              </w:rPr>
              <w:t>$</w:t>
            </w:r>
            <w:r w:rsidR="0024159D" w:rsidRPr="0024159D">
              <w:rPr>
                <w:rFonts w:ascii="Arial Narrow" w:hAnsi="Arial Narrow"/>
                <w:sz w:val="2"/>
                <w:highlight w:val="black"/>
              </w:rPr>
              <w:t>redacted content</w:t>
            </w:r>
            <w:r w:rsidR="00283D8A">
              <w:rPr>
                <w:rFonts w:ascii="Arial Narrow" w:hAnsi="Arial Narrow"/>
                <w:vertAlign w:val="superscript"/>
              </w:rPr>
              <w:t>1</w:t>
            </w:r>
          </w:p>
        </w:tc>
        <w:tc>
          <w:tcPr>
            <w:tcW w:w="1365" w:type="dxa"/>
            <w:vAlign w:val="center"/>
          </w:tcPr>
          <w:p w14:paraId="19FDD774" w14:textId="0387786E" w:rsidR="007358AE" w:rsidRPr="00B62CD3" w:rsidRDefault="00B571FA" w:rsidP="00F36268">
            <w:pPr>
              <w:pStyle w:val="Tabletext0"/>
              <w:jc w:val="center"/>
              <w:rPr>
                <w:rFonts w:ascii="Arial Narrow" w:hAnsi="Arial Narrow"/>
              </w:rPr>
            </w:pPr>
            <w:r>
              <w:rPr>
                <w:rFonts w:ascii="Arial Narrow" w:hAnsi="Arial Narrow"/>
              </w:rPr>
              <w:noBreakHyphen/>
            </w:r>
            <w:r w:rsidR="0024159D" w:rsidRPr="0024159D">
              <w:rPr>
                <w:rFonts w:ascii="Arial Narrow" w:hAnsi="Arial Narrow"/>
                <w:sz w:val="2"/>
                <w:highlight w:val="black"/>
              </w:rPr>
              <w:t>redacted content</w:t>
            </w:r>
            <w:r w:rsidR="007358AE" w:rsidRPr="00B62CD3">
              <w:rPr>
                <w:rFonts w:ascii="Arial Narrow" w:hAnsi="Arial Narrow"/>
              </w:rPr>
              <w:t>%</w:t>
            </w:r>
          </w:p>
        </w:tc>
      </w:tr>
      <w:tr w:rsidR="007358AE" w:rsidRPr="00B62CD3" w14:paraId="676BA75D" w14:textId="77777777" w:rsidTr="00DE3B78">
        <w:trPr>
          <w:cantSplit/>
        </w:trPr>
        <w:tc>
          <w:tcPr>
            <w:tcW w:w="3517" w:type="dxa"/>
          </w:tcPr>
          <w:p w14:paraId="25332F55" w14:textId="77777777" w:rsidR="007358AE" w:rsidRPr="00B62CD3" w:rsidRDefault="007358AE" w:rsidP="00F36268">
            <w:pPr>
              <w:pStyle w:val="Tabletext0"/>
              <w:rPr>
                <w:rFonts w:ascii="Arial Narrow" w:hAnsi="Arial Narrow"/>
              </w:rPr>
            </w:pPr>
            <w:r w:rsidRPr="00B62CD3">
              <w:rPr>
                <w:rFonts w:ascii="Arial Narrow" w:hAnsi="Arial Narrow"/>
              </w:rPr>
              <w:t>Loglogistic</w:t>
            </w:r>
          </w:p>
        </w:tc>
        <w:tc>
          <w:tcPr>
            <w:tcW w:w="1400" w:type="dxa"/>
            <w:vAlign w:val="center"/>
          </w:tcPr>
          <w:p w14:paraId="37AB8B26" w14:textId="191FF6F3" w:rsidR="007358AE" w:rsidRPr="00B62CD3" w:rsidRDefault="007358AE" w:rsidP="00F36268">
            <w:pPr>
              <w:pStyle w:val="Tabletext0"/>
              <w:jc w:val="center"/>
              <w:rPr>
                <w:rFonts w:ascii="Arial Narrow" w:hAnsi="Arial Narrow"/>
              </w:rPr>
            </w:pPr>
            <w:r w:rsidRPr="00B62CD3">
              <w:rPr>
                <w:rFonts w:ascii="Arial Narrow" w:hAnsi="Arial Narrow"/>
              </w:rPr>
              <w:t>$</w:t>
            </w:r>
            <w:r w:rsidR="0024159D" w:rsidRPr="0024159D">
              <w:rPr>
                <w:rFonts w:ascii="Arial Narrow" w:hAnsi="Arial Narrow"/>
                <w:sz w:val="2"/>
                <w:highlight w:val="black"/>
              </w:rPr>
              <w:t>redacted content</w:t>
            </w:r>
          </w:p>
        </w:tc>
        <w:tc>
          <w:tcPr>
            <w:tcW w:w="1368" w:type="dxa"/>
            <w:vAlign w:val="center"/>
          </w:tcPr>
          <w:p w14:paraId="4B05FE48" w14:textId="77777777" w:rsidR="007358AE" w:rsidRPr="00B62CD3" w:rsidRDefault="007358AE" w:rsidP="00F36268">
            <w:pPr>
              <w:pStyle w:val="Tabletext0"/>
              <w:jc w:val="center"/>
              <w:rPr>
                <w:rFonts w:ascii="Arial Narrow" w:hAnsi="Arial Narrow"/>
              </w:rPr>
            </w:pPr>
            <w:r w:rsidRPr="00B62CD3">
              <w:rPr>
                <w:rFonts w:ascii="Arial Narrow" w:hAnsi="Arial Narrow"/>
              </w:rPr>
              <w:t>3.369</w:t>
            </w:r>
          </w:p>
        </w:tc>
        <w:tc>
          <w:tcPr>
            <w:tcW w:w="1366" w:type="dxa"/>
            <w:vAlign w:val="center"/>
          </w:tcPr>
          <w:p w14:paraId="3FF8E2F4" w14:textId="267AC4F4" w:rsidR="007358AE" w:rsidRPr="00B11526" w:rsidRDefault="007358AE" w:rsidP="00F36268">
            <w:pPr>
              <w:pStyle w:val="Tabletext0"/>
              <w:jc w:val="center"/>
              <w:rPr>
                <w:rFonts w:ascii="Arial Narrow" w:hAnsi="Arial Narrow"/>
                <w:vertAlign w:val="superscript"/>
              </w:rPr>
            </w:pPr>
            <w:r w:rsidRPr="00B62CD3">
              <w:rPr>
                <w:rFonts w:ascii="Arial Narrow" w:hAnsi="Arial Narrow"/>
              </w:rPr>
              <w:t>$</w:t>
            </w:r>
            <w:r w:rsidR="0024159D" w:rsidRPr="0024159D">
              <w:rPr>
                <w:rFonts w:ascii="Arial Narrow" w:hAnsi="Arial Narrow"/>
                <w:sz w:val="2"/>
                <w:highlight w:val="black"/>
              </w:rPr>
              <w:t>redacted content</w:t>
            </w:r>
            <w:r w:rsidR="00283D8A">
              <w:rPr>
                <w:rFonts w:ascii="Arial Narrow" w:hAnsi="Arial Narrow"/>
                <w:vertAlign w:val="superscript"/>
              </w:rPr>
              <w:t>1</w:t>
            </w:r>
          </w:p>
        </w:tc>
        <w:tc>
          <w:tcPr>
            <w:tcW w:w="1365" w:type="dxa"/>
            <w:vAlign w:val="center"/>
          </w:tcPr>
          <w:p w14:paraId="4A277977" w14:textId="665CAC90" w:rsidR="007358AE" w:rsidRPr="00B62CD3" w:rsidRDefault="007358AE" w:rsidP="00F36268">
            <w:pPr>
              <w:pStyle w:val="Tabletext0"/>
              <w:jc w:val="center"/>
              <w:rPr>
                <w:rFonts w:ascii="Arial Narrow" w:hAnsi="Arial Narrow"/>
              </w:rPr>
            </w:pPr>
            <w:r w:rsidRPr="00B62CD3">
              <w:rPr>
                <w:rFonts w:ascii="Arial Narrow" w:hAnsi="Arial Narrow"/>
              </w:rPr>
              <w:t>+</w:t>
            </w:r>
            <w:r w:rsidR="0024159D" w:rsidRPr="0024159D">
              <w:rPr>
                <w:rFonts w:ascii="Arial Narrow" w:hAnsi="Arial Narrow"/>
                <w:sz w:val="2"/>
                <w:highlight w:val="black"/>
              </w:rPr>
              <w:t>redacted content</w:t>
            </w:r>
            <w:r w:rsidRPr="00B62CD3">
              <w:rPr>
                <w:rFonts w:ascii="Arial Narrow" w:hAnsi="Arial Narrow"/>
              </w:rPr>
              <w:t>%</w:t>
            </w:r>
          </w:p>
        </w:tc>
      </w:tr>
      <w:tr w:rsidR="007358AE" w:rsidRPr="00B62CD3" w14:paraId="3901DC32" w14:textId="77777777" w:rsidTr="00DE3B78">
        <w:trPr>
          <w:cantSplit/>
        </w:trPr>
        <w:tc>
          <w:tcPr>
            <w:tcW w:w="9016" w:type="dxa"/>
            <w:gridSpan w:val="5"/>
            <w:vAlign w:val="center"/>
          </w:tcPr>
          <w:p w14:paraId="28009286" w14:textId="7D96EED3" w:rsidR="007358AE" w:rsidRPr="00B62CD3" w:rsidRDefault="007358AE" w:rsidP="00F36268">
            <w:pPr>
              <w:pStyle w:val="Tabletext0"/>
              <w:rPr>
                <w:rFonts w:ascii="Arial Narrow" w:hAnsi="Arial Narrow"/>
                <w:b/>
                <w:bCs/>
              </w:rPr>
            </w:pPr>
            <w:r w:rsidRPr="00B62CD3">
              <w:rPr>
                <w:rFonts w:ascii="Arial Narrow" w:hAnsi="Arial Narrow"/>
                <w:b/>
                <w:bCs/>
              </w:rPr>
              <w:t>Parametric function fitted to PFS in the active surveillance arm (base case = lognormal)</w:t>
            </w:r>
          </w:p>
        </w:tc>
      </w:tr>
      <w:tr w:rsidR="007358AE" w:rsidRPr="00B62CD3" w14:paraId="3365A2DA" w14:textId="77777777" w:rsidTr="00DE3B78">
        <w:trPr>
          <w:cantSplit/>
        </w:trPr>
        <w:tc>
          <w:tcPr>
            <w:tcW w:w="3517" w:type="dxa"/>
          </w:tcPr>
          <w:p w14:paraId="176948E0" w14:textId="77777777" w:rsidR="007358AE" w:rsidRPr="00B62CD3" w:rsidRDefault="007358AE" w:rsidP="00F36268">
            <w:pPr>
              <w:pStyle w:val="Tabletext0"/>
              <w:rPr>
                <w:rFonts w:ascii="Arial Narrow" w:hAnsi="Arial Narrow"/>
              </w:rPr>
            </w:pPr>
            <w:r w:rsidRPr="00B62CD3">
              <w:rPr>
                <w:rFonts w:ascii="Arial Narrow" w:hAnsi="Arial Narrow"/>
              </w:rPr>
              <w:t>Exponential</w:t>
            </w:r>
          </w:p>
        </w:tc>
        <w:tc>
          <w:tcPr>
            <w:tcW w:w="1400" w:type="dxa"/>
            <w:vAlign w:val="center"/>
          </w:tcPr>
          <w:p w14:paraId="3D1D83A1" w14:textId="317C6245" w:rsidR="007358AE" w:rsidRPr="00B62CD3" w:rsidRDefault="007358AE" w:rsidP="00F36268">
            <w:pPr>
              <w:pStyle w:val="Tabletext0"/>
              <w:jc w:val="center"/>
              <w:rPr>
                <w:rFonts w:ascii="Arial Narrow" w:hAnsi="Arial Narrow"/>
              </w:rPr>
            </w:pPr>
            <w:r w:rsidRPr="00B62CD3">
              <w:rPr>
                <w:rFonts w:ascii="Arial Narrow" w:hAnsi="Arial Narrow"/>
              </w:rPr>
              <w:t>$</w:t>
            </w:r>
            <w:r w:rsidR="0024159D" w:rsidRPr="0024159D">
              <w:rPr>
                <w:rFonts w:ascii="Arial Narrow" w:hAnsi="Arial Narrow"/>
                <w:sz w:val="2"/>
                <w:highlight w:val="black"/>
              </w:rPr>
              <w:t>redacted content</w:t>
            </w:r>
          </w:p>
        </w:tc>
        <w:tc>
          <w:tcPr>
            <w:tcW w:w="1368" w:type="dxa"/>
            <w:vAlign w:val="center"/>
          </w:tcPr>
          <w:p w14:paraId="304F918E" w14:textId="77777777" w:rsidR="007358AE" w:rsidRPr="00B62CD3" w:rsidRDefault="007358AE" w:rsidP="00F36268">
            <w:pPr>
              <w:pStyle w:val="Tabletext0"/>
              <w:jc w:val="center"/>
              <w:rPr>
                <w:rFonts w:ascii="Arial Narrow" w:hAnsi="Arial Narrow"/>
              </w:rPr>
            </w:pPr>
            <w:r w:rsidRPr="00B62CD3">
              <w:rPr>
                <w:rFonts w:ascii="Arial Narrow" w:hAnsi="Arial Narrow"/>
              </w:rPr>
              <w:t>3.552</w:t>
            </w:r>
          </w:p>
        </w:tc>
        <w:tc>
          <w:tcPr>
            <w:tcW w:w="1366" w:type="dxa"/>
            <w:vAlign w:val="center"/>
          </w:tcPr>
          <w:p w14:paraId="778FB4CC" w14:textId="30F8755E" w:rsidR="007358AE" w:rsidRPr="00B11526" w:rsidRDefault="007358AE" w:rsidP="00F36268">
            <w:pPr>
              <w:pStyle w:val="Tabletext0"/>
              <w:jc w:val="center"/>
              <w:rPr>
                <w:rFonts w:ascii="Arial Narrow" w:hAnsi="Arial Narrow"/>
                <w:vertAlign w:val="superscript"/>
              </w:rPr>
            </w:pPr>
            <w:r w:rsidRPr="00B62CD3">
              <w:rPr>
                <w:rFonts w:ascii="Arial Narrow" w:hAnsi="Arial Narrow"/>
              </w:rPr>
              <w:t>$</w:t>
            </w:r>
            <w:r w:rsidR="0024159D" w:rsidRPr="0024159D">
              <w:rPr>
                <w:rFonts w:ascii="Arial Narrow" w:hAnsi="Arial Narrow"/>
                <w:sz w:val="2"/>
                <w:highlight w:val="black"/>
              </w:rPr>
              <w:t>redacted content</w:t>
            </w:r>
            <w:r w:rsidR="00283D8A">
              <w:rPr>
                <w:rFonts w:ascii="Arial Narrow" w:hAnsi="Arial Narrow"/>
                <w:vertAlign w:val="superscript"/>
              </w:rPr>
              <w:t>1</w:t>
            </w:r>
          </w:p>
        </w:tc>
        <w:tc>
          <w:tcPr>
            <w:tcW w:w="1365" w:type="dxa"/>
            <w:vAlign w:val="center"/>
          </w:tcPr>
          <w:p w14:paraId="5F17E97F" w14:textId="1EFEB630" w:rsidR="007358AE" w:rsidRPr="00B62CD3" w:rsidRDefault="007358AE" w:rsidP="00F36268">
            <w:pPr>
              <w:pStyle w:val="Tabletext0"/>
              <w:jc w:val="center"/>
              <w:rPr>
                <w:rFonts w:ascii="Arial Narrow" w:hAnsi="Arial Narrow"/>
              </w:rPr>
            </w:pPr>
            <w:r w:rsidRPr="00B62CD3">
              <w:rPr>
                <w:rFonts w:ascii="Arial Narrow" w:hAnsi="Arial Narrow"/>
              </w:rPr>
              <w:t>+</w:t>
            </w:r>
            <w:r w:rsidR="0024159D" w:rsidRPr="0024159D">
              <w:rPr>
                <w:rFonts w:ascii="Arial Narrow" w:hAnsi="Arial Narrow"/>
                <w:sz w:val="2"/>
                <w:highlight w:val="black"/>
              </w:rPr>
              <w:t>redacted content</w:t>
            </w:r>
            <w:r w:rsidRPr="00B62CD3">
              <w:rPr>
                <w:rFonts w:ascii="Arial Narrow" w:hAnsi="Arial Narrow"/>
              </w:rPr>
              <w:t>%</w:t>
            </w:r>
          </w:p>
        </w:tc>
      </w:tr>
      <w:tr w:rsidR="007358AE" w:rsidRPr="00B62CD3" w14:paraId="60746FFD" w14:textId="77777777" w:rsidTr="00DE3B78">
        <w:trPr>
          <w:cantSplit/>
        </w:trPr>
        <w:tc>
          <w:tcPr>
            <w:tcW w:w="3517" w:type="dxa"/>
          </w:tcPr>
          <w:p w14:paraId="5D254662" w14:textId="77777777" w:rsidR="007358AE" w:rsidRPr="00B62CD3" w:rsidRDefault="007358AE" w:rsidP="00F36268">
            <w:pPr>
              <w:pStyle w:val="Tabletext0"/>
              <w:rPr>
                <w:rFonts w:ascii="Arial Narrow" w:hAnsi="Arial Narrow"/>
              </w:rPr>
            </w:pPr>
            <w:r w:rsidRPr="00B62CD3">
              <w:rPr>
                <w:rFonts w:ascii="Arial Narrow" w:hAnsi="Arial Narrow"/>
              </w:rPr>
              <w:t>Weibull</w:t>
            </w:r>
          </w:p>
        </w:tc>
        <w:tc>
          <w:tcPr>
            <w:tcW w:w="1400" w:type="dxa"/>
            <w:vAlign w:val="center"/>
          </w:tcPr>
          <w:p w14:paraId="7A09F87D" w14:textId="163167EB" w:rsidR="007358AE" w:rsidRPr="00B62CD3" w:rsidRDefault="007358AE" w:rsidP="00F36268">
            <w:pPr>
              <w:pStyle w:val="Tabletext0"/>
              <w:jc w:val="center"/>
              <w:rPr>
                <w:rFonts w:ascii="Arial Narrow" w:hAnsi="Arial Narrow"/>
              </w:rPr>
            </w:pPr>
            <w:r w:rsidRPr="00B62CD3">
              <w:rPr>
                <w:rFonts w:ascii="Arial Narrow" w:hAnsi="Arial Narrow"/>
              </w:rPr>
              <w:t>$</w:t>
            </w:r>
            <w:r w:rsidR="0024159D" w:rsidRPr="0024159D">
              <w:rPr>
                <w:rFonts w:ascii="Arial Narrow" w:hAnsi="Arial Narrow"/>
                <w:sz w:val="2"/>
                <w:highlight w:val="black"/>
              </w:rPr>
              <w:t>redacted content</w:t>
            </w:r>
          </w:p>
        </w:tc>
        <w:tc>
          <w:tcPr>
            <w:tcW w:w="1368" w:type="dxa"/>
            <w:vAlign w:val="center"/>
          </w:tcPr>
          <w:p w14:paraId="6B8EB9E9" w14:textId="77777777" w:rsidR="007358AE" w:rsidRPr="00B62CD3" w:rsidRDefault="007358AE" w:rsidP="00F36268">
            <w:pPr>
              <w:pStyle w:val="Tabletext0"/>
              <w:jc w:val="center"/>
              <w:rPr>
                <w:rFonts w:ascii="Arial Narrow" w:hAnsi="Arial Narrow"/>
              </w:rPr>
            </w:pPr>
            <w:r w:rsidRPr="00B62CD3">
              <w:rPr>
                <w:rFonts w:ascii="Arial Narrow" w:hAnsi="Arial Narrow"/>
              </w:rPr>
              <w:t>3.711</w:t>
            </w:r>
          </w:p>
        </w:tc>
        <w:tc>
          <w:tcPr>
            <w:tcW w:w="1366" w:type="dxa"/>
            <w:vAlign w:val="center"/>
          </w:tcPr>
          <w:p w14:paraId="5D7F0C10" w14:textId="5811ECE6" w:rsidR="007358AE" w:rsidRPr="00B11526" w:rsidRDefault="007358AE" w:rsidP="00F36268">
            <w:pPr>
              <w:pStyle w:val="Tabletext0"/>
              <w:jc w:val="center"/>
              <w:rPr>
                <w:rFonts w:ascii="Arial Narrow" w:hAnsi="Arial Narrow"/>
                <w:vertAlign w:val="superscript"/>
              </w:rPr>
            </w:pPr>
            <w:r w:rsidRPr="00B62CD3">
              <w:rPr>
                <w:rFonts w:ascii="Arial Narrow" w:hAnsi="Arial Narrow"/>
              </w:rPr>
              <w:t>$</w:t>
            </w:r>
            <w:r w:rsidR="0024159D" w:rsidRPr="0024159D">
              <w:rPr>
                <w:rFonts w:ascii="Arial Narrow" w:hAnsi="Arial Narrow"/>
                <w:sz w:val="2"/>
                <w:highlight w:val="black"/>
              </w:rPr>
              <w:t>redacted content</w:t>
            </w:r>
            <w:r w:rsidR="00283D8A">
              <w:rPr>
                <w:rFonts w:ascii="Arial Narrow" w:hAnsi="Arial Narrow"/>
                <w:vertAlign w:val="superscript"/>
              </w:rPr>
              <w:t>1</w:t>
            </w:r>
          </w:p>
        </w:tc>
        <w:tc>
          <w:tcPr>
            <w:tcW w:w="1365" w:type="dxa"/>
            <w:vAlign w:val="center"/>
          </w:tcPr>
          <w:p w14:paraId="6DFEBBB8" w14:textId="77A92CED" w:rsidR="007358AE" w:rsidRPr="00B62CD3" w:rsidRDefault="00B571FA" w:rsidP="00F36268">
            <w:pPr>
              <w:pStyle w:val="Tabletext0"/>
              <w:jc w:val="center"/>
              <w:rPr>
                <w:rFonts w:ascii="Arial Narrow" w:hAnsi="Arial Narrow"/>
              </w:rPr>
            </w:pPr>
            <w:r>
              <w:rPr>
                <w:rFonts w:ascii="Arial Narrow" w:hAnsi="Arial Narrow"/>
              </w:rPr>
              <w:noBreakHyphen/>
            </w:r>
            <w:r w:rsidR="0024159D" w:rsidRPr="0024159D">
              <w:rPr>
                <w:rFonts w:ascii="Arial Narrow" w:hAnsi="Arial Narrow"/>
                <w:sz w:val="2"/>
                <w:highlight w:val="black"/>
              </w:rPr>
              <w:t>redacted content</w:t>
            </w:r>
            <w:r w:rsidR="007358AE" w:rsidRPr="00B62CD3">
              <w:rPr>
                <w:rFonts w:ascii="Arial Narrow" w:hAnsi="Arial Narrow"/>
              </w:rPr>
              <w:t>%</w:t>
            </w:r>
          </w:p>
        </w:tc>
      </w:tr>
      <w:tr w:rsidR="007358AE" w:rsidRPr="00B62CD3" w14:paraId="19F5BC7D" w14:textId="77777777" w:rsidTr="00DE3B78">
        <w:trPr>
          <w:cantSplit/>
        </w:trPr>
        <w:tc>
          <w:tcPr>
            <w:tcW w:w="3517" w:type="dxa"/>
          </w:tcPr>
          <w:p w14:paraId="6DF91759" w14:textId="77777777" w:rsidR="007358AE" w:rsidRPr="00B62CD3" w:rsidRDefault="007358AE" w:rsidP="00F36268">
            <w:pPr>
              <w:pStyle w:val="Tabletext0"/>
              <w:rPr>
                <w:rFonts w:ascii="Arial Narrow" w:hAnsi="Arial Narrow"/>
              </w:rPr>
            </w:pPr>
            <w:r w:rsidRPr="00B62CD3">
              <w:rPr>
                <w:rFonts w:ascii="Arial Narrow" w:hAnsi="Arial Narrow"/>
              </w:rPr>
              <w:t>Gompertz</w:t>
            </w:r>
          </w:p>
        </w:tc>
        <w:tc>
          <w:tcPr>
            <w:tcW w:w="1400" w:type="dxa"/>
            <w:vAlign w:val="center"/>
          </w:tcPr>
          <w:p w14:paraId="08019464" w14:textId="5C0782A6" w:rsidR="007358AE" w:rsidRPr="00B62CD3" w:rsidRDefault="007358AE" w:rsidP="00F36268">
            <w:pPr>
              <w:pStyle w:val="Tabletext0"/>
              <w:jc w:val="center"/>
              <w:rPr>
                <w:rFonts w:ascii="Arial Narrow" w:hAnsi="Arial Narrow"/>
              </w:rPr>
            </w:pPr>
            <w:r w:rsidRPr="00B62CD3">
              <w:rPr>
                <w:rFonts w:ascii="Arial Narrow" w:hAnsi="Arial Narrow"/>
              </w:rPr>
              <w:t>$</w:t>
            </w:r>
            <w:r w:rsidR="0024159D" w:rsidRPr="0024159D">
              <w:rPr>
                <w:rFonts w:ascii="Arial Narrow" w:hAnsi="Arial Narrow"/>
                <w:sz w:val="2"/>
                <w:highlight w:val="black"/>
              </w:rPr>
              <w:t>redacted content</w:t>
            </w:r>
          </w:p>
        </w:tc>
        <w:tc>
          <w:tcPr>
            <w:tcW w:w="1368" w:type="dxa"/>
            <w:vAlign w:val="center"/>
          </w:tcPr>
          <w:p w14:paraId="3FA678E6" w14:textId="77777777" w:rsidR="007358AE" w:rsidRPr="00B62CD3" w:rsidRDefault="007358AE" w:rsidP="00F36268">
            <w:pPr>
              <w:pStyle w:val="Tabletext0"/>
              <w:jc w:val="center"/>
              <w:rPr>
                <w:rFonts w:ascii="Arial Narrow" w:hAnsi="Arial Narrow"/>
              </w:rPr>
            </w:pPr>
            <w:r w:rsidRPr="00B62CD3">
              <w:rPr>
                <w:rFonts w:ascii="Arial Narrow" w:hAnsi="Arial Narrow"/>
              </w:rPr>
              <w:t>3.747</w:t>
            </w:r>
          </w:p>
        </w:tc>
        <w:tc>
          <w:tcPr>
            <w:tcW w:w="1366" w:type="dxa"/>
            <w:vAlign w:val="center"/>
          </w:tcPr>
          <w:p w14:paraId="7078EEB6" w14:textId="5C841E23" w:rsidR="007358AE" w:rsidRPr="00B11526" w:rsidRDefault="007358AE" w:rsidP="00F36268">
            <w:pPr>
              <w:pStyle w:val="Tabletext0"/>
              <w:jc w:val="center"/>
              <w:rPr>
                <w:rFonts w:ascii="Arial Narrow" w:hAnsi="Arial Narrow"/>
                <w:vertAlign w:val="superscript"/>
              </w:rPr>
            </w:pPr>
            <w:r w:rsidRPr="00B62CD3">
              <w:rPr>
                <w:rFonts w:ascii="Arial Narrow" w:hAnsi="Arial Narrow"/>
              </w:rPr>
              <w:t>$</w:t>
            </w:r>
            <w:r w:rsidR="0024159D" w:rsidRPr="0024159D">
              <w:rPr>
                <w:rFonts w:ascii="Arial Narrow" w:hAnsi="Arial Narrow"/>
                <w:sz w:val="2"/>
                <w:highlight w:val="black"/>
              </w:rPr>
              <w:t>redacted content</w:t>
            </w:r>
            <w:r w:rsidR="00283D8A">
              <w:rPr>
                <w:rFonts w:ascii="Arial Narrow" w:hAnsi="Arial Narrow"/>
                <w:vertAlign w:val="superscript"/>
              </w:rPr>
              <w:t>1</w:t>
            </w:r>
          </w:p>
        </w:tc>
        <w:tc>
          <w:tcPr>
            <w:tcW w:w="1365" w:type="dxa"/>
            <w:vAlign w:val="center"/>
          </w:tcPr>
          <w:p w14:paraId="6A6AB02E" w14:textId="33201CFD" w:rsidR="007358AE" w:rsidRPr="00B62CD3" w:rsidRDefault="00B571FA" w:rsidP="00F36268">
            <w:pPr>
              <w:pStyle w:val="Tabletext0"/>
              <w:jc w:val="center"/>
              <w:rPr>
                <w:rFonts w:ascii="Arial Narrow" w:hAnsi="Arial Narrow"/>
              </w:rPr>
            </w:pPr>
            <w:r>
              <w:rPr>
                <w:rFonts w:ascii="Arial Narrow" w:hAnsi="Arial Narrow"/>
              </w:rPr>
              <w:noBreakHyphen/>
            </w:r>
            <w:r w:rsidR="0024159D" w:rsidRPr="0024159D">
              <w:rPr>
                <w:rFonts w:ascii="Arial Narrow" w:hAnsi="Arial Narrow"/>
                <w:sz w:val="2"/>
                <w:highlight w:val="black"/>
              </w:rPr>
              <w:t>redacted content</w:t>
            </w:r>
            <w:r w:rsidR="007358AE" w:rsidRPr="00B62CD3">
              <w:rPr>
                <w:rFonts w:ascii="Arial Narrow" w:hAnsi="Arial Narrow"/>
              </w:rPr>
              <w:t>%</w:t>
            </w:r>
          </w:p>
        </w:tc>
      </w:tr>
      <w:tr w:rsidR="007358AE" w:rsidRPr="00B62CD3" w14:paraId="09693D2E" w14:textId="77777777" w:rsidTr="00DE3B78">
        <w:trPr>
          <w:cantSplit/>
        </w:trPr>
        <w:tc>
          <w:tcPr>
            <w:tcW w:w="3517" w:type="dxa"/>
          </w:tcPr>
          <w:p w14:paraId="034CD0D8" w14:textId="66C61EEA" w:rsidR="007358AE" w:rsidRPr="00B62CD3" w:rsidRDefault="007358AE" w:rsidP="00F36268">
            <w:pPr>
              <w:pStyle w:val="Tabletext0"/>
              <w:rPr>
                <w:rFonts w:ascii="Arial Narrow" w:hAnsi="Arial Narrow"/>
              </w:rPr>
            </w:pPr>
            <w:r w:rsidRPr="00B62CD3">
              <w:rPr>
                <w:rFonts w:ascii="Arial Narrow" w:hAnsi="Arial Narrow"/>
              </w:rPr>
              <w:t>Generalised gamma</w:t>
            </w:r>
          </w:p>
        </w:tc>
        <w:tc>
          <w:tcPr>
            <w:tcW w:w="1400" w:type="dxa"/>
            <w:vAlign w:val="center"/>
          </w:tcPr>
          <w:p w14:paraId="34F4A23F" w14:textId="3FAE2A1B" w:rsidR="007358AE" w:rsidRPr="00B62CD3" w:rsidRDefault="007358AE" w:rsidP="00F36268">
            <w:pPr>
              <w:pStyle w:val="Tabletext0"/>
              <w:jc w:val="center"/>
              <w:rPr>
                <w:rFonts w:ascii="Arial Narrow" w:hAnsi="Arial Narrow"/>
              </w:rPr>
            </w:pPr>
            <w:r w:rsidRPr="00B62CD3">
              <w:rPr>
                <w:rFonts w:ascii="Arial Narrow" w:hAnsi="Arial Narrow"/>
              </w:rPr>
              <w:t>$</w:t>
            </w:r>
            <w:r w:rsidR="0024159D" w:rsidRPr="0024159D">
              <w:rPr>
                <w:rFonts w:ascii="Arial Narrow" w:hAnsi="Arial Narrow"/>
                <w:sz w:val="2"/>
                <w:highlight w:val="black"/>
              </w:rPr>
              <w:t>redacted content</w:t>
            </w:r>
          </w:p>
        </w:tc>
        <w:tc>
          <w:tcPr>
            <w:tcW w:w="1368" w:type="dxa"/>
            <w:vAlign w:val="center"/>
          </w:tcPr>
          <w:p w14:paraId="28011213" w14:textId="77777777" w:rsidR="007358AE" w:rsidRPr="00B62CD3" w:rsidRDefault="007358AE" w:rsidP="00F36268">
            <w:pPr>
              <w:pStyle w:val="Tabletext0"/>
              <w:jc w:val="center"/>
              <w:rPr>
                <w:rFonts w:ascii="Arial Narrow" w:hAnsi="Arial Narrow"/>
              </w:rPr>
            </w:pPr>
            <w:r w:rsidRPr="00B62CD3">
              <w:rPr>
                <w:rFonts w:ascii="Arial Narrow" w:hAnsi="Arial Narrow"/>
              </w:rPr>
              <w:t>3.555</w:t>
            </w:r>
          </w:p>
        </w:tc>
        <w:tc>
          <w:tcPr>
            <w:tcW w:w="1366" w:type="dxa"/>
            <w:vAlign w:val="center"/>
          </w:tcPr>
          <w:p w14:paraId="4C1F1C72" w14:textId="5ECE088B" w:rsidR="007358AE" w:rsidRPr="00B11526" w:rsidRDefault="007358AE" w:rsidP="00F36268">
            <w:pPr>
              <w:pStyle w:val="Tabletext0"/>
              <w:jc w:val="center"/>
              <w:rPr>
                <w:rFonts w:ascii="Arial Narrow" w:hAnsi="Arial Narrow"/>
                <w:vertAlign w:val="superscript"/>
              </w:rPr>
            </w:pPr>
            <w:r w:rsidRPr="00B62CD3">
              <w:rPr>
                <w:rFonts w:ascii="Arial Narrow" w:hAnsi="Arial Narrow"/>
              </w:rPr>
              <w:t>$</w:t>
            </w:r>
            <w:r w:rsidR="0024159D" w:rsidRPr="0024159D">
              <w:rPr>
                <w:rFonts w:ascii="Arial Narrow" w:hAnsi="Arial Narrow"/>
                <w:sz w:val="2"/>
                <w:highlight w:val="black"/>
              </w:rPr>
              <w:t>redacted content</w:t>
            </w:r>
            <w:r w:rsidR="00283D8A">
              <w:rPr>
                <w:rFonts w:ascii="Arial Narrow" w:hAnsi="Arial Narrow"/>
                <w:vertAlign w:val="superscript"/>
              </w:rPr>
              <w:t>1</w:t>
            </w:r>
          </w:p>
        </w:tc>
        <w:tc>
          <w:tcPr>
            <w:tcW w:w="1365" w:type="dxa"/>
            <w:vAlign w:val="center"/>
          </w:tcPr>
          <w:p w14:paraId="60932E6F" w14:textId="45FD67D0" w:rsidR="007358AE" w:rsidRPr="00B62CD3" w:rsidRDefault="00B571FA" w:rsidP="00F36268">
            <w:pPr>
              <w:pStyle w:val="Tabletext0"/>
              <w:jc w:val="center"/>
              <w:rPr>
                <w:rFonts w:ascii="Arial Narrow" w:hAnsi="Arial Narrow"/>
              </w:rPr>
            </w:pPr>
            <w:r>
              <w:rPr>
                <w:rFonts w:ascii="Arial Narrow" w:hAnsi="Arial Narrow"/>
              </w:rPr>
              <w:noBreakHyphen/>
            </w:r>
          </w:p>
        </w:tc>
      </w:tr>
      <w:tr w:rsidR="007358AE" w:rsidRPr="00B62CD3" w14:paraId="32DDCEF2" w14:textId="77777777" w:rsidTr="00DE3B78">
        <w:trPr>
          <w:cantSplit/>
        </w:trPr>
        <w:tc>
          <w:tcPr>
            <w:tcW w:w="3517" w:type="dxa"/>
          </w:tcPr>
          <w:p w14:paraId="255CD3EC" w14:textId="77777777" w:rsidR="007358AE" w:rsidRPr="00B62CD3" w:rsidRDefault="007358AE" w:rsidP="00F36268">
            <w:pPr>
              <w:pStyle w:val="Tabletext0"/>
              <w:rPr>
                <w:rFonts w:ascii="Arial Narrow" w:hAnsi="Arial Narrow"/>
              </w:rPr>
            </w:pPr>
            <w:r w:rsidRPr="00B62CD3">
              <w:rPr>
                <w:rFonts w:ascii="Arial Narrow" w:hAnsi="Arial Narrow"/>
              </w:rPr>
              <w:t>Loglogistic</w:t>
            </w:r>
          </w:p>
        </w:tc>
        <w:tc>
          <w:tcPr>
            <w:tcW w:w="1400" w:type="dxa"/>
            <w:vAlign w:val="center"/>
          </w:tcPr>
          <w:p w14:paraId="753ABFC6" w14:textId="79ED31E0" w:rsidR="007358AE" w:rsidRPr="00B62CD3" w:rsidRDefault="007358AE" w:rsidP="00F36268">
            <w:pPr>
              <w:pStyle w:val="Tabletext0"/>
              <w:jc w:val="center"/>
              <w:rPr>
                <w:rFonts w:ascii="Arial Narrow" w:hAnsi="Arial Narrow"/>
              </w:rPr>
            </w:pPr>
            <w:r w:rsidRPr="00B62CD3">
              <w:rPr>
                <w:rFonts w:ascii="Arial Narrow" w:hAnsi="Arial Narrow"/>
              </w:rPr>
              <w:t>$</w:t>
            </w:r>
            <w:r w:rsidR="0024159D" w:rsidRPr="0024159D">
              <w:rPr>
                <w:rFonts w:ascii="Arial Narrow" w:hAnsi="Arial Narrow"/>
                <w:sz w:val="2"/>
                <w:highlight w:val="black"/>
              </w:rPr>
              <w:t>redacted content</w:t>
            </w:r>
          </w:p>
        </w:tc>
        <w:tc>
          <w:tcPr>
            <w:tcW w:w="1368" w:type="dxa"/>
            <w:vAlign w:val="center"/>
          </w:tcPr>
          <w:p w14:paraId="69DC143A" w14:textId="77777777" w:rsidR="007358AE" w:rsidRPr="00B62CD3" w:rsidRDefault="007358AE" w:rsidP="00F36268">
            <w:pPr>
              <w:pStyle w:val="Tabletext0"/>
              <w:jc w:val="center"/>
              <w:rPr>
                <w:rFonts w:ascii="Arial Narrow" w:hAnsi="Arial Narrow"/>
              </w:rPr>
            </w:pPr>
            <w:r w:rsidRPr="00B62CD3">
              <w:rPr>
                <w:rFonts w:ascii="Arial Narrow" w:hAnsi="Arial Narrow"/>
              </w:rPr>
              <w:t>3.507</w:t>
            </w:r>
          </w:p>
        </w:tc>
        <w:tc>
          <w:tcPr>
            <w:tcW w:w="1366" w:type="dxa"/>
            <w:vAlign w:val="center"/>
          </w:tcPr>
          <w:p w14:paraId="3B00D44E" w14:textId="4CB9DCFA" w:rsidR="007358AE" w:rsidRPr="00B11526" w:rsidRDefault="007358AE" w:rsidP="00F36268">
            <w:pPr>
              <w:pStyle w:val="Tabletext0"/>
              <w:jc w:val="center"/>
              <w:rPr>
                <w:rFonts w:ascii="Arial Narrow" w:hAnsi="Arial Narrow"/>
                <w:vertAlign w:val="superscript"/>
              </w:rPr>
            </w:pPr>
            <w:r w:rsidRPr="00B62CD3">
              <w:rPr>
                <w:rFonts w:ascii="Arial Narrow" w:hAnsi="Arial Narrow"/>
              </w:rPr>
              <w:t>$</w:t>
            </w:r>
            <w:r w:rsidR="0024159D" w:rsidRPr="0024159D">
              <w:rPr>
                <w:rFonts w:ascii="Arial Narrow" w:hAnsi="Arial Narrow"/>
                <w:sz w:val="2"/>
                <w:highlight w:val="black"/>
              </w:rPr>
              <w:t>redacted content</w:t>
            </w:r>
            <w:r w:rsidR="00283D8A">
              <w:rPr>
                <w:rFonts w:ascii="Arial Narrow" w:hAnsi="Arial Narrow"/>
                <w:vertAlign w:val="superscript"/>
              </w:rPr>
              <w:t>1</w:t>
            </w:r>
          </w:p>
        </w:tc>
        <w:tc>
          <w:tcPr>
            <w:tcW w:w="1365" w:type="dxa"/>
            <w:vAlign w:val="center"/>
          </w:tcPr>
          <w:p w14:paraId="29DD8902" w14:textId="0E1CCBC4" w:rsidR="007358AE" w:rsidRPr="00B62CD3" w:rsidRDefault="007358AE" w:rsidP="00F36268">
            <w:pPr>
              <w:pStyle w:val="Tabletext0"/>
              <w:jc w:val="center"/>
              <w:rPr>
                <w:rFonts w:ascii="Arial Narrow" w:hAnsi="Arial Narrow"/>
              </w:rPr>
            </w:pPr>
            <w:r w:rsidRPr="00B62CD3">
              <w:rPr>
                <w:rFonts w:ascii="Arial Narrow" w:hAnsi="Arial Narrow"/>
              </w:rPr>
              <w:t>+</w:t>
            </w:r>
            <w:r w:rsidR="0024159D" w:rsidRPr="0024159D">
              <w:rPr>
                <w:rFonts w:ascii="Arial Narrow" w:hAnsi="Arial Narrow"/>
                <w:sz w:val="2"/>
                <w:highlight w:val="black"/>
              </w:rPr>
              <w:t>redacted content</w:t>
            </w:r>
            <w:r w:rsidRPr="00B62CD3">
              <w:rPr>
                <w:rFonts w:ascii="Arial Narrow" w:hAnsi="Arial Narrow"/>
              </w:rPr>
              <w:t>%</w:t>
            </w:r>
          </w:p>
        </w:tc>
      </w:tr>
      <w:tr w:rsidR="007358AE" w:rsidRPr="00B62CD3" w14:paraId="26198C7D" w14:textId="77777777" w:rsidTr="00DE3B78">
        <w:trPr>
          <w:cantSplit/>
        </w:trPr>
        <w:tc>
          <w:tcPr>
            <w:tcW w:w="9016" w:type="dxa"/>
            <w:gridSpan w:val="5"/>
            <w:vAlign w:val="center"/>
          </w:tcPr>
          <w:p w14:paraId="0258DCC1" w14:textId="64D61138" w:rsidR="007358AE" w:rsidRPr="00B62CD3" w:rsidRDefault="007358AE" w:rsidP="00F36268">
            <w:pPr>
              <w:pStyle w:val="Tabletext0"/>
              <w:rPr>
                <w:rFonts w:ascii="Arial Narrow" w:hAnsi="Arial Narrow"/>
                <w:b/>
                <w:bCs/>
              </w:rPr>
            </w:pPr>
            <w:r w:rsidRPr="00B62CD3">
              <w:rPr>
                <w:rFonts w:ascii="Arial Narrow" w:hAnsi="Arial Narrow"/>
                <w:b/>
                <w:bCs/>
              </w:rPr>
              <w:t>Parametric function fitted to post</w:t>
            </w:r>
            <w:r w:rsidR="00B571FA">
              <w:rPr>
                <w:rFonts w:ascii="Arial Narrow" w:hAnsi="Arial Narrow"/>
                <w:b/>
                <w:bCs/>
              </w:rPr>
              <w:noBreakHyphen/>
            </w:r>
            <w:r w:rsidRPr="00B62CD3">
              <w:rPr>
                <w:rFonts w:ascii="Arial Narrow" w:hAnsi="Arial Narrow"/>
                <w:b/>
                <w:bCs/>
              </w:rPr>
              <w:t>progression survival (base case = Gompertz)</w:t>
            </w:r>
          </w:p>
        </w:tc>
      </w:tr>
      <w:tr w:rsidR="007358AE" w:rsidRPr="00B62CD3" w14:paraId="370AA234" w14:textId="77777777" w:rsidTr="00DE3B78">
        <w:trPr>
          <w:cantSplit/>
        </w:trPr>
        <w:tc>
          <w:tcPr>
            <w:tcW w:w="3517" w:type="dxa"/>
          </w:tcPr>
          <w:p w14:paraId="3D2F6FFA" w14:textId="77777777" w:rsidR="007358AE" w:rsidRPr="00B62CD3" w:rsidRDefault="007358AE" w:rsidP="00F36268">
            <w:pPr>
              <w:pStyle w:val="Tabletext0"/>
              <w:rPr>
                <w:rFonts w:ascii="Arial Narrow" w:hAnsi="Arial Narrow"/>
              </w:rPr>
            </w:pPr>
            <w:r w:rsidRPr="00B62CD3">
              <w:rPr>
                <w:rFonts w:ascii="Arial Narrow" w:hAnsi="Arial Narrow"/>
              </w:rPr>
              <w:t>Exponential</w:t>
            </w:r>
          </w:p>
        </w:tc>
        <w:tc>
          <w:tcPr>
            <w:tcW w:w="1400" w:type="dxa"/>
            <w:vAlign w:val="center"/>
          </w:tcPr>
          <w:p w14:paraId="5FE7AF1F" w14:textId="06F14B38" w:rsidR="007358AE" w:rsidRPr="00B62CD3" w:rsidRDefault="007358AE" w:rsidP="00F36268">
            <w:pPr>
              <w:pStyle w:val="Tabletext0"/>
              <w:jc w:val="center"/>
              <w:rPr>
                <w:rFonts w:ascii="Arial Narrow" w:hAnsi="Arial Narrow"/>
              </w:rPr>
            </w:pPr>
            <w:r w:rsidRPr="00B62CD3">
              <w:rPr>
                <w:rFonts w:ascii="Arial Narrow" w:hAnsi="Arial Narrow"/>
              </w:rPr>
              <w:t>$</w:t>
            </w:r>
            <w:r w:rsidR="0024159D" w:rsidRPr="0024159D">
              <w:rPr>
                <w:rFonts w:ascii="Arial Narrow" w:hAnsi="Arial Narrow"/>
                <w:sz w:val="2"/>
                <w:highlight w:val="black"/>
              </w:rPr>
              <w:t>redacted content</w:t>
            </w:r>
          </w:p>
        </w:tc>
        <w:tc>
          <w:tcPr>
            <w:tcW w:w="1368" w:type="dxa"/>
            <w:vAlign w:val="center"/>
          </w:tcPr>
          <w:p w14:paraId="56362847" w14:textId="77777777" w:rsidR="007358AE" w:rsidRPr="00B62CD3" w:rsidRDefault="007358AE" w:rsidP="00F36268">
            <w:pPr>
              <w:pStyle w:val="Tabletext0"/>
              <w:jc w:val="center"/>
              <w:rPr>
                <w:rFonts w:ascii="Arial Narrow" w:hAnsi="Arial Narrow"/>
              </w:rPr>
            </w:pPr>
            <w:r w:rsidRPr="00B62CD3">
              <w:rPr>
                <w:rFonts w:ascii="Arial Narrow" w:hAnsi="Arial Narrow"/>
              </w:rPr>
              <w:t>3.251</w:t>
            </w:r>
          </w:p>
        </w:tc>
        <w:tc>
          <w:tcPr>
            <w:tcW w:w="1366" w:type="dxa"/>
            <w:vAlign w:val="center"/>
          </w:tcPr>
          <w:p w14:paraId="76B41AD5" w14:textId="1F52079F" w:rsidR="007358AE" w:rsidRPr="00B11526" w:rsidRDefault="007358AE" w:rsidP="00F36268">
            <w:pPr>
              <w:pStyle w:val="Tabletext0"/>
              <w:jc w:val="center"/>
              <w:rPr>
                <w:rFonts w:ascii="Arial Narrow" w:hAnsi="Arial Narrow"/>
                <w:vertAlign w:val="superscript"/>
              </w:rPr>
            </w:pPr>
            <w:r w:rsidRPr="00B62CD3">
              <w:rPr>
                <w:rFonts w:ascii="Arial Narrow" w:hAnsi="Arial Narrow"/>
              </w:rPr>
              <w:t>$</w:t>
            </w:r>
            <w:r w:rsidR="0024159D" w:rsidRPr="0024159D">
              <w:rPr>
                <w:rFonts w:ascii="Arial Narrow" w:hAnsi="Arial Narrow"/>
                <w:sz w:val="2"/>
                <w:highlight w:val="black"/>
              </w:rPr>
              <w:t>redacted content</w:t>
            </w:r>
            <w:r w:rsidR="00283D8A">
              <w:rPr>
                <w:rFonts w:ascii="Arial Narrow" w:hAnsi="Arial Narrow"/>
                <w:vertAlign w:val="superscript"/>
              </w:rPr>
              <w:t>1</w:t>
            </w:r>
          </w:p>
        </w:tc>
        <w:tc>
          <w:tcPr>
            <w:tcW w:w="1365" w:type="dxa"/>
            <w:vAlign w:val="center"/>
          </w:tcPr>
          <w:p w14:paraId="767664EC" w14:textId="4627DB1A" w:rsidR="007358AE" w:rsidRPr="00B62CD3" w:rsidRDefault="007358AE" w:rsidP="00F36268">
            <w:pPr>
              <w:pStyle w:val="Tabletext0"/>
              <w:jc w:val="center"/>
              <w:rPr>
                <w:rFonts w:ascii="Arial Narrow" w:hAnsi="Arial Narrow"/>
              </w:rPr>
            </w:pPr>
            <w:r w:rsidRPr="00B62CD3">
              <w:rPr>
                <w:rFonts w:ascii="Arial Narrow" w:hAnsi="Arial Narrow"/>
              </w:rPr>
              <w:t>+</w:t>
            </w:r>
            <w:r w:rsidR="0024159D" w:rsidRPr="0024159D">
              <w:rPr>
                <w:rFonts w:ascii="Arial Narrow" w:hAnsi="Arial Narrow"/>
                <w:sz w:val="2"/>
                <w:highlight w:val="black"/>
              </w:rPr>
              <w:t>redacted content</w:t>
            </w:r>
            <w:r w:rsidRPr="00B62CD3">
              <w:rPr>
                <w:rFonts w:ascii="Arial Narrow" w:hAnsi="Arial Narrow"/>
              </w:rPr>
              <w:t>%</w:t>
            </w:r>
          </w:p>
        </w:tc>
      </w:tr>
      <w:tr w:rsidR="007358AE" w:rsidRPr="00B62CD3" w14:paraId="2DC8750C" w14:textId="77777777" w:rsidTr="00DE3B78">
        <w:trPr>
          <w:cantSplit/>
        </w:trPr>
        <w:tc>
          <w:tcPr>
            <w:tcW w:w="3517" w:type="dxa"/>
          </w:tcPr>
          <w:p w14:paraId="2DFD7118" w14:textId="77777777" w:rsidR="007358AE" w:rsidRPr="00B62CD3" w:rsidRDefault="007358AE" w:rsidP="00F36268">
            <w:pPr>
              <w:pStyle w:val="Tabletext0"/>
              <w:rPr>
                <w:rFonts w:ascii="Arial Narrow" w:hAnsi="Arial Narrow"/>
              </w:rPr>
            </w:pPr>
            <w:r w:rsidRPr="00B62CD3">
              <w:rPr>
                <w:rFonts w:ascii="Arial Narrow" w:hAnsi="Arial Narrow"/>
              </w:rPr>
              <w:t>Weibull</w:t>
            </w:r>
          </w:p>
        </w:tc>
        <w:tc>
          <w:tcPr>
            <w:tcW w:w="1400" w:type="dxa"/>
            <w:vAlign w:val="center"/>
          </w:tcPr>
          <w:p w14:paraId="6EE87524" w14:textId="56443860" w:rsidR="007358AE" w:rsidRPr="00B11526" w:rsidRDefault="007358AE" w:rsidP="00F36268">
            <w:pPr>
              <w:pStyle w:val="Tabletext0"/>
              <w:jc w:val="center"/>
              <w:rPr>
                <w:rFonts w:ascii="Arial Narrow" w:hAnsi="Arial Narrow"/>
                <w:highlight w:val="darkGray"/>
              </w:rPr>
            </w:pPr>
            <w:r w:rsidRPr="00B2712F">
              <w:rPr>
                <w:rFonts w:ascii="Arial Narrow" w:hAnsi="Arial Narrow"/>
              </w:rPr>
              <w:t>$</w:t>
            </w:r>
            <w:r w:rsidR="0024159D" w:rsidRPr="0024159D">
              <w:rPr>
                <w:rFonts w:ascii="Arial Narrow" w:hAnsi="Arial Narrow"/>
                <w:sz w:val="2"/>
                <w:highlight w:val="black"/>
              </w:rPr>
              <w:t>redacted content</w:t>
            </w:r>
          </w:p>
        </w:tc>
        <w:tc>
          <w:tcPr>
            <w:tcW w:w="1368" w:type="dxa"/>
            <w:vAlign w:val="center"/>
          </w:tcPr>
          <w:p w14:paraId="66E2D498" w14:textId="77777777" w:rsidR="007358AE" w:rsidRPr="00B62CD3" w:rsidRDefault="007358AE" w:rsidP="00F36268">
            <w:pPr>
              <w:pStyle w:val="Tabletext0"/>
              <w:jc w:val="center"/>
              <w:rPr>
                <w:rFonts w:ascii="Arial Narrow" w:hAnsi="Arial Narrow"/>
              </w:rPr>
            </w:pPr>
            <w:r w:rsidRPr="00B62CD3">
              <w:rPr>
                <w:rFonts w:ascii="Arial Narrow" w:hAnsi="Arial Narrow"/>
              </w:rPr>
              <w:t>3.433</w:t>
            </w:r>
          </w:p>
        </w:tc>
        <w:tc>
          <w:tcPr>
            <w:tcW w:w="1366" w:type="dxa"/>
            <w:vAlign w:val="center"/>
          </w:tcPr>
          <w:p w14:paraId="2702C86D" w14:textId="6318F3E8" w:rsidR="007358AE" w:rsidRPr="00B11526" w:rsidRDefault="007358AE" w:rsidP="00F36268">
            <w:pPr>
              <w:pStyle w:val="Tabletext0"/>
              <w:jc w:val="center"/>
              <w:rPr>
                <w:rFonts w:ascii="Arial Narrow" w:hAnsi="Arial Narrow"/>
                <w:vertAlign w:val="superscript"/>
              </w:rPr>
            </w:pPr>
            <w:r w:rsidRPr="00B62CD3">
              <w:rPr>
                <w:rFonts w:ascii="Arial Narrow" w:hAnsi="Arial Narrow"/>
              </w:rPr>
              <w:t>$</w:t>
            </w:r>
            <w:r w:rsidR="0024159D" w:rsidRPr="0024159D">
              <w:rPr>
                <w:rFonts w:ascii="Arial Narrow" w:hAnsi="Arial Narrow"/>
                <w:sz w:val="2"/>
                <w:highlight w:val="black"/>
              </w:rPr>
              <w:t>redacted content</w:t>
            </w:r>
            <w:r w:rsidR="00283D8A">
              <w:rPr>
                <w:rFonts w:ascii="Arial Narrow" w:hAnsi="Arial Narrow"/>
                <w:vertAlign w:val="superscript"/>
              </w:rPr>
              <w:t>1</w:t>
            </w:r>
          </w:p>
        </w:tc>
        <w:tc>
          <w:tcPr>
            <w:tcW w:w="1365" w:type="dxa"/>
            <w:vAlign w:val="center"/>
          </w:tcPr>
          <w:p w14:paraId="30CFC515" w14:textId="187E5202" w:rsidR="007358AE" w:rsidRPr="00B62CD3" w:rsidRDefault="007358AE" w:rsidP="00F36268">
            <w:pPr>
              <w:pStyle w:val="Tabletext0"/>
              <w:jc w:val="center"/>
              <w:rPr>
                <w:rFonts w:ascii="Arial Narrow" w:hAnsi="Arial Narrow"/>
              </w:rPr>
            </w:pPr>
            <w:r w:rsidRPr="00B62CD3">
              <w:rPr>
                <w:rFonts w:ascii="Arial Narrow" w:hAnsi="Arial Narrow"/>
              </w:rPr>
              <w:t>+</w:t>
            </w:r>
            <w:r w:rsidR="0024159D" w:rsidRPr="0024159D">
              <w:rPr>
                <w:rFonts w:ascii="Arial Narrow" w:hAnsi="Arial Narrow"/>
                <w:sz w:val="2"/>
                <w:highlight w:val="black"/>
              </w:rPr>
              <w:t>redacted content</w:t>
            </w:r>
            <w:r w:rsidRPr="00B62CD3">
              <w:rPr>
                <w:rFonts w:ascii="Arial Narrow" w:hAnsi="Arial Narrow"/>
              </w:rPr>
              <w:t>%</w:t>
            </w:r>
          </w:p>
        </w:tc>
      </w:tr>
      <w:tr w:rsidR="007358AE" w:rsidRPr="00B62CD3" w14:paraId="53C43BA3" w14:textId="77777777" w:rsidTr="00DE3B78">
        <w:trPr>
          <w:cantSplit/>
        </w:trPr>
        <w:tc>
          <w:tcPr>
            <w:tcW w:w="3517" w:type="dxa"/>
          </w:tcPr>
          <w:p w14:paraId="7E3F0C98" w14:textId="77777777" w:rsidR="007358AE" w:rsidRPr="00B62CD3" w:rsidRDefault="007358AE" w:rsidP="00F36268">
            <w:pPr>
              <w:pStyle w:val="Tabletext0"/>
              <w:rPr>
                <w:rFonts w:ascii="Arial Narrow" w:hAnsi="Arial Narrow"/>
              </w:rPr>
            </w:pPr>
            <w:r w:rsidRPr="00B62CD3">
              <w:rPr>
                <w:rFonts w:ascii="Arial Narrow" w:hAnsi="Arial Narrow"/>
              </w:rPr>
              <w:t>Generalised gamma</w:t>
            </w:r>
          </w:p>
        </w:tc>
        <w:tc>
          <w:tcPr>
            <w:tcW w:w="1400" w:type="dxa"/>
            <w:vAlign w:val="center"/>
          </w:tcPr>
          <w:p w14:paraId="53D32F1C" w14:textId="09A291C3" w:rsidR="007358AE" w:rsidRPr="00B62CD3" w:rsidRDefault="007358AE" w:rsidP="00F36268">
            <w:pPr>
              <w:pStyle w:val="Tabletext0"/>
              <w:jc w:val="center"/>
              <w:rPr>
                <w:rFonts w:ascii="Arial Narrow" w:hAnsi="Arial Narrow"/>
              </w:rPr>
            </w:pPr>
            <w:r w:rsidRPr="00B62CD3">
              <w:rPr>
                <w:rFonts w:ascii="Arial Narrow" w:hAnsi="Arial Narrow"/>
              </w:rPr>
              <w:t>$</w:t>
            </w:r>
            <w:r w:rsidR="0024159D" w:rsidRPr="0024159D">
              <w:rPr>
                <w:rFonts w:ascii="Arial Narrow" w:hAnsi="Arial Narrow"/>
                <w:sz w:val="2"/>
                <w:highlight w:val="black"/>
              </w:rPr>
              <w:t>redacted content</w:t>
            </w:r>
          </w:p>
        </w:tc>
        <w:tc>
          <w:tcPr>
            <w:tcW w:w="1368" w:type="dxa"/>
            <w:vAlign w:val="center"/>
          </w:tcPr>
          <w:p w14:paraId="67C323CE" w14:textId="77777777" w:rsidR="007358AE" w:rsidRPr="00B62CD3" w:rsidRDefault="007358AE" w:rsidP="00F36268">
            <w:pPr>
              <w:pStyle w:val="Tabletext0"/>
              <w:jc w:val="center"/>
              <w:rPr>
                <w:rFonts w:ascii="Arial Narrow" w:hAnsi="Arial Narrow"/>
              </w:rPr>
            </w:pPr>
            <w:r w:rsidRPr="00B62CD3">
              <w:rPr>
                <w:rFonts w:ascii="Arial Narrow" w:hAnsi="Arial Narrow"/>
              </w:rPr>
              <w:t>3.585</w:t>
            </w:r>
          </w:p>
        </w:tc>
        <w:tc>
          <w:tcPr>
            <w:tcW w:w="1366" w:type="dxa"/>
            <w:vAlign w:val="center"/>
          </w:tcPr>
          <w:p w14:paraId="44417F7C" w14:textId="7914D2B0" w:rsidR="007358AE" w:rsidRPr="00B11526" w:rsidRDefault="007358AE" w:rsidP="00F36268">
            <w:pPr>
              <w:pStyle w:val="Tabletext0"/>
              <w:jc w:val="center"/>
              <w:rPr>
                <w:rFonts w:ascii="Arial Narrow" w:hAnsi="Arial Narrow"/>
                <w:vertAlign w:val="superscript"/>
              </w:rPr>
            </w:pPr>
            <w:r w:rsidRPr="00B62CD3">
              <w:rPr>
                <w:rFonts w:ascii="Arial Narrow" w:hAnsi="Arial Narrow"/>
              </w:rPr>
              <w:t>$</w:t>
            </w:r>
            <w:r w:rsidR="0024159D" w:rsidRPr="0024159D">
              <w:rPr>
                <w:rFonts w:ascii="Arial Narrow" w:hAnsi="Arial Narrow"/>
                <w:sz w:val="2"/>
                <w:highlight w:val="black"/>
              </w:rPr>
              <w:t>redacted content</w:t>
            </w:r>
            <w:r w:rsidR="00283D8A">
              <w:rPr>
                <w:rFonts w:ascii="Arial Narrow" w:hAnsi="Arial Narrow"/>
                <w:vertAlign w:val="superscript"/>
              </w:rPr>
              <w:t>1</w:t>
            </w:r>
          </w:p>
        </w:tc>
        <w:tc>
          <w:tcPr>
            <w:tcW w:w="1365" w:type="dxa"/>
            <w:vAlign w:val="center"/>
          </w:tcPr>
          <w:p w14:paraId="1FC4963C" w14:textId="6C653708" w:rsidR="007358AE" w:rsidRPr="00B62CD3" w:rsidRDefault="00B571FA" w:rsidP="00F36268">
            <w:pPr>
              <w:pStyle w:val="Tabletext0"/>
              <w:jc w:val="center"/>
              <w:rPr>
                <w:rFonts w:ascii="Arial Narrow" w:hAnsi="Arial Narrow"/>
              </w:rPr>
            </w:pPr>
            <w:r>
              <w:rPr>
                <w:rFonts w:ascii="Arial Narrow" w:hAnsi="Arial Narrow"/>
              </w:rPr>
              <w:noBreakHyphen/>
            </w:r>
            <w:r w:rsidR="0024159D" w:rsidRPr="0024159D">
              <w:rPr>
                <w:rFonts w:ascii="Arial Narrow" w:hAnsi="Arial Narrow"/>
                <w:sz w:val="2"/>
                <w:highlight w:val="black"/>
              </w:rPr>
              <w:t>redacted content</w:t>
            </w:r>
            <w:r w:rsidR="007358AE" w:rsidRPr="00B62CD3">
              <w:rPr>
                <w:rFonts w:ascii="Arial Narrow" w:hAnsi="Arial Narrow"/>
              </w:rPr>
              <w:t>%</w:t>
            </w:r>
          </w:p>
        </w:tc>
      </w:tr>
      <w:tr w:rsidR="007358AE" w:rsidRPr="00B62CD3" w14:paraId="6C225F91" w14:textId="77777777" w:rsidTr="00DE3B78">
        <w:trPr>
          <w:cantSplit/>
        </w:trPr>
        <w:tc>
          <w:tcPr>
            <w:tcW w:w="3517" w:type="dxa"/>
          </w:tcPr>
          <w:p w14:paraId="2A30ACC4" w14:textId="77777777" w:rsidR="007358AE" w:rsidRPr="00B62CD3" w:rsidRDefault="007358AE" w:rsidP="00F36268">
            <w:pPr>
              <w:pStyle w:val="Tabletext0"/>
              <w:rPr>
                <w:rFonts w:ascii="Arial Narrow" w:hAnsi="Arial Narrow"/>
              </w:rPr>
            </w:pPr>
            <w:r w:rsidRPr="00B62CD3">
              <w:rPr>
                <w:rFonts w:ascii="Arial Narrow" w:hAnsi="Arial Narrow"/>
              </w:rPr>
              <w:t>Lognormal</w:t>
            </w:r>
          </w:p>
        </w:tc>
        <w:tc>
          <w:tcPr>
            <w:tcW w:w="1400" w:type="dxa"/>
            <w:vAlign w:val="center"/>
          </w:tcPr>
          <w:p w14:paraId="286098CC" w14:textId="654F82FD" w:rsidR="007358AE" w:rsidRPr="00B11526" w:rsidRDefault="007358AE" w:rsidP="00F36268">
            <w:pPr>
              <w:pStyle w:val="Tabletext0"/>
              <w:jc w:val="center"/>
              <w:rPr>
                <w:rFonts w:ascii="Arial Narrow" w:hAnsi="Arial Narrow"/>
                <w:highlight w:val="darkGray"/>
              </w:rPr>
            </w:pPr>
            <w:r w:rsidRPr="00B2712F">
              <w:rPr>
                <w:rFonts w:ascii="Arial Narrow" w:hAnsi="Arial Narrow"/>
              </w:rPr>
              <w:t>$</w:t>
            </w:r>
            <w:r w:rsidR="0024159D" w:rsidRPr="0024159D">
              <w:rPr>
                <w:rFonts w:ascii="Arial Narrow" w:hAnsi="Arial Narrow"/>
                <w:sz w:val="2"/>
                <w:highlight w:val="black"/>
              </w:rPr>
              <w:t>redacted content</w:t>
            </w:r>
          </w:p>
        </w:tc>
        <w:tc>
          <w:tcPr>
            <w:tcW w:w="1368" w:type="dxa"/>
            <w:vAlign w:val="center"/>
          </w:tcPr>
          <w:p w14:paraId="1CD2896D" w14:textId="77777777" w:rsidR="007358AE" w:rsidRPr="00B62CD3" w:rsidRDefault="007358AE" w:rsidP="00F36268">
            <w:pPr>
              <w:pStyle w:val="Tabletext0"/>
              <w:jc w:val="center"/>
              <w:rPr>
                <w:rFonts w:ascii="Arial Narrow" w:hAnsi="Arial Narrow"/>
              </w:rPr>
            </w:pPr>
            <w:r w:rsidRPr="00B62CD3">
              <w:rPr>
                <w:rFonts w:ascii="Arial Narrow" w:hAnsi="Arial Narrow"/>
              </w:rPr>
              <w:t>3.206</w:t>
            </w:r>
          </w:p>
        </w:tc>
        <w:tc>
          <w:tcPr>
            <w:tcW w:w="1366" w:type="dxa"/>
            <w:vAlign w:val="center"/>
          </w:tcPr>
          <w:p w14:paraId="53EEE0BB" w14:textId="44469CA8" w:rsidR="007358AE" w:rsidRPr="00B11526" w:rsidRDefault="007358AE" w:rsidP="00F36268">
            <w:pPr>
              <w:pStyle w:val="Tabletext0"/>
              <w:jc w:val="center"/>
              <w:rPr>
                <w:rFonts w:ascii="Arial Narrow" w:hAnsi="Arial Narrow"/>
                <w:vertAlign w:val="superscript"/>
              </w:rPr>
            </w:pPr>
            <w:r w:rsidRPr="00B62CD3">
              <w:rPr>
                <w:rFonts w:ascii="Arial Narrow" w:hAnsi="Arial Narrow"/>
              </w:rPr>
              <w:t>$</w:t>
            </w:r>
            <w:r w:rsidR="0024159D" w:rsidRPr="0024159D">
              <w:rPr>
                <w:rFonts w:ascii="Arial Narrow" w:hAnsi="Arial Narrow"/>
                <w:sz w:val="2"/>
                <w:highlight w:val="black"/>
              </w:rPr>
              <w:t>redacted content</w:t>
            </w:r>
            <w:r w:rsidR="00283D8A">
              <w:rPr>
                <w:rFonts w:ascii="Arial Narrow" w:hAnsi="Arial Narrow"/>
                <w:vertAlign w:val="superscript"/>
              </w:rPr>
              <w:t>1</w:t>
            </w:r>
          </w:p>
        </w:tc>
        <w:tc>
          <w:tcPr>
            <w:tcW w:w="1365" w:type="dxa"/>
            <w:vAlign w:val="center"/>
          </w:tcPr>
          <w:p w14:paraId="0E304060" w14:textId="3AB606C2" w:rsidR="007358AE" w:rsidRPr="00B62CD3" w:rsidRDefault="007358AE" w:rsidP="00F36268">
            <w:pPr>
              <w:pStyle w:val="Tabletext0"/>
              <w:jc w:val="center"/>
              <w:rPr>
                <w:rFonts w:ascii="Arial Narrow" w:hAnsi="Arial Narrow"/>
              </w:rPr>
            </w:pPr>
            <w:r w:rsidRPr="00B62CD3">
              <w:rPr>
                <w:rFonts w:ascii="Arial Narrow" w:hAnsi="Arial Narrow"/>
              </w:rPr>
              <w:t>+</w:t>
            </w:r>
            <w:r w:rsidR="0024159D" w:rsidRPr="0024159D">
              <w:rPr>
                <w:rFonts w:ascii="Arial Narrow" w:hAnsi="Arial Narrow"/>
                <w:sz w:val="2"/>
                <w:highlight w:val="black"/>
              </w:rPr>
              <w:t>redacted content</w:t>
            </w:r>
            <w:r w:rsidRPr="00B62CD3">
              <w:rPr>
                <w:rFonts w:ascii="Arial Narrow" w:hAnsi="Arial Narrow"/>
              </w:rPr>
              <w:t>%</w:t>
            </w:r>
          </w:p>
        </w:tc>
      </w:tr>
      <w:tr w:rsidR="007358AE" w:rsidRPr="00B62CD3" w14:paraId="62FE119A" w14:textId="77777777" w:rsidTr="00DE3B78">
        <w:trPr>
          <w:cantSplit/>
        </w:trPr>
        <w:tc>
          <w:tcPr>
            <w:tcW w:w="3517" w:type="dxa"/>
          </w:tcPr>
          <w:p w14:paraId="7DB91C75" w14:textId="77777777" w:rsidR="007358AE" w:rsidRPr="00B62CD3" w:rsidRDefault="007358AE" w:rsidP="00F36268">
            <w:pPr>
              <w:pStyle w:val="Tabletext0"/>
              <w:rPr>
                <w:rFonts w:ascii="Arial Narrow" w:hAnsi="Arial Narrow"/>
              </w:rPr>
            </w:pPr>
            <w:r w:rsidRPr="00B62CD3">
              <w:rPr>
                <w:rFonts w:ascii="Arial Narrow" w:hAnsi="Arial Narrow"/>
              </w:rPr>
              <w:t>Loglogistic</w:t>
            </w:r>
          </w:p>
        </w:tc>
        <w:tc>
          <w:tcPr>
            <w:tcW w:w="1400" w:type="dxa"/>
            <w:vAlign w:val="center"/>
          </w:tcPr>
          <w:p w14:paraId="4185AC2A" w14:textId="25923FAC" w:rsidR="007358AE" w:rsidRPr="00B11526" w:rsidRDefault="007358AE" w:rsidP="00F36268">
            <w:pPr>
              <w:pStyle w:val="Tabletext0"/>
              <w:jc w:val="center"/>
              <w:rPr>
                <w:rFonts w:ascii="Arial Narrow" w:hAnsi="Arial Narrow"/>
                <w:highlight w:val="darkGray"/>
              </w:rPr>
            </w:pPr>
            <w:r w:rsidRPr="00B2712F">
              <w:rPr>
                <w:rFonts w:ascii="Arial Narrow" w:hAnsi="Arial Narrow"/>
              </w:rPr>
              <w:t>$</w:t>
            </w:r>
            <w:r w:rsidR="0024159D" w:rsidRPr="0024159D">
              <w:rPr>
                <w:rFonts w:ascii="Arial Narrow" w:hAnsi="Arial Narrow"/>
                <w:sz w:val="2"/>
                <w:highlight w:val="black"/>
              </w:rPr>
              <w:t>redacted content</w:t>
            </w:r>
          </w:p>
        </w:tc>
        <w:tc>
          <w:tcPr>
            <w:tcW w:w="1368" w:type="dxa"/>
            <w:vAlign w:val="center"/>
          </w:tcPr>
          <w:p w14:paraId="402AA43E" w14:textId="77777777" w:rsidR="007358AE" w:rsidRPr="00B62CD3" w:rsidRDefault="007358AE" w:rsidP="00F36268">
            <w:pPr>
              <w:pStyle w:val="Tabletext0"/>
              <w:jc w:val="center"/>
              <w:rPr>
                <w:rFonts w:ascii="Arial Narrow" w:hAnsi="Arial Narrow"/>
              </w:rPr>
            </w:pPr>
            <w:r w:rsidRPr="00B62CD3">
              <w:rPr>
                <w:rFonts w:ascii="Arial Narrow" w:hAnsi="Arial Narrow"/>
              </w:rPr>
              <w:t>3.268</w:t>
            </w:r>
          </w:p>
        </w:tc>
        <w:tc>
          <w:tcPr>
            <w:tcW w:w="1366" w:type="dxa"/>
            <w:vAlign w:val="center"/>
          </w:tcPr>
          <w:p w14:paraId="3EEBC853" w14:textId="29C280A9" w:rsidR="007358AE" w:rsidRPr="00B11526" w:rsidRDefault="007358AE" w:rsidP="00F36268">
            <w:pPr>
              <w:pStyle w:val="Tabletext0"/>
              <w:jc w:val="center"/>
              <w:rPr>
                <w:rFonts w:ascii="Arial Narrow" w:hAnsi="Arial Narrow"/>
                <w:vertAlign w:val="superscript"/>
              </w:rPr>
            </w:pPr>
            <w:r w:rsidRPr="00B62CD3">
              <w:rPr>
                <w:rFonts w:ascii="Arial Narrow" w:hAnsi="Arial Narrow"/>
              </w:rPr>
              <w:t>$</w:t>
            </w:r>
            <w:r w:rsidR="0024159D" w:rsidRPr="0024159D">
              <w:rPr>
                <w:rFonts w:ascii="Arial Narrow" w:hAnsi="Arial Narrow"/>
                <w:sz w:val="2"/>
                <w:highlight w:val="black"/>
              </w:rPr>
              <w:t>redacted content</w:t>
            </w:r>
            <w:r w:rsidR="00283D8A">
              <w:rPr>
                <w:rFonts w:ascii="Arial Narrow" w:hAnsi="Arial Narrow"/>
                <w:vertAlign w:val="superscript"/>
              </w:rPr>
              <w:t>1</w:t>
            </w:r>
          </w:p>
        </w:tc>
        <w:tc>
          <w:tcPr>
            <w:tcW w:w="1365" w:type="dxa"/>
            <w:vAlign w:val="center"/>
          </w:tcPr>
          <w:p w14:paraId="7670DDE8" w14:textId="7F8BE582" w:rsidR="007358AE" w:rsidRPr="00B62CD3" w:rsidRDefault="007358AE" w:rsidP="00F36268">
            <w:pPr>
              <w:pStyle w:val="Tabletext0"/>
              <w:jc w:val="center"/>
              <w:rPr>
                <w:rFonts w:ascii="Arial Narrow" w:hAnsi="Arial Narrow"/>
              </w:rPr>
            </w:pPr>
            <w:r w:rsidRPr="00B62CD3">
              <w:rPr>
                <w:rFonts w:ascii="Arial Narrow" w:hAnsi="Arial Narrow"/>
              </w:rPr>
              <w:t>+</w:t>
            </w:r>
            <w:r w:rsidR="0024159D" w:rsidRPr="0024159D">
              <w:rPr>
                <w:rFonts w:ascii="Arial Narrow" w:hAnsi="Arial Narrow"/>
                <w:sz w:val="2"/>
                <w:highlight w:val="black"/>
              </w:rPr>
              <w:t>redacted content</w:t>
            </w:r>
            <w:r w:rsidRPr="00B62CD3">
              <w:rPr>
                <w:rFonts w:ascii="Arial Narrow" w:hAnsi="Arial Narrow"/>
              </w:rPr>
              <w:t>%</w:t>
            </w:r>
          </w:p>
        </w:tc>
      </w:tr>
      <w:tr w:rsidR="007358AE" w:rsidRPr="00B62CD3" w14:paraId="7A3F11D0" w14:textId="77777777" w:rsidTr="00DE3B78">
        <w:trPr>
          <w:cantSplit/>
        </w:trPr>
        <w:tc>
          <w:tcPr>
            <w:tcW w:w="9016" w:type="dxa"/>
            <w:gridSpan w:val="5"/>
            <w:vAlign w:val="center"/>
          </w:tcPr>
          <w:p w14:paraId="378EBEEB" w14:textId="107D3596" w:rsidR="007358AE" w:rsidRPr="00B62CD3" w:rsidRDefault="007358AE" w:rsidP="00F36268">
            <w:pPr>
              <w:pStyle w:val="Tabletext0"/>
              <w:rPr>
                <w:rFonts w:ascii="Arial Narrow" w:hAnsi="Arial Narrow"/>
                <w:b/>
                <w:bCs/>
              </w:rPr>
            </w:pPr>
            <w:r w:rsidRPr="00B62CD3">
              <w:rPr>
                <w:rFonts w:ascii="Arial Narrow" w:hAnsi="Arial Narrow"/>
                <w:b/>
                <w:bCs/>
              </w:rPr>
              <w:t>Health state utilities (base case = progression</w:t>
            </w:r>
            <w:r w:rsidR="00B571FA">
              <w:rPr>
                <w:rFonts w:ascii="Arial Narrow" w:hAnsi="Arial Narrow"/>
                <w:b/>
                <w:bCs/>
              </w:rPr>
              <w:noBreakHyphen/>
            </w:r>
            <w:r w:rsidRPr="00B62CD3">
              <w:rPr>
                <w:rFonts w:ascii="Arial Narrow" w:hAnsi="Arial Narrow"/>
                <w:b/>
                <w:bCs/>
              </w:rPr>
              <w:t>free 0.93; post</w:t>
            </w:r>
            <w:r w:rsidR="00B571FA">
              <w:rPr>
                <w:rFonts w:ascii="Arial Narrow" w:hAnsi="Arial Narrow"/>
                <w:b/>
                <w:bCs/>
              </w:rPr>
              <w:noBreakHyphen/>
            </w:r>
            <w:r w:rsidRPr="00B62CD3">
              <w:rPr>
                <w:rFonts w:ascii="Arial Narrow" w:hAnsi="Arial Narrow"/>
                <w:b/>
                <w:bCs/>
              </w:rPr>
              <w:t>progression initially 0.93 constantly declining to 0 over 8.43 years)</w:t>
            </w:r>
          </w:p>
        </w:tc>
      </w:tr>
      <w:tr w:rsidR="007358AE" w:rsidRPr="00B62CD3" w14:paraId="0EAAA230" w14:textId="77777777" w:rsidTr="00DE3B78">
        <w:trPr>
          <w:cantSplit/>
        </w:trPr>
        <w:tc>
          <w:tcPr>
            <w:tcW w:w="3517" w:type="dxa"/>
          </w:tcPr>
          <w:p w14:paraId="609B4D99" w14:textId="77777777" w:rsidR="007358AE" w:rsidRPr="00B62CD3" w:rsidRDefault="007358AE" w:rsidP="00F36268">
            <w:pPr>
              <w:pStyle w:val="Tabletext0"/>
              <w:rPr>
                <w:rFonts w:ascii="Arial Narrow" w:hAnsi="Arial Narrow"/>
              </w:rPr>
            </w:pPr>
            <w:r w:rsidRPr="00B62CD3">
              <w:rPr>
                <w:rFonts w:ascii="Arial Narrow" w:hAnsi="Arial Narrow"/>
              </w:rPr>
              <w:t>Progression free: 0.93</w:t>
            </w:r>
          </w:p>
          <w:p w14:paraId="40FCDC4B" w14:textId="12D9198B" w:rsidR="007358AE" w:rsidRPr="00B62CD3" w:rsidRDefault="007358AE" w:rsidP="00F36268">
            <w:pPr>
              <w:pStyle w:val="Tabletext0"/>
              <w:rPr>
                <w:rFonts w:ascii="Arial Narrow" w:hAnsi="Arial Narrow"/>
              </w:rPr>
            </w:pPr>
            <w:r w:rsidRPr="00B62CD3">
              <w:rPr>
                <w:rFonts w:ascii="Arial Narrow" w:hAnsi="Arial Narrow"/>
              </w:rPr>
              <w:t>Post</w:t>
            </w:r>
            <w:r w:rsidR="00B571FA">
              <w:rPr>
                <w:rFonts w:ascii="Arial Narrow" w:hAnsi="Arial Narrow"/>
              </w:rPr>
              <w:noBreakHyphen/>
            </w:r>
            <w:r w:rsidRPr="00B62CD3">
              <w:rPr>
                <w:rFonts w:ascii="Arial Narrow" w:hAnsi="Arial Narrow"/>
              </w:rPr>
              <w:t>progression: initially 0.93 with non</w:t>
            </w:r>
            <w:r w:rsidR="00B571FA">
              <w:rPr>
                <w:rFonts w:ascii="Arial Narrow" w:hAnsi="Arial Narrow"/>
              </w:rPr>
              <w:noBreakHyphen/>
            </w:r>
            <w:r w:rsidRPr="00B62CD3">
              <w:rPr>
                <w:rFonts w:ascii="Arial Narrow" w:hAnsi="Arial Narrow"/>
              </w:rPr>
              <w:t>linear decline to 0 over 8.43 years</w:t>
            </w:r>
          </w:p>
        </w:tc>
        <w:tc>
          <w:tcPr>
            <w:tcW w:w="1400" w:type="dxa"/>
            <w:vAlign w:val="center"/>
          </w:tcPr>
          <w:p w14:paraId="3F9C10CC" w14:textId="0E4D9E25" w:rsidR="007358AE" w:rsidRPr="00B62CD3" w:rsidRDefault="007358AE" w:rsidP="00F36268">
            <w:pPr>
              <w:pStyle w:val="Tabletext0"/>
              <w:jc w:val="center"/>
              <w:rPr>
                <w:rFonts w:ascii="Arial Narrow" w:hAnsi="Arial Narrow"/>
              </w:rPr>
            </w:pPr>
            <w:r w:rsidRPr="00B62CD3">
              <w:rPr>
                <w:rFonts w:ascii="Arial Narrow" w:hAnsi="Arial Narrow"/>
              </w:rPr>
              <w:t>$</w:t>
            </w:r>
            <w:r w:rsidR="0024159D" w:rsidRPr="0024159D">
              <w:rPr>
                <w:rFonts w:ascii="Arial Narrow" w:hAnsi="Arial Narrow"/>
                <w:sz w:val="2"/>
                <w:highlight w:val="black"/>
              </w:rPr>
              <w:t>redacted content</w:t>
            </w:r>
          </w:p>
        </w:tc>
        <w:tc>
          <w:tcPr>
            <w:tcW w:w="1368" w:type="dxa"/>
            <w:vAlign w:val="center"/>
          </w:tcPr>
          <w:p w14:paraId="613D3CFF" w14:textId="77777777" w:rsidR="007358AE" w:rsidRPr="00B62CD3" w:rsidRDefault="007358AE" w:rsidP="00F36268">
            <w:pPr>
              <w:pStyle w:val="Tabletext0"/>
              <w:jc w:val="center"/>
              <w:rPr>
                <w:rFonts w:ascii="Arial Narrow" w:hAnsi="Arial Narrow"/>
              </w:rPr>
            </w:pPr>
            <w:r w:rsidRPr="00B62CD3">
              <w:rPr>
                <w:rFonts w:ascii="Arial Narrow" w:hAnsi="Arial Narrow"/>
              </w:rPr>
              <w:t>3.339</w:t>
            </w:r>
          </w:p>
        </w:tc>
        <w:tc>
          <w:tcPr>
            <w:tcW w:w="1366" w:type="dxa"/>
            <w:vAlign w:val="center"/>
          </w:tcPr>
          <w:p w14:paraId="0559E924" w14:textId="116D739B" w:rsidR="007358AE" w:rsidRPr="00B11526" w:rsidRDefault="007358AE" w:rsidP="00F36268">
            <w:pPr>
              <w:pStyle w:val="Tabletext0"/>
              <w:jc w:val="center"/>
              <w:rPr>
                <w:rFonts w:ascii="Arial Narrow" w:hAnsi="Arial Narrow"/>
                <w:vertAlign w:val="superscript"/>
              </w:rPr>
            </w:pPr>
            <w:r w:rsidRPr="00B62CD3">
              <w:rPr>
                <w:rFonts w:ascii="Arial Narrow" w:hAnsi="Arial Narrow"/>
              </w:rPr>
              <w:t>$</w:t>
            </w:r>
            <w:r w:rsidR="0024159D" w:rsidRPr="0024159D">
              <w:rPr>
                <w:rFonts w:ascii="Arial Narrow" w:hAnsi="Arial Narrow"/>
                <w:sz w:val="2"/>
                <w:highlight w:val="black"/>
              </w:rPr>
              <w:t>redacted content</w:t>
            </w:r>
            <w:r w:rsidR="00283D8A">
              <w:rPr>
                <w:rFonts w:ascii="Arial Narrow" w:hAnsi="Arial Narrow"/>
                <w:vertAlign w:val="superscript"/>
              </w:rPr>
              <w:t>1</w:t>
            </w:r>
          </w:p>
        </w:tc>
        <w:tc>
          <w:tcPr>
            <w:tcW w:w="1365" w:type="dxa"/>
            <w:vAlign w:val="center"/>
          </w:tcPr>
          <w:p w14:paraId="6551D022" w14:textId="1713EAFF" w:rsidR="007358AE" w:rsidRPr="00B62CD3" w:rsidRDefault="007358AE" w:rsidP="00F36268">
            <w:pPr>
              <w:pStyle w:val="Tabletext0"/>
              <w:jc w:val="center"/>
              <w:rPr>
                <w:rFonts w:ascii="Arial Narrow" w:hAnsi="Arial Narrow"/>
              </w:rPr>
            </w:pPr>
            <w:r w:rsidRPr="00B62CD3">
              <w:rPr>
                <w:rFonts w:ascii="Arial Narrow" w:hAnsi="Arial Narrow"/>
              </w:rPr>
              <w:t>+</w:t>
            </w:r>
            <w:r w:rsidR="0024159D" w:rsidRPr="0024159D">
              <w:rPr>
                <w:rFonts w:ascii="Arial Narrow" w:hAnsi="Arial Narrow"/>
                <w:sz w:val="2"/>
                <w:highlight w:val="black"/>
              </w:rPr>
              <w:t>redacted content</w:t>
            </w:r>
            <w:r w:rsidRPr="00B2712F">
              <w:rPr>
                <w:rFonts w:ascii="Arial Narrow" w:hAnsi="Arial Narrow"/>
              </w:rPr>
              <w:t>%</w:t>
            </w:r>
          </w:p>
        </w:tc>
      </w:tr>
      <w:tr w:rsidR="007358AE" w:rsidRPr="00B62CD3" w14:paraId="2D4C3C60" w14:textId="77777777" w:rsidTr="00DE3B78">
        <w:trPr>
          <w:cantSplit/>
        </w:trPr>
        <w:tc>
          <w:tcPr>
            <w:tcW w:w="3517" w:type="dxa"/>
          </w:tcPr>
          <w:p w14:paraId="431CCC40" w14:textId="77777777" w:rsidR="007358AE" w:rsidRPr="00B62CD3" w:rsidRDefault="007358AE" w:rsidP="00F36268">
            <w:pPr>
              <w:pStyle w:val="Tabletext0"/>
              <w:rPr>
                <w:rFonts w:ascii="Arial Narrow" w:hAnsi="Arial Narrow"/>
              </w:rPr>
            </w:pPr>
            <w:r w:rsidRPr="00B62CD3">
              <w:rPr>
                <w:rFonts w:ascii="Arial Narrow" w:hAnsi="Arial Narrow"/>
              </w:rPr>
              <w:t>Progression free: 0.93</w:t>
            </w:r>
          </w:p>
          <w:p w14:paraId="42D491A9" w14:textId="2E33AD06" w:rsidR="007358AE" w:rsidRPr="00B62CD3" w:rsidRDefault="007358AE" w:rsidP="00F36268">
            <w:pPr>
              <w:pStyle w:val="Tabletext0"/>
              <w:rPr>
                <w:rFonts w:ascii="Arial Narrow" w:hAnsi="Arial Narrow"/>
              </w:rPr>
            </w:pPr>
            <w:r w:rsidRPr="00B62CD3">
              <w:rPr>
                <w:rFonts w:ascii="Arial Narrow" w:hAnsi="Arial Narrow"/>
              </w:rPr>
              <w:t>Post</w:t>
            </w:r>
            <w:r w:rsidR="00B571FA">
              <w:rPr>
                <w:rFonts w:ascii="Arial Narrow" w:hAnsi="Arial Narrow"/>
              </w:rPr>
              <w:noBreakHyphen/>
            </w:r>
            <w:r w:rsidRPr="00B62CD3">
              <w:rPr>
                <w:rFonts w:ascii="Arial Narrow" w:hAnsi="Arial Narrow"/>
              </w:rPr>
              <w:t xml:space="preserve">progression: initially 0.73 with linear decline to 0 over 8.43 years </w:t>
            </w:r>
          </w:p>
        </w:tc>
        <w:tc>
          <w:tcPr>
            <w:tcW w:w="1400" w:type="dxa"/>
            <w:vAlign w:val="center"/>
          </w:tcPr>
          <w:p w14:paraId="6FE4D523" w14:textId="734C4ABB" w:rsidR="007358AE" w:rsidRPr="00B62CD3" w:rsidRDefault="007358AE" w:rsidP="00F36268">
            <w:pPr>
              <w:pStyle w:val="Tabletext0"/>
              <w:jc w:val="center"/>
              <w:rPr>
                <w:rFonts w:ascii="Arial Narrow" w:hAnsi="Arial Narrow"/>
              </w:rPr>
            </w:pPr>
            <w:r w:rsidRPr="00B62CD3">
              <w:rPr>
                <w:rFonts w:ascii="Arial Narrow" w:hAnsi="Arial Narrow"/>
              </w:rPr>
              <w:t>$</w:t>
            </w:r>
            <w:r w:rsidR="0024159D" w:rsidRPr="0024159D">
              <w:rPr>
                <w:rFonts w:ascii="Arial Narrow" w:hAnsi="Arial Narrow"/>
                <w:sz w:val="2"/>
                <w:highlight w:val="black"/>
              </w:rPr>
              <w:t>redacted content</w:t>
            </w:r>
          </w:p>
        </w:tc>
        <w:tc>
          <w:tcPr>
            <w:tcW w:w="1368" w:type="dxa"/>
            <w:vAlign w:val="center"/>
          </w:tcPr>
          <w:p w14:paraId="38D18A43" w14:textId="77777777" w:rsidR="007358AE" w:rsidRPr="00B62CD3" w:rsidRDefault="007358AE" w:rsidP="00F36268">
            <w:pPr>
              <w:pStyle w:val="Tabletext0"/>
              <w:jc w:val="center"/>
              <w:rPr>
                <w:rFonts w:ascii="Arial Narrow" w:hAnsi="Arial Narrow"/>
              </w:rPr>
            </w:pPr>
            <w:r w:rsidRPr="00B62CD3">
              <w:rPr>
                <w:rFonts w:ascii="Arial Narrow" w:hAnsi="Arial Narrow"/>
              </w:rPr>
              <w:t>3.721</w:t>
            </w:r>
          </w:p>
        </w:tc>
        <w:tc>
          <w:tcPr>
            <w:tcW w:w="1366" w:type="dxa"/>
            <w:vAlign w:val="center"/>
          </w:tcPr>
          <w:p w14:paraId="59B21191" w14:textId="1DF56905" w:rsidR="007358AE" w:rsidRPr="00B11526" w:rsidRDefault="007358AE" w:rsidP="00F36268">
            <w:pPr>
              <w:pStyle w:val="Tabletext0"/>
              <w:jc w:val="center"/>
              <w:rPr>
                <w:rFonts w:ascii="Arial Narrow" w:hAnsi="Arial Narrow"/>
                <w:vertAlign w:val="superscript"/>
              </w:rPr>
            </w:pPr>
            <w:r w:rsidRPr="00B62CD3">
              <w:rPr>
                <w:rFonts w:ascii="Arial Narrow" w:hAnsi="Arial Narrow"/>
              </w:rPr>
              <w:t>$</w:t>
            </w:r>
            <w:r w:rsidR="0024159D" w:rsidRPr="0024159D">
              <w:rPr>
                <w:rFonts w:ascii="Arial Narrow" w:hAnsi="Arial Narrow"/>
                <w:sz w:val="2"/>
                <w:highlight w:val="black"/>
              </w:rPr>
              <w:t>redacted content</w:t>
            </w:r>
            <w:r w:rsidR="00283D8A">
              <w:rPr>
                <w:rFonts w:ascii="Arial Narrow" w:hAnsi="Arial Narrow"/>
                <w:vertAlign w:val="superscript"/>
              </w:rPr>
              <w:t>1</w:t>
            </w:r>
          </w:p>
        </w:tc>
        <w:tc>
          <w:tcPr>
            <w:tcW w:w="1365" w:type="dxa"/>
            <w:vAlign w:val="center"/>
          </w:tcPr>
          <w:p w14:paraId="1F58D0BA" w14:textId="78CB6C38" w:rsidR="007358AE" w:rsidRPr="00B62CD3" w:rsidRDefault="00B571FA" w:rsidP="00F36268">
            <w:pPr>
              <w:pStyle w:val="Tabletext0"/>
              <w:jc w:val="center"/>
              <w:rPr>
                <w:rFonts w:ascii="Arial Narrow" w:hAnsi="Arial Narrow"/>
              </w:rPr>
            </w:pPr>
            <w:r>
              <w:rPr>
                <w:rFonts w:ascii="Arial Narrow" w:hAnsi="Arial Narrow"/>
              </w:rPr>
              <w:noBreakHyphen/>
            </w:r>
            <w:r w:rsidR="0024159D" w:rsidRPr="0024159D">
              <w:rPr>
                <w:rFonts w:ascii="Arial Narrow" w:hAnsi="Arial Narrow"/>
                <w:sz w:val="2"/>
                <w:highlight w:val="black"/>
              </w:rPr>
              <w:t>redacted content</w:t>
            </w:r>
            <w:r w:rsidR="007358AE" w:rsidRPr="00B62CD3">
              <w:rPr>
                <w:rFonts w:ascii="Arial Narrow" w:hAnsi="Arial Narrow"/>
              </w:rPr>
              <w:t>%</w:t>
            </w:r>
          </w:p>
        </w:tc>
      </w:tr>
      <w:tr w:rsidR="007358AE" w:rsidRPr="00B62CD3" w14:paraId="20242DB9" w14:textId="77777777" w:rsidTr="00DE3B78">
        <w:trPr>
          <w:cantSplit/>
        </w:trPr>
        <w:tc>
          <w:tcPr>
            <w:tcW w:w="3517" w:type="dxa"/>
          </w:tcPr>
          <w:p w14:paraId="60B4E951" w14:textId="77777777" w:rsidR="007358AE" w:rsidRPr="00B62CD3" w:rsidRDefault="007358AE" w:rsidP="00F36268">
            <w:pPr>
              <w:pStyle w:val="Tabletext0"/>
              <w:rPr>
                <w:rFonts w:ascii="Arial Narrow" w:hAnsi="Arial Narrow"/>
              </w:rPr>
            </w:pPr>
            <w:r w:rsidRPr="00B62CD3">
              <w:rPr>
                <w:rFonts w:ascii="Arial Narrow" w:hAnsi="Arial Narrow"/>
              </w:rPr>
              <w:t>Progression free: 0.93</w:t>
            </w:r>
          </w:p>
          <w:p w14:paraId="1767BC58" w14:textId="00BA3B0A" w:rsidR="007358AE" w:rsidRPr="00B62CD3" w:rsidRDefault="007358AE" w:rsidP="00F36268">
            <w:pPr>
              <w:pStyle w:val="Tabletext0"/>
              <w:rPr>
                <w:rFonts w:ascii="Arial Narrow" w:hAnsi="Arial Narrow"/>
              </w:rPr>
            </w:pPr>
            <w:r w:rsidRPr="00B62CD3">
              <w:rPr>
                <w:rFonts w:ascii="Arial Narrow" w:hAnsi="Arial Narrow"/>
              </w:rPr>
              <w:t>Post</w:t>
            </w:r>
            <w:r w:rsidR="00B571FA">
              <w:rPr>
                <w:rFonts w:ascii="Arial Narrow" w:hAnsi="Arial Narrow"/>
              </w:rPr>
              <w:noBreakHyphen/>
            </w:r>
            <w:r w:rsidRPr="00B62CD3">
              <w:rPr>
                <w:rFonts w:ascii="Arial Narrow" w:hAnsi="Arial Narrow"/>
              </w:rPr>
              <w:t>progression: initially 0.73 with non</w:t>
            </w:r>
            <w:r w:rsidR="00B571FA">
              <w:rPr>
                <w:rFonts w:ascii="Arial Narrow" w:hAnsi="Arial Narrow"/>
              </w:rPr>
              <w:noBreakHyphen/>
            </w:r>
            <w:r w:rsidRPr="00B62CD3">
              <w:rPr>
                <w:rFonts w:ascii="Arial Narrow" w:hAnsi="Arial Narrow"/>
              </w:rPr>
              <w:t>linear decline to 0 over 8.43 years</w:t>
            </w:r>
          </w:p>
        </w:tc>
        <w:tc>
          <w:tcPr>
            <w:tcW w:w="1400" w:type="dxa"/>
            <w:vAlign w:val="center"/>
          </w:tcPr>
          <w:p w14:paraId="01B12F60" w14:textId="35B7D4B3" w:rsidR="007358AE" w:rsidRPr="00B62CD3" w:rsidRDefault="007358AE" w:rsidP="00F36268">
            <w:pPr>
              <w:pStyle w:val="Tabletext0"/>
              <w:jc w:val="center"/>
              <w:rPr>
                <w:rFonts w:ascii="Arial Narrow" w:hAnsi="Arial Narrow"/>
              </w:rPr>
            </w:pPr>
            <w:r w:rsidRPr="00B62CD3">
              <w:rPr>
                <w:rFonts w:ascii="Arial Narrow" w:hAnsi="Arial Narrow"/>
              </w:rPr>
              <w:t>$</w:t>
            </w:r>
            <w:r w:rsidR="0024159D" w:rsidRPr="0024159D">
              <w:rPr>
                <w:rFonts w:ascii="Arial Narrow" w:hAnsi="Arial Narrow"/>
                <w:sz w:val="2"/>
                <w:highlight w:val="black"/>
              </w:rPr>
              <w:t>redacted content</w:t>
            </w:r>
          </w:p>
        </w:tc>
        <w:tc>
          <w:tcPr>
            <w:tcW w:w="1368" w:type="dxa"/>
            <w:vAlign w:val="center"/>
          </w:tcPr>
          <w:p w14:paraId="05731A38" w14:textId="77777777" w:rsidR="007358AE" w:rsidRPr="00B62CD3" w:rsidRDefault="007358AE" w:rsidP="00F36268">
            <w:pPr>
              <w:pStyle w:val="Tabletext0"/>
              <w:jc w:val="center"/>
              <w:rPr>
                <w:rFonts w:ascii="Arial Narrow" w:hAnsi="Arial Narrow"/>
              </w:rPr>
            </w:pPr>
            <w:r w:rsidRPr="00B62CD3">
              <w:rPr>
                <w:rFonts w:ascii="Arial Narrow" w:hAnsi="Arial Narrow"/>
              </w:rPr>
              <w:t>3.551</w:t>
            </w:r>
          </w:p>
        </w:tc>
        <w:tc>
          <w:tcPr>
            <w:tcW w:w="1366" w:type="dxa"/>
            <w:vAlign w:val="center"/>
          </w:tcPr>
          <w:p w14:paraId="2BC18D7F" w14:textId="69EE095E" w:rsidR="007358AE" w:rsidRPr="00B11526" w:rsidRDefault="007358AE" w:rsidP="00F36268">
            <w:pPr>
              <w:pStyle w:val="Tabletext0"/>
              <w:jc w:val="center"/>
              <w:rPr>
                <w:rFonts w:ascii="Arial Narrow" w:hAnsi="Arial Narrow"/>
                <w:vertAlign w:val="superscript"/>
              </w:rPr>
            </w:pPr>
            <w:r w:rsidRPr="00B62CD3">
              <w:rPr>
                <w:rFonts w:ascii="Arial Narrow" w:hAnsi="Arial Narrow"/>
              </w:rPr>
              <w:t>$</w:t>
            </w:r>
            <w:r w:rsidR="0024159D" w:rsidRPr="0024159D">
              <w:rPr>
                <w:rFonts w:ascii="Arial Narrow" w:hAnsi="Arial Narrow"/>
                <w:sz w:val="2"/>
                <w:highlight w:val="black"/>
              </w:rPr>
              <w:t>redacted content</w:t>
            </w:r>
            <w:r w:rsidR="00283D8A">
              <w:rPr>
                <w:rFonts w:ascii="Arial Narrow" w:hAnsi="Arial Narrow"/>
                <w:vertAlign w:val="superscript"/>
              </w:rPr>
              <w:t>1</w:t>
            </w:r>
          </w:p>
        </w:tc>
        <w:tc>
          <w:tcPr>
            <w:tcW w:w="1365" w:type="dxa"/>
            <w:vAlign w:val="center"/>
          </w:tcPr>
          <w:p w14:paraId="3B5DFF9E" w14:textId="139238FD" w:rsidR="007358AE" w:rsidRPr="00B62CD3" w:rsidRDefault="007358AE" w:rsidP="00F36268">
            <w:pPr>
              <w:pStyle w:val="Tabletext0"/>
              <w:jc w:val="center"/>
              <w:rPr>
                <w:rFonts w:ascii="Arial Narrow" w:hAnsi="Arial Narrow"/>
              </w:rPr>
            </w:pPr>
            <w:r w:rsidRPr="00B62CD3">
              <w:rPr>
                <w:rFonts w:ascii="Arial Narrow" w:hAnsi="Arial Narrow"/>
              </w:rPr>
              <w:t>+</w:t>
            </w:r>
            <w:r w:rsidR="0024159D" w:rsidRPr="0024159D">
              <w:rPr>
                <w:rFonts w:ascii="Arial Narrow" w:hAnsi="Arial Narrow"/>
                <w:sz w:val="2"/>
                <w:highlight w:val="black"/>
              </w:rPr>
              <w:t>redacted content</w:t>
            </w:r>
            <w:r w:rsidRPr="00B62CD3">
              <w:rPr>
                <w:rFonts w:ascii="Arial Narrow" w:hAnsi="Arial Narrow"/>
              </w:rPr>
              <w:t>%</w:t>
            </w:r>
          </w:p>
        </w:tc>
      </w:tr>
      <w:tr w:rsidR="007358AE" w:rsidRPr="00B62CD3" w14:paraId="5EE8FB5F" w14:textId="77777777" w:rsidTr="00DE3B78">
        <w:trPr>
          <w:cantSplit/>
        </w:trPr>
        <w:tc>
          <w:tcPr>
            <w:tcW w:w="3517" w:type="dxa"/>
          </w:tcPr>
          <w:p w14:paraId="26FAE1C8" w14:textId="77777777" w:rsidR="007358AE" w:rsidRPr="00B62CD3" w:rsidRDefault="007358AE" w:rsidP="00F36268">
            <w:pPr>
              <w:pStyle w:val="Tabletext0"/>
              <w:rPr>
                <w:rFonts w:ascii="Arial Narrow" w:hAnsi="Arial Narrow"/>
              </w:rPr>
            </w:pPr>
            <w:r w:rsidRPr="00B62CD3">
              <w:rPr>
                <w:rFonts w:ascii="Arial Narrow" w:hAnsi="Arial Narrow"/>
              </w:rPr>
              <w:t>Progression free: 0.89</w:t>
            </w:r>
          </w:p>
          <w:p w14:paraId="01B48BC1" w14:textId="21E02356" w:rsidR="007358AE" w:rsidRPr="00B62CD3" w:rsidRDefault="007358AE" w:rsidP="00F36268">
            <w:pPr>
              <w:pStyle w:val="Tabletext0"/>
              <w:rPr>
                <w:rFonts w:ascii="Arial Narrow" w:hAnsi="Arial Narrow"/>
              </w:rPr>
            </w:pPr>
            <w:r w:rsidRPr="00B62CD3">
              <w:rPr>
                <w:rFonts w:ascii="Arial Narrow" w:hAnsi="Arial Narrow"/>
              </w:rPr>
              <w:t>Post</w:t>
            </w:r>
            <w:r w:rsidR="00B571FA">
              <w:rPr>
                <w:rFonts w:ascii="Arial Narrow" w:hAnsi="Arial Narrow"/>
              </w:rPr>
              <w:noBreakHyphen/>
            </w:r>
            <w:r w:rsidRPr="00B62CD3">
              <w:rPr>
                <w:rFonts w:ascii="Arial Narrow" w:hAnsi="Arial Narrow"/>
              </w:rPr>
              <w:t>progression: initially 0.73 with linear decline to 0 over 8.43 years</w:t>
            </w:r>
          </w:p>
        </w:tc>
        <w:tc>
          <w:tcPr>
            <w:tcW w:w="1400" w:type="dxa"/>
            <w:vAlign w:val="center"/>
          </w:tcPr>
          <w:p w14:paraId="06621347" w14:textId="1BE3C6C1" w:rsidR="007358AE" w:rsidRPr="00B62CD3" w:rsidRDefault="007358AE" w:rsidP="00F36268">
            <w:pPr>
              <w:pStyle w:val="Tabletext0"/>
              <w:jc w:val="center"/>
              <w:rPr>
                <w:rFonts w:ascii="Arial Narrow" w:hAnsi="Arial Narrow"/>
              </w:rPr>
            </w:pPr>
            <w:r w:rsidRPr="00B62CD3">
              <w:rPr>
                <w:rFonts w:ascii="Arial Narrow" w:hAnsi="Arial Narrow"/>
              </w:rPr>
              <w:t>$</w:t>
            </w:r>
            <w:r w:rsidR="0024159D" w:rsidRPr="0024159D">
              <w:rPr>
                <w:rFonts w:ascii="Arial Narrow" w:hAnsi="Arial Narrow"/>
                <w:sz w:val="2"/>
                <w:highlight w:val="black"/>
              </w:rPr>
              <w:t>redacted content</w:t>
            </w:r>
          </w:p>
        </w:tc>
        <w:tc>
          <w:tcPr>
            <w:tcW w:w="1368" w:type="dxa"/>
            <w:vAlign w:val="center"/>
          </w:tcPr>
          <w:p w14:paraId="7B8A4C0E" w14:textId="77777777" w:rsidR="007358AE" w:rsidRPr="00B62CD3" w:rsidRDefault="007358AE" w:rsidP="00F36268">
            <w:pPr>
              <w:pStyle w:val="Tabletext0"/>
              <w:jc w:val="center"/>
              <w:rPr>
                <w:rFonts w:ascii="Arial Narrow" w:hAnsi="Arial Narrow"/>
              </w:rPr>
            </w:pPr>
            <w:r w:rsidRPr="00B62CD3">
              <w:rPr>
                <w:rFonts w:ascii="Arial Narrow" w:hAnsi="Arial Narrow"/>
              </w:rPr>
              <w:t>3.539</w:t>
            </w:r>
          </w:p>
        </w:tc>
        <w:tc>
          <w:tcPr>
            <w:tcW w:w="1366" w:type="dxa"/>
            <w:vAlign w:val="center"/>
          </w:tcPr>
          <w:p w14:paraId="0394ADF1" w14:textId="74BA73A8" w:rsidR="007358AE" w:rsidRPr="00B11526" w:rsidRDefault="007358AE" w:rsidP="00F36268">
            <w:pPr>
              <w:pStyle w:val="Tabletext0"/>
              <w:jc w:val="center"/>
              <w:rPr>
                <w:rFonts w:ascii="Arial Narrow" w:hAnsi="Arial Narrow"/>
                <w:vertAlign w:val="superscript"/>
              </w:rPr>
            </w:pPr>
            <w:r w:rsidRPr="00B62CD3">
              <w:rPr>
                <w:rFonts w:ascii="Arial Narrow" w:hAnsi="Arial Narrow"/>
              </w:rPr>
              <w:t>$</w:t>
            </w:r>
            <w:r w:rsidR="0024159D" w:rsidRPr="0024159D">
              <w:rPr>
                <w:rFonts w:ascii="Arial Narrow" w:hAnsi="Arial Narrow"/>
                <w:sz w:val="2"/>
                <w:highlight w:val="black"/>
              </w:rPr>
              <w:t>redacted content</w:t>
            </w:r>
            <w:r w:rsidR="00283D8A">
              <w:rPr>
                <w:rFonts w:ascii="Arial Narrow" w:hAnsi="Arial Narrow"/>
                <w:vertAlign w:val="superscript"/>
              </w:rPr>
              <w:t>1</w:t>
            </w:r>
          </w:p>
        </w:tc>
        <w:tc>
          <w:tcPr>
            <w:tcW w:w="1365" w:type="dxa"/>
            <w:vAlign w:val="center"/>
          </w:tcPr>
          <w:p w14:paraId="79E19A4A" w14:textId="3A864F38" w:rsidR="007358AE" w:rsidRPr="00B62CD3" w:rsidRDefault="007358AE" w:rsidP="00F36268">
            <w:pPr>
              <w:pStyle w:val="Tabletext0"/>
              <w:jc w:val="center"/>
              <w:rPr>
                <w:rFonts w:ascii="Arial Narrow" w:hAnsi="Arial Narrow"/>
              </w:rPr>
            </w:pPr>
            <w:r w:rsidRPr="00B62CD3">
              <w:rPr>
                <w:rFonts w:ascii="Arial Narrow" w:hAnsi="Arial Narrow"/>
              </w:rPr>
              <w:t>+</w:t>
            </w:r>
            <w:r w:rsidR="0024159D" w:rsidRPr="0024159D">
              <w:rPr>
                <w:rFonts w:ascii="Arial Narrow" w:hAnsi="Arial Narrow"/>
                <w:sz w:val="2"/>
                <w:highlight w:val="black"/>
              </w:rPr>
              <w:t>redacted content</w:t>
            </w:r>
            <w:r w:rsidRPr="00B62CD3">
              <w:rPr>
                <w:rFonts w:ascii="Arial Narrow" w:hAnsi="Arial Narrow"/>
              </w:rPr>
              <w:t>%</w:t>
            </w:r>
          </w:p>
        </w:tc>
      </w:tr>
      <w:tr w:rsidR="007358AE" w:rsidRPr="00B62CD3" w14:paraId="75A71948" w14:textId="77777777" w:rsidTr="00DE3B78">
        <w:trPr>
          <w:cantSplit/>
        </w:trPr>
        <w:tc>
          <w:tcPr>
            <w:tcW w:w="3517" w:type="dxa"/>
          </w:tcPr>
          <w:p w14:paraId="2B005A55" w14:textId="77777777" w:rsidR="007358AE" w:rsidRPr="00B62CD3" w:rsidRDefault="007358AE" w:rsidP="00F36268">
            <w:pPr>
              <w:pStyle w:val="Tabletext0"/>
              <w:rPr>
                <w:rFonts w:ascii="Arial Narrow" w:hAnsi="Arial Narrow"/>
              </w:rPr>
            </w:pPr>
            <w:r w:rsidRPr="00B62CD3">
              <w:rPr>
                <w:rFonts w:ascii="Arial Narrow" w:hAnsi="Arial Narrow"/>
              </w:rPr>
              <w:t>Progression free: 0.89</w:t>
            </w:r>
          </w:p>
          <w:p w14:paraId="47963B28" w14:textId="70754B0A" w:rsidR="007358AE" w:rsidRPr="00B62CD3" w:rsidRDefault="007358AE" w:rsidP="00F36268">
            <w:pPr>
              <w:pStyle w:val="Tabletext0"/>
              <w:rPr>
                <w:rFonts w:ascii="Arial Narrow" w:hAnsi="Arial Narrow"/>
              </w:rPr>
            </w:pPr>
            <w:r w:rsidRPr="00B62CD3">
              <w:rPr>
                <w:rFonts w:ascii="Arial Narrow" w:hAnsi="Arial Narrow"/>
              </w:rPr>
              <w:t>Post</w:t>
            </w:r>
            <w:r w:rsidR="00B571FA">
              <w:rPr>
                <w:rFonts w:ascii="Arial Narrow" w:hAnsi="Arial Narrow"/>
              </w:rPr>
              <w:noBreakHyphen/>
            </w:r>
            <w:r w:rsidRPr="00B62CD3">
              <w:rPr>
                <w:rFonts w:ascii="Arial Narrow" w:hAnsi="Arial Narrow"/>
              </w:rPr>
              <w:t>progression: initially 0.73 with non</w:t>
            </w:r>
            <w:r w:rsidR="00B571FA">
              <w:rPr>
                <w:rFonts w:ascii="Arial Narrow" w:hAnsi="Arial Narrow"/>
              </w:rPr>
              <w:noBreakHyphen/>
            </w:r>
            <w:r w:rsidRPr="00B62CD3">
              <w:rPr>
                <w:rFonts w:ascii="Arial Narrow" w:hAnsi="Arial Narrow"/>
              </w:rPr>
              <w:t>linear decline to 0 over 8.43 years</w:t>
            </w:r>
          </w:p>
        </w:tc>
        <w:tc>
          <w:tcPr>
            <w:tcW w:w="1400" w:type="dxa"/>
            <w:vAlign w:val="center"/>
          </w:tcPr>
          <w:p w14:paraId="696843EC" w14:textId="26AF3F46" w:rsidR="007358AE" w:rsidRPr="00B62CD3" w:rsidRDefault="007358AE" w:rsidP="00F36268">
            <w:pPr>
              <w:pStyle w:val="Tabletext0"/>
              <w:jc w:val="center"/>
              <w:rPr>
                <w:rFonts w:ascii="Arial Narrow" w:hAnsi="Arial Narrow"/>
              </w:rPr>
            </w:pPr>
            <w:r w:rsidRPr="00B62CD3">
              <w:rPr>
                <w:rFonts w:ascii="Arial Narrow" w:hAnsi="Arial Narrow"/>
              </w:rPr>
              <w:t>$</w:t>
            </w:r>
            <w:r w:rsidR="0024159D" w:rsidRPr="0024159D">
              <w:rPr>
                <w:rFonts w:ascii="Arial Narrow" w:hAnsi="Arial Narrow"/>
                <w:sz w:val="2"/>
                <w:highlight w:val="black"/>
              </w:rPr>
              <w:t>redacted content</w:t>
            </w:r>
          </w:p>
        </w:tc>
        <w:tc>
          <w:tcPr>
            <w:tcW w:w="1368" w:type="dxa"/>
            <w:vAlign w:val="center"/>
          </w:tcPr>
          <w:p w14:paraId="60029F22" w14:textId="77777777" w:rsidR="007358AE" w:rsidRPr="00B62CD3" w:rsidRDefault="007358AE" w:rsidP="00F36268">
            <w:pPr>
              <w:pStyle w:val="Tabletext0"/>
              <w:jc w:val="center"/>
              <w:rPr>
                <w:rFonts w:ascii="Arial Narrow" w:hAnsi="Arial Narrow"/>
              </w:rPr>
            </w:pPr>
            <w:r w:rsidRPr="00B62CD3">
              <w:rPr>
                <w:rFonts w:ascii="Arial Narrow" w:hAnsi="Arial Narrow"/>
              </w:rPr>
              <w:t>3.369</w:t>
            </w:r>
          </w:p>
        </w:tc>
        <w:tc>
          <w:tcPr>
            <w:tcW w:w="1366" w:type="dxa"/>
            <w:vAlign w:val="center"/>
          </w:tcPr>
          <w:p w14:paraId="5F9FB27E" w14:textId="277E09F2" w:rsidR="007358AE" w:rsidRPr="00B11526" w:rsidRDefault="007358AE" w:rsidP="00F36268">
            <w:pPr>
              <w:pStyle w:val="Tabletext0"/>
              <w:jc w:val="center"/>
              <w:rPr>
                <w:rFonts w:ascii="Arial Narrow" w:hAnsi="Arial Narrow"/>
                <w:vertAlign w:val="superscript"/>
              </w:rPr>
            </w:pPr>
            <w:r w:rsidRPr="00B62CD3">
              <w:rPr>
                <w:rFonts w:ascii="Arial Narrow" w:hAnsi="Arial Narrow"/>
              </w:rPr>
              <w:t>$</w:t>
            </w:r>
            <w:r w:rsidR="0024159D" w:rsidRPr="0024159D">
              <w:rPr>
                <w:rFonts w:ascii="Arial Narrow" w:hAnsi="Arial Narrow"/>
                <w:sz w:val="2"/>
                <w:highlight w:val="black"/>
              </w:rPr>
              <w:t>redacted content</w:t>
            </w:r>
            <w:r w:rsidR="00283D8A">
              <w:rPr>
                <w:rFonts w:ascii="Arial Narrow" w:hAnsi="Arial Narrow"/>
                <w:vertAlign w:val="superscript"/>
              </w:rPr>
              <w:t>1</w:t>
            </w:r>
          </w:p>
        </w:tc>
        <w:tc>
          <w:tcPr>
            <w:tcW w:w="1365" w:type="dxa"/>
            <w:vAlign w:val="center"/>
          </w:tcPr>
          <w:p w14:paraId="0C8F6F22" w14:textId="074BECF1" w:rsidR="007358AE" w:rsidRPr="00B62CD3" w:rsidRDefault="007358AE" w:rsidP="00F36268">
            <w:pPr>
              <w:pStyle w:val="Tabletext0"/>
              <w:jc w:val="center"/>
              <w:rPr>
                <w:rFonts w:ascii="Arial Narrow" w:hAnsi="Arial Narrow"/>
              </w:rPr>
            </w:pPr>
            <w:r w:rsidRPr="00B62CD3">
              <w:rPr>
                <w:rFonts w:ascii="Arial Narrow" w:hAnsi="Arial Narrow"/>
              </w:rPr>
              <w:t>+</w:t>
            </w:r>
            <w:r w:rsidR="0024159D" w:rsidRPr="0024159D">
              <w:rPr>
                <w:rFonts w:ascii="Arial Narrow" w:hAnsi="Arial Narrow"/>
                <w:sz w:val="2"/>
                <w:highlight w:val="black"/>
              </w:rPr>
              <w:t>redacted content</w:t>
            </w:r>
            <w:r w:rsidRPr="00B62CD3">
              <w:rPr>
                <w:rFonts w:ascii="Arial Narrow" w:hAnsi="Arial Narrow"/>
              </w:rPr>
              <w:t>%</w:t>
            </w:r>
          </w:p>
        </w:tc>
      </w:tr>
      <w:tr w:rsidR="00694F2B" w:rsidRPr="00265ED8" w14:paraId="35F7BD0B" w14:textId="77777777" w:rsidTr="00DE3B78">
        <w:trPr>
          <w:cantSplit/>
        </w:trPr>
        <w:tc>
          <w:tcPr>
            <w:tcW w:w="3517" w:type="dxa"/>
          </w:tcPr>
          <w:p w14:paraId="3E52C17F" w14:textId="6E073D67" w:rsidR="00694F2B" w:rsidRPr="00265ED8" w:rsidRDefault="00694F2B" w:rsidP="00F36268">
            <w:pPr>
              <w:pStyle w:val="Tabletext0"/>
              <w:rPr>
                <w:rFonts w:ascii="Arial Narrow" w:hAnsi="Arial Narrow"/>
              </w:rPr>
            </w:pPr>
            <w:r w:rsidRPr="00265ED8">
              <w:rPr>
                <w:rFonts w:ascii="Arial Narrow" w:hAnsi="Arial Narrow"/>
              </w:rPr>
              <w:t>Univariate analysis with utilities based on dabrafenib submission (progression</w:t>
            </w:r>
            <w:r w:rsidR="00B571FA">
              <w:rPr>
                <w:rFonts w:ascii="Arial Narrow" w:hAnsi="Arial Narrow"/>
              </w:rPr>
              <w:noBreakHyphen/>
            </w:r>
            <w:r w:rsidRPr="00265ED8">
              <w:rPr>
                <w:rFonts w:ascii="Arial Narrow" w:hAnsi="Arial Narrow"/>
              </w:rPr>
              <w:t>free: 0.89; progressed disease: 0.73).</w:t>
            </w:r>
          </w:p>
        </w:tc>
        <w:tc>
          <w:tcPr>
            <w:tcW w:w="1400" w:type="dxa"/>
            <w:vAlign w:val="center"/>
          </w:tcPr>
          <w:p w14:paraId="07D5F5B0" w14:textId="17742E09" w:rsidR="00694F2B" w:rsidRPr="00265ED8" w:rsidRDefault="00694F2B" w:rsidP="00F36268">
            <w:pPr>
              <w:pStyle w:val="Tabletext0"/>
              <w:jc w:val="center"/>
              <w:rPr>
                <w:rFonts w:ascii="Arial Narrow" w:hAnsi="Arial Narrow"/>
              </w:rPr>
            </w:pPr>
            <w:r w:rsidRPr="00265ED8">
              <w:rPr>
                <w:rFonts w:ascii="Arial Narrow" w:hAnsi="Arial Narrow"/>
              </w:rPr>
              <w:t>$</w:t>
            </w:r>
            <w:r w:rsidR="0024159D" w:rsidRPr="0024159D">
              <w:rPr>
                <w:rFonts w:ascii="Arial Narrow" w:hAnsi="Arial Narrow"/>
                <w:sz w:val="2"/>
                <w:highlight w:val="black"/>
              </w:rPr>
              <w:t>redacted content</w:t>
            </w:r>
          </w:p>
        </w:tc>
        <w:tc>
          <w:tcPr>
            <w:tcW w:w="1368" w:type="dxa"/>
            <w:vAlign w:val="center"/>
          </w:tcPr>
          <w:p w14:paraId="363F1E88" w14:textId="477EA521" w:rsidR="00694F2B" w:rsidRPr="00265ED8" w:rsidRDefault="00694F2B" w:rsidP="00F36268">
            <w:pPr>
              <w:pStyle w:val="Tabletext0"/>
              <w:jc w:val="center"/>
              <w:rPr>
                <w:rFonts w:ascii="Arial Narrow" w:hAnsi="Arial Narrow"/>
              </w:rPr>
            </w:pPr>
            <w:r w:rsidRPr="00265ED8">
              <w:rPr>
                <w:rFonts w:ascii="Arial Narrow" w:hAnsi="Arial Narrow"/>
              </w:rPr>
              <w:t>2.922</w:t>
            </w:r>
          </w:p>
        </w:tc>
        <w:tc>
          <w:tcPr>
            <w:tcW w:w="1366" w:type="dxa"/>
            <w:vAlign w:val="center"/>
          </w:tcPr>
          <w:p w14:paraId="2E8306B9" w14:textId="094DB323" w:rsidR="00694F2B" w:rsidRPr="00B11526" w:rsidRDefault="00694F2B" w:rsidP="00F36268">
            <w:pPr>
              <w:pStyle w:val="Tabletext0"/>
              <w:jc w:val="center"/>
              <w:rPr>
                <w:rFonts w:ascii="Arial Narrow" w:hAnsi="Arial Narrow"/>
                <w:vertAlign w:val="superscript"/>
              </w:rPr>
            </w:pPr>
            <w:r w:rsidRPr="00265ED8">
              <w:rPr>
                <w:rFonts w:ascii="Arial Narrow" w:hAnsi="Arial Narrow"/>
              </w:rPr>
              <w:t>$</w:t>
            </w:r>
            <w:r w:rsidR="0024159D" w:rsidRPr="0024159D">
              <w:rPr>
                <w:rFonts w:ascii="Arial Narrow" w:hAnsi="Arial Narrow"/>
                <w:sz w:val="2"/>
                <w:highlight w:val="black"/>
              </w:rPr>
              <w:t>redacted content</w:t>
            </w:r>
            <w:r w:rsidR="0078174A">
              <w:rPr>
                <w:rFonts w:ascii="Arial Narrow" w:hAnsi="Arial Narrow"/>
                <w:vertAlign w:val="superscript"/>
              </w:rPr>
              <w:t>3</w:t>
            </w:r>
          </w:p>
        </w:tc>
        <w:tc>
          <w:tcPr>
            <w:tcW w:w="1365" w:type="dxa"/>
            <w:vAlign w:val="center"/>
          </w:tcPr>
          <w:p w14:paraId="73A5AD56" w14:textId="535736D7" w:rsidR="00694F2B" w:rsidRPr="00265ED8" w:rsidRDefault="0024159D" w:rsidP="00F36268">
            <w:pPr>
              <w:pStyle w:val="Tabletext0"/>
              <w:jc w:val="center"/>
              <w:rPr>
                <w:rFonts w:ascii="Arial Narrow" w:hAnsi="Arial Narrow"/>
              </w:rPr>
            </w:pPr>
            <w:r w:rsidRPr="0024159D">
              <w:rPr>
                <w:rFonts w:ascii="Arial Narrow" w:hAnsi="Arial Narrow"/>
                <w:sz w:val="2"/>
                <w:highlight w:val="black"/>
              </w:rPr>
              <w:t>redacted content</w:t>
            </w:r>
            <w:r w:rsidR="00694F2B" w:rsidRPr="00265ED8">
              <w:rPr>
                <w:rFonts w:ascii="Arial Narrow" w:hAnsi="Arial Narrow"/>
              </w:rPr>
              <w:t>%</w:t>
            </w:r>
          </w:p>
        </w:tc>
      </w:tr>
      <w:tr w:rsidR="007358AE" w:rsidRPr="00B62CD3" w14:paraId="5B9FA96B" w14:textId="77777777" w:rsidTr="00DE3B78">
        <w:trPr>
          <w:cantSplit/>
        </w:trPr>
        <w:tc>
          <w:tcPr>
            <w:tcW w:w="9016" w:type="dxa"/>
            <w:gridSpan w:val="5"/>
            <w:vAlign w:val="center"/>
          </w:tcPr>
          <w:p w14:paraId="2681C642" w14:textId="59974793" w:rsidR="007358AE" w:rsidRPr="00B62CD3" w:rsidRDefault="007358AE" w:rsidP="00F36268">
            <w:pPr>
              <w:pStyle w:val="Tabletext0"/>
              <w:rPr>
                <w:rFonts w:ascii="Arial Narrow" w:hAnsi="Arial Narrow"/>
                <w:b/>
                <w:bCs/>
              </w:rPr>
            </w:pPr>
            <w:r w:rsidRPr="00B62CD3">
              <w:rPr>
                <w:rFonts w:ascii="Arial Narrow" w:hAnsi="Arial Narrow"/>
                <w:b/>
                <w:bCs/>
              </w:rPr>
              <w:t xml:space="preserve">Impact of anniversary SPRs (base case = not applied, alternate base case presented applying SPRs as detailed in the </w:t>
            </w:r>
            <w:r w:rsidRPr="0071776C">
              <w:rPr>
                <w:rFonts w:ascii="Arial Narrow" w:hAnsi="Arial Narrow"/>
                <w:b/>
                <w:i/>
              </w:rPr>
              <w:t>National Health Act 1953</w:t>
            </w:r>
            <w:r w:rsidRPr="00B62CD3">
              <w:rPr>
                <w:rFonts w:ascii="Arial Narrow" w:hAnsi="Arial Narrow"/>
                <w:b/>
                <w:bCs/>
              </w:rPr>
              <w:t>; 5% at year 5, 5% at year 10, 30% at year 15 after PBS listing)</w:t>
            </w:r>
          </w:p>
        </w:tc>
      </w:tr>
      <w:tr w:rsidR="00DE3B78" w:rsidRPr="00B62CD3" w14:paraId="10390814" w14:textId="77777777" w:rsidTr="00DE3B78">
        <w:trPr>
          <w:cantSplit/>
        </w:trPr>
        <w:tc>
          <w:tcPr>
            <w:tcW w:w="3517" w:type="dxa"/>
          </w:tcPr>
          <w:p w14:paraId="2A0916CA" w14:textId="77777777" w:rsidR="00DE3B78" w:rsidRPr="007E1142" w:rsidRDefault="00DE3B78" w:rsidP="00F36268">
            <w:pPr>
              <w:pStyle w:val="Tabletext0"/>
              <w:rPr>
                <w:rFonts w:ascii="Arial Narrow" w:hAnsi="Arial Narrow"/>
              </w:rPr>
            </w:pPr>
            <w:r w:rsidRPr="007E1142">
              <w:rPr>
                <w:rFonts w:ascii="Arial Narrow" w:hAnsi="Arial Narrow"/>
              </w:rPr>
              <w:t>Alternate base case* (SPRs included for patients starting treatment with vorasidenib on the day of PBS listing).</w:t>
            </w:r>
          </w:p>
        </w:tc>
        <w:tc>
          <w:tcPr>
            <w:tcW w:w="1400" w:type="dxa"/>
            <w:vAlign w:val="center"/>
          </w:tcPr>
          <w:p w14:paraId="39BC04A5" w14:textId="4B2ADD85" w:rsidR="00DE3B78" w:rsidRPr="007E1142" w:rsidRDefault="00DE3B78" w:rsidP="00F36268">
            <w:pPr>
              <w:pStyle w:val="Tabletext0"/>
              <w:jc w:val="center"/>
              <w:rPr>
                <w:rFonts w:ascii="Arial Narrow" w:hAnsi="Arial Narrow"/>
              </w:rPr>
            </w:pPr>
            <w:r w:rsidRPr="007E1142">
              <w:rPr>
                <w:rFonts w:ascii="Arial Narrow" w:hAnsi="Arial Narrow"/>
              </w:rPr>
              <w:t>$</w:t>
            </w:r>
            <w:r w:rsidR="0024159D" w:rsidRPr="0024159D">
              <w:rPr>
                <w:rFonts w:ascii="Arial Narrow" w:hAnsi="Arial Narrow"/>
                <w:sz w:val="2"/>
                <w:highlight w:val="black"/>
              </w:rPr>
              <w:t>redacted content</w:t>
            </w:r>
          </w:p>
        </w:tc>
        <w:tc>
          <w:tcPr>
            <w:tcW w:w="1368" w:type="dxa"/>
            <w:vAlign w:val="center"/>
          </w:tcPr>
          <w:p w14:paraId="7D0B0FCB" w14:textId="77777777" w:rsidR="00DE3B78" w:rsidRPr="007E1142" w:rsidRDefault="00DE3B78" w:rsidP="00F36268">
            <w:pPr>
              <w:pStyle w:val="Tabletext0"/>
              <w:jc w:val="center"/>
              <w:rPr>
                <w:rFonts w:ascii="Arial Narrow" w:hAnsi="Arial Narrow"/>
              </w:rPr>
            </w:pPr>
            <w:r w:rsidRPr="007E1142">
              <w:rPr>
                <w:rFonts w:ascii="Arial Narrow" w:hAnsi="Arial Narrow"/>
              </w:rPr>
              <w:t>3.555</w:t>
            </w:r>
          </w:p>
        </w:tc>
        <w:tc>
          <w:tcPr>
            <w:tcW w:w="1366" w:type="dxa"/>
            <w:vAlign w:val="center"/>
          </w:tcPr>
          <w:p w14:paraId="2C69E77E" w14:textId="61BB0ED9" w:rsidR="00DE3B78" w:rsidRPr="00B11526" w:rsidRDefault="00DE3B78" w:rsidP="00F36268">
            <w:pPr>
              <w:pStyle w:val="Tabletext0"/>
              <w:jc w:val="center"/>
              <w:rPr>
                <w:rFonts w:ascii="Arial Narrow" w:hAnsi="Arial Narrow"/>
                <w:vertAlign w:val="superscript"/>
              </w:rPr>
            </w:pPr>
            <w:r w:rsidRPr="007E1142">
              <w:rPr>
                <w:rFonts w:ascii="Arial Narrow" w:hAnsi="Arial Narrow"/>
              </w:rPr>
              <w:t>$</w:t>
            </w:r>
            <w:r w:rsidR="0024159D" w:rsidRPr="0024159D">
              <w:rPr>
                <w:rFonts w:ascii="Arial Narrow" w:hAnsi="Arial Narrow"/>
                <w:sz w:val="2"/>
                <w:highlight w:val="black"/>
              </w:rPr>
              <w:t>redacted content</w:t>
            </w:r>
            <w:r w:rsidR="00283D8A">
              <w:rPr>
                <w:rFonts w:ascii="Arial Narrow" w:hAnsi="Arial Narrow"/>
                <w:vertAlign w:val="superscript"/>
              </w:rPr>
              <w:t>1</w:t>
            </w:r>
          </w:p>
        </w:tc>
        <w:tc>
          <w:tcPr>
            <w:tcW w:w="1365" w:type="dxa"/>
            <w:vAlign w:val="center"/>
          </w:tcPr>
          <w:p w14:paraId="75E29347" w14:textId="7E2897E3" w:rsidR="00DE3B78" w:rsidRPr="007E1142" w:rsidRDefault="00B571FA" w:rsidP="00F36268">
            <w:pPr>
              <w:pStyle w:val="Tabletext0"/>
              <w:jc w:val="center"/>
              <w:rPr>
                <w:rFonts w:ascii="Arial Narrow" w:hAnsi="Arial Narrow"/>
              </w:rPr>
            </w:pPr>
            <w:r>
              <w:rPr>
                <w:rFonts w:ascii="Arial Narrow" w:hAnsi="Arial Narrow"/>
              </w:rPr>
              <w:noBreakHyphen/>
            </w:r>
            <w:r w:rsidR="0024159D" w:rsidRPr="0024159D">
              <w:rPr>
                <w:rFonts w:ascii="Arial Narrow" w:hAnsi="Arial Narrow"/>
                <w:sz w:val="2"/>
                <w:highlight w:val="black"/>
              </w:rPr>
              <w:t>redacted content</w:t>
            </w:r>
            <w:r w:rsidR="00DE3B78" w:rsidRPr="007E1142">
              <w:rPr>
                <w:rFonts w:ascii="Arial Narrow" w:hAnsi="Arial Narrow"/>
              </w:rPr>
              <w:t>%</w:t>
            </w:r>
          </w:p>
        </w:tc>
      </w:tr>
      <w:tr w:rsidR="007358AE" w:rsidRPr="00B62CD3" w14:paraId="47019AB7" w14:textId="77777777" w:rsidTr="00DE3B78">
        <w:trPr>
          <w:cantSplit/>
        </w:trPr>
        <w:tc>
          <w:tcPr>
            <w:tcW w:w="3517" w:type="dxa"/>
          </w:tcPr>
          <w:p w14:paraId="173346BD" w14:textId="77777777" w:rsidR="007358AE" w:rsidRPr="00B62CD3" w:rsidRDefault="007358AE" w:rsidP="00F36268">
            <w:pPr>
              <w:pStyle w:val="Tabletext0"/>
              <w:rPr>
                <w:rFonts w:ascii="Arial Narrow" w:hAnsi="Arial Narrow"/>
              </w:rPr>
            </w:pPr>
            <w:r w:rsidRPr="00B62CD3">
              <w:rPr>
                <w:rFonts w:ascii="Arial Narrow" w:hAnsi="Arial Narrow"/>
              </w:rPr>
              <w:lastRenderedPageBreak/>
              <w:t>Patient starting treatment with vorasidenib 5 years after PBS listing (i.e., 5% SPR applied)</w:t>
            </w:r>
          </w:p>
        </w:tc>
        <w:tc>
          <w:tcPr>
            <w:tcW w:w="1400" w:type="dxa"/>
            <w:vAlign w:val="center"/>
          </w:tcPr>
          <w:p w14:paraId="252D8479" w14:textId="20F939CE" w:rsidR="007358AE" w:rsidRPr="00B62CD3" w:rsidRDefault="007358AE" w:rsidP="00F36268">
            <w:pPr>
              <w:pStyle w:val="Tabletext0"/>
              <w:jc w:val="center"/>
              <w:rPr>
                <w:rFonts w:ascii="Arial Narrow" w:hAnsi="Arial Narrow"/>
              </w:rPr>
            </w:pPr>
            <w:r w:rsidRPr="00B62CD3">
              <w:rPr>
                <w:rFonts w:ascii="Arial Narrow" w:hAnsi="Arial Narrow"/>
              </w:rPr>
              <w:t>$</w:t>
            </w:r>
            <w:r w:rsidR="0024159D" w:rsidRPr="0024159D">
              <w:rPr>
                <w:rFonts w:ascii="Arial Narrow" w:hAnsi="Arial Narrow"/>
                <w:sz w:val="2"/>
                <w:highlight w:val="black"/>
              </w:rPr>
              <w:t>redacted content</w:t>
            </w:r>
          </w:p>
        </w:tc>
        <w:tc>
          <w:tcPr>
            <w:tcW w:w="1368" w:type="dxa"/>
            <w:vAlign w:val="center"/>
          </w:tcPr>
          <w:p w14:paraId="5E3FD831" w14:textId="77777777" w:rsidR="007358AE" w:rsidRPr="00B62CD3" w:rsidRDefault="007358AE" w:rsidP="00F36268">
            <w:pPr>
              <w:pStyle w:val="Tabletext0"/>
              <w:jc w:val="center"/>
              <w:rPr>
                <w:rFonts w:ascii="Arial Narrow" w:hAnsi="Arial Narrow"/>
              </w:rPr>
            </w:pPr>
            <w:r w:rsidRPr="00B62CD3">
              <w:rPr>
                <w:rFonts w:ascii="Arial Narrow" w:hAnsi="Arial Narrow"/>
              </w:rPr>
              <w:t>3.555</w:t>
            </w:r>
          </w:p>
        </w:tc>
        <w:tc>
          <w:tcPr>
            <w:tcW w:w="1366" w:type="dxa"/>
            <w:vAlign w:val="center"/>
          </w:tcPr>
          <w:p w14:paraId="5255BF85" w14:textId="5B2D9BCD" w:rsidR="007358AE" w:rsidRPr="00B11526" w:rsidRDefault="007358AE" w:rsidP="00F36268">
            <w:pPr>
              <w:pStyle w:val="Tabletext0"/>
              <w:jc w:val="center"/>
              <w:rPr>
                <w:rFonts w:ascii="Arial Narrow" w:hAnsi="Arial Narrow"/>
                <w:vertAlign w:val="superscript"/>
              </w:rPr>
            </w:pPr>
            <w:r w:rsidRPr="00B62CD3">
              <w:rPr>
                <w:rFonts w:ascii="Arial Narrow" w:hAnsi="Arial Narrow"/>
              </w:rPr>
              <w:t>$</w:t>
            </w:r>
            <w:r w:rsidR="0024159D" w:rsidRPr="0024159D">
              <w:rPr>
                <w:rFonts w:ascii="Arial Narrow" w:hAnsi="Arial Narrow"/>
                <w:sz w:val="2"/>
                <w:highlight w:val="black"/>
              </w:rPr>
              <w:t>redacted content</w:t>
            </w:r>
            <w:r w:rsidR="001854BB">
              <w:rPr>
                <w:rFonts w:ascii="Arial Narrow" w:hAnsi="Arial Narrow"/>
                <w:vertAlign w:val="superscript"/>
              </w:rPr>
              <w:t>2</w:t>
            </w:r>
          </w:p>
        </w:tc>
        <w:tc>
          <w:tcPr>
            <w:tcW w:w="1365" w:type="dxa"/>
            <w:vAlign w:val="center"/>
          </w:tcPr>
          <w:p w14:paraId="3EA1247D" w14:textId="5CE71CEB" w:rsidR="007358AE" w:rsidRPr="00B62CD3" w:rsidRDefault="00B571FA" w:rsidP="00F36268">
            <w:pPr>
              <w:pStyle w:val="Tabletext0"/>
              <w:jc w:val="center"/>
              <w:rPr>
                <w:rFonts w:ascii="Arial Narrow" w:hAnsi="Arial Narrow"/>
              </w:rPr>
            </w:pPr>
            <w:r>
              <w:rPr>
                <w:rFonts w:ascii="Arial Narrow" w:hAnsi="Arial Narrow"/>
              </w:rPr>
              <w:noBreakHyphen/>
            </w:r>
            <w:r w:rsidR="0024159D" w:rsidRPr="0024159D">
              <w:rPr>
                <w:rFonts w:ascii="Arial Narrow" w:hAnsi="Arial Narrow"/>
                <w:sz w:val="2"/>
                <w:highlight w:val="black"/>
              </w:rPr>
              <w:t>redacted content</w:t>
            </w:r>
            <w:r w:rsidR="007358AE" w:rsidRPr="00B62CD3">
              <w:rPr>
                <w:rFonts w:ascii="Arial Narrow" w:hAnsi="Arial Narrow"/>
              </w:rPr>
              <w:t>%</w:t>
            </w:r>
          </w:p>
        </w:tc>
      </w:tr>
      <w:tr w:rsidR="007358AE" w:rsidRPr="00B62CD3" w14:paraId="1D06F189" w14:textId="77777777" w:rsidTr="00DE3B78">
        <w:trPr>
          <w:cantSplit/>
        </w:trPr>
        <w:tc>
          <w:tcPr>
            <w:tcW w:w="3517" w:type="dxa"/>
          </w:tcPr>
          <w:p w14:paraId="23992703" w14:textId="544698F5" w:rsidR="007358AE" w:rsidRPr="00B62CD3" w:rsidRDefault="007358AE" w:rsidP="00F36268">
            <w:pPr>
              <w:pStyle w:val="Tabletext0"/>
              <w:rPr>
                <w:rFonts w:ascii="Arial Narrow" w:hAnsi="Arial Narrow"/>
              </w:rPr>
            </w:pPr>
            <w:r w:rsidRPr="00B62CD3">
              <w:rPr>
                <w:rFonts w:ascii="Arial Narrow" w:hAnsi="Arial Narrow"/>
              </w:rPr>
              <w:t>Patient starting treatment with vorasidenib 10 years after PBS listing (i.e., 5% SPR applied in addition to 5</w:t>
            </w:r>
            <w:r w:rsidR="00B571FA">
              <w:rPr>
                <w:rFonts w:ascii="Arial Narrow" w:hAnsi="Arial Narrow"/>
              </w:rPr>
              <w:noBreakHyphen/>
            </w:r>
            <w:r w:rsidRPr="00B62CD3">
              <w:rPr>
                <w:rFonts w:ascii="Arial Narrow" w:hAnsi="Arial Narrow"/>
              </w:rPr>
              <w:t>year SPR)</w:t>
            </w:r>
          </w:p>
        </w:tc>
        <w:tc>
          <w:tcPr>
            <w:tcW w:w="1400" w:type="dxa"/>
            <w:vAlign w:val="center"/>
          </w:tcPr>
          <w:p w14:paraId="457A7156" w14:textId="13C78B91" w:rsidR="007358AE" w:rsidRPr="00B62CD3" w:rsidRDefault="007358AE" w:rsidP="00F36268">
            <w:pPr>
              <w:pStyle w:val="Tabletext0"/>
              <w:jc w:val="center"/>
              <w:rPr>
                <w:rFonts w:ascii="Arial Narrow" w:hAnsi="Arial Narrow"/>
              </w:rPr>
            </w:pPr>
            <w:r w:rsidRPr="00B62CD3">
              <w:rPr>
                <w:rFonts w:ascii="Arial Narrow" w:hAnsi="Arial Narrow"/>
              </w:rPr>
              <w:t>$</w:t>
            </w:r>
            <w:r w:rsidR="0024159D" w:rsidRPr="0024159D">
              <w:rPr>
                <w:rFonts w:ascii="Arial Narrow" w:hAnsi="Arial Narrow"/>
                <w:sz w:val="2"/>
                <w:highlight w:val="black"/>
              </w:rPr>
              <w:t>redacted content</w:t>
            </w:r>
          </w:p>
        </w:tc>
        <w:tc>
          <w:tcPr>
            <w:tcW w:w="1368" w:type="dxa"/>
            <w:vAlign w:val="center"/>
          </w:tcPr>
          <w:p w14:paraId="055AC284" w14:textId="77777777" w:rsidR="007358AE" w:rsidRPr="00B62CD3" w:rsidRDefault="007358AE" w:rsidP="00F36268">
            <w:pPr>
              <w:pStyle w:val="Tabletext0"/>
              <w:jc w:val="center"/>
              <w:rPr>
                <w:rFonts w:ascii="Arial Narrow" w:hAnsi="Arial Narrow"/>
              </w:rPr>
            </w:pPr>
            <w:r w:rsidRPr="00B62CD3">
              <w:rPr>
                <w:rFonts w:ascii="Arial Narrow" w:hAnsi="Arial Narrow"/>
              </w:rPr>
              <w:t>3.555</w:t>
            </w:r>
          </w:p>
        </w:tc>
        <w:tc>
          <w:tcPr>
            <w:tcW w:w="1366" w:type="dxa"/>
            <w:vAlign w:val="center"/>
          </w:tcPr>
          <w:p w14:paraId="05E5065E" w14:textId="2383E833" w:rsidR="007358AE" w:rsidRPr="00B11526" w:rsidRDefault="007358AE" w:rsidP="00F36268">
            <w:pPr>
              <w:pStyle w:val="Tabletext0"/>
              <w:jc w:val="center"/>
              <w:rPr>
                <w:rFonts w:ascii="Arial Narrow" w:hAnsi="Arial Narrow"/>
                <w:vertAlign w:val="superscript"/>
              </w:rPr>
            </w:pPr>
            <w:r w:rsidRPr="00B62CD3">
              <w:rPr>
                <w:rFonts w:ascii="Arial Narrow" w:hAnsi="Arial Narrow"/>
              </w:rPr>
              <w:t>$</w:t>
            </w:r>
            <w:r w:rsidR="0024159D" w:rsidRPr="0024159D">
              <w:rPr>
                <w:rFonts w:ascii="Arial Narrow" w:hAnsi="Arial Narrow"/>
                <w:sz w:val="2"/>
                <w:highlight w:val="black"/>
              </w:rPr>
              <w:t>redacted content</w:t>
            </w:r>
            <w:r w:rsidR="001854BB">
              <w:rPr>
                <w:rFonts w:ascii="Arial Narrow" w:hAnsi="Arial Narrow"/>
                <w:vertAlign w:val="superscript"/>
              </w:rPr>
              <w:t>2</w:t>
            </w:r>
          </w:p>
        </w:tc>
        <w:tc>
          <w:tcPr>
            <w:tcW w:w="1365" w:type="dxa"/>
            <w:vAlign w:val="center"/>
          </w:tcPr>
          <w:p w14:paraId="3E31F168" w14:textId="584ADF21" w:rsidR="007358AE" w:rsidRPr="00B62CD3" w:rsidRDefault="00B571FA" w:rsidP="00F36268">
            <w:pPr>
              <w:pStyle w:val="Tabletext0"/>
              <w:jc w:val="center"/>
              <w:rPr>
                <w:rFonts w:ascii="Arial Narrow" w:hAnsi="Arial Narrow"/>
              </w:rPr>
            </w:pPr>
            <w:r>
              <w:rPr>
                <w:rFonts w:ascii="Arial Narrow" w:hAnsi="Arial Narrow"/>
              </w:rPr>
              <w:noBreakHyphen/>
            </w:r>
            <w:r w:rsidR="0024159D" w:rsidRPr="0024159D">
              <w:rPr>
                <w:rFonts w:ascii="Arial Narrow" w:hAnsi="Arial Narrow"/>
                <w:sz w:val="2"/>
                <w:highlight w:val="black"/>
              </w:rPr>
              <w:t>redacted content</w:t>
            </w:r>
            <w:r w:rsidR="007358AE" w:rsidRPr="00B62CD3">
              <w:rPr>
                <w:rFonts w:ascii="Arial Narrow" w:hAnsi="Arial Narrow"/>
              </w:rPr>
              <w:t>%</w:t>
            </w:r>
          </w:p>
        </w:tc>
      </w:tr>
      <w:tr w:rsidR="007358AE" w:rsidRPr="00B62CD3" w14:paraId="795ECCE9" w14:textId="77777777" w:rsidTr="00DE3B78">
        <w:trPr>
          <w:cantSplit/>
        </w:trPr>
        <w:tc>
          <w:tcPr>
            <w:tcW w:w="3517" w:type="dxa"/>
          </w:tcPr>
          <w:p w14:paraId="2E6CC493" w14:textId="09060027" w:rsidR="007358AE" w:rsidRPr="00B62CD3" w:rsidRDefault="007358AE" w:rsidP="00F36268">
            <w:pPr>
              <w:pStyle w:val="Tabletext0"/>
              <w:rPr>
                <w:rFonts w:ascii="Arial Narrow" w:hAnsi="Arial Narrow"/>
              </w:rPr>
            </w:pPr>
            <w:r w:rsidRPr="00B62CD3">
              <w:rPr>
                <w:rFonts w:ascii="Arial Narrow" w:hAnsi="Arial Narrow"/>
              </w:rPr>
              <w:t>Patient starting treatment with vorasidenib 15 years after PBS listing (i.e., 30% SPR applied in addition to 5</w:t>
            </w:r>
            <w:r w:rsidR="00B571FA">
              <w:rPr>
                <w:rFonts w:ascii="Arial Narrow" w:hAnsi="Arial Narrow"/>
              </w:rPr>
              <w:noBreakHyphen/>
            </w:r>
            <w:r w:rsidRPr="00B62CD3">
              <w:rPr>
                <w:rFonts w:ascii="Arial Narrow" w:hAnsi="Arial Narrow"/>
              </w:rPr>
              <w:t xml:space="preserve"> and 10</w:t>
            </w:r>
            <w:r w:rsidR="00B571FA">
              <w:rPr>
                <w:rFonts w:ascii="Arial Narrow" w:hAnsi="Arial Narrow"/>
              </w:rPr>
              <w:noBreakHyphen/>
            </w:r>
            <w:r w:rsidRPr="00B62CD3">
              <w:rPr>
                <w:rFonts w:ascii="Arial Narrow" w:hAnsi="Arial Narrow"/>
              </w:rPr>
              <w:t>year SPRs)</w:t>
            </w:r>
          </w:p>
        </w:tc>
        <w:tc>
          <w:tcPr>
            <w:tcW w:w="1400" w:type="dxa"/>
            <w:vAlign w:val="center"/>
          </w:tcPr>
          <w:p w14:paraId="1DBE10E6" w14:textId="1358FCD7" w:rsidR="007358AE" w:rsidRPr="00B62CD3" w:rsidRDefault="007358AE" w:rsidP="00F36268">
            <w:pPr>
              <w:pStyle w:val="Tabletext0"/>
              <w:jc w:val="center"/>
              <w:rPr>
                <w:rFonts w:ascii="Arial Narrow" w:hAnsi="Arial Narrow"/>
              </w:rPr>
            </w:pPr>
            <w:r w:rsidRPr="00B62CD3">
              <w:rPr>
                <w:rFonts w:ascii="Arial Narrow" w:hAnsi="Arial Narrow"/>
              </w:rPr>
              <w:t>$</w:t>
            </w:r>
            <w:r w:rsidR="0024159D" w:rsidRPr="0024159D">
              <w:rPr>
                <w:rFonts w:ascii="Arial Narrow" w:hAnsi="Arial Narrow"/>
                <w:sz w:val="2"/>
                <w:highlight w:val="black"/>
              </w:rPr>
              <w:t>redacted content</w:t>
            </w:r>
          </w:p>
        </w:tc>
        <w:tc>
          <w:tcPr>
            <w:tcW w:w="1368" w:type="dxa"/>
            <w:vAlign w:val="center"/>
          </w:tcPr>
          <w:p w14:paraId="1F9B04B3" w14:textId="77777777" w:rsidR="007358AE" w:rsidRPr="00B62CD3" w:rsidRDefault="007358AE" w:rsidP="00F36268">
            <w:pPr>
              <w:pStyle w:val="Tabletext0"/>
              <w:jc w:val="center"/>
              <w:rPr>
                <w:rFonts w:ascii="Arial Narrow" w:hAnsi="Arial Narrow"/>
              </w:rPr>
            </w:pPr>
            <w:r w:rsidRPr="00B62CD3">
              <w:rPr>
                <w:rFonts w:ascii="Arial Narrow" w:hAnsi="Arial Narrow"/>
              </w:rPr>
              <w:t>3.555</w:t>
            </w:r>
          </w:p>
        </w:tc>
        <w:tc>
          <w:tcPr>
            <w:tcW w:w="1366" w:type="dxa"/>
            <w:vAlign w:val="center"/>
          </w:tcPr>
          <w:p w14:paraId="191002E6" w14:textId="0DA4D0C5" w:rsidR="007358AE" w:rsidRPr="00B11526" w:rsidRDefault="007358AE" w:rsidP="00F36268">
            <w:pPr>
              <w:pStyle w:val="Tabletext0"/>
              <w:jc w:val="center"/>
              <w:rPr>
                <w:rFonts w:ascii="Arial Narrow" w:hAnsi="Arial Narrow"/>
                <w:vertAlign w:val="superscript"/>
              </w:rPr>
            </w:pPr>
            <w:r w:rsidRPr="00B62CD3">
              <w:rPr>
                <w:rFonts w:ascii="Arial Narrow" w:hAnsi="Arial Narrow"/>
              </w:rPr>
              <w:t>$</w:t>
            </w:r>
            <w:r w:rsidR="0024159D" w:rsidRPr="0024159D">
              <w:rPr>
                <w:rFonts w:ascii="Arial Narrow" w:hAnsi="Arial Narrow"/>
                <w:sz w:val="2"/>
                <w:highlight w:val="black"/>
              </w:rPr>
              <w:t>redacted content</w:t>
            </w:r>
            <w:r w:rsidR="00985733">
              <w:rPr>
                <w:rFonts w:ascii="Arial Narrow" w:hAnsi="Arial Narrow"/>
                <w:vertAlign w:val="superscript"/>
              </w:rPr>
              <w:t>4</w:t>
            </w:r>
          </w:p>
        </w:tc>
        <w:tc>
          <w:tcPr>
            <w:tcW w:w="1365" w:type="dxa"/>
            <w:vAlign w:val="center"/>
          </w:tcPr>
          <w:p w14:paraId="164BEA0E" w14:textId="4FE9D2A7" w:rsidR="007358AE" w:rsidRPr="00B62CD3" w:rsidRDefault="00B571FA" w:rsidP="00F36268">
            <w:pPr>
              <w:pStyle w:val="Tabletext0"/>
              <w:jc w:val="center"/>
              <w:rPr>
                <w:rFonts w:ascii="Arial Narrow" w:hAnsi="Arial Narrow"/>
              </w:rPr>
            </w:pPr>
            <w:r>
              <w:rPr>
                <w:rFonts w:ascii="Arial Narrow" w:hAnsi="Arial Narrow"/>
              </w:rPr>
              <w:noBreakHyphen/>
            </w:r>
            <w:r w:rsidR="0024159D" w:rsidRPr="0024159D">
              <w:rPr>
                <w:rFonts w:ascii="Arial Narrow" w:hAnsi="Arial Narrow"/>
                <w:sz w:val="2"/>
                <w:highlight w:val="black"/>
              </w:rPr>
              <w:t>redacted content</w:t>
            </w:r>
            <w:r w:rsidR="007358AE" w:rsidRPr="00B2712F">
              <w:rPr>
                <w:rFonts w:ascii="Arial Narrow" w:hAnsi="Arial Narrow"/>
              </w:rPr>
              <w:t>%</w:t>
            </w:r>
          </w:p>
        </w:tc>
      </w:tr>
      <w:tr w:rsidR="00700361" w:rsidRPr="00265ED8" w14:paraId="0DE04DB4" w14:textId="77777777" w:rsidTr="00DB16BA">
        <w:trPr>
          <w:cantSplit/>
        </w:trPr>
        <w:tc>
          <w:tcPr>
            <w:tcW w:w="9016" w:type="dxa"/>
            <w:gridSpan w:val="5"/>
            <w:vAlign w:val="center"/>
          </w:tcPr>
          <w:p w14:paraId="10C91967" w14:textId="60AC1ECA" w:rsidR="00700361" w:rsidRPr="00265ED8" w:rsidRDefault="00700361" w:rsidP="00F36268">
            <w:pPr>
              <w:pStyle w:val="Tabletext0"/>
              <w:rPr>
                <w:rFonts w:ascii="Arial Narrow" w:hAnsi="Arial Narrow"/>
                <w:b/>
                <w:bCs/>
              </w:rPr>
            </w:pPr>
            <w:r w:rsidRPr="00265ED8">
              <w:rPr>
                <w:rFonts w:ascii="Arial Narrow" w:hAnsi="Arial Narrow"/>
                <w:b/>
                <w:bCs/>
              </w:rPr>
              <w:t>Multivariate sensitivity analyses</w:t>
            </w:r>
          </w:p>
        </w:tc>
      </w:tr>
      <w:tr w:rsidR="00C13651" w:rsidRPr="00265ED8" w14:paraId="5ADC63E5" w14:textId="77777777" w:rsidTr="00235623">
        <w:trPr>
          <w:cantSplit/>
        </w:trPr>
        <w:tc>
          <w:tcPr>
            <w:tcW w:w="3517" w:type="dxa"/>
          </w:tcPr>
          <w:p w14:paraId="52B5E323" w14:textId="77777777" w:rsidR="00C13651" w:rsidRPr="00265ED8" w:rsidRDefault="00C13651" w:rsidP="00F36268">
            <w:pPr>
              <w:pStyle w:val="Tabletext0"/>
              <w:rPr>
                <w:rFonts w:ascii="Arial Narrow" w:hAnsi="Arial Narrow"/>
              </w:rPr>
            </w:pPr>
            <w:r w:rsidRPr="00265ED8">
              <w:rPr>
                <w:rFonts w:ascii="Arial Narrow" w:hAnsi="Arial Narrow"/>
              </w:rPr>
              <w:t>PFS extrapolation for vorasidenib arm: Weibull function</w:t>
            </w:r>
          </w:p>
          <w:p w14:paraId="4E219B89" w14:textId="4986B3A6" w:rsidR="00C13651" w:rsidRPr="00265ED8" w:rsidRDefault="00C13651" w:rsidP="00F36268">
            <w:pPr>
              <w:pStyle w:val="Tabletext0"/>
              <w:rPr>
                <w:rFonts w:ascii="Arial Narrow" w:hAnsi="Arial Narrow"/>
              </w:rPr>
            </w:pPr>
            <w:r w:rsidRPr="00265ED8">
              <w:rPr>
                <w:rFonts w:ascii="Arial Narrow" w:hAnsi="Arial Narrow"/>
              </w:rPr>
              <w:t>Utilities based on dabrafenib submission (progression</w:t>
            </w:r>
            <w:r w:rsidR="00B571FA">
              <w:rPr>
                <w:rFonts w:ascii="Arial Narrow" w:hAnsi="Arial Narrow"/>
              </w:rPr>
              <w:noBreakHyphen/>
            </w:r>
            <w:r w:rsidRPr="00265ED8">
              <w:rPr>
                <w:rFonts w:ascii="Arial Narrow" w:hAnsi="Arial Narrow"/>
              </w:rPr>
              <w:t>free: 0.89; progressed disease: 0.73)</w:t>
            </w:r>
          </w:p>
        </w:tc>
        <w:tc>
          <w:tcPr>
            <w:tcW w:w="1400" w:type="dxa"/>
            <w:vAlign w:val="center"/>
          </w:tcPr>
          <w:p w14:paraId="7A58C583" w14:textId="25327E59" w:rsidR="00C13651" w:rsidRPr="00265ED8" w:rsidRDefault="00C13651" w:rsidP="00F36268">
            <w:pPr>
              <w:pStyle w:val="Tabletext0"/>
              <w:jc w:val="center"/>
              <w:rPr>
                <w:rFonts w:ascii="Arial Narrow" w:hAnsi="Arial Narrow"/>
              </w:rPr>
            </w:pPr>
            <w:r w:rsidRPr="00265ED8">
              <w:rPr>
                <w:rFonts w:ascii="Arial Narrow" w:hAnsi="Arial Narrow"/>
              </w:rPr>
              <w:t>$</w:t>
            </w:r>
            <w:r w:rsidR="0024159D" w:rsidRPr="0024159D">
              <w:rPr>
                <w:rFonts w:ascii="Arial Narrow" w:hAnsi="Arial Narrow"/>
                <w:sz w:val="2"/>
                <w:highlight w:val="black"/>
              </w:rPr>
              <w:t>redacted content</w:t>
            </w:r>
          </w:p>
        </w:tc>
        <w:tc>
          <w:tcPr>
            <w:tcW w:w="1368" w:type="dxa"/>
            <w:vAlign w:val="center"/>
          </w:tcPr>
          <w:p w14:paraId="3A9E1E43" w14:textId="09C9D58D" w:rsidR="00C13651" w:rsidRPr="00265ED8" w:rsidRDefault="00C13651" w:rsidP="00F36268">
            <w:pPr>
              <w:pStyle w:val="Tabletext0"/>
              <w:jc w:val="center"/>
              <w:rPr>
                <w:rFonts w:ascii="Arial Narrow" w:hAnsi="Arial Narrow"/>
              </w:rPr>
            </w:pPr>
            <w:r w:rsidRPr="00265ED8">
              <w:rPr>
                <w:rFonts w:ascii="Arial Narrow" w:hAnsi="Arial Narrow"/>
              </w:rPr>
              <w:t>2.095</w:t>
            </w:r>
          </w:p>
        </w:tc>
        <w:tc>
          <w:tcPr>
            <w:tcW w:w="1366" w:type="dxa"/>
            <w:vAlign w:val="center"/>
          </w:tcPr>
          <w:p w14:paraId="5EFBCAED" w14:textId="5000BA18" w:rsidR="00C13651" w:rsidRPr="00B11526" w:rsidRDefault="00C13651" w:rsidP="00F36268">
            <w:pPr>
              <w:pStyle w:val="Tabletext0"/>
              <w:jc w:val="center"/>
              <w:rPr>
                <w:rFonts w:ascii="Arial Narrow" w:hAnsi="Arial Narrow"/>
                <w:vertAlign w:val="superscript"/>
              </w:rPr>
            </w:pPr>
            <w:r w:rsidRPr="00265ED8">
              <w:rPr>
                <w:rFonts w:ascii="Arial Narrow" w:hAnsi="Arial Narrow"/>
              </w:rPr>
              <w:t>$</w:t>
            </w:r>
            <w:r w:rsidR="0024159D" w:rsidRPr="0024159D">
              <w:rPr>
                <w:rFonts w:ascii="Arial Narrow" w:hAnsi="Arial Narrow"/>
                <w:sz w:val="2"/>
                <w:highlight w:val="black"/>
              </w:rPr>
              <w:t>redacted content</w:t>
            </w:r>
            <w:r w:rsidR="00133471">
              <w:rPr>
                <w:rFonts w:ascii="Arial Narrow" w:hAnsi="Arial Narrow"/>
                <w:vertAlign w:val="superscript"/>
              </w:rPr>
              <w:t>5</w:t>
            </w:r>
          </w:p>
        </w:tc>
        <w:tc>
          <w:tcPr>
            <w:tcW w:w="1365" w:type="dxa"/>
            <w:vAlign w:val="center"/>
          </w:tcPr>
          <w:p w14:paraId="7CA4D716" w14:textId="003F3B63" w:rsidR="00C13651" w:rsidRPr="00265ED8" w:rsidRDefault="0024159D" w:rsidP="00F36268">
            <w:pPr>
              <w:pStyle w:val="Tabletext0"/>
              <w:jc w:val="center"/>
              <w:rPr>
                <w:rFonts w:ascii="Arial Narrow" w:hAnsi="Arial Narrow"/>
              </w:rPr>
            </w:pPr>
            <w:r w:rsidRPr="0024159D">
              <w:rPr>
                <w:rFonts w:ascii="Arial Narrow" w:hAnsi="Arial Narrow"/>
                <w:sz w:val="2"/>
                <w:highlight w:val="black"/>
              </w:rPr>
              <w:t>redacted content</w:t>
            </w:r>
            <w:r w:rsidR="00C13651" w:rsidRPr="00265ED8">
              <w:rPr>
                <w:rFonts w:ascii="Arial Narrow" w:hAnsi="Arial Narrow"/>
              </w:rPr>
              <w:t>%</w:t>
            </w:r>
          </w:p>
        </w:tc>
      </w:tr>
    </w:tbl>
    <w:p w14:paraId="20B6DD34" w14:textId="7BBFCAA9" w:rsidR="00C9220B" w:rsidRPr="00265ED8" w:rsidRDefault="00D5280D" w:rsidP="00F36268">
      <w:pPr>
        <w:pStyle w:val="TableFigureFooter"/>
      </w:pPr>
      <w:r w:rsidRPr="00265ED8">
        <w:t>Source: Table C9 resubmission p28</w:t>
      </w:r>
      <w:r w:rsidR="00700361" w:rsidRPr="00265ED8">
        <w:t>, and conducted for submission overview</w:t>
      </w:r>
      <w:r w:rsidR="00C9220B" w:rsidRPr="00265ED8">
        <w:t>.</w:t>
      </w:r>
    </w:p>
    <w:p w14:paraId="6414667E" w14:textId="49BA0C38" w:rsidR="007358AE" w:rsidRDefault="007358AE" w:rsidP="00B11526">
      <w:pPr>
        <w:pStyle w:val="TableFigureFooter"/>
        <w:spacing w:after="0"/>
      </w:pPr>
      <w:r w:rsidRPr="00C9220B">
        <w:t xml:space="preserve">Abbreviations: </w:t>
      </w:r>
      <w:r w:rsidR="00130545">
        <w:t>ICER</w:t>
      </w:r>
      <w:r w:rsidR="00421BC4">
        <w:t xml:space="preserve"> = incremental cost effectiveness ratio; </w:t>
      </w:r>
      <w:r w:rsidRPr="00C9220B">
        <w:t>PFS = progression</w:t>
      </w:r>
      <w:r w:rsidR="00B571FA">
        <w:noBreakHyphen/>
      </w:r>
      <w:r w:rsidRPr="00C9220B">
        <w:t>free survival; SPR = statutory price reduction</w:t>
      </w:r>
      <w:r w:rsidR="00130545">
        <w:t>; QALY = quality adjusted life year</w:t>
      </w:r>
    </w:p>
    <w:p w14:paraId="04CEBC9D" w14:textId="77777777" w:rsidR="00E91257" w:rsidRPr="00E91257" w:rsidRDefault="00E91257" w:rsidP="00E91257">
      <w:pPr>
        <w:jc w:val="left"/>
        <w:rPr>
          <w:rFonts w:ascii="Arial Narrow" w:hAnsi="Arial Narrow" w:cstheme="minorHAnsi"/>
          <w:bCs/>
          <w:i/>
          <w:iCs/>
          <w:sz w:val="18"/>
          <w:szCs w:val="18"/>
        </w:rPr>
      </w:pPr>
      <w:r w:rsidRPr="00E91257">
        <w:rPr>
          <w:rFonts w:ascii="Arial Narrow" w:hAnsi="Arial Narrow" w:cstheme="minorHAnsi"/>
          <w:bCs/>
          <w:i/>
          <w:iCs/>
          <w:sz w:val="18"/>
          <w:szCs w:val="18"/>
        </w:rPr>
        <w:t xml:space="preserve">The redacted values correspond to the following ranges: </w:t>
      </w:r>
    </w:p>
    <w:p w14:paraId="0A26829E" w14:textId="158A4C8E" w:rsidR="00E91257" w:rsidRPr="00E91257" w:rsidRDefault="00E91257" w:rsidP="00E91257">
      <w:pPr>
        <w:jc w:val="left"/>
        <w:rPr>
          <w:rFonts w:ascii="Arial Narrow" w:hAnsi="Arial Narrow" w:cs="Arial"/>
          <w:i/>
          <w:sz w:val="18"/>
          <w:szCs w:val="18"/>
        </w:rPr>
      </w:pPr>
      <w:r w:rsidRPr="00E91257">
        <w:rPr>
          <w:rFonts w:ascii="Arial Narrow" w:hAnsi="Arial Narrow" w:cs="Arial"/>
          <w:i/>
          <w:sz w:val="18"/>
          <w:szCs w:val="18"/>
          <w:vertAlign w:val="superscript"/>
        </w:rPr>
        <w:t>1</w:t>
      </w:r>
      <w:r w:rsidRPr="00E91257">
        <w:rPr>
          <w:rFonts w:ascii="Arial Narrow" w:hAnsi="Arial Narrow" w:cs="Arial"/>
          <w:i/>
          <w:sz w:val="18"/>
          <w:szCs w:val="18"/>
        </w:rPr>
        <w:t xml:space="preserve"> </w:t>
      </w:r>
      <w:r w:rsidR="00283D8A" w:rsidRPr="00283D8A">
        <w:rPr>
          <w:rFonts w:ascii="Arial Narrow" w:hAnsi="Arial Narrow" w:cs="Arial"/>
          <w:i/>
          <w:sz w:val="18"/>
          <w:szCs w:val="18"/>
        </w:rPr>
        <w:t>$95,000 to &lt; $115,000</w:t>
      </w:r>
    </w:p>
    <w:p w14:paraId="026DA7FE" w14:textId="4FF11936" w:rsidR="00E91257" w:rsidRPr="00E91257" w:rsidRDefault="00E91257" w:rsidP="00E91257">
      <w:pPr>
        <w:jc w:val="left"/>
        <w:rPr>
          <w:rFonts w:ascii="Arial Narrow" w:hAnsi="Arial Narrow" w:cs="Arial"/>
          <w:i/>
          <w:sz w:val="18"/>
          <w:szCs w:val="18"/>
        </w:rPr>
      </w:pPr>
      <w:r w:rsidRPr="00E91257">
        <w:rPr>
          <w:rFonts w:ascii="Arial Narrow" w:hAnsi="Arial Narrow" w:cs="Arial"/>
          <w:i/>
          <w:sz w:val="18"/>
          <w:szCs w:val="18"/>
          <w:vertAlign w:val="superscript"/>
        </w:rPr>
        <w:t>2</w:t>
      </w:r>
      <w:r w:rsidRPr="00E91257">
        <w:rPr>
          <w:rFonts w:ascii="Arial Narrow" w:hAnsi="Arial Narrow" w:cs="Arial"/>
          <w:i/>
          <w:sz w:val="18"/>
          <w:szCs w:val="18"/>
        </w:rPr>
        <w:t xml:space="preserve"> </w:t>
      </w:r>
      <w:r w:rsidR="001854BB" w:rsidRPr="001854BB">
        <w:rPr>
          <w:rFonts w:ascii="Arial Narrow" w:hAnsi="Arial Narrow" w:cs="Arial"/>
          <w:i/>
          <w:sz w:val="18"/>
          <w:szCs w:val="18"/>
        </w:rPr>
        <w:t>$75,000 to &lt; $95,000</w:t>
      </w:r>
    </w:p>
    <w:p w14:paraId="43D25E6A" w14:textId="153D66E6" w:rsidR="00E91257" w:rsidRPr="00E91257" w:rsidRDefault="00E91257" w:rsidP="00E91257">
      <w:pPr>
        <w:jc w:val="left"/>
        <w:rPr>
          <w:rFonts w:ascii="Arial Narrow" w:hAnsi="Arial Narrow" w:cs="Arial"/>
          <w:i/>
          <w:sz w:val="18"/>
          <w:szCs w:val="18"/>
        </w:rPr>
      </w:pPr>
      <w:r w:rsidRPr="00E91257">
        <w:rPr>
          <w:rFonts w:ascii="Arial Narrow" w:hAnsi="Arial Narrow" w:cs="Arial"/>
          <w:i/>
          <w:sz w:val="18"/>
          <w:szCs w:val="18"/>
          <w:vertAlign w:val="superscript"/>
        </w:rPr>
        <w:t>3</w:t>
      </w:r>
      <w:r w:rsidRPr="00E91257">
        <w:rPr>
          <w:rFonts w:ascii="Arial Narrow" w:hAnsi="Arial Narrow" w:cs="Arial"/>
          <w:i/>
          <w:sz w:val="18"/>
          <w:szCs w:val="18"/>
        </w:rPr>
        <w:t xml:space="preserve"> </w:t>
      </w:r>
      <w:r w:rsidR="0078174A" w:rsidRPr="0078174A">
        <w:rPr>
          <w:rFonts w:ascii="Arial Narrow" w:hAnsi="Arial Narrow" w:cs="Arial"/>
          <w:i/>
          <w:sz w:val="18"/>
          <w:szCs w:val="18"/>
        </w:rPr>
        <w:t>$115,000 to &lt; $135,000</w:t>
      </w:r>
    </w:p>
    <w:p w14:paraId="787CE99D" w14:textId="3DBE1B76" w:rsidR="00E91257" w:rsidRPr="00E91257" w:rsidRDefault="00E91257" w:rsidP="00E91257">
      <w:pPr>
        <w:jc w:val="left"/>
        <w:rPr>
          <w:rFonts w:ascii="Arial Narrow" w:hAnsi="Arial Narrow" w:cs="Arial"/>
          <w:i/>
          <w:sz w:val="18"/>
          <w:szCs w:val="18"/>
        </w:rPr>
      </w:pPr>
      <w:r w:rsidRPr="00E91257">
        <w:rPr>
          <w:rFonts w:ascii="Arial Narrow" w:hAnsi="Arial Narrow" w:cs="Arial"/>
          <w:i/>
          <w:sz w:val="18"/>
          <w:szCs w:val="18"/>
          <w:vertAlign w:val="superscript"/>
        </w:rPr>
        <w:t>4</w:t>
      </w:r>
      <w:r w:rsidRPr="00E91257">
        <w:rPr>
          <w:rFonts w:ascii="Arial Narrow" w:hAnsi="Arial Narrow" w:cs="Arial"/>
          <w:i/>
          <w:sz w:val="18"/>
          <w:szCs w:val="18"/>
        </w:rPr>
        <w:t xml:space="preserve"> </w:t>
      </w:r>
      <w:r w:rsidR="00985733" w:rsidRPr="00985733">
        <w:rPr>
          <w:rFonts w:ascii="Arial Narrow" w:hAnsi="Arial Narrow" w:cs="Arial"/>
          <w:bCs/>
          <w:i/>
          <w:sz w:val="18"/>
          <w:szCs w:val="18"/>
        </w:rPr>
        <w:t xml:space="preserve">$55,000 to &lt; $75,000 </w:t>
      </w:r>
    </w:p>
    <w:p w14:paraId="0C859199" w14:textId="7613D66F" w:rsidR="00E91257" w:rsidRPr="00E91257" w:rsidRDefault="00E91257" w:rsidP="00E91257">
      <w:pPr>
        <w:jc w:val="left"/>
        <w:rPr>
          <w:rFonts w:ascii="Arial Narrow" w:hAnsi="Arial Narrow" w:cs="Arial"/>
          <w:i/>
          <w:sz w:val="18"/>
          <w:szCs w:val="18"/>
        </w:rPr>
      </w:pPr>
      <w:r w:rsidRPr="00E91257">
        <w:rPr>
          <w:rFonts w:ascii="Arial Narrow" w:hAnsi="Arial Narrow" w:cs="Arial"/>
          <w:i/>
          <w:sz w:val="18"/>
          <w:szCs w:val="18"/>
          <w:vertAlign w:val="superscript"/>
        </w:rPr>
        <w:t>5</w:t>
      </w:r>
      <w:r w:rsidRPr="00E91257">
        <w:rPr>
          <w:rFonts w:ascii="Arial Narrow" w:hAnsi="Arial Narrow" w:cs="Arial"/>
          <w:i/>
          <w:sz w:val="18"/>
          <w:szCs w:val="18"/>
        </w:rPr>
        <w:t xml:space="preserve"> </w:t>
      </w:r>
      <w:r w:rsidR="00133471" w:rsidRPr="00133471">
        <w:rPr>
          <w:rFonts w:ascii="Arial Narrow" w:hAnsi="Arial Narrow" w:cs="Arial"/>
          <w:bCs/>
          <w:i/>
          <w:sz w:val="18"/>
          <w:szCs w:val="18"/>
        </w:rPr>
        <w:t>$135,000 to &lt; $155,000</w:t>
      </w:r>
    </w:p>
    <w:p w14:paraId="29FCC662" w14:textId="77777777" w:rsidR="00E91257" w:rsidRDefault="00E91257" w:rsidP="00F36268">
      <w:pPr>
        <w:pStyle w:val="TableFigureFooter"/>
      </w:pPr>
    </w:p>
    <w:p w14:paraId="13BB3C0C" w14:textId="04E6336A" w:rsidR="001C3F45" w:rsidRPr="009F35F5" w:rsidRDefault="0061238F" w:rsidP="00F36268">
      <w:pPr>
        <w:pStyle w:val="4-SubsectionHeading"/>
      </w:pPr>
      <w:bookmarkStart w:id="17" w:name="_Toc22897646"/>
      <w:bookmarkStart w:id="18" w:name="_Toc177558655"/>
      <w:r>
        <w:t xml:space="preserve">Vorasidenib </w:t>
      </w:r>
      <w:r w:rsidR="001C3F45" w:rsidRPr="009F35F5">
        <w:t>cost/patient/year</w:t>
      </w:r>
      <w:bookmarkEnd w:id="17"/>
      <w:bookmarkEnd w:id="18"/>
    </w:p>
    <w:p w14:paraId="10FB5654" w14:textId="47D6D41A" w:rsidR="001C3F45" w:rsidRPr="00265ED8" w:rsidRDefault="001C3F45" w:rsidP="00F36268">
      <w:pPr>
        <w:pStyle w:val="3-BodyText"/>
        <w:rPr>
          <w:rFonts w:eastAsiaTheme="minorEastAsia"/>
        </w:rPr>
      </w:pPr>
      <w:r w:rsidRPr="00265ED8">
        <w:t>The estimated drug cost/patient/year at the revised price (effective DPMQ = $</w:t>
      </w:r>
      <w:r w:rsidR="0024159D" w:rsidRPr="0024159D">
        <w:rPr>
          <w:sz w:val="2"/>
          <w:highlight w:val="black"/>
        </w:rPr>
        <w:t>redacted content</w:t>
      </w:r>
      <w:r w:rsidR="0067098B" w:rsidRPr="00265ED8">
        <w:t>)</w:t>
      </w:r>
      <w:r w:rsidRPr="00265ED8">
        <w:t>, would be $</w:t>
      </w:r>
      <w:r w:rsidR="0024159D" w:rsidRPr="0024159D">
        <w:rPr>
          <w:sz w:val="2"/>
          <w:highlight w:val="black"/>
        </w:rPr>
        <w:t>redacted content</w:t>
      </w:r>
      <w:r w:rsidRPr="00265ED8">
        <w:t xml:space="preserve">, based on </w:t>
      </w:r>
      <w:r w:rsidR="00A0210E" w:rsidRPr="00265ED8">
        <w:t xml:space="preserve">30.4 days per month (as in </w:t>
      </w:r>
      <w:r w:rsidRPr="00265ED8">
        <w:t xml:space="preserve">the </w:t>
      </w:r>
      <w:r w:rsidR="00A0210E" w:rsidRPr="00265ED8">
        <w:t xml:space="preserve">revised </w:t>
      </w:r>
      <w:r w:rsidRPr="00265ED8">
        <w:t>economic model</w:t>
      </w:r>
      <w:r w:rsidR="00A0210E" w:rsidRPr="00265ED8">
        <w:t>)</w:t>
      </w:r>
      <w:r w:rsidRPr="00265ED8">
        <w:t xml:space="preserve">, </w:t>
      </w:r>
      <w:r w:rsidR="0011585D" w:rsidRPr="00265ED8">
        <w:t xml:space="preserve">and </w:t>
      </w:r>
      <w:r w:rsidRPr="00265ED8">
        <w:t xml:space="preserve">a </w:t>
      </w:r>
      <w:r w:rsidR="007A2501" w:rsidRPr="00265ED8">
        <w:t>dose intensity</w:t>
      </w:r>
      <w:r w:rsidRPr="00265ED8">
        <w:t xml:space="preserve"> of </w:t>
      </w:r>
      <w:r w:rsidR="007A2501" w:rsidRPr="00265ED8">
        <w:t>93.6</w:t>
      </w:r>
      <w:r w:rsidRPr="00265ED8">
        <w:t>%</w:t>
      </w:r>
      <w:r w:rsidR="007A2501" w:rsidRPr="00265ED8">
        <w:t xml:space="preserve"> (as in the model)</w:t>
      </w:r>
      <w:r w:rsidRPr="00265ED8">
        <w:t xml:space="preserve">. The estimated drug cost/patient/year in the </w:t>
      </w:r>
      <w:r w:rsidR="00627365" w:rsidRPr="00265ED8">
        <w:t xml:space="preserve">July </w:t>
      </w:r>
      <w:r w:rsidRPr="00265ED8">
        <w:t>2025 submission was $</w:t>
      </w:r>
      <w:r w:rsidR="0024159D" w:rsidRPr="0024159D">
        <w:rPr>
          <w:sz w:val="2"/>
          <w:highlight w:val="black"/>
        </w:rPr>
        <w:t>redacted content</w:t>
      </w:r>
      <w:r w:rsidR="0076424A" w:rsidRPr="00265ED8">
        <w:t xml:space="preserve"> (Table 13, vorasidenib ratified minutes, July 2025 PBAC meeting)</w:t>
      </w:r>
      <w:r w:rsidRPr="00265ED8">
        <w:t>.</w:t>
      </w:r>
    </w:p>
    <w:p w14:paraId="152B9050" w14:textId="77777777" w:rsidR="001C3F45" w:rsidRPr="00120ED8" w:rsidRDefault="001C3F45" w:rsidP="00F36268">
      <w:pPr>
        <w:pStyle w:val="4-SubsectionHeading"/>
        <w:rPr>
          <w:color w:val="000000" w:themeColor="text1"/>
        </w:rPr>
      </w:pPr>
      <w:bookmarkStart w:id="19" w:name="_Toc177558656"/>
      <w:r w:rsidRPr="00120ED8">
        <w:rPr>
          <w:color w:val="000000" w:themeColor="text1"/>
        </w:rPr>
        <w:t>Estimated PBS usage &amp; financial implications</w:t>
      </w:r>
      <w:bookmarkEnd w:id="19"/>
    </w:p>
    <w:p w14:paraId="0F95C929" w14:textId="3981D2BF" w:rsidR="001C3F45" w:rsidRDefault="001C3F45" w:rsidP="00F36268">
      <w:pPr>
        <w:pStyle w:val="3-BodyText"/>
      </w:pPr>
      <w:bookmarkStart w:id="20" w:name="_Ref225386562"/>
      <w:r w:rsidRPr="005B0930">
        <w:t xml:space="preserve">At the </w:t>
      </w:r>
      <w:r w:rsidR="00A76CBB" w:rsidRPr="005B0930">
        <w:t>July</w:t>
      </w:r>
      <w:r w:rsidRPr="005B0930">
        <w:t xml:space="preserve"> 2025 meeting, the PBAC considered that the </w:t>
      </w:r>
      <w:r w:rsidR="00C375DB" w:rsidRPr="005B0930">
        <w:t xml:space="preserve">approach to estimation of </w:t>
      </w:r>
      <w:r w:rsidR="006F5C39" w:rsidRPr="005B0930">
        <w:t xml:space="preserve">utilisation and financial estimates was generally reasonable </w:t>
      </w:r>
      <w:r w:rsidR="005B0930" w:rsidRPr="005B0930">
        <w:t>(paragraph 7.13 vorasidenib PSD, July 2025 PBAC meeting)</w:t>
      </w:r>
      <w:r w:rsidR="006E169B" w:rsidRPr="005B0930">
        <w:t>.</w:t>
      </w:r>
      <w:r w:rsidR="005B0930" w:rsidRPr="005B0930">
        <w:t xml:space="preserve"> </w:t>
      </w:r>
      <w:r w:rsidR="005B0930">
        <w:t xml:space="preserve">The PBAC considered </w:t>
      </w:r>
      <w:r w:rsidR="00957CB3">
        <w:t>a resubmission should include r</w:t>
      </w:r>
      <w:r w:rsidR="004C06A4" w:rsidRPr="005B0930">
        <w:t>evised financial estimates with corrections to cost and persistence rate calculations, inclusion of prevalent patients from before 2020 and revised mean treatment duration</w:t>
      </w:r>
      <w:r w:rsidR="00957CB3">
        <w:t xml:space="preserve"> (</w:t>
      </w:r>
      <w:r w:rsidR="00630292">
        <w:t>paragraph</w:t>
      </w:r>
      <w:r w:rsidR="00957CB3">
        <w:t xml:space="preserve"> 7.15 vorasidenib PSD, July 2025 PBAC meeting</w:t>
      </w:r>
      <w:r w:rsidR="004C06A4" w:rsidRPr="005B0930">
        <w:t>)</w:t>
      </w:r>
      <w:r w:rsidR="00957CB3">
        <w:t>.</w:t>
      </w:r>
      <w:r w:rsidR="00C47A7A">
        <w:t xml:space="preserve"> </w:t>
      </w:r>
      <w:r w:rsidR="00C67B15">
        <w:t>The c</w:t>
      </w:r>
      <w:r w:rsidR="00C47A7A">
        <w:t xml:space="preserve">hanges applied in the revised estimates are </w:t>
      </w:r>
      <w:r w:rsidR="006A2765">
        <w:t xml:space="preserve">summarised in </w:t>
      </w:r>
      <w:r w:rsidR="006A2765">
        <w:fldChar w:fldCharType="begin"/>
      </w:r>
      <w:r w:rsidR="006A2765">
        <w:instrText xml:space="preserve"> REF _Ref222375176 \h </w:instrText>
      </w:r>
      <w:r w:rsidR="006A2765">
        <w:fldChar w:fldCharType="separate"/>
      </w:r>
      <w:r w:rsidR="0031315F">
        <w:t xml:space="preserve">Table </w:t>
      </w:r>
      <w:r w:rsidR="0031315F">
        <w:rPr>
          <w:noProof/>
        </w:rPr>
        <w:t>6</w:t>
      </w:r>
      <w:r w:rsidR="006A2765">
        <w:fldChar w:fldCharType="end"/>
      </w:r>
      <w:r w:rsidR="006A2765">
        <w:t>.</w:t>
      </w:r>
      <w:bookmarkEnd w:id="20"/>
    </w:p>
    <w:p w14:paraId="1330F0E9" w14:textId="3A2E3173" w:rsidR="00C47A7A" w:rsidRDefault="00C47A7A" w:rsidP="00F36268">
      <w:pPr>
        <w:pStyle w:val="TableFigureHeading"/>
        <w:keepNext w:val="0"/>
      </w:pPr>
      <w:bookmarkStart w:id="21" w:name="_Ref222375176"/>
      <w:r>
        <w:t xml:space="preserve">Table </w:t>
      </w:r>
      <w:fldSimple w:instr=" SEQ Table \* ARABIC ">
        <w:r w:rsidR="0031315F">
          <w:rPr>
            <w:noProof/>
          </w:rPr>
          <w:t>6</w:t>
        </w:r>
      </w:fldSimple>
      <w:bookmarkEnd w:id="21"/>
      <w:r>
        <w:t>: Changes the inputs for the financial estimates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Caption w:val="Table 6: Changes the inputs for the financial estimates"/>
      </w:tblPr>
      <w:tblGrid>
        <w:gridCol w:w="1129"/>
        <w:gridCol w:w="1418"/>
        <w:gridCol w:w="3118"/>
        <w:gridCol w:w="3351"/>
      </w:tblGrid>
      <w:tr w:rsidR="00C47A7A" w:rsidRPr="005F69B8" w14:paraId="54AFACD0" w14:textId="77777777" w:rsidTr="004E6C36">
        <w:trPr>
          <w:tblHeader/>
        </w:trPr>
        <w:tc>
          <w:tcPr>
            <w:tcW w:w="1129" w:type="dxa"/>
            <w:tcBorders>
              <w:bottom w:val="single" w:sz="4" w:space="0" w:color="auto"/>
            </w:tcBorders>
            <w:vAlign w:val="center"/>
          </w:tcPr>
          <w:p w14:paraId="67C68AB8" w14:textId="77777777" w:rsidR="00C47A7A" w:rsidRPr="005F69B8" w:rsidRDefault="00C47A7A" w:rsidP="00F36268">
            <w:pPr>
              <w:pStyle w:val="TableText"/>
              <w:keepNext w:val="0"/>
              <w:rPr>
                <w:b/>
                <w:bCs w:val="0"/>
              </w:rPr>
            </w:pPr>
            <w:r w:rsidRPr="005F69B8">
              <w:rPr>
                <w:b/>
                <w:bCs w:val="0"/>
              </w:rPr>
              <w:t>Data</w:t>
            </w:r>
          </w:p>
        </w:tc>
        <w:tc>
          <w:tcPr>
            <w:tcW w:w="1418" w:type="dxa"/>
            <w:tcBorders>
              <w:bottom w:val="single" w:sz="4" w:space="0" w:color="auto"/>
            </w:tcBorders>
            <w:vAlign w:val="center"/>
          </w:tcPr>
          <w:p w14:paraId="46C4B336" w14:textId="77777777" w:rsidR="00C47A7A" w:rsidRPr="005F69B8" w:rsidRDefault="00C47A7A" w:rsidP="00F36268">
            <w:pPr>
              <w:pStyle w:val="TableText"/>
              <w:keepNext w:val="0"/>
              <w:rPr>
                <w:b/>
                <w:bCs w:val="0"/>
              </w:rPr>
            </w:pPr>
            <w:r w:rsidRPr="005F69B8">
              <w:rPr>
                <w:b/>
                <w:bCs w:val="0"/>
              </w:rPr>
              <w:t>July 2025 input</w:t>
            </w:r>
          </w:p>
        </w:tc>
        <w:tc>
          <w:tcPr>
            <w:tcW w:w="3118" w:type="dxa"/>
            <w:tcBorders>
              <w:bottom w:val="single" w:sz="4" w:space="0" w:color="auto"/>
            </w:tcBorders>
          </w:tcPr>
          <w:p w14:paraId="031BF23E" w14:textId="4B170CEF" w:rsidR="00C47A7A" w:rsidRPr="005F69B8" w:rsidRDefault="006C04D8" w:rsidP="00F36268">
            <w:pPr>
              <w:pStyle w:val="TableText"/>
              <w:keepNext w:val="0"/>
              <w:rPr>
                <w:b/>
                <w:bCs w:val="0"/>
              </w:rPr>
            </w:pPr>
            <w:r>
              <w:rPr>
                <w:b/>
                <w:bCs w:val="0"/>
              </w:rPr>
              <w:t xml:space="preserve">July 2025 </w:t>
            </w:r>
            <w:r w:rsidR="00C47A7A" w:rsidRPr="005F69B8" w:rsidDel="001B6605">
              <w:rPr>
                <w:b/>
                <w:bCs w:val="0"/>
              </w:rPr>
              <w:t xml:space="preserve">Commentary and </w:t>
            </w:r>
            <w:r w:rsidR="00C47A7A" w:rsidRPr="005F69B8">
              <w:rPr>
                <w:b/>
                <w:bCs w:val="0"/>
              </w:rPr>
              <w:t>S</w:t>
            </w:r>
            <w:r w:rsidR="00C47A7A" w:rsidRPr="005F69B8" w:rsidDel="001B6605">
              <w:rPr>
                <w:b/>
                <w:bCs w:val="0"/>
              </w:rPr>
              <w:t>ub</w:t>
            </w:r>
            <w:r w:rsidR="00B571FA">
              <w:rPr>
                <w:b/>
                <w:bCs w:val="0"/>
              </w:rPr>
              <w:noBreakHyphen/>
            </w:r>
            <w:r w:rsidR="00C47A7A" w:rsidRPr="005F69B8">
              <w:rPr>
                <w:b/>
                <w:bCs w:val="0"/>
              </w:rPr>
              <w:t>C</w:t>
            </w:r>
            <w:r w:rsidR="00C47A7A" w:rsidRPr="005F69B8" w:rsidDel="001B6605">
              <w:rPr>
                <w:b/>
                <w:bCs w:val="0"/>
              </w:rPr>
              <w:t>ommittee</w:t>
            </w:r>
            <w:r w:rsidR="00C47A7A" w:rsidRPr="005F69B8">
              <w:rPr>
                <w:b/>
                <w:bCs w:val="0"/>
              </w:rPr>
              <w:t>s</w:t>
            </w:r>
            <w:r w:rsidR="00C47A7A" w:rsidRPr="005F69B8" w:rsidDel="001B6605">
              <w:rPr>
                <w:b/>
                <w:bCs w:val="0"/>
              </w:rPr>
              <w:t xml:space="preserve"> comments</w:t>
            </w:r>
          </w:p>
        </w:tc>
        <w:tc>
          <w:tcPr>
            <w:tcW w:w="3351" w:type="dxa"/>
            <w:tcBorders>
              <w:bottom w:val="single" w:sz="4" w:space="0" w:color="auto"/>
            </w:tcBorders>
          </w:tcPr>
          <w:p w14:paraId="6228DCE8" w14:textId="77777777" w:rsidR="00C47A7A" w:rsidRPr="005F69B8" w:rsidRDefault="00C47A7A" w:rsidP="00F36268">
            <w:pPr>
              <w:pStyle w:val="TableText"/>
              <w:keepNext w:val="0"/>
              <w:rPr>
                <w:b/>
                <w:bCs w:val="0"/>
              </w:rPr>
            </w:pPr>
            <w:r w:rsidRPr="005F69B8">
              <w:rPr>
                <w:b/>
                <w:bCs w:val="0"/>
              </w:rPr>
              <w:t xml:space="preserve">March 2026 input </w:t>
            </w:r>
          </w:p>
        </w:tc>
      </w:tr>
      <w:tr w:rsidR="00C47A7A" w:rsidRPr="00F8071C" w14:paraId="098DDDE4" w14:textId="77777777" w:rsidTr="00E549E5">
        <w:tc>
          <w:tcPr>
            <w:tcW w:w="0" w:type="auto"/>
            <w:gridSpan w:val="4"/>
            <w:vAlign w:val="center"/>
          </w:tcPr>
          <w:p w14:paraId="7285940E" w14:textId="77777777" w:rsidR="00C47A7A" w:rsidRPr="00F8071C" w:rsidRDefault="00C47A7A" w:rsidP="00F36268">
            <w:pPr>
              <w:pStyle w:val="TableText"/>
              <w:keepNext w:val="0"/>
              <w:rPr>
                <w:b/>
                <w:bCs w:val="0"/>
              </w:rPr>
            </w:pPr>
            <w:r w:rsidRPr="00F8071C">
              <w:rPr>
                <w:b/>
                <w:bCs w:val="0"/>
              </w:rPr>
              <w:t>Eligible population</w:t>
            </w:r>
          </w:p>
        </w:tc>
      </w:tr>
      <w:tr w:rsidR="00C47A7A" w:rsidRPr="00F835C5" w14:paraId="0931CDEF" w14:textId="77777777" w:rsidTr="004E6C36">
        <w:tc>
          <w:tcPr>
            <w:tcW w:w="1129" w:type="dxa"/>
            <w:vAlign w:val="center"/>
          </w:tcPr>
          <w:p w14:paraId="412673E7" w14:textId="24CD64D3" w:rsidR="00C47A7A" w:rsidRPr="008D0FBE" w:rsidRDefault="00C47A7A" w:rsidP="00F36268">
            <w:pPr>
              <w:pStyle w:val="TableText"/>
              <w:keepNext w:val="0"/>
            </w:pPr>
            <w:r w:rsidRPr="008D0FBE">
              <w:t>Prevalent cases of IDH</w:t>
            </w:r>
            <w:r w:rsidR="00B571FA">
              <w:noBreakHyphen/>
            </w:r>
            <w:r w:rsidRPr="008D0FBE">
              <w:t xml:space="preserve">mutant </w:t>
            </w:r>
            <w:r w:rsidRPr="008D0FBE">
              <w:lastRenderedPageBreak/>
              <w:t>glioma in Year 1 of listing</w:t>
            </w:r>
          </w:p>
        </w:tc>
        <w:tc>
          <w:tcPr>
            <w:tcW w:w="1418" w:type="dxa"/>
            <w:vAlign w:val="center"/>
          </w:tcPr>
          <w:p w14:paraId="7B393DDB" w14:textId="77777777" w:rsidR="00C47A7A" w:rsidRPr="008D0FBE" w:rsidRDefault="00C47A7A" w:rsidP="00F36268">
            <w:pPr>
              <w:pStyle w:val="TableText"/>
              <w:keepNext w:val="0"/>
            </w:pPr>
            <w:r w:rsidRPr="008D0FBE">
              <w:lastRenderedPageBreak/>
              <w:t>369</w:t>
            </w:r>
          </w:p>
        </w:tc>
        <w:tc>
          <w:tcPr>
            <w:tcW w:w="3118" w:type="dxa"/>
          </w:tcPr>
          <w:p w14:paraId="5E06EBB3" w14:textId="77777777" w:rsidR="00C47A7A" w:rsidRPr="006A31C0" w:rsidRDefault="00C47A7A" w:rsidP="00F36268">
            <w:pPr>
              <w:pStyle w:val="TableText"/>
              <w:keepNext w:val="0"/>
            </w:pPr>
            <w:r w:rsidRPr="006A31C0">
              <w:t xml:space="preserve">An error was identified by the evaluators in the financial worksheet where the persistence rate was applied to each </w:t>
            </w:r>
            <w:r w:rsidRPr="006A31C0">
              <w:lastRenderedPageBreak/>
              <w:t>previous year’s population rather than the initial population.</w:t>
            </w:r>
          </w:p>
          <w:p w14:paraId="4A8D16A8" w14:textId="77777777" w:rsidR="00C47A7A" w:rsidRPr="006A31C0" w:rsidRDefault="00C47A7A" w:rsidP="00F36268">
            <w:pPr>
              <w:pStyle w:val="TableText"/>
              <w:keepNext w:val="0"/>
            </w:pPr>
          </w:p>
          <w:p w14:paraId="21AB02B3" w14:textId="77777777" w:rsidR="00C47A7A" w:rsidRPr="006A31C0" w:rsidRDefault="00C47A7A" w:rsidP="00F36268">
            <w:pPr>
              <w:pStyle w:val="TableText"/>
              <w:keepNext w:val="0"/>
            </w:pPr>
            <w:r w:rsidRPr="006A31C0">
              <w:t xml:space="preserve">The PBAC considered that prevalent patients were likely to be underestimated and patients from before 2020 should be included in the financial estimates given the long natural history of the condition. </w:t>
            </w:r>
          </w:p>
        </w:tc>
        <w:tc>
          <w:tcPr>
            <w:tcW w:w="3351" w:type="dxa"/>
          </w:tcPr>
          <w:p w14:paraId="3893546F" w14:textId="77777777" w:rsidR="00C47A7A" w:rsidRPr="006A31C0" w:rsidRDefault="00C47A7A" w:rsidP="00F36268">
            <w:pPr>
              <w:pStyle w:val="TableText"/>
              <w:keepNext w:val="0"/>
            </w:pPr>
            <w:r w:rsidRPr="006A31C0">
              <w:lastRenderedPageBreak/>
              <w:t>Error corrected</w:t>
            </w:r>
          </w:p>
          <w:p w14:paraId="071B0423" w14:textId="77777777" w:rsidR="00C47A7A" w:rsidRPr="006A31C0" w:rsidRDefault="00C47A7A" w:rsidP="00F36268">
            <w:pPr>
              <w:pStyle w:val="TableText"/>
              <w:keepNext w:val="0"/>
            </w:pPr>
          </w:p>
          <w:p w14:paraId="327A7614" w14:textId="77777777" w:rsidR="00C47A7A" w:rsidRPr="006A31C0" w:rsidRDefault="00C47A7A" w:rsidP="00F36268">
            <w:pPr>
              <w:pStyle w:val="TableText"/>
              <w:keepNext w:val="0"/>
            </w:pPr>
          </w:p>
          <w:p w14:paraId="1F109C0F" w14:textId="77777777" w:rsidR="00C47A7A" w:rsidRPr="006A31C0" w:rsidRDefault="00C47A7A" w:rsidP="00F36268">
            <w:pPr>
              <w:pStyle w:val="TableText"/>
              <w:keepNext w:val="0"/>
            </w:pPr>
          </w:p>
          <w:p w14:paraId="5B3FA72A" w14:textId="77777777" w:rsidR="00C47A7A" w:rsidRDefault="00C47A7A" w:rsidP="00F36268">
            <w:pPr>
              <w:pStyle w:val="TableText"/>
              <w:keepNext w:val="0"/>
            </w:pPr>
          </w:p>
          <w:p w14:paraId="139E95AA" w14:textId="77777777" w:rsidR="005F69B8" w:rsidRPr="006A31C0" w:rsidRDefault="005F69B8" w:rsidP="00F36268">
            <w:pPr>
              <w:pStyle w:val="TableText"/>
              <w:keepNext w:val="0"/>
            </w:pPr>
          </w:p>
          <w:p w14:paraId="33FCED8B" w14:textId="333B287B" w:rsidR="00076C3E" w:rsidRPr="00E67620" w:rsidRDefault="00C47A7A" w:rsidP="00F36268">
            <w:pPr>
              <w:pStyle w:val="TableText"/>
              <w:keepNext w:val="0"/>
            </w:pPr>
            <w:r w:rsidRPr="006A31C0">
              <w:t>Prevalent patients have been recalculated to include incident patients diagnosed from 2008 onwards</w:t>
            </w:r>
            <w:r w:rsidR="002956DB">
              <w:t>, increasing prevalent patients to 470 in year 1</w:t>
            </w:r>
            <w:r w:rsidR="00076C3E">
              <w:t>.</w:t>
            </w:r>
            <w:r w:rsidR="00E67620">
              <w:t xml:space="preserve"> </w:t>
            </w:r>
            <w:r w:rsidR="000C13B3" w:rsidRPr="00265ED8">
              <w:t xml:space="preserve">An error </w:t>
            </w:r>
            <w:r w:rsidR="00E7196F" w:rsidRPr="00265ED8">
              <w:t xml:space="preserve">was identified in the </w:t>
            </w:r>
            <w:r w:rsidR="00E11D2E" w:rsidRPr="00265ED8">
              <w:t xml:space="preserve">estimates </w:t>
            </w:r>
            <w:r w:rsidR="00B56CA9" w:rsidRPr="00265ED8">
              <w:t>w</w:t>
            </w:r>
            <w:r w:rsidR="00E11D2E" w:rsidRPr="00265ED8">
              <w:t xml:space="preserve">here the year 1 persistence rate (84.08% was applied </w:t>
            </w:r>
            <w:r w:rsidR="00A8009D" w:rsidRPr="00265ED8">
              <w:t>every year for patients diagnosed in 2008</w:t>
            </w:r>
            <w:r w:rsidR="00B571FA">
              <w:noBreakHyphen/>
            </w:r>
            <w:r w:rsidR="00A8009D" w:rsidRPr="00265ED8">
              <w:t>2014</w:t>
            </w:r>
            <w:r w:rsidR="003C052E" w:rsidRPr="00265ED8">
              <w:t xml:space="preserve"> (cells Y26 – AC32 in 11. Persistent population)</w:t>
            </w:r>
            <w:r w:rsidR="005E6A99" w:rsidRPr="00265ED8">
              <w:t>.</w:t>
            </w:r>
          </w:p>
        </w:tc>
      </w:tr>
      <w:tr w:rsidR="00C47A7A" w:rsidRPr="00F835C5" w14:paraId="30FB47A7" w14:textId="77777777" w:rsidTr="004E6C36">
        <w:tc>
          <w:tcPr>
            <w:tcW w:w="1129" w:type="dxa"/>
            <w:tcBorders>
              <w:bottom w:val="single" w:sz="4" w:space="0" w:color="auto"/>
            </w:tcBorders>
            <w:vAlign w:val="center"/>
          </w:tcPr>
          <w:p w14:paraId="6A756D3C" w14:textId="77777777" w:rsidR="00C47A7A" w:rsidRPr="008D0FBE" w:rsidRDefault="00C47A7A" w:rsidP="00F36268">
            <w:pPr>
              <w:pStyle w:val="TableText"/>
              <w:keepNext w:val="0"/>
            </w:pPr>
            <w:r w:rsidRPr="008D0FBE">
              <w:lastRenderedPageBreak/>
              <w:t>Grandfathered patients</w:t>
            </w:r>
          </w:p>
        </w:tc>
        <w:tc>
          <w:tcPr>
            <w:tcW w:w="1418" w:type="dxa"/>
            <w:tcBorders>
              <w:bottom w:val="single" w:sz="4" w:space="0" w:color="auto"/>
            </w:tcBorders>
            <w:vAlign w:val="center"/>
          </w:tcPr>
          <w:p w14:paraId="35EC82B2" w14:textId="1D275D21" w:rsidR="00C47A7A" w:rsidRPr="008D0FBE" w:rsidRDefault="0024159D" w:rsidP="00F36268">
            <w:pPr>
              <w:pStyle w:val="TableText"/>
              <w:keepNext w:val="0"/>
            </w:pPr>
            <w:r w:rsidRPr="0024159D">
              <w:rPr>
                <w:sz w:val="2"/>
                <w:highlight w:val="black"/>
              </w:rPr>
              <w:t>redacted content</w:t>
            </w:r>
            <w:r w:rsidR="00AB6090">
              <w:rPr>
                <w:vertAlign w:val="superscript"/>
              </w:rPr>
              <w:t>1</w:t>
            </w:r>
            <w:r w:rsidR="00C47A7A" w:rsidRPr="008D0FBE">
              <w:t xml:space="preserve"> patients</w:t>
            </w:r>
          </w:p>
        </w:tc>
        <w:tc>
          <w:tcPr>
            <w:tcW w:w="3118" w:type="dxa"/>
            <w:tcBorders>
              <w:bottom w:val="single" w:sz="4" w:space="0" w:color="auto"/>
            </w:tcBorders>
          </w:tcPr>
          <w:p w14:paraId="4D5EAFB8" w14:textId="77777777" w:rsidR="00C47A7A" w:rsidRPr="006A31C0" w:rsidRDefault="00C47A7A" w:rsidP="00F36268">
            <w:pPr>
              <w:pStyle w:val="TableText"/>
              <w:keepNext w:val="0"/>
            </w:pPr>
            <w:r w:rsidRPr="006A31C0" w:rsidDel="001B6605">
              <w:t>Grandfathered patients were appropriately removed from the prevalent patient pool</w:t>
            </w:r>
            <w:r w:rsidRPr="006A31C0">
              <w:t>.</w:t>
            </w:r>
          </w:p>
        </w:tc>
        <w:tc>
          <w:tcPr>
            <w:tcW w:w="3351" w:type="dxa"/>
            <w:tcBorders>
              <w:bottom w:val="single" w:sz="4" w:space="0" w:color="auto"/>
            </w:tcBorders>
          </w:tcPr>
          <w:p w14:paraId="44880381" w14:textId="697C1006" w:rsidR="00C47A7A" w:rsidRPr="006A31C0" w:rsidRDefault="00C47A7A" w:rsidP="00F36268">
            <w:pPr>
              <w:pStyle w:val="TableText"/>
              <w:keepNext w:val="0"/>
            </w:pPr>
            <w:r w:rsidRPr="006A31C0">
              <w:t xml:space="preserve">Grandfathered patient estimates are updated to </w:t>
            </w:r>
            <w:r w:rsidR="0024159D" w:rsidRPr="0024159D">
              <w:rPr>
                <w:sz w:val="2"/>
                <w:highlight w:val="black"/>
              </w:rPr>
              <w:t>redacted content</w:t>
            </w:r>
            <w:r w:rsidR="00AB6090">
              <w:rPr>
                <w:vertAlign w:val="superscript"/>
              </w:rPr>
              <w:t>1</w:t>
            </w:r>
            <w:r w:rsidRPr="006A31C0">
              <w:t>, based on the current number of patients on treatment with vorasidenib through Servier’s Compassionate Access Program (as of 09/12/2025)</w:t>
            </w:r>
          </w:p>
        </w:tc>
      </w:tr>
      <w:tr w:rsidR="00C47A7A" w:rsidRPr="00F8071C" w14:paraId="0606EC5D" w14:textId="77777777" w:rsidTr="00E549E5">
        <w:tc>
          <w:tcPr>
            <w:tcW w:w="0" w:type="auto"/>
            <w:gridSpan w:val="4"/>
            <w:vAlign w:val="center"/>
          </w:tcPr>
          <w:p w14:paraId="32F898B3" w14:textId="77777777" w:rsidR="00C47A7A" w:rsidRPr="00F8071C" w:rsidRDefault="00C47A7A" w:rsidP="00F36268">
            <w:pPr>
              <w:pStyle w:val="TableText"/>
              <w:keepNext w:val="0"/>
              <w:rPr>
                <w:b/>
                <w:bCs w:val="0"/>
              </w:rPr>
            </w:pPr>
            <w:r w:rsidRPr="00F8071C">
              <w:rPr>
                <w:b/>
                <w:bCs w:val="0"/>
              </w:rPr>
              <w:t xml:space="preserve">Treatment utilisation </w:t>
            </w:r>
          </w:p>
        </w:tc>
      </w:tr>
      <w:tr w:rsidR="00C47A7A" w:rsidRPr="00F835C5" w14:paraId="4BBF7B4C" w14:textId="77777777" w:rsidTr="004B2188">
        <w:trPr>
          <w:trHeight w:val="3459"/>
        </w:trPr>
        <w:tc>
          <w:tcPr>
            <w:tcW w:w="1129" w:type="dxa"/>
            <w:vAlign w:val="center"/>
          </w:tcPr>
          <w:p w14:paraId="48DA93E4" w14:textId="77777777" w:rsidR="00C47A7A" w:rsidRPr="008D0FBE" w:rsidRDefault="00C47A7A" w:rsidP="00F36268">
            <w:pPr>
              <w:pStyle w:val="TableText"/>
              <w:keepNext w:val="0"/>
            </w:pPr>
            <w:r w:rsidRPr="008D0FBE">
              <w:t>Vorasidenib treatment persistence</w:t>
            </w:r>
          </w:p>
        </w:tc>
        <w:tc>
          <w:tcPr>
            <w:tcW w:w="1418" w:type="dxa"/>
            <w:vAlign w:val="center"/>
          </w:tcPr>
          <w:p w14:paraId="04686407" w14:textId="77777777" w:rsidR="00C47A7A" w:rsidRPr="008D0FBE" w:rsidRDefault="00C47A7A" w:rsidP="00F36268">
            <w:pPr>
              <w:pStyle w:val="TableText"/>
              <w:keepNext w:val="0"/>
            </w:pPr>
            <w:r w:rsidRPr="008D0FBE">
              <w:t>Yr 1: 100%</w:t>
            </w:r>
          </w:p>
          <w:p w14:paraId="33D21DFC" w14:textId="77777777" w:rsidR="00C47A7A" w:rsidRPr="008D0FBE" w:rsidRDefault="00C47A7A" w:rsidP="00F36268">
            <w:pPr>
              <w:pStyle w:val="TableText"/>
              <w:keepNext w:val="0"/>
            </w:pPr>
            <w:r w:rsidRPr="008D0FBE">
              <w:t>Yr 2: 77%</w:t>
            </w:r>
          </w:p>
          <w:p w14:paraId="1ED5244A" w14:textId="77777777" w:rsidR="00C47A7A" w:rsidRPr="008D0FBE" w:rsidRDefault="00C47A7A" w:rsidP="00F36268">
            <w:pPr>
              <w:pStyle w:val="TableText"/>
              <w:keepNext w:val="0"/>
            </w:pPr>
            <w:r w:rsidRPr="008D0FBE">
              <w:t>Yr 3: 59%</w:t>
            </w:r>
          </w:p>
          <w:p w14:paraId="71DDF941" w14:textId="77777777" w:rsidR="00C47A7A" w:rsidRPr="008D0FBE" w:rsidRDefault="00C47A7A" w:rsidP="00F36268">
            <w:pPr>
              <w:pStyle w:val="TableText"/>
              <w:keepNext w:val="0"/>
            </w:pPr>
            <w:r w:rsidRPr="008D0FBE">
              <w:t>Yr 4: 49%</w:t>
            </w:r>
          </w:p>
          <w:p w14:paraId="6BB032AA" w14:textId="77777777" w:rsidR="00C47A7A" w:rsidRPr="008D0FBE" w:rsidRDefault="00C47A7A" w:rsidP="00F36268">
            <w:pPr>
              <w:pStyle w:val="TableText"/>
              <w:keepNext w:val="0"/>
            </w:pPr>
            <w:r w:rsidRPr="008D0FBE">
              <w:t>Yr 5: 39%</w:t>
            </w:r>
          </w:p>
          <w:p w14:paraId="61948DEE" w14:textId="77777777" w:rsidR="00C47A7A" w:rsidRPr="008D0FBE" w:rsidRDefault="00C47A7A" w:rsidP="00F36268">
            <w:pPr>
              <w:pStyle w:val="TableText"/>
              <w:keepNext w:val="0"/>
            </w:pPr>
            <w:r w:rsidRPr="008D0FBE">
              <w:t>Yr 6: 32%</w:t>
            </w:r>
          </w:p>
        </w:tc>
        <w:tc>
          <w:tcPr>
            <w:tcW w:w="3118" w:type="dxa"/>
          </w:tcPr>
          <w:p w14:paraId="1B15CC23" w14:textId="77777777" w:rsidR="00C47A7A" w:rsidRPr="006A31C0" w:rsidRDefault="00C47A7A" w:rsidP="00F36268">
            <w:pPr>
              <w:pStyle w:val="TableText"/>
              <w:keepNext w:val="0"/>
            </w:pPr>
            <w:r w:rsidRPr="006A31C0" w:rsidDel="001B6605">
              <w:t xml:space="preserve">Progression events in the economic model were based on radiographic progression. It is unclear whether patients treated with vorasidenib in clinical practice will discontinue treatment with vorasidenib following an initial finding of radiographic disease progression. Additionally, patients may not receive MRI scanning as frequently as in the INIDIGO trial which may delay the identification of disease </w:t>
            </w:r>
            <w:r w:rsidRPr="006A31C0">
              <w:t>progression.</w:t>
            </w:r>
          </w:p>
        </w:tc>
        <w:tc>
          <w:tcPr>
            <w:tcW w:w="3351" w:type="dxa"/>
          </w:tcPr>
          <w:p w14:paraId="2E452B0A" w14:textId="547F6083" w:rsidR="00C47A7A" w:rsidRPr="006A31C0" w:rsidRDefault="00C47A7A" w:rsidP="00F36268">
            <w:pPr>
              <w:pStyle w:val="TableText"/>
              <w:keepNext w:val="0"/>
            </w:pPr>
            <w:r w:rsidRPr="006A31C0">
              <w:t>Persistence rate has been updated to reflect the new base case for PFS, which is based on PFS per investigator results from the INDIGO trial with 22 months of additional follow</w:t>
            </w:r>
            <w:r w:rsidR="00B571FA">
              <w:noBreakHyphen/>
            </w:r>
            <w:r w:rsidRPr="006A31C0">
              <w:t>up from the data submitted in the initial submission.</w:t>
            </w:r>
          </w:p>
          <w:p w14:paraId="2E90EDAF" w14:textId="77777777" w:rsidR="00C47A7A" w:rsidRPr="006A31C0" w:rsidRDefault="00C47A7A" w:rsidP="00F36268">
            <w:pPr>
              <w:pStyle w:val="TableText"/>
              <w:keepNext w:val="0"/>
            </w:pPr>
          </w:p>
          <w:p w14:paraId="08FB1E41" w14:textId="77777777" w:rsidR="00C47A7A" w:rsidRPr="006A31C0" w:rsidRDefault="00C47A7A" w:rsidP="00F36268">
            <w:pPr>
              <w:pStyle w:val="TableText"/>
              <w:keepNext w:val="0"/>
            </w:pPr>
            <w:r w:rsidRPr="006A31C0">
              <w:t xml:space="preserve">Updated persistence rate (based on PFS (per INV) – January 2025 </w:t>
            </w:r>
            <w:proofErr w:type="spellStart"/>
            <w:r w:rsidRPr="006A31C0">
              <w:t>datacut</w:t>
            </w:r>
            <w:proofErr w:type="spellEnd"/>
            <w:r w:rsidRPr="006A31C0">
              <w:t>)</w:t>
            </w:r>
          </w:p>
          <w:p w14:paraId="24C468A0" w14:textId="77777777" w:rsidR="00C47A7A" w:rsidRPr="006A31C0" w:rsidRDefault="00C47A7A" w:rsidP="00F36268">
            <w:pPr>
              <w:pStyle w:val="TableText"/>
              <w:keepNext w:val="0"/>
            </w:pPr>
          </w:p>
          <w:p w14:paraId="1DEE80C4" w14:textId="77777777" w:rsidR="00C47A7A" w:rsidRPr="006A31C0" w:rsidRDefault="00C47A7A" w:rsidP="00F36268">
            <w:pPr>
              <w:pStyle w:val="TableText"/>
              <w:keepNext w:val="0"/>
            </w:pPr>
            <w:r w:rsidRPr="006A31C0">
              <w:t>Yr 1: 100%</w:t>
            </w:r>
          </w:p>
          <w:p w14:paraId="61CEB359" w14:textId="77777777" w:rsidR="00C47A7A" w:rsidRPr="006A31C0" w:rsidRDefault="00C47A7A" w:rsidP="00F36268">
            <w:pPr>
              <w:pStyle w:val="TableText"/>
              <w:keepNext w:val="0"/>
            </w:pPr>
            <w:r w:rsidRPr="006A31C0">
              <w:t>Yr 2: 84.08%</w:t>
            </w:r>
          </w:p>
          <w:p w14:paraId="51C3367F" w14:textId="77777777" w:rsidR="00C47A7A" w:rsidRPr="006A31C0" w:rsidRDefault="00C47A7A" w:rsidP="00F36268">
            <w:pPr>
              <w:pStyle w:val="TableText"/>
              <w:keepNext w:val="0"/>
            </w:pPr>
            <w:r w:rsidRPr="006A31C0">
              <w:t>Yr 3: 73.41%</w:t>
            </w:r>
          </w:p>
          <w:p w14:paraId="490E85D2" w14:textId="77777777" w:rsidR="00C47A7A" w:rsidRPr="006A31C0" w:rsidRDefault="00C47A7A" w:rsidP="00F36268">
            <w:pPr>
              <w:pStyle w:val="TableText"/>
              <w:keepNext w:val="0"/>
            </w:pPr>
            <w:r w:rsidRPr="006A31C0">
              <w:t>Yr 4: 66.56%</w:t>
            </w:r>
          </w:p>
          <w:p w14:paraId="4D30A167" w14:textId="77777777" w:rsidR="00C47A7A" w:rsidRPr="006A31C0" w:rsidRDefault="00C47A7A" w:rsidP="00F36268">
            <w:pPr>
              <w:pStyle w:val="TableText"/>
              <w:keepNext w:val="0"/>
            </w:pPr>
            <w:r w:rsidRPr="006A31C0">
              <w:t>Yr 5: 55.01%</w:t>
            </w:r>
          </w:p>
          <w:p w14:paraId="5DACDDA2" w14:textId="77777777" w:rsidR="00C47A7A" w:rsidRPr="006A31C0" w:rsidRDefault="00C47A7A" w:rsidP="00F36268">
            <w:pPr>
              <w:pStyle w:val="TableText"/>
              <w:keepNext w:val="0"/>
            </w:pPr>
            <w:r w:rsidRPr="006A31C0">
              <w:t>Yr 6: 49.79%</w:t>
            </w:r>
          </w:p>
        </w:tc>
      </w:tr>
      <w:tr w:rsidR="00C47A7A" w:rsidRPr="00F8071C" w14:paraId="2FD2D830" w14:textId="77777777" w:rsidTr="00E549E5">
        <w:tc>
          <w:tcPr>
            <w:tcW w:w="0" w:type="auto"/>
            <w:gridSpan w:val="4"/>
            <w:vAlign w:val="center"/>
          </w:tcPr>
          <w:p w14:paraId="272E21C9" w14:textId="77777777" w:rsidR="00C47A7A" w:rsidRPr="00F8071C" w:rsidRDefault="00C47A7A" w:rsidP="00F36268">
            <w:pPr>
              <w:pStyle w:val="TableText"/>
              <w:keepNext w:val="0"/>
              <w:rPr>
                <w:b/>
                <w:bCs w:val="0"/>
              </w:rPr>
            </w:pPr>
            <w:r w:rsidRPr="00F8071C">
              <w:rPr>
                <w:b/>
                <w:bCs w:val="0"/>
              </w:rPr>
              <w:t>Costs</w:t>
            </w:r>
          </w:p>
        </w:tc>
      </w:tr>
      <w:tr w:rsidR="00C47A7A" w:rsidRPr="00B024A4" w14:paraId="6DE63204" w14:textId="77777777" w:rsidTr="004E6C36">
        <w:tc>
          <w:tcPr>
            <w:tcW w:w="1129" w:type="dxa"/>
            <w:vAlign w:val="center"/>
          </w:tcPr>
          <w:p w14:paraId="46BC7DCF" w14:textId="77777777" w:rsidR="00C47A7A" w:rsidRPr="00B024A4" w:rsidRDefault="00C47A7A" w:rsidP="00F36268">
            <w:pPr>
              <w:pStyle w:val="TableText"/>
              <w:keepNext w:val="0"/>
            </w:pPr>
            <w:r w:rsidRPr="00B024A4">
              <w:t>Vorasidenib</w:t>
            </w:r>
          </w:p>
        </w:tc>
        <w:tc>
          <w:tcPr>
            <w:tcW w:w="1418" w:type="dxa"/>
            <w:vAlign w:val="center"/>
          </w:tcPr>
          <w:p w14:paraId="483335E8" w14:textId="57DE1248" w:rsidR="00C47A7A" w:rsidRPr="00B024A4" w:rsidRDefault="00C47A7A" w:rsidP="00F36268">
            <w:pPr>
              <w:pStyle w:val="TableText"/>
              <w:keepNext w:val="0"/>
            </w:pPr>
            <w:r w:rsidRPr="00B024A4">
              <w:t>40 mg × 30 tablets: $</w:t>
            </w:r>
            <w:r w:rsidR="0024159D" w:rsidRPr="0024159D">
              <w:rPr>
                <w:sz w:val="2"/>
                <w:highlight w:val="black"/>
              </w:rPr>
              <w:t>redacted content</w:t>
            </w:r>
          </w:p>
          <w:p w14:paraId="6FA7D899" w14:textId="77777777" w:rsidR="00C47A7A" w:rsidRPr="00B024A4" w:rsidRDefault="00C47A7A" w:rsidP="00F36268">
            <w:pPr>
              <w:pStyle w:val="TableText"/>
              <w:keepNext w:val="0"/>
            </w:pPr>
          </w:p>
          <w:p w14:paraId="152D6530" w14:textId="581C4DB5" w:rsidR="00C47A7A" w:rsidRPr="00B024A4" w:rsidRDefault="00C47A7A" w:rsidP="00F36268">
            <w:pPr>
              <w:pStyle w:val="TableText"/>
              <w:keepNext w:val="0"/>
            </w:pPr>
            <w:r w:rsidRPr="00B024A4">
              <w:t>10 mg × 60 tablets: $</w:t>
            </w:r>
            <w:r w:rsidR="0024159D" w:rsidRPr="0024159D">
              <w:rPr>
                <w:sz w:val="2"/>
                <w:highlight w:val="black"/>
              </w:rPr>
              <w:t>redacted content</w:t>
            </w:r>
            <w:r w:rsidRPr="00B024A4">
              <w:t xml:space="preserve"> </w:t>
            </w:r>
          </w:p>
          <w:p w14:paraId="098FA2CE" w14:textId="77777777" w:rsidR="00C47A7A" w:rsidRPr="00B024A4" w:rsidRDefault="00C47A7A" w:rsidP="00F36268">
            <w:pPr>
              <w:pStyle w:val="TableText"/>
              <w:keepNext w:val="0"/>
            </w:pPr>
          </w:p>
          <w:p w14:paraId="66656D6F" w14:textId="6E6E3A5A" w:rsidR="00C47A7A" w:rsidRPr="00B024A4" w:rsidRDefault="00C47A7A" w:rsidP="00F36268">
            <w:pPr>
              <w:pStyle w:val="TableText"/>
              <w:keepNext w:val="0"/>
            </w:pPr>
            <w:r w:rsidRPr="00B024A4">
              <w:t>10 mg × 30 tablets: $</w:t>
            </w:r>
            <w:r w:rsidR="0024159D" w:rsidRPr="0024159D">
              <w:rPr>
                <w:sz w:val="2"/>
                <w:highlight w:val="black"/>
              </w:rPr>
              <w:t>redacted content</w:t>
            </w:r>
          </w:p>
        </w:tc>
        <w:tc>
          <w:tcPr>
            <w:tcW w:w="3118" w:type="dxa"/>
          </w:tcPr>
          <w:p w14:paraId="5C2428CB" w14:textId="4A19DC1D" w:rsidR="00C47A7A" w:rsidRPr="00B024A4" w:rsidRDefault="00B571FA" w:rsidP="00F36268">
            <w:pPr>
              <w:pStyle w:val="TableText"/>
              <w:keepNext w:val="0"/>
            </w:pPr>
            <w:r>
              <w:noBreakHyphen/>
            </w:r>
          </w:p>
        </w:tc>
        <w:tc>
          <w:tcPr>
            <w:tcW w:w="3351" w:type="dxa"/>
          </w:tcPr>
          <w:p w14:paraId="723DDC0B" w14:textId="77777777" w:rsidR="00C47A7A" w:rsidRPr="00B024A4" w:rsidRDefault="00C47A7A" w:rsidP="00F36268">
            <w:pPr>
              <w:pStyle w:val="TableText"/>
              <w:keepNext w:val="0"/>
            </w:pPr>
            <w:r w:rsidRPr="00B024A4">
              <w:t>The resubmission reduced the proposed effective dispensed price to the following:</w:t>
            </w:r>
          </w:p>
          <w:p w14:paraId="4A2F8C34" w14:textId="3CFE6607" w:rsidR="00C47A7A" w:rsidRPr="00B024A4" w:rsidRDefault="00C47A7A" w:rsidP="00F36268">
            <w:pPr>
              <w:pStyle w:val="TableText"/>
              <w:keepNext w:val="0"/>
            </w:pPr>
            <w:r w:rsidRPr="00B024A4">
              <w:t>40 mg × 30 tablets: $</w:t>
            </w:r>
            <w:r w:rsidR="0024159D" w:rsidRPr="0024159D">
              <w:rPr>
                <w:sz w:val="2"/>
                <w:highlight w:val="black"/>
              </w:rPr>
              <w:t>redacted content</w:t>
            </w:r>
          </w:p>
          <w:p w14:paraId="1D228A9F" w14:textId="4CF0D570" w:rsidR="00C47A7A" w:rsidRPr="00B024A4" w:rsidRDefault="00C47A7A" w:rsidP="00F36268">
            <w:pPr>
              <w:pStyle w:val="TableText"/>
              <w:keepNext w:val="0"/>
            </w:pPr>
            <w:r w:rsidRPr="00B024A4">
              <w:t>10 mg × 60 tablets: $</w:t>
            </w:r>
            <w:r w:rsidR="0024159D" w:rsidRPr="0024159D">
              <w:rPr>
                <w:sz w:val="2"/>
                <w:highlight w:val="black"/>
              </w:rPr>
              <w:t>redacted content</w:t>
            </w:r>
          </w:p>
          <w:p w14:paraId="512CC689" w14:textId="7EAD682A" w:rsidR="00C47A7A" w:rsidRPr="00B024A4" w:rsidRDefault="00C47A7A" w:rsidP="00F36268">
            <w:pPr>
              <w:pStyle w:val="TableText"/>
              <w:keepNext w:val="0"/>
            </w:pPr>
            <w:r w:rsidRPr="00B024A4">
              <w:t>10 mg × 30 tablets: $</w:t>
            </w:r>
            <w:r w:rsidR="0024159D" w:rsidRPr="0024159D">
              <w:rPr>
                <w:sz w:val="2"/>
                <w:highlight w:val="black"/>
              </w:rPr>
              <w:t>redacted content</w:t>
            </w:r>
          </w:p>
          <w:p w14:paraId="3DC94844" w14:textId="774FD7F2" w:rsidR="00C47A7A" w:rsidRPr="00B024A4" w:rsidRDefault="00C47A7A" w:rsidP="00F36268">
            <w:pPr>
              <w:pStyle w:val="TableText"/>
              <w:keepNext w:val="0"/>
            </w:pPr>
            <w:r w:rsidRPr="00B024A4">
              <w:t>These prices incorporate updated wholesalers markup effective Ju</w:t>
            </w:r>
            <w:r w:rsidR="009B56F8">
              <w:t>ly</w:t>
            </w:r>
            <w:r w:rsidRPr="00B024A4">
              <w:t xml:space="preserve"> 2026</w:t>
            </w:r>
          </w:p>
        </w:tc>
      </w:tr>
      <w:tr w:rsidR="00C47A7A" w:rsidRPr="00F835C5" w14:paraId="56970F49" w14:textId="77777777" w:rsidTr="004E6C36">
        <w:tc>
          <w:tcPr>
            <w:tcW w:w="1129" w:type="dxa"/>
            <w:vAlign w:val="center"/>
          </w:tcPr>
          <w:p w14:paraId="3319B113" w14:textId="77777777" w:rsidR="00C47A7A" w:rsidRPr="008D0FBE" w:rsidRDefault="00C47A7A" w:rsidP="00F36268">
            <w:pPr>
              <w:pStyle w:val="TableText"/>
              <w:keepNext w:val="0"/>
            </w:pPr>
            <w:r w:rsidRPr="008D0FBE">
              <w:t>MBS costs</w:t>
            </w:r>
          </w:p>
        </w:tc>
        <w:tc>
          <w:tcPr>
            <w:tcW w:w="1418" w:type="dxa"/>
            <w:vAlign w:val="center"/>
          </w:tcPr>
          <w:p w14:paraId="6702ABA8" w14:textId="77777777" w:rsidR="00C47A7A" w:rsidRDefault="00C47A7A" w:rsidP="00F36268">
            <w:pPr>
              <w:pStyle w:val="TableText"/>
              <w:keepNext w:val="0"/>
            </w:pPr>
            <w:r w:rsidRPr="008D0FBE">
              <w:t>$300.20 (cost of MRI testing for progression)</w:t>
            </w:r>
          </w:p>
          <w:p w14:paraId="7BAAF5D9" w14:textId="76457D61" w:rsidR="00F97610" w:rsidRPr="008D0FBE" w:rsidRDefault="00F97610" w:rsidP="00F36268">
            <w:pPr>
              <w:pStyle w:val="TableText"/>
              <w:keepNext w:val="0"/>
            </w:pPr>
            <w:r>
              <w:t>$</w:t>
            </w:r>
            <w:r w:rsidR="006356FA">
              <w:t>37.75 (MBS code 6612 + 91790)</w:t>
            </w:r>
          </w:p>
        </w:tc>
        <w:tc>
          <w:tcPr>
            <w:tcW w:w="3118" w:type="dxa"/>
          </w:tcPr>
          <w:p w14:paraId="68A67EC4" w14:textId="77777777" w:rsidR="00C47A7A" w:rsidRPr="006A31C0" w:rsidRDefault="00C47A7A" w:rsidP="00F36268">
            <w:pPr>
              <w:pStyle w:val="TableText"/>
              <w:keepNext w:val="0"/>
            </w:pPr>
            <w:r w:rsidRPr="006A31C0">
              <w:t xml:space="preserve">The PBAC noted that costs associated with liver function test monitoring were not included in the financial estimates. This was not appropriate and differed from the economic model. </w:t>
            </w:r>
          </w:p>
        </w:tc>
        <w:tc>
          <w:tcPr>
            <w:tcW w:w="3351" w:type="dxa"/>
          </w:tcPr>
          <w:p w14:paraId="2BD18499" w14:textId="77777777" w:rsidR="00C47A7A" w:rsidRDefault="00C47A7A" w:rsidP="00F36268">
            <w:pPr>
              <w:pStyle w:val="TableText"/>
              <w:keepNext w:val="0"/>
            </w:pPr>
            <w:r w:rsidRPr="006A31C0">
              <w:t>Liver function tests included in the updated budget impact model</w:t>
            </w:r>
            <w:r w:rsidR="00B1611D">
              <w:t>.</w:t>
            </w:r>
          </w:p>
          <w:p w14:paraId="56A845D6" w14:textId="77777777" w:rsidR="00681DE5" w:rsidRPr="00265ED8" w:rsidRDefault="00681DE5" w:rsidP="00F36268">
            <w:pPr>
              <w:pStyle w:val="TableText"/>
              <w:keepNext w:val="0"/>
            </w:pPr>
          </w:p>
          <w:p w14:paraId="565A05A3" w14:textId="6BC09886" w:rsidR="00DC1400" w:rsidRPr="00B3449F" w:rsidRDefault="00DC1400" w:rsidP="00F36268">
            <w:pPr>
              <w:pStyle w:val="TableText"/>
              <w:keepNext w:val="0"/>
              <w:rPr>
                <w:i/>
                <w:iCs/>
              </w:rPr>
            </w:pPr>
            <w:r w:rsidRPr="00265ED8">
              <w:t xml:space="preserve">The resubmission assumed patients will receive liver function tests once before initiation, then once every 2 weeks for 2 months followed by once monthly indefinitely. However, the economic model and PI assume liver function tests will only occur for the first 2 years of treatment. </w:t>
            </w:r>
            <w:r w:rsidRPr="00265ED8">
              <w:br/>
            </w:r>
            <w:r w:rsidRPr="00265ED8">
              <w:br/>
              <w:t xml:space="preserve">The </w:t>
            </w:r>
            <w:r w:rsidR="00862429" w:rsidRPr="00265ED8">
              <w:t>estimates</w:t>
            </w:r>
            <w:r w:rsidRPr="00265ED8">
              <w:t xml:space="preserve"> calculate the average </w:t>
            </w:r>
            <w:proofErr w:type="gramStart"/>
            <w:r w:rsidRPr="00265ED8">
              <w:t>number</w:t>
            </w:r>
            <w:proofErr w:type="gramEnd"/>
            <w:r w:rsidRPr="00265ED8">
              <w:t xml:space="preserve"> </w:t>
            </w:r>
            <w:r w:rsidRPr="00265ED8">
              <w:lastRenderedPageBreak/>
              <w:t xml:space="preserve">of </w:t>
            </w:r>
            <w:proofErr w:type="gramStart"/>
            <w:r w:rsidRPr="00265ED8">
              <w:t>services/patient/year</w:t>
            </w:r>
            <w:proofErr w:type="gramEnd"/>
            <w:r w:rsidR="00CC14C9" w:rsidRPr="00265ED8">
              <w:t xml:space="preserve"> for </w:t>
            </w:r>
            <w:r w:rsidR="00113D86" w:rsidRPr="00265ED8">
              <w:t xml:space="preserve">MRI and </w:t>
            </w:r>
            <w:r w:rsidR="008A1843" w:rsidRPr="00265ED8">
              <w:t>liver function tests</w:t>
            </w:r>
            <w:r w:rsidRPr="00265ED8">
              <w:t xml:space="preserve"> based on the average difference in duration of treatment of </w:t>
            </w:r>
            <w:r w:rsidR="00862429" w:rsidRPr="00265ED8">
              <w:t>v</w:t>
            </w:r>
            <w:r w:rsidRPr="00265ED8">
              <w:t>orasidenib and placebo (</w:t>
            </w:r>
            <w:r w:rsidR="00862429" w:rsidRPr="00265ED8">
              <w:t>8.3 years</w:t>
            </w:r>
            <w:r w:rsidRPr="00265ED8">
              <w:t>). However,</w:t>
            </w:r>
            <w:r w:rsidR="00E944D0" w:rsidRPr="00265ED8">
              <w:t xml:space="preserve"> as</w:t>
            </w:r>
            <w:r w:rsidRPr="00265ED8">
              <w:t xml:space="preserve"> the </w:t>
            </w:r>
            <w:r w:rsidR="00862429" w:rsidRPr="00265ED8">
              <w:t xml:space="preserve">estimates </w:t>
            </w:r>
            <w:r w:rsidRPr="00265ED8">
              <w:t>only consider the first 6 years of treatment</w:t>
            </w:r>
            <w:r w:rsidR="00E944D0" w:rsidRPr="00265ED8">
              <w:t xml:space="preserve">, the </w:t>
            </w:r>
            <w:r w:rsidR="00F41B8E" w:rsidRPr="00265ED8">
              <w:t>number of services is overestimated</w:t>
            </w:r>
            <w:r w:rsidR="00DE23D9" w:rsidRPr="00265ED8">
              <w:t>.</w:t>
            </w:r>
          </w:p>
        </w:tc>
      </w:tr>
    </w:tbl>
    <w:p w14:paraId="688C8864" w14:textId="67E06D77" w:rsidR="00957CB3" w:rsidRDefault="006A2765" w:rsidP="00F36268">
      <w:pPr>
        <w:pStyle w:val="TableFigureFooter"/>
      </w:pPr>
      <w:r>
        <w:lastRenderedPageBreak/>
        <w:t xml:space="preserve">Source: Table </w:t>
      </w:r>
      <w:r w:rsidR="007B7E25">
        <w:t>D</w:t>
      </w:r>
      <w:r w:rsidR="00B571FA">
        <w:noBreakHyphen/>
      </w:r>
      <w:r w:rsidR="007B7E25">
        <w:t>2 resubmission pp33</w:t>
      </w:r>
      <w:r w:rsidR="00B571FA">
        <w:noBreakHyphen/>
      </w:r>
      <w:r w:rsidR="007B7E25">
        <w:t>34</w:t>
      </w:r>
      <w:r w:rsidR="00A56584">
        <w:t xml:space="preserve"> </w:t>
      </w:r>
    </w:p>
    <w:p w14:paraId="009E439B" w14:textId="66D581A5" w:rsidR="008F77AD" w:rsidRDefault="008F77AD" w:rsidP="00F36268">
      <w:pPr>
        <w:pStyle w:val="TableFigureFooter"/>
      </w:pPr>
      <w:r>
        <w:t xml:space="preserve">Abbreviations: </w:t>
      </w:r>
      <w:r w:rsidR="00C72CD1">
        <w:t>INV</w:t>
      </w:r>
      <w:r w:rsidR="00A56584">
        <w:t xml:space="preserve"> = investigator assessed</w:t>
      </w:r>
      <w:r w:rsidR="00C72CD1">
        <w:t xml:space="preserve">; </w:t>
      </w:r>
      <w:r>
        <w:t>MBS</w:t>
      </w:r>
      <w:r w:rsidR="00A56584">
        <w:t xml:space="preserve"> = Medicare benefits schedule</w:t>
      </w:r>
      <w:r>
        <w:t>; MRI</w:t>
      </w:r>
      <w:r w:rsidR="00A56584">
        <w:t xml:space="preserve"> = magnetic resonance imaging</w:t>
      </w:r>
      <w:r>
        <w:t>; PFS</w:t>
      </w:r>
      <w:r w:rsidR="00A56584">
        <w:t xml:space="preserve"> = progression free survival</w:t>
      </w:r>
    </w:p>
    <w:p w14:paraId="62D77E2E" w14:textId="77777777" w:rsidR="00AB6090" w:rsidRPr="00AB6090" w:rsidRDefault="00AB6090" w:rsidP="00AB6090">
      <w:pPr>
        <w:pStyle w:val="TableFigureFooter"/>
        <w:rPr>
          <w:rFonts w:eastAsiaTheme="minorHAnsi"/>
          <w:bCs/>
          <w:i/>
          <w:iCs/>
        </w:rPr>
      </w:pPr>
      <w:r w:rsidRPr="00AB6090">
        <w:rPr>
          <w:rFonts w:eastAsiaTheme="minorHAnsi"/>
          <w:bCs/>
          <w:i/>
          <w:iCs/>
        </w:rPr>
        <w:t xml:space="preserve">The redacted values correspond to the following ranges: </w:t>
      </w:r>
    </w:p>
    <w:p w14:paraId="00108C1F" w14:textId="358F2B4D" w:rsidR="00AB6090" w:rsidRPr="00AB6090" w:rsidRDefault="00AB6090" w:rsidP="00AB6090">
      <w:pPr>
        <w:pStyle w:val="TableFigureFooter"/>
        <w:rPr>
          <w:rFonts w:eastAsiaTheme="minorHAnsi"/>
          <w:i/>
        </w:rPr>
      </w:pPr>
      <w:r w:rsidRPr="00AB6090">
        <w:rPr>
          <w:rFonts w:eastAsiaTheme="minorHAnsi"/>
          <w:i/>
          <w:vertAlign w:val="superscript"/>
        </w:rPr>
        <w:t>1</w:t>
      </w:r>
      <w:r w:rsidRPr="00AB6090">
        <w:rPr>
          <w:rFonts w:eastAsiaTheme="minorHAnsi"/>
          <w:i/>
        </w:rPr>
        <w:t xml:space="preserve"> </w:t>
      </w:r>
      <w:r>
        <w:rPr>
          <w:rFonts w:eastAsiaTheme="minorHAnsi"/>
          <w:i/>
        </w:rPr>
        <w:t>&lt; 500</w:t>
      </w:r>
    </w:p>
    <w:p w14:paraId="7F2A3646" w14:textId="77777777" w:rsidR="00AB6090" w:rsidRPr="00957CB3" w:rsidRDefault="00AB6090" w:rsidP="00F36268">
      <w:pPr>
        <w:pStyle w:val="TableFigureFooter"/>
        <w:rPr>
          <w:rFonts w:eastAsiaTheme="minorHAnsi"/>
        </w:rPr>
      </w:pPr>
    </w:p>
    <w:p w14:paraId="0598FBF9" w14:textId="40BC01FD" w:rsidR="001C3F45" w:rsidRPr="00265ED8" w:rsidRDefault="00E145E4" w:rsidP="00F36268">
      <w:pPr>
        <w:pStyle w:val="3-BodyText"/>
      </w:pPr>
      <w:r>
        <w:t>Revised fin</w:t>
      </w:r>
      <w:r w:rsidR="004900C2">
        <w:t xml:space="preserve">ancial estimates are shown in </w:t>
      </w:r>
      <w:r w:rsidR="004900C2">
        <w:fldChar w:fldCharType="begin"/>
      </w:r>
      <w:r w:rsidR="004900C2">
        <w:instrText xml:space="preserve"> REF _Ref222382551 \h </w:instrText>
      </w:r>
      <w:r w:rsidR="00466D3F">
        <w:instrText xml:space="preserve"> \* MERGEFORMAT </w:instrText>
      </w:r>
      <w:r w:rsidR="004900C2">
        <w:fldChar w:fldCharType="separate"/>
      </w:r>
      <w:r w:rsidR="0031315F" w:rsidRPr="00222E0B">
        <w:t xml:space="preserve">Table </w:t>
      </w:r>
      <w:r w:rsidR="0031315F">
        <w:rPr>
          <w:noProof/>
        </w:rPr>
        <w:t>7</w:t>
      </w:r>
      <w:r w:rsidR="004900C2">
        <w:fldChar w:fldCharType="end"/>
      </w:r>
      <w:r w:rsidR="004900C2">
        <w:t>.</w:t>
      </w:r>
      <w:r w:rsidR="00466D3F">
        <w:t xml:space="preserve"> </w:t>
      </w:r>
      <w:r w:rsidR="00466D3F" w:rsidRPr="00037E3B">
        <w:t>The estimated net cost to the PBS/RPBS in</w:t>
      </w:r>
      <w:r w:rsidR="00B74FDC">
        <w:t xml:space="preserve"> the</w:t>
      </w:r>
      <w:r w:rsidR="00466D3F" w:rsidRPr="00037E3B">
        <w:t xml:space="preserve"> </w:t>
      </w:r>
      <w:r w:rsidR="00466D3F">
        <w:t>resubmission</w:t>
      </w:r>
      <w:r w:rsidR="00B74FDC">
        <w:t>’s</w:t>
      </w:r>
      <w:r w:rsidR="00466D3F">
        <w:t xml:space="preserve"> revised </w:t>
      </w:r>
      <w:r w:rsidR="00466D3F" w:rsidRPr="00037E3B">
        <w:t xml:space="preserve">financial implications was </w:t>
      </w:r>
      <w:r w:rsidR="007B6375" w:rsidRPr="007B6375">
        <w:t>$40 million to &lt; $50 million</w:t>
      </w:r>
      <w:r w:rsidR="007B6375">
        <w:t xml:space="preserve"> </w:t>
      </w:r>
      <w:r w:rsidR="00466D3F" w:rsidRPr="00037E3B">
        <w:t xml:space="preserve">in Year 1, increasing to </w:t>
      </w:r>
      <w:r w:rsidR="003C3585" w:rsidRPr="003C3585">
        <w:t>$50 million to &lt; $60 million</w:t>
      </w:r>
      <w:r w:rsidR="0024159D">
        <w:t xml:space="preserve"> </w:t>
      </w:r>
      <w:r w:rsidR="00466D3F" w:rsidRPr="00037E3B">
        <w:t xml:space="preserve">in Year 6, a total cost of </w:t>
      </w:r>
      <w:r w:rsidR="00DA19F2" w:rsidRPr="00DA19F2">
        <w:t>$200 million to &lt; $300 million</w:t>
      </w:r>
      <w:r w:rsidR="00466D3F" w:rsidRPr="00037E3B">
        <w:t xml:space="preserve"> over the first 6 years of listing.</w:t>
      </w:r>
      <w:r w:rsidR="00466D3F">
        <w:t xml:space="preserve"> Th</w:t>
      </w:r>
      <w:r w:rsidR="00542360">
        <w:t>e</w:t>
      </w:r>
      <w:r w:rsidR="00FE6327">
        <w:t xml:space="preserve"> total cost </w:t>
      </w:r>
      <w:r w:rsidR="00542360">
        <w:t xml:space="preserve">over the first 6 years of listing in the July 2025 submission was </w:t>
      </w:r>
      <w:r w:rsidR="00DA19F2" w:rsidRPr="00DA19F2">
        <w:t>$200 million to &lt; $300 million</w:t>
      </w:r>
      <w:r w:rsidR="00FE6327">
        <w:t>.</w:t>
      </w:r>
      <w:r w:rsidR="008C6B72">
        <w:t xml:space="preserve"> </w:t>
      </w:r>
      <w:r w:rsidR="008C6B72" w:rsidRPr="00265ED8">
        <w:t>The number of patients initiating treatment increased in year 1 due to additional prevalent patients</w:t>
      </w:r>
      <w:r w:rsidR="009B0EDB" w:rsidRPr="00265ED8">
        <w:t>;</w:t>
      </w:r>
      <w:r w:rsidR="008C6B72" w:rsidRPr="00265ED8">
        <w:t xml:space="preserve"> the number of patients continuing treatment in subsequent years increased substantially </w:t>
      </w:r>
      <w:r w:rsidR="002E1C9B" w:rsidRPr="00265ED8">
        <w:t>due to the increased number of prevalent patients and</w:t>
      </w:r>
      <w:r w:rsidR="008C6B72" w:rsidRPr="00265ED8">
        <w:t xml:space="preserve"> updated persistence rates from the revised economic model.</w:t>
      </w:r>
      <w:r w:rsidR="00D90746" w:rsidRPr="00265ED8">
        <w:t xml:space="preserve"> Despite the increase in patient numbers the net cost over </w:t>
      </w:r>
      <w:r w:rsidR="00985392" w:rsidRPr="00265ED8">
        <w:t xml:space="preserve">6 years remained similar to the July 2025 submission due to the reduced price for </w:t>
      </w:r>
      <w:r w:rsidR="00737C4F" w:rsidRPr="00265ED8">
        <w:t>vorasidenib.</w:t>
      </w:r>
    </w:p>
    <w:p w14:paraId="04033D54" w14:textId="7505FDA8" w:rsidR="001C3F45" w:rsidRPr="00222E0B" w:rsidRDefault="001C3F45" w:rsidP="0024159D">
      <w:pPr>
        <w:pStyle w:val="TableFigureHeading"/>
      </w:pPr>
      <w:bookmarkStart w:id="22" w:name="_Ref222382551"/>
      <w:r w:rsidRPr="00222E0B">
        <w:lastRenderedPageBreak/>
        <w:t xml:space="preserve">Table </w:t>
      </w:r>
      <w:fldSimple w:instr=" SEQ Table \* ARABIC ">
        <w:r w:rsidR="0031315F">
          <w:rPr>
            <w:noProof/>
          </w:rPr>
          <w:t>7</w:t>
        </w:r>
      </w:fldSimple>
      <w:bookmarkEnd w:id="22"/>
      <w:r w:rsidRPr="00222E0B">
        <w:t>: Revised estimated utilisation and financial implications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Caption w:val="Table 7: Revised estimated utilisation and financial implications"/>
      </w:tblPr>
      <w:tblGrid>
        <w:gridCol w:w="2386"/>
        <w:gridCol w:w="13"/>
        <w:gridCol w:w="1067"/>
        <w:gridCol w:w="34"/>
        <w:gridCol w:w="1105"/>
        <w:gridCol w:w="1102"/>
        <w:gridCol w:w="1102"/>
        <w:gridCol w:w="1102"/>
        <w:gridCol w:w="1105"/>
      </w:tblGrid>
      <w:tr w:rsidR="00A47185" w:rsidRPr="00F57392" w14:paraId="3A89C5EF" w14:textId="77777777" w:rsidTr="00E145E4">
        <w:trPr>
          <w:tblHeader/>
        </w:trPr>
        <w:tc>
          <w:tcPr>
            <w:tcW w:w="1330" w:type="pct"/>
            <w:gridSpan w:val="2"/>
            <w:vAlign w:val="center"/>
          </w:tcPr>
          <w:p w14:paraId="4FACE611" w14:textId="77777777" w:rsidR="00A47185" w:rsidRPr="00F57392" w:rsidRDefault="00A47185" w:rsidP="0024159D">
            <w:pPr>
              <w:pStyle w:val="In-tableHeading"/>
            </w:pPr>
          </w:p>
        </w:tc>
        <w:tc>
          <w:tcPr>
            <w:tcW w:w="611" w:type="pct"/>
            <w:gridSpan w:val="2"/>
            <w:vAlign w:val="center"/>
          </w:tcPr>
          <w:p w14:paraId="3702E900" w14:textId="77777777" w:rsidR="00A47185" w:rsidRPr="00F57392" w:rsidRDefault="00A47185" w:rsidP="0024159D">
            <w:pPr>
              <w:pStyle w:val="COMTableheadingrow"/>
              <w:jc w:val="center"/>
              <w:rPr>
                <w:lang w:val="en-AU"/>
              </w:rPr>
            </w:pPr>
            <w:r w:rsidRPr="00F57392">
              <w:rPr>
                <w:lang w:val="en-AU"/>
              </w:rPr>
              <w:t>Year 1</w:t>
            </w:r>
          </w:p>
        </w:tc>
        <w:tc>
          <w:tcPr>
            <w:tcW w:w="613" w:type="pct"/>
            <w:vAlign w:val="center"/>
          </w:tcPr>
          <w:p w14:paraId="05B18224" w14:textId="77777777" w:rsidR="00A47185" w:rsidRPr="00F57392" w:rsidRDefault="00A47185" w:rsidP="0024159D">
            <w:pPr>
              <w:pStyle w:val="COMTableheadingrow"/>
              <w:jc w:val="center"/>
              <w:rPr>
                <w:lang w:val="en-AU"/>
              </w:rPr>
            </w:pPr>
            <w:r w:rsidRPr="00F57392">
              <w:rPr>
                <w:lang w:val="en-AU"/>
              </w:rPr>
              <w:t>Year 2</w:t>
            </w:r>
          </w:p>
        </w:tc>
        <w:tc>
          <w:tcPr>
            <w:tcW w:w="611" w:type="pct"/>
            <w:vAlign w:val="center"/>
          </w:tcPr>
          <w:p w14:paraId="05DA4A17" w14:textId="77777777" w:rsidR="00A47185" w:rsidRPr="00F57392" w:rsidRDefault="00A47185" w:rsidP="0024159D">
            <w:pPr>
              <w:pStyle w:val="COMTableheadingrow"/>
              <w:jc w:val="center"/>
              <w:rPr>
                <w:lang w:val="en-AU"/>
              </w:rPr>
            </w:pPr>
            <w:r w:rsidRPr="00F57392">
              <w:rPr>
                <w:lang w:val="en-AU"/>
              </w:rPr>
              <w:t>Year 3</w:t>
            </w:r>
          </w:p>
        </w:tc>
        <w:tc>
          <w:tcPr>
            <w:tcW w:w="611" w:type="pct"/>
            <w:vAlign w:val="center"/>
          </w:tcPr>
          <w:p w14:paraId="225911E0" w14:textId="77777777" w:rsidR="00A47185" w:rsidRPr="00F57392" w:rsidRDefault="00A47185" w:rsidP="0024159D">
            <w:pPr>
              <w:pStyle w:val="COMTableheadingrow"/>
              <w:jc w:val="center"/>
              <w:rPr>
                <w:lang w:val="en-AU"/>
              </w:rPr>
            </w:pPr>
            <w:r w:rsidRPr="00F57392">
              <w:rPr>
                <w:lang w:val="en-AU"/>
              </w:rPr>
              <w:t>Year 4</w:t>
            </w:r>
          </w:p>
        </w:tc>
        <w:tc>
          <w:tcPr>
            <w:tcW w:w="611" w:type="pct"/>
            <w:vAlign w:val="center"/>
          </w:tcPr>
          <w:p w14:paraId="4E0F76B8" w14:textId="77777777" w:rsidR="00A47185" w:rsidRPr="00F57392" w:rsidRDefault="00A47185" w:rsidP="0024159D">
            <w:pPr>
              <w:pStyle w:val="COMTableheadingrow"/>
              <w:jc w:val="center"/>
              <w:rPr>
                <w:lang w:val="en-AU"/>
              </w:rPr>
            </w:pPr>
            <w:r w:rsidRPr="00F57392">
              <w:rPr>
                <w:lang w:val="en-AU"/>
              </w:rPr>
              <w:t>Year 5</w:t>
            </w:r>
          </w:p>
        </w:tc>
        <w:tc>
          <w:tcPr>
            <w:tcW w:w="613" w:type="pct"/>
          </w:tcPr>
          <w:p w14:paraId="424A6176" w14:textId="77777777" w:rsidR="00A47185" w:rsidRPr="00F57392" w:rsidRDefault="00A47185" w:rsidP="0024159D">
            <w:pPr>
              <w:pStyle w:val="COMTableheadingrow"/>
              <w:jc w:val="center"/>
              <w:rPr>
                <w:lang w:val="en-AU"/>
              </w:rPr>
            </w:pPr>
            <w:r w:rsidRPr="00F57392">
              <w:rPr>
                <w:lang w:val="en-AU"/>
              </w:rPr>
              <w:t>Year 6</w:t>
            </w:r>
          </w:p>
        </w:tc>
      </w:tr>
      <w:tr w:rsidR="00A47185" w:rsidRPr="00F57392" w14:paraId="58D5A6A8" w14:textId="77777777" w:rsidTr="00E145E4">
        <w:tc>
          <w:tcPr>
            <w:tcW w:w="5000" w:type="pct"/>
            <w:gridSpan w:val="9"/>
            <w:shd w:val="clear" w:color="auto" w:fill="DBE5F1" w:themeFill="accent1" w:themeFillTint="33"/>
            <w:vAlign w:val="center"/>
          </w:tcPr>
          <w:p w14:paraId="527B2209" w14:textId="4320EC24" w:rsidR="00A47185" w:rsidRPr="00F57392" w:rsidRDefault="00A47185" w:rsidP="0024159D">
            <w:pPr>
              <w:pStyle w:val="COMTableheadingrow"/>
              <w:rPr>
                <w:lang w:val="en-AU"/>
              </w:rPr>
            </w:pPr>
            <w:r w:rsidRPr="00F57392">
              <w:rPr>
                <w:lang w:val="en-AU"/>
              </w:rPr>
              <w:t>Estimated extent of use</w:t>
            </w:r>
            <w:r w:rsidR="00E244D7">
              <w:rPr>
                <w:lang w:val="en-AU"/>
              </w:rPr>
              <w:t xml:space="preserve"> July 2025 submission</w:t>
            </w:r>
            <w:r w:rsidR="00E145E4">
              <w:rPr>
                <w:lang w:val="en-AU"/>
              </w:rPr>
              <w:t xml:space="preserve"> (corrected)</w:t>
            </w:r>
          </w:p>
        </w:tc>
      </w:tr>
      <w:tr w:rsidR="00E145E4" w:rsidRPr="00F57392" w14:paraId="6BCF63AA" w14:textId="77777777" w:rsidTr="00E145E4">
        <w:tc>
          <w:tcPr>
            <w:tcW w:w="1330" w:type="pct"/>
            <w:gridSpan w:val="2"/>
            <w:shd w:val="clear" w:color="auto" w:fill="DBE5F1" w:themeFill="accent1" w:themeFillTint="33"/>
            <w:vAlign w:val="center"/>
          </w:tcPr>
          <w:p w14:paraId="176770BF" w14:textId="77777777" w:rsidR="00E145E4" w:rsidRPr="00C31ED1" w:rsidRDefault="00E145E4" w:rsidP="0024159D">
            <w:pPr>
              <w:pStyle w:val="COMTabletext"/>
              <w:rPr>
                <w:rFonts w:ascii="Times" w:hAnsi="Times"/>
              </w:rPr>
            </w:pPr>
            <w:r w:rsidRPr="00C31ED1">
              <w:t>Number of patients treated</w:t>
            </w:r>
          </w:p>
        </w:tc>
        <w:tc>
          <w:tcPr>
            <w:tcW w:w="611" w:type="pct"/>
            <w:gridSpan w:val="2"/>
            <w:shd w:val="clear" w:color="auto" w:fill="DBE5F1" w:themeFill="accent1" w:themeFillTint="33"/>
          </w:tcPr>
          <w:p w14:paraId="765D1092" w14:textId="62CF8093" w:rsidR="00E145E4" w:rsidRPr="00C31ED1" w:rsidRDefault="0024159D" w:rsidP="0024159D">
            <w:pPr>
              <w:pStyle w:val="TableText"/>
              <w:jc w:val="center"/>
            </w:pPr>
            <w:r w:rsidRPr="0024159D">
              <w:rPr>
                <w:sz w:val="2"/>
                <w:highlight w:val="black"/>
              </w:rPr>
              <w:t>redacted content</w:t>
            </w:r>
            <w:r w:rsidR="00BB11B2">
              <w:rPr>
                <w:vertAlign w:val="superscript"/>
              </w:rPr>
              <w:t>1</w:t>
            </w:r>
            <w:r w:rsidR="00E145E4" w:rsidRPr="009872A8">
              <w:t xml:space="preserve"> </w:t>
            </w:r>
          </w:p>
        </w:tc>
        <w:tc>
          <w:tcPr>
            <w:tcW w:w="613" w:type="pct"/>
            <w:shd w:val="clear" w:color="auto" w:fill="DBE5F1" w:themeFill="accent1" w:themeFillTint="33"/>
          </w:tcPr>
          <w:p w14:paraId="6B51B24A" w14:textId="6D1FDBD6" w:rsidR="00E145E4" w:rsidRPr="00C31ED1" w:rsidRDefault="0024159D" w:rsidP="0024159D">
            <w:pPr>
              <w:pStyle w:val="TableText"/>
              <w:jc w:val="center"/>
            </w:pPr>
            <w:r w:rsidRPr="0024159D">
              <w:rPr>
                <w:sz w:val="2"/>
                <w:highlight w:val="black"/>
              </w:rPr>
              <w:t>redacted content</w:t>
            </w:r>
            <w:r w:rsidR="00BB11B2">
              <w:rPr>
                <w:vertAlign w:val="superscript"/>
              </w:rPr>
              <w:t>1</w:t>
            </w:r>
            <w:r w:rsidR="00E145E4" w:rsidRPr="009872A8">
              <w:t xml:space="preserve"> </w:t>
            </w:r>
          </w:p>
        </w:tc>
        <w:tc>
          <w:tcPr>
            <w:tcW w:w="611" w:type="pct"/>
            <w:shd w:val="clear" w:color="auto" w:fill="DBE5F1" w:themeFill="accent1" w:themeFillTint="33"/>
          </w:tcPr>
          <w:p w14:paraId="3831A776" w14:textId="4080AFD7" w:rsidR="00E145E4" w:rsidRPr="00C31ED1" w:rsidRDefault="0024159D" w:rsidP="0024159D">
            <w:pPr>
              <w:pStyle w:val="TableText"/>
              <w:jc w:val="center"/>
            </w:pPr>
            <w:r w:rsidRPr="0024159D">
              <w:rPr>
                <w:sz w:val="2"/>
                <w:highlight w:val="black"/>
              </w:rPr>
              <w:t>redacted content</w:t>
            </w:r>
            <w:r w:rsidR="00214121">
              <w:rPr>
                <w:vertAlign w:val="superscript"/>
              </w:rPr>
              <w:t>2</w:t>
            </w:r>
            <w:r w:rsidR="00E145E4" w:rsidRPr="009872A8">
              <w:t xml:space="preserve"> </w:t>
            </w:r>
          </w:p>
        </w:tc>
        <w:tc>
          <w:tcPr>
            <w:tcW w:w="611" w:type="pct"/>
            <w:shd w:val="clear" w:color="auto" w:fill="DBE5F1" w:themeFill="accent1" w:themeFillTint="33"/>
          </w:tcPr>
          <w:p w14:paraId="63F226F7" w14:textId="6127B709" w:rsidR="00E145E4" w:rsidRPr="00C31ED1" w:rsidRDefault="0024159D" w:rsidP="0024159D">
            <w:pPr>
              <w:pStyle w:val="TableText"/>
              <w:jc w:val="center"/>
            </w:pPr>
            <w:r w:rsidRPr="0024159D">
              <w:rPr>
                <w:sz w:val="2"/>
                <w:highlight w:val="black"/>
              </w:rPr>
              <w:t>redacted content</w:t>
            </w:r>
            <w:r w:rsidR="00214121">
              <w:rPr>
                <w:vertAlign w:val="superscript"/>
              </w:rPr>
              <w:t>2</w:t>
            </w:r>
            <w:r w:rsidR="00E145E4" w:rsidRPr="009872A8">
              <w:t xml:space="preserve"> </w:t>
            </w:r>
          </w:p>
        </w:tc>
        <w:tc>
          <w:tcPr>
            <w:tcW w:w="611" w:type="pct"/>
            <w:shd w:val="clear" w:color="auto" w:fill="DBE5F1" w:themeFill="accent1" w:themeFillTint="33"/>
          </w:tcPr>
          <w:p w14:paraId="5BCDCE69" w14:textId="2F00EF3E" w:rsidR="00E145E4" w:rsidRPr="00C31ED1" w:rsidRDefault="0024159D" w:rsidP="0024159D">
            <w:pPr>
              <w:pStyle w:val="TableText"/>
              <w:jc w:val="center"/>
            </w:pPr>
            <w:r w:rsidRPr="0024159D">
              <w:rPr>
                <w:sz w:val="2"/>
                <w:highlight w:val="black"/>
              </w:rPr>
              <w:t>redacted content</w:t>
            </w:r>
            <w:r w:rsidR="00214121">
              <w:rPr>
                <w:vertAlign w:val="superscript"/>
              </w:rPr>
              <w:t>2</w:t>
            </w:r>
            <w:r w:rsidR="00E145E4" w:rsidRPr="009872A8">
              <w:t xml:space="preserve"> </w:t>
            </w:r>
          </w:p>
        </w:tc>
        <w:tc>
          <w:tcPr>
            <w:tcW w:w="613" w:type="pct"/>
            <w:shd w:val="clear" w:color="auto" w:fill="DBE5F1" w:themeFill="accent1" w:themeFillTint="33"/>
          </w:tcPr>
          <w:p w14:paraId="01747594" w14:textId="1FF532C7" w:rsidR="00E145E4" w:rsidRPr="00C31ED1" w:rsidRDefault="0024159D" w:rsidP="0024159D">
            <w:pPr>
              <w:pStyle w:val="TableText"/>
              <w:jc w:val="center"/>
            </w:pPr>
            <w:r w:rsidRPr="0024159D">
              <w:rPr>
                <w:sz w:val="2"/>
                <w:highlight w:val="black"/>
              </w:rPr>
              <w:t>redacted content</w:t>
            </w:r>
            <w:r w:rsidR="00214121">
              <w:rPr>
                <w:vertAlign w:val="superscript"/>
              </w:rPr>
              <w:t>2</w:t>
            </w:r>
            <w:r w:rsidR="00E145E4" w:rsidRPr="009872A8">
              <w:t xml:space="preserve"> </w:t>
            </w:r>
          </w:p>
        </w:tc>
      </w:tr>
      <w:tr w:rsidR="00A47185" w:rsidRPr="00F57392" w14:paraId="59876755" w14:textId="77777777" w:rsidTr="00E145E4">
        <w:tc>
          <w:tcPr>
            <w:tcW w:w="5000" w:type="pct"/>
            <w:gridSpan w:val="9"/>
            <w:shd w:val="clear" w:color="auto" w:fill="DBE5F1" w:themeFill="accent1" w:themeFillTint="33"/>
            <w:vAlign w:val="center"/>
          </w:tcPr>
          <w:p w14:paraId="7F577744" w14:textId="55AD91AB" w:rsidR="00A47185" w:rsidRPr="00F57392" w:rsidRDefault="00A47185" w:rsidP="0024159D">
            <w:pPr>
              <w:pStyle w:val="COMTableheadingrow"/>
              <w:rPr>
                <w:lang w:val="en-AU"/>
              </w:rPr>
            </w:pPr>
            <w:r w:rsidRPr="00F57392">
              <w:rPr>
                <w:lang w:val="en-AU"/>
              </w:rPr>
              <w:t>Estimated financial implications of vorasidenib</w:t>
            </w:r>
            <w:r w:rsidR="00E145E4">
              <w:rPr>
                <w:lang w:val="en-AU"/>
              </w:rPr>
              <w:t xml:space="preserve"> (corrected)</w:t>
            </w:r>
          </w:p>
        </w:tc>
      </w:tr>
      <w:tr w:rsidR="00A47185" w:rsidRPr="00F57392" w14:paraId="6AB76D53" w14:textId="77777777" w:rsidTr="00E145E4">
        <w:tc>
          <w:tcPr>
            <w:tcW w:w="1330" w:type="pct"/>
            <w:gridSpan w:val="2"/>
            <w:shd w:val="clear" w:color="auto" w:fill="DBE5F1" w:themeFill="accent1" w:themeFillTint="33"/>
            <w:vAlign w:val="center"/>
          </w:tcPr>
          <w:p w14:paraId="2BA1D78E" w14:textId="77777777" w:rsidR="00A47185" w:rsidRPr="00F57392" w:rsidRDefault="00A47185" w:rsidP="0024159D">
            <w:pPr>
              <w:pStyle w:val="COMTabletext"/>
              <w:rPr>
                <w:rFonts w:ascii="Times" w:hAnsi="Times"/>
                <w:vertAlign w:val="superscript"/>
              </w:rPr>
            </w:pPr>
            <w:r w:rsidRPr="00F57392">
              <w:t xml:space="preserve">Net cost to MBS </w:t>
            </w:r>
          </w:p>
        </w:tc>
        <w:tc>
          <w:tcPr>
            <w:tcW w:w="611" w:type="pct"/>
            <w:gridSpan w:val="2"/>
            <w:shd w:val="clear" w:color="auto" w:fill="DBE5F1" w:themeFill="accent1" w:themeFillTint="33"/>
          </w:tcPr>
          <w:p w14:paraId="7AD72891" w14:textId="35642341" w:rsidR="00A47185" w:rsidRPr="00B11526" w:rsidRDefault="00A47185" w:rsidP="0024159D">
            <w:pPr>
              <w:pStyle w:val="TableText"/>
              <w:jc w:val="center"/>
              <w:rPr>
                <w:b/>
                <w:bCs w:val="0"/>
                <w:vertAlign w:val="superscript"/>
              </w:rPr>
            </w:pPr>
            <w:r w:rsidRPr="00F57392">
              <w:t>$</w:t>
            </w:r>
            <w:r w:rsidR="0024159D" w:rsidRPr="0024159D">
              <w:rPr>
                <w:sz w:val="2"/>
                <w:highlight w:val="black"/>
              </w:rPr>
              <w:t>redacted content</w:t>
            </w:r>
            <w:r w:rsidR="00725864">
              <w:rPr>
                <w:vertAlign w:val="superscript"/>
              </w:rPr>
              <w:t>3</w:t>
            </w:r>
          </w:p>
        </w:tc>
        <w:tc>
          <w:tcPr>
            <w:tcW w:w="613" w:type="pct"/>
            <w:shd w:val="clear" w:color="auto" w:fill="DBE5F1" w:themeFill="accent1" w:themeFillTint="33"/>
          </w:tcPr>
          <w:p w14:paraId="2B3C358B" w14:textId="44477D66" w:rsidR="00A47185" w:rsidRPr="00B11526" w:rsidRDefault="00A47185" w:rsidP="0024159D">
            <w:pPr>
              <w:pStyle w:val="TableText"/>
              <w:jc w:val="center"/>
              <w:rPr>
                <w:b/>
                <w:bCs w:val="0"/>
                <w:vertAlign w:val="superscript"/>
              </w:rPr>
            </w:pPr>
            <w:r w:rsidRPr="00F57392">
              <w:t>$</w:t>
            </w:r>
            <w:r w:rsidR="0024159D" w:rsidRPr="0024159D">
              <w:rPr>
                <w:sz w:val="2"/>
                <w:highlight w:val="black"/>
              </w:rPr>
              <w:t>redacted content</w:t>
            </w:r>
            <w:r w:rsidR="00725864">
              <w:rPr>
                <w:vertAlign w:val="superscript"/>
              </w:rPr>
              <w:t>3</w:t>
            </w:r>
          </w:p>
        </w:tc>
        <w:tc>
          <w:tcPr>
            <w:tcW w:w="611" w:type="pct"/>
            <w:shd w:val="clear" w:color="auto" w:fill="DBE5F1" w:themeFill="accent1" w:themeFillTint="33"/>
          </w:tcPr>
          <w:p w14:paraId="3FDEDA81" w14:textId="46007755" w:rsidR="00A47185" w:rsidRPr="00B11526" w:rsidRDefault="00A47185" w:rsidP="0024159D">
            <w:pPr>
              <w:pStyle w:val="TableText"/>
              <w:jc w:val="center"/>
              <w:rPr>
                <w:b/>
                <w:bCs w:val="0"/>
                <w:highlight w:val="darkGray"/>
                <w:vertAlign w:val="superscript"/>
              </w:rPr>
            </w:pPr>
            <w:r w:rsidRPr="00DA19F2">
              <w:t>$</w:t>
            </w:r>
            <w:r w:rsidR="0024159D" w:rsidRPr="0024159D">
              <w:rPr>
                <w:sz w:val="2"/>
                <w:highlight w:val="black"/>
              </w:rPr>
              <w:t>redacted content</w:t>
            </w:r>
            <w:r w:rsidR="00725864" w:rsidRPr="00B11526">
              <w:rPr>
                <w:vertAlign w:val="superscript"/>
              </w:rPr>
              <w:t>3</w:t>
            </w:r>
          </w:p>
        </w:tc>
        <w:tc>
          <w:tcPr>
            <w:tcW w:w="611" w:type="pct"/>
            <w:shd w:val="clear" w:color="auto" w:fill="DBE5F1" w:themeFill="accent1" w:themeFillTint="33"/>
          </w:tcPr>
          <w:p w14:paraId="63716BDD" w14:textId="55E7DD6A" w:rsidR="00A47185" w:rsidRPr="00B11526" w:rsidRDefault="00A47185" w:rsidP="0024159D">
            <w:pPr>
              <w:pStyle w:val="TableText"/>
              <w:jc w:val="center"/>
              <w:rPr>
                <w:b/>
                <w:bCs w:val="0"/>
                <w:highlight w:val="darkGray"/>
                <w:vertAlign w:val="superscript"/>
              </w:rPr>
            </w:pPr>
            <w:r w:rsidRPr="00DA19F2">
              <w:t>$</w:t>
            </w:r>
            <w:r w:rsidR="0024159D" w:rsidRPr="0024159D">
              <w:rPr>
                <w:sz w:val="2"/>
                <w:highlight w:val="black"/>
              </w:rPr>
              <w:t>redacted content</w:t>
            </w:r>
            <w:r w:rsidR="00725864" w:rsidRPr="00B11526">
              <w:rPr>
                <w:vertAlign w:val="superscript"/>
              </w:rPr>
              <w:t>3</w:t>
            </w:r>
          </w:p>
        </w:tc>
        <w:tc>
          <w:tcPr>
            <w:tcW w:w="611" w:type="pct"/>
            <w:shd w:val="clear" w:color="auto" w:fill="DBE5F1" w:themeFill="accent1" w:themeFillTint="33"/>
          </w:tcPr>
          <w:p w14:paraId="1143F7CC" w14:textId="3BEA418A" w:rsidR="00A47185" w:rsidRPr="00B11526" w:rsidRDefault="00A47185" w:rsidP="0024159D">
            <w:pPr>
              <w:pStyle w:val="TableText"/>
              <w:jc w:val="center"/>
              <w:rPr>
                <w:b/>
                <w:bCs w:val="0"/>
                <w:vertAlign w:val="superscript"/>
              </w:rPr>
            </w:pPr>
            <w:r w:rsidRPr="00F57392">
              <w:t>$</w:t>
            </w:r>
            <w:r w:rsidR="0024159D" w:rsidRPr="0024159D">
              <w:rPr>
                <w:sz w:val="2"/>
                <w:highlight w:val="black"/>
              </w:rPr>
              <w:t>redacted content</w:t>
            </w:r>
            <w:r w:rsidR="00725864">
              <w:rPr>
                <w:vertAlign w:val="superscript"/>
              </w:rPr>
              <w:t>3</w:t>
            </w:r>
          </w:p>
        </w:tc>
        <w:tc>
          <w:tcPr>
            <w:tcW w:w="613" w:type="pct"/>
            <w:shd w:val="clear" w:color="auto" w:fill="DBE5F1" w:themeFill="accent1" w:themeFillTint="33"/>
          </w:tcPr>
          <w:p w14:paraId="7785FFE8" w14:textId="6CC730F4" w:rsidR="00A47185" w:rsidRPr="00B11526" w:rsidRDefault="00A47185" w:rsidP="0024159D">
            <w:pPr>
              <w:pStyle w:val="TableText"/>
              <w:jc w:val="center"/>
              <w:rPr>
                <w:b/>
                <w:bCs w:val="0"/>
                <w:vertAlign w:val="superscript"/>
              </w:rPr>
            </w:pPr>
            <w:r w:rsidRPr="00F57392">
              <w:t>$</w:t>
            </w:r>
            <w:r w:rsidR="0024159D" w:rsidRPr="0024159D">
              <w:rPr>
                <w:sz w:val="2"/>
                <w:highlight w:val="black"/>
              </w:rPr>
              <w:t>redacted content</w:t>
            </w:r>
            <w:r w:rsidR="00725864">
              <w:rPr>
                <w:vertAlign w:val="superscript"/>
              </w:rPr>
              <w:t>3</w:t>
            </w:r>
          </w:p>
        </w:tc>
      </w:tr>
      <w:tr w:rsidR="00A47185" w:rsidRPr="00037E3B" w14:paraId="224C4885" w14:textId="77777777" w:rsidTr="00E145E4">
        <w:tc>
          <w:tcPr>
            <w:tcW w:w="1330" w:type="pct"/>
            <w:gridSpan w:val="2"/>
            <w:tcBorders>
              <w:bottom w:val="single" w:sz="4" w:space="0" w:color="auto"/>
            </w:tcBorders>
            <w:shd w:val="clear" w:color="auto" w:fill="DBE5F1" w:themeFill="accent1" w:themeFillTint="33"/>
            <w:vAlign w:val="center"/>
          </w:tcPr>
          <w:p w14:paraId="5FC98EF9" w14:textId="667AA25C" w:rsidR="00A47185" w:rsidRPr="007D7AE7" w:rsidRDefault="00A47185" w:rsidP="0024159D">
            <w:pPr>
              <w:pStyle w:val="COMTabletext"/>
              <w:rPr>
                <w:vertAlign w:val="superscript"/>
              </w:rPr>
            </w:pPr>
            <w:r w:rsidRPr="007D7AE7">
              <w:t>Net cost to PBS/RPBS/MBS</w:t>
            </w:r>
          </w:p>
        </w:tc>
        <w:tc>
          <w:tcPr>
            <w:tcW w:w="611" w:type="pct"/>
            <w:gridSpan w:val="2"/>
            <w:tcBorders>
              <w:bottom w:val="single" w:sz="4" w:space="0" w:color="auto"/>
            </w:tcBorders>
            <w:shd w:val="clear" w:color="auto" w:fill="DBE5F1" w:themeFill="accent1" w:themeFillTint="33"/>
            <w:vAlign w:val="center"/>
          </w:tcPr>
          <w:p w14:paraId="527EC58B" w14:textId="1C9D04A7" w:rsidR="00A47185" w:rsidRPr="00B11526" w:rsidRDefault="00A47185" w:rsidP="0024159D">
            <w:pPr>
              <w:pStyle w:val="TableText"/>
              <w:jc w:val="center"/>
              <w:rPr>
                <w:vertAlign w:val="superscript"/>
              </w:rPr>
            </w:pPr>
            <w:r w:rsidRPr="00037E3B">
              <w:t>$</w:t>
            </w:r>
            <w:r w:rsidR="0024159D" w:rsidRPr="0024159D">
              <w:rPr>
                <w:sz w:val="2"/>
                <w:highlight w:val="black"/>
              </w:rPr>
              <w:t>redacted content</w:t>
            </w:r>
            <w:r w:rsidR="00015BB7">
              <w:rPr>
                <w:vertAlign w:val="superscript"/>
              </w:rPr>
              <w:t>4</w:t>
            </w:r>
          </w:p>
        </w:tc>
        <w:tc>
          <w:tcPr>
            <w:tcW w:w="613" w:type="pct"/>
            <w:tcBorders>
              <w:bottom w:val="single" w:sz="4" w:space="0" w:color="auto"/>
            </w:tcBorders>
            <w:shd w:val="clear" w:color="auto" w:fill="DBE5F1" w:themeFill="accent1" w:themeFillTint="33"/>
            <w:vAlign w:val="center"/>
          </w:tcPr>
          <w:p w14:paraId="646D3A9D" w14:textId="7170E9AB" w:rsidR="00A47185" w:rsidRPr="00B11526" w:rsidRDefault="00A47185" w:rsidP="0024159D">
            <w:pPr>
              <w:pStyle w:val="TableText"/>
              <w:jc w:val="center"/>
              <w:rPr>
                <w:vertAlign w:val="superscript"/>
              </w:rPr>
            </w:pPr>
            <w:r w:rsidRPr="00037E3B">
              <w:t>$</w:t>
            </w:r>
            <w:r w:rsidR="0024159D" w:rsidRPr="0024159D">
              <w:rPr>
                <w:sz w:val="2"/>
                <w:highlight w:val="black"/>
              </w:rPr>
              <w:t>redacted content</w:t>
            </w:r>
            <w:r w:rsidR="00015BB7">
              <w:rPr>
                <w:vertAlign w:val="superscript"/>
              </w:rPr>
              <w:t>4</w:t>
            </w:r>
          </w:p>
        </w:tc>
        <w:tc>
          <w:tcPr>
            <w:tcW w:w="611" w:type="pct"/>
            <w:tcBorders>
              <w:bottom w:val="single" w:sz="4" w:space="0" w:color="auto"/>
            </w:tcBorders>
            <w:shd w:val="clear" w:color="auto" w:fill="DBE5F1" w:themeFill="accent1" w:themeFillTint="33"/>
            <w:vAlign w:val="center"/>
          </w:tcPr>
          <w:p w14:paraId="4D6E8010" w14:textId="7964E945" w:rsidR="00A47185" w:rsidRPr="00B11526" w:rsidRDefault="00A47185" w:rsidP="0024159D">
            <w:pPr>
              <w:pStyle w:val="TableText"/>
              <w:jc w:val="center"/>
              <w:rPr>
                <w:vertAlign w:val="superscript"/>
              </w:rPr>
            </w:pPr>
            <w:r w:rsidRPr="00037E3B">
              <w:t>$</w:t>
            </w:r>
            <w:r w:rsidR="0024159D" w:rsidRPr="0024159D">
              <w:rPr>
                <w:sz w:val="2"/>
                <w:highlight w:val="black"/>
              </w:rPr>
              <w:t>redacted content</w:t>
            </w:r>
            <w:r w:rsidR="00015BB7">
              <w:rPr>
                <w:vertAlign w:val="superscript"/>
              </w:rPr>
              <w:t>4</w:t>
            </w:r>
          </w:p>
        </w:tc>
        <w:tc>
          <w:tcPr>
            <w:tcW w:w="611" w:type="pct"/>
            <w:tcBorders>
              <w:bottom w:val="single" w:sz="4" w:space="0" w:color="auto"/>
            </w:tcBorders>
            <w:shd w:val="clear" w:color="auto" w:fill="DBE5F1" w:themeFill="accent1" w:themeFillTint="33"/>
            <w:vAlign w:val="center"/>
          </w:tcPr>
          <w:p w14:paraId="2333B64A" w14:textId="126DC15D" w:rsidR="00A47185" w:rsidRPr="00B11526" w:rsidRDefault="00A47185" w:rsidP="0024159D">
            <w:pPr>
              <w:pStyle w:val="TableText"/>
              <w:jc w:val="center"/>
              <w:rPr>
                <w:vertAlign w:val="superscript"/>
              </w:rPr>
            </w:pPr>
            <w:r w:rsidRPr="00037E3B">
              <w:t>$</w:t>
            </w:r>
            <w:r w:rsidR="0024159D" w:rsidRPr="0024159D">
              <w:rPr>
                <w:sz w:val="2"/>
                <w:highlight w:val="black"/>
              </w:rPr>
              <w:t>redacted content</w:t>
            </w:r>
            <w:r w:rsidR="00015BB7">
              <w:rPr>
                <w:vertAlign w:val="superscript"/>
              </w:rPr>
              <w:t>4</w:t>
            </w:r>
          </w:p>
        </w:tc>
        <w:tc>
          <w:tcPr>
            <w:tcW w:w="611" w:type="pct"/>
            <w:tcBorders>
              <w:bottom w:val="single" w:sz="4" w:space="0" w:color="auto"/>
            </w:tcBorders>
            <w:shd w:val="clear" w:color="auto" w:fill="DBE5F1" w:themeFill="accent1" w:themeFillTint="33"/>
            <w:vAlign w:val="center"/>
          </w:tcPr>
          <w:p w14:paraId="11E4EB82" w14:textId="67603358" w:rsidR="00A47185" w:rsidRPr="00B11526" w:rsidRDefault="00A47185" w:rsidP="0024159D">
            <w:pPr>
              <w:pStyle w:val="TableText"/>
              <w:jc w:val="center"/>
              <w:rPr>
                <w:highlight w:val="darkGray"/>
                <w:vertAlign w:val="superscript"/>
              </w:rPr>
            </w:pPr>
            <w:r w:rsidRPr="00DA19F2">
              <w:t>$</w:t>
            </w:r>
            <w:r w:rsidR="0024159D" w:rsidRPr="0024159D">
              <w:rPr>
                <w:sz w:val="2"/>
                <w:highlight w:val="black"/>
              </w:rPr>
              <w:t>redacted content</w:t>
            </w:r>
            <w:r w:rsidR="00015BB7" w:rsidRPr="00B11526">
              <w:rPr>
                <w:vertAlign w:val="superscript"/>
              </w:rPr>
              <w:t>4</w:t>
            </w:r>
          </w:p>
        </w:tc>
        <w:tc>
          <w:tcPr>
            <w:tcW w:w="613" w:type="pct"/>
            <w:tcBorders>
              <w:bottom w:val="single" w:sz="4" w:space="0" w:color="auto"/>
            </w:tcBorders>
            <w:shd w:val="clear" w:color="auto" w:fill="DBE5F1" w:themeFill="accent1" w:themeFillTint="33"/>
            <w:vAlign w:val="center"/>
          </w:tcPr>
          <w:p w14:paraId="162B9DAA" w14:textId="12B2527F" w:rsidR="00A47185" w:rsidRPr="00B11526" w:rsidRDefault="00A47185" w:rsidP="0024159D">
            <w:pPr>
              <w:pStyle w:val="TableText"/>
              <w:jc w:val="center"/>
              <w:rPr>
                <w:vertAlign w:val="superscript"/>
              </w:rPr>
            </w:pPr>
            <w:r w:rsidRPr="00037E3B">
              <w:t>$</w:t>
            </w:r>
            <w:r w:rsidR="0024159D" w:rsidRPr="0024159D">
              <w:rPr>
                <w:sz w:val="2"/>
                <w:highlight w:val="black"/>
              </w:rPr>
              <w:t>redacted content</w:t>
            </w:r>
            <w:r w:rsidR="00015BB7">
              <w:rPr>
                <w:vertAlign w:val="superscript"/>
              </w:rPr>
              <w:t>4</w:t>
            </w:r>
          </w:p>
        </w:tc>
      </w:tr>
      <w:tr w:rsidR="00A47185" w:rsidRPr="00037E3B" w14:paraId="7BF8EEE4" w14:textId="77777777" w:rsidTr="007D7AE7">
        <w:tc>
          <w:tcPr>
            <w:tcW w:w="1323" w:type="pct"/>
            <w:tcBorders>
              <w:right w:val="nil"/>
            </w:tcBorders>
            <w:vAlign w:val="center"/>
          </w:tcPr>
          <w:p w14:paraId="70880EBE" w14:textId="77777777" w:rsidR="00A47185" w:rsidRPr="002F280A" w:rsidRDefault="00A47185" w:rsidP="0024159D">
            <w:pPr>
              <w:pStyle w:val="COMTabletext"/>
              <w:rPr>
                <w:b/>
                <w:bCs w:val="0"/>
              </w:rPr>
            </w:pPr>
            <w:r w:rsidRPr="002F280A">
              <w:rPr>
                <w:b/>
                <w:bCs w:val="0"/>
              </w:rPr>
              <w:t>Estimated extent of use</w:t>
            </w:r>
          </w:p>
        </w:tc>
        <w:tc>
          <w:tcPr>
            <w:tcW w:w="599" w:type="pct"/>
            <w:gridSpan w:val="2"/>
            <w:tcBorders>
              <w:left w:val="nil"/>
              <w:right w:val="nil"/>
            </w:tcBorders>
          </w:tcPr>
          <w:p w14:paraId="2EAA9140" w14:textId="77777777" w:rsidR="00A47185" w:rsidRPr="00037E3B" w:rsidRDefault="00A47185" w:rsidP="0024159D">
            <w:pPr>
              <w:pStyle w:val="TableText"/>
              <w:jc w:val="center"/>
            </w:pPr>
          </w:p>
        </w:tc>
        <w:tc>
          <w:tcPr>
            <w:tcW w:w="632" w:type="pct"/>
            <w:gridSpan w:val="2"/>
            <w:tcBorders>
              <w:left w:val="nil"/>
              <w:right w:val="nil"/>
            </w:tcBorders>
            <w:vAlign w:val="center"/>
          </w:tcPr>
          <w:p w14:paraId="60931266" w14:textId="77777777" w:rsidR="00A47185" w:rsidRPr="00037E3B" w:rsidRDefault="00A47185" w:rsidP="0024159D">
            <w:pPr>
              <w:pStyle w:val="TableText"/>
              <w:jc w:val="center"/>
            </w:pPr>
          </w:p>
        </w:tc>
        <w:tc>
          <w:tcPr>
            <w:tcW w:w="611" w:type="pct"/>
            <w:tcBorders>
              <w:left w:val="nil"/>
              <w:right w:val="nil"/>
            </w:tcBorders>
            <w:vAlign w:val="center"/>
          </w:tcPr>
          <w:p w14:paraId="0535BE35" w14:textId="77777777" w:rsidR="00A47185" w:rsidRPr="00037E3B" w:rsidRDefault="00A47185" w:rsidP="0024159D">
            <w:pPr>
              <w:pStyle w:val="TableText"/>
              <w:jc w:val="center"/>
            </w:pPr>
          </w:p>
        </w:tc>
        <w:tc>
          <w:tcPr>
            <w:tcW w:w="611" w:type="pct"/>
            <w:tcBorders>
              <w:left w:val="nil"/>
              <w:right w:val="nil"/>
            </w:tcBorders>
            <w:vAlign w:val="center"/>
          </w:tcPr>
          <w:p w14:paraId="79CEA0FC" w14:textId="77777777" w:rsidR="00A47185" w:rsidRPr="00037E3B" w:rsidRDefault="00A47185" w:rsidP="0024159D">
            <w:pPr>
              <w:pStyle w:val="TableText"/>
              <w:jc w:val="center"/>
            </w:pPr>
          </w:p>
        </w:tc>
        <w:tc>
          <w:tcPr>
            <w:tcW w:w="611" w:type="pct"/>
            <w:tcBorders>
              <w:left w:val="nil"/>
              <w:right w:val="nil"/>
            </w:tcBorders>
            <w:vAlign w:val="center"/>
          </w:tcPr>
          <w:p w14:paraId="0702EA6C" w14:textId="77777777" w:rsidR="00A47185" w:rsidRPr="00037E3B" w:rsidRDefault="00A47185" w:rsidP="0024159D">
            <w:pPr>
              <w:pStyle w:val="TableText"/>
              <w:jc w:val="center"/>
            </w:pPr>
          </w:p>
        </w:tc>
        <w:tc>
          <w:tcPr>
            <w:tcW w:w="613" w:type="pct"/>
            <w:tcBorders>
              <w:left w:val="nil"/>
            </w:tcBorders>
          </w:tcPr>
          <w:p w14:paraId="15E7E2EA" w14:textId="77777777" w:rsidR="00A47185" w:rsidRPr="00037E3B" w:rsidRDefault="00A47185" w:rsidP="0024159D">
            <w:pPr>
              <w:pStyle w:val="TableText"/>
              <w:jc w:val="center"/>
            </w:pPr>
          </w:p>
        </w:tc>
      </w:tr>
      <w:tr w:rsidR="00EC1B5A" w:rsidRPr="00037E3B" w14:paraId="10F0A64A" w14:textId="77777777" w:rsidTr="002F280A">
        <w:tc>
          <w:tcPr>
            <w:tcW w:w="1323" w:type="pct"/>
            <w:tcBorders>
              <w:bottom w:val="single" w:sz="4" w:space="0" w:color="auto"/>
            </w:tcBorders>
            <w:vAlign w:val="center"/>
          </w:tcPr>
          <w:p w14:paraId="17F19066" w14:textId="24A9AEB0" w:rsidR="00EC1B5A" w:rsidRPr="00EC1B5A" w:rsidRDefault="00EC1B5A" w:rsidP="0024159D">
            <w:pPr>
              <w:pStyle w:val="COMTabletext"/>
            </w:pPr>
            <w:r w:rsidRPr="00EC1B5A">
              <w:t>Number of patients initiating treatment</w:t>
            </w:r>
          </w:p>
        </w:tc>
        <w:tc>
          <w:tcPr>
            <w:tcW w:w="599" w:type="pct"/>
            <w:gridSpan w:val="2"/>
            <w:tcBorders>
              <w:bottom w:val="single" w:sz="4" w:space="0" w:color="auto"/>
            </w:tcBorders>
            <w:vAlign w:val="center"/>
          </w:tcPr>
          <w:p w14:paraId="293D5E5D" w14:textId="30C289A3" w:rsidR="00EC1B5A" w:rsidRPr="00DA19F2" w:rsidRDefault="0024159D" w:rsidP="0024159D">
            <w:pPr>
              <w:pStyle w:val="TableText"/>
              <w:jc w:val="center"/>
            </w:pPr>
            <w:r w:rsidRPr="0024159D">
              <w:rPr>
                <w:sz w:val="2"/>
                <w:highlight w:val="black"/>
              </w:rPr>
              <w:t>redacted content</w:t>
            </w:r>
            <w:r w:rsidR="00BB11B2">
              <w:rPr>
                <w:vertAlign w:val="superscript"/>
              </w:rPr>
              <w:t>1</w:t>
            </w:r>
            <w:r w:rsidR="00EC1B5A" w:rsidRPr="00DA19F2">
              <w:t xml:space="preserve"> </w:t>
            </w:r>
          </w:p>
        </w:tc>
        <w:tc>
          <w:tcPr>
            <w:tcW w:w="632" w:type="pct"/>
            <w:gridSpan w:val="2"/>
            <w:tcBorders>
              <w:bottom w:val="single" w:sz="4" w:space="0" w:color="auto"/>
            </w:tcBorders>
            <w:vAlign w:val="center"/>
          </w:tcPr>
          <w:p w14:paraId="3259F04D" w14:textId="1B4631F5" w:rsidR="00EC1B5A" w:rsidRPr="00B11526" w:rsidRDefault="0024159D" w:rsidP="0024159D">
            <w:pPr>
              <w:pStyle w:val="TableText"/>
              <w:jc w:val="center"/>
              <w:rPr>
                <w:vertAlign w:val="superscript"/>
              </w:rPr>
            </w:pPr>
            <w:r w:rsidRPr="0024159D">
              <w:rPr>
                <w:sz w:val="2"/>
                <w:highlight w:val="black"/>
              </w:rPr>
              <w:t>redacted content</w:t>
            </w:r>
            <w:r w:rsidR="00214121">
              <w:rPr>
                <w:vertAlign w:val="superscript"/>
              </w:rPr>
              <w:t>2</w:t>
            </w:r>
          </w:p>
        </w:tc>
        <w:tc>
          <w:tcPr>
            <w:tcW w:w="611" w:type="pct"/>
            <w:tcBorders>
              <w:bottom w:val="single" w:sz="4" w:space="0" w:color="auto"/>
            </w:tcBorders>
            <w:vAlign w:val="center"/>
          </w:tcPr>
          <w:p w14:paraId="3F647DA2" w14:textId="1C54C427" w:rsidR="00EC1B5A" w:rsidRPr="00B11526" w:rsidRDefault="0024159D" w:rsidP="0024159D">
            <w:pPr>
              <w:pStyle w:val="TableText"/>
              <w:jc w:val="center"/>
              <w:rPr>
                <w:vertAlign w:val="superscript"/>
              </w:rPr>
            </w:pPr>
            <w:r w:rsidRPr="0024159D">
              <w:rPr>
                <w:sz w:val="2"/>
                <w:highlight w:val="black"/>
              </w:rPr>
              <w:t>redacted content</w:t>
            </w:r>
            <w:r w:rsidR="00214121">
              <w:rPr>
                <w:vertAlign w:val="superscript"/>
              </w:rPr>
              <w:t>2</w:t>
            </w:r>
          </w:p>
        </w:tc>
        <w:tc>
          <w:tcPr>
            <w:tcW w:w="611" w:type="pct"/>
            <w:tcBorders>
              <w:bottom w:val="single" w:sz="4" w:space="0" w:color="auto"/>
            </w:tcBorders>
            <w:vAlign w:val="center"/>
          </w:tcPr>
          <w:p w14:paraId="0D348A85" w14:textId="427ADAF5" w:rsidR="00EC1B5A" w:rsidRPr="00B11526" w:rsidRDefault="0024159D" w:rsidP="0024159D">
            <w:pPr>
              <w:pStyle w:val="TableText"/>
              <w:jc w:val="center"/>
              <w:rPr>
                <w:vertAlign w:val="superscript"/>
              </w:rPr>
            </w:pPr>
            <w:r w:rsidRPr="0024159D">
              <w:rPr>
                <w:sz w:val="2"/>
                <w:highlight w:val="black"/>
              </w:rPr>
              <w:t>redacted content</w:t>
            </w:r>
            <w:r w:rsidR="00214121">
              <w:rPr>
                <w:vertAlign w:val="superscript"/>
              </w:rPr>
              <w:t>2</w:t>
            </w:r>
          </w:p>
        </w:tc>
        <w:tc>
          <w:tcPr>
            <w:tcW w:w="611" w:type="pct"/>
            <w:tcBorders>
              <w:bottom w:val="single" w:sz="4" w:space="0" w:color="auto"/>
            </w:tcBorders>
            <w:vAlign w:val="center"/>
          </w:tcPr>
          <w:p w14:paraId="33B2BB8D" w14:textId="61074062" w:rsidR="00EC1B5A" w:rsidRPr="00B11526" w:rsidRDefault="0024159D" w:rsidP="0024159D">
            <w:pPr>
              <w:pStyle w:val="TableText"/>
              <w:jc w:val="center"/>
              <w:rPr>
                <w:vertAlign w:val="superscript"/>
              </w:rPr>
            </w:pPr>
            <w:r w:rsidRPr="0024159D">
              <w:rPr>
                <w:sz w:val="2"/>
                <w:highlight w:val="black"/>
              </w:rPr>
              <w:t>redacted content</w:t>
            </w:r>
            <w:r w:rsidR="00214121">
              <w:rPr>
                <w:vertAlign w:val="superscript"/>
              </w:rPr>
              <w:t>2</w:t>
            </w:r>
          </w:p>
        </w:tc>
        <w:tc>
          <w:tcPr>
            <w:tcW w:w="613" w:type="pct"/>
            <w:tcBorders>
              <w:bottom w:val="single" w:sz="4" w:space="0" w:color="auto"/>
            </w:tcBorders>
            <w:vAlign w:val="center"/>
          </w:tcPr>
          <w:p w14:paraId="6AD1E2A4" w14:textId="5617A6AF" w:rsidR="00EC1B5A" w:rsidRPr="00B11526" w:rsidRDefault="0024159D" w:rsidP="0024159D">
            <w:pPr>
              <w:pStyle w:val="TableText"/>
              <w:jc w:val="center"/>
              <w:rPr>
                <w:vertAlign w:val="superscript"/>
              </w:rPr>
            </w:pPr>
            <w:r w:rsidRPr="0024159D">
              <w:rPr>
                <w:sz w:val="2"/>
                <w:highlight w:val="black"/>
              </w:rPr>
              <w:t>redacted content</w:t>
            </w:r>
            <w:r w:rsidR="00214121">
              <w:rPr>
                <w:vertAlign w:val="superscript"/>
              </w:rPr>
              <w:t>2</w:t>
            </w:r>
          </w:p>
        </w:tc>
      </w:tr>
      <w:tr w:rsidR="004974D9" w:rsidRPr="00037E3B" w14:paraId="7C52B0DB" w14:textId="77777777" w:rsidTr="002F280A">
        <w:tc>
          <w:tcPr>
            <w:tcW w:w="1323" w:type="pct"/>
            <w:tcBorders>
              <w:bottom w:val="single" w:sz="4" w:space="0" w:color="auto"/>
            </w:tcBorders>
            <w:vAlign w:val="center"/>
          </w:tcPr>
          <w:p w14:paraId="44133D1E" w14:textId="51CE9EA2" w:rsidR="004974D9" w:rsidRPr="009872A8" w:rsidRDefault="00EC1B5A" w:rsidP="0024159D">
            <w:pPr>
              <w:pStyle w:val="COMTabletext"/>
            </w:pPr>
            <w:r>
              <w:t>Total n</w:t>
            </w:r>
            <w:r w:rsidR="004974D9" w:rsidRPr="009872A8">
              <w:t>umber of patients treated</w:t>
            </w:r>
          </w:p>
        </w:tc>
        <w:tc>
          <w:tcPr>
            <w:tcW w:w="599" w:type="pct"/>
            <w:gridSpan w:val="2"/>
            <w:tcBorders>
              <w:bottom w:val="single" w:sz="4" w:space="0" w:color="auto"/>
            </w:tcBorders>
            <w:vAlign w:val="center"/>
          </w:tcPr>
          <w:p w14:paraId="311C7899" w14:textId="2E766337" w:rsidR="004974D9" w:rsidRPr="00B11526" w:rsidRDefault="0024159D" w:rsidP="0024159D">
            <w:pPr>
              <w:pStyle w:val="TableText"/>
              <w:jc w:val="center"/>
              <w:rPr>
                <w:vertAlign w:val="superscript"/>
              </w:rPr>
            </w:pPr>
            <w:r w:rsidRPr="0024159D">
              <w:rPr>
                <w:sz w:val="2"/>
                <w:highlight w:val="black"/>
              </w:rPr>
              <w:t>redacted content</w:t>
            </w:r>
            <w:r w:rsidR="00BB11B2">
              <w:rPr>
                <w:vertAlign w:val="superscript"/>
              </w:rPr>
              <w:t>1</w:t>
            </w:r>
          </w:p>
        </w:tc>
        <w:tc>
          <w:tcPr>
            <w:tcW w:w="632" w:type="pct"/>
            <w:gridSpan w:val="2"/>
            <w:tcBorders>
              <w:bottom w:val="single" w:sz="4" w:space="0" w:color="auto"/>
            </w:tcBorders>
            <w:vAlign w:val="center"/>
          </w:tcPr>
          <w:p w14:paraId="2C4B511C" w14:textId="4EC3C892" w:rsidR="004974D9" w:rsidRPr="00B11526" w:rsidRDefault="0024159D" w:rsidP="0024159D">
            <w:pPr>
              <w:pStyle w:val="TableText"/>
              <w:jc w:val="center"/>
              <w:rPr>
                <w:vertAlign w:val="superscript"/>
              </w:rPr>
            </w:pPr>
            <w:r w:rsidRPr="0024159D">
              <w:rPr>
                <w:sz w:val="2"/>
                <w:highlight w:val="black"/>
              </w:rPr>
              <w:t>redacted content</w:t>
            </w:r>
            <w:r w:rsidR="0013655A">
              <w:rPr>
                <w:vertAlign w:val="superscript"/>
              </w:rPr>
              <w:t>1</w:t>
            </w:r>
          </w:p>
        </w:tc>
        <w:tc>
          <w:tcPr>
            <w:tcW w:w="611" w:type="pct"/>
            <w:tcBorders>
              <w:bottom w:val="single" w:sz="4" w:space="0" w:color="auto"/>
            </w:tcBorders>
            <w:vAlign w:val="center"/>
          </w:tcPr>
          <w:p w14:paraId="60737C9B" w14:textId="372A3609" w:rsidR="004974D9" w:rsidRPr="00B11526" w:rsidRDefault="0024159D" w:rsidP="0024159D">
            <w:pPr>
              <w:pStyle w:val="TableText"/>
              <w:jc w:val="center"/>
              <w:rPr>
                <w:vertAlign w:val="superscript"/>
              </w:rPr>
            </w:pPr>
            <w:r w:rsidRPr="0024159D">
              <w:rPr>
                <w:sz w:val="2"/>
                <w:highlight w:val="black"/>
              </w:rPr>
              <w:t>redacted content</w:t>
            </w:r>
            <w:r w:rsidR="0013655A">
              <w:rPr>
                <w:vertAlign w:val="superscript"/>
              </w:rPr>
              <w:t>1</w:t>
            </w:r>
          </w:p>
        </w:tc>
        <w:tc>
          <w:tcPr>
            <w:tcW w:w="611" w:type="pct"/>
            <w:tcBorders>
              <w:bottom w:val="single" w:sz="4" w:space="0" w:color="auto"/>
            </w:tcBorders>
            <w:vAlign w:val="center"/>
          </w:tcPr>
          <w:p w14:paraId="4980338E" w14:textId="4BAED4CC" w:rsidR="004974D9" w:rsidRPr="00B11526" w:rsidRDefault="0024159D" w:rsidP="0024159D">
            <w:pPr>
              <w:pStyle w:val="TableText"/>
              <w:jc w:val="center"/>
              <w:rPr>
                <w:vertAlign w:val="superscript"/>
              </w:rPr>
            </w:pPr>
            <w:r w:rsidRPr="0024159D">
              <w:rPr>
                <w:sz w:val="2"/>
                <w:highlight w:val="black"/>
              </w:rPr>
              <w:t>redacted content</w:t>
            </w:r>
            <w:r w:rsidR="0013655A">
              <w:rPr>
                <w:vertAlign w:val="superscript"/>
              </w:rPr>
              <w:t>1</w:t>
            </w:r>
          </w:p>
        </w:tc>
        <w:tc>
          <w:tcPr>
            <w:tcW w:w="611" w:type="pct"/>
            <w:tcBorders>
              <w:bottom w:val="single" w:sz="4" w:space="0" w:color="auto"/>
            </w:tcBorders>
            <w:vAlign w:val="center"/>
          </w:tcPr>
          <w:p w14:paraId="5646A1FB" w14:textId="15C718C8" w:rsidR="004974D9" w:rsidRPr="00B11526" w:rsidRDefault="0024159D" w:rsidP="0024159D">
            <w:pPr>
              <w:pStyle w:val="TableText"/>
              <w:jc w:val="center"/>
              <w:rPr>
                <w:vertAlign w:val="superscript"/>
              </w:rPr>
            </w:pPr>
            <w:r w:rsidRPr="0024159D">
              <w:rPr>
                <w:sz w:val="2"/>
                <w:highlight w:val="black"/>
              </w:rPr>
              <w:t>redacted content</w:t>
            </w:r>
            <w:r w:rsidR="0013655A">
              <w:rPr>
                <w:vertAlign w:val="superscript"/>
              </w:rPr>
              <w:t>1</w:t>
            </w:r>
          </w:p>
        </w:tc>
        <w:tc>
          <w:tcPr>
            <w:tcW w:w="613" w:type="pct"/>
            <w:tcBorders>
              <w:bottom w:val="single" w:sz="4" w:space="0" w:color="auto"/>
            </w:tcBorders>
            <w:vAlign w:val="center"/>
          </w:tcPr>
          <w:p w14:paraId="6EC0FA64" w14:textId="4E0473EF" w:rsidR="004974D9" w:rsidRPr="00B11526" w:rsidRDefault="0024159D" w:rsidP="0024159D">
            <w:pPr>
              <w:pStyle w:val="TableText"/>
              <w:jc w:val="center"/>
              <w:rPr>
                <w:vertAlign w:val="superscript"/>
              </w:rPr>
            </w:pPr>
            <w:r w:rsidRPr="0024159D">
              <w:rPr>
                <w:sz w:val="2"/>
                <w:highlight w:val="black"/>
              </w:rPr>
              <w:t>redacted content</w:t>
            </w:r>
            <w:r w:rsidR="0013655A">
              <w:rPr>
                <w:vertAlign w:val="superscript"/>
              </w:rPr>
              <w:t>1</w:t>
            </w:r>
          </w:p>
        </w:tc>
      </w:tr>
      <w:tr w:rsidR="006D06C5" w:rsidRPr="00037E3B" w14:paraId="28BBDE91" w14:textId="77777777" w:rsidTr="006D06C5">
        <w:tc>
          <w:tcPr>
            <w:tcW w:w="5000" w:type="pct"/>
            <w:gridSpan w:val="9"/>
            <w:vAlign w:val="center"/>
          </w:tcPr>
          <w:p w14:paraId="0212DD2E" w14:textId="3866601E" w:rsidR="006D06C5" w:rsidRPr="00037E3B" w:rsidRDefault="006D06C5" w:rsidP="0024159D">
            <w:pPr>
              <w:pStyle w:val="TableText"/>
            </w:pPr>
            <w:r w:rsidRPr="002F280A">
              <w:rPr>
                <w:b/>
                <w:bCs w:val="0"/>
              </w:rPr>
              <w:t>Estimated financial implications of vorasidenib</w:t>
            </w:r>
          </w:p>
        </w:tc>
      </w:tr>
      <w:tr w:rsidR="003152E1" w:rsidRPr="00037E3B" w14:paraId="7112E81A" w14:textId="77777777" w:rsidTr="00E549E5">
        <w:tc>
          <w:tcPr>
            <w:tcW w:w="1323" w:type="pct"/>
            <w:vAlign w:val="center"/>
          </w:tcPr>
          <w:p w14:paraId="4A5624A3" w14:textId="77777777" w:rsidR="003152E1" w:rsidRDefault="003152E1" w:rsidP="0024159D">
            <w:pPr>
              <w:pStyle w:val="COMTabletext"/>
              <w:rPr>
                <w:b/>
                <w:bCs w:val="0"/>
              </w:rPr>
            </w:pPr>
            <w:r w:rsidRPr="009872A8">
              <w:t>Cost to PBS/RPBS less copayments</w:t>
            </w:r>
          </w:p>
        </w:tc>
        <w:tc>
          <w:tcPr>
            <w:tcW w:w="599" w:type="pct"/>
            <w:gridSpan w:val="2"/>
            <w:vAlign w:val="center"/>
          </w:tcPr>
          <w:p w14:paraId="65C86864" w14:textId="0FF63015" w:rsidR="003152E1" w:rsidRPr="00B11526" w:rsidRDefault="003152E1" w:rsidP="0024159D">
            <w:pPr>
              <w:pStyle w:val="TableText"/>
              <w:jc w:val="center"/>
              <w:rPr>
                <w:vertAlign w:val="superscript"/>
              </w:rPr>
            </w:pPr>
            <w:r w:rsidRPr="00737C4F">
              <w:t>$</w:t>
            </w:r>
            <w:r w:rsidR="0024159D" w:rsidRPr="0024159D">
              <w:rPr>
                <w:sz w:val="2"/>
                <w:highlight w:val="black"/>
              </w:rPr>
              <w:t>redacted content</w:t>
            </w:r>
            <w:r w:rsidR="00015BB7">
              <w:rPr>
                <w:vertAlign w:val="superscript"/>
              </w:rPr>
              <w:t>4</w:t>
            </w:r>
          </w:p>
        </w:tc>
        <w:tc>
          <w:tcPr>
            <w:tcW w:w="632" w:type="pct"/>
            <w:gridSpan w:val="2"/>
            <w:vAlign w:val="center"/>
          </w:tcPr>
          <w:p w14:paraId="5459A2BD" w14:textId="667C032E" w:rsidR="003152E1" w:rsidRPr="00B11526" w:rsidRDefault="003152E1" w:rsidP="0024159D">
            <w:pPr>
              <w:pStyle w:val="TableText"/>
              <w:jc w:val="center"/>
              <w:rPr>
                <w:vertAlign w:val="superscript"/>
              </w:rPr>
            </w:pPr>
            <w:r w:rsidRPr="00737C4F">
              <w:t>$</w:t>
            </w:r>
            <w:r w:rsidR="0024159D" w:rsidRPr="0024159D">
              <w:rPr>
                <w:sz w:val="2"/>
                <w:highlight w:val="black"/>
              </w:rPr>
              <w:t>redacted content</w:t>
            </w:r>
            <w:r w:rsidR="00015BB7">
              <w:rPr>
                <w:vertAlign w:val="superscript"/>
              </w:rPr>
              <w:t>4</w:t>
            </w:r>
          </w:p>
        </w:tc>
        <w:tc>
          <w:tcPr>
            <w:tcW w:w="611" w:type="pct"/>
            <w:vAlign w:val="center"/>
          </w:tcPr>
          <w:p w14:paraId="0DC50168" w14:textId="27CB9233" w:rsidR="003152E1" w:rsidRPr="00B11526" w:rsidRDefault="003152E1" w:rsidP="0024159D">
            <w:pPr>
              <w:pStyle w:val="TableText"/>
              <w:jc w:val="center"/>
              <w:rPr>
                <w:vertAlign w:val="superscript"/>
              </w:rPr>
            </w:pPr>
            <w:r w:rsidRPr="00737C4F">
              <w:t>$</w:t>
            </w:r>
            <w:r w:rsidR="0024159D" w:rsidRPr="0024159D">
              <w:rPr>
                <w:sz w:val="2"/>
                <w:highlight w:val="black"/>
              </w:rPr>
              <w:t>redacted content</w:t>
            </w:r>
            <w:r w:rsidR="00015BB7">
              <w:rPr>
                <w:vertAlign w:val="superscript"/>
              </w:rPr>
              <w:t>4</w:t>
            </w:r>
          </w:p>
        </w:tc>
        <w:tc>
          <w:tcPr>
            <w:tcW w:w="611" w:type="pct"/>
            <w:vAlign w:val="center"/>
          </w:tcPr>
          <w:p w14:paraId="59D3B6F7" w14:textId="7087B65B" w:rsidR="003152E1" w:rsidRPr="00B11526" w:rsidRDefault="003152E1" w:rsidP="0024159D">
            <w:pPr>
              <w:pStyle w:val="TableText"/>
              <w:jc w:val="center"/>
              <w:rPr>
                <w:vertAlign w:val="superscript"/>
              </w:rPr>
            </w:pPr>
            <w:r w:rsidRPr="00737C4F">
              <w:t>$</w:t>
            </w:r>
            <w:r w:rsidR="0024159D" w:rsidRPr="0024159D">
              <w:rPr>
                <w:sz w:val="2"/>
                <w:highlight w:val="black"/>
              </w:rPr>
              <w:t>redacted content</w:t>
            </w:r>
            <w:r w:rsidR="00015BB7">
              <w:rPr>
                <w:vertAlign w:val="superscript"/>
              </w:rPr>
              <w:t>4</w:t>
            </w:r>
          </w:p>
        </w:tc>
        <w:tc>
          <w:tcPr>
            <w:tcW w:w="611" w:type="pct"/>
            <w:vAlign w:val="center"/>
          </w:tcPr>
          <w:p w14:paraId="2A1F06CF" w14:textId="3DE1F916" w:rsidR="003152E1" w:rsidRPr="00B11526" w:rsidRDefault="003152E1" w:rsidP="0024159D">
            <w:pPr>
              <w:pStyle w:val="TableText"/>
              <w:jc w:val="center"/>
              <w:rPr>
                <w:vertAlign w:val="superscript"/>
              </w:rPr>
            </w:pPr>
            <w:r w:rsidRPr="00737C4F">
              <w:t>$</w:t>
            </w:r>
            <w:r w:rsidR="0024159D" w:rsidRPr="0024159D">
              <w:rPr>
                <w:sz w:val="2"/>
                <w:highlight w:val="black"/>
              </w:rPr>
              <w:t>redacted content</w:t>
            </w:r>
            <w:r w:rsidR="00015BB7">
              <w:rPr>
                <w:vertAlign w:val="superscript"/>
              </w:rPr>
              <w:t>4</w:t>
            </w:r>
          </w:p>
        </w:tc>
        <w:tc>
          <w:tcPr>
            <w:tcW w:w="613" w:type="pct"/>
            <w:vAlign w:val="center"/>
          </w:tcPr>
          <w:p w14:paraId="03550E51" w14:textId="08C3C3CE" w:rsidR="003152E1" w:rsidRPr="00B11526" w:rsidRDefault="003152E1" w:rsidP="0024159D">
            <w:pPr>
              <w:pStyle w:val="TableText"/>
              <w:jc w:val="center"/>
              <w:rPr>
                <w:vertAlign w:val="superscript"/>
              </w:rPr>
            </w:pPr>
            <w:r w:rsidRPr="00737C4F">
              <w:t>$</w:t>
            </w:r>
            <w:r w:rsidR="0024159D" w:rsidRPr="0024159D">
              <w:rPr>
                <w:sz w:val="2"/>
                <w:highlight w:val="black"/>
              </w:rPr>
              <w:t>redacted content</w:t>
            </w:r>
            <w:r w:rsidR="00DD339A">
              <w:rPr>
                <w:vertAlign w:val="superscript"/>
              </w:rPr>
              <w:t>5</w:t>
            </w:r>
          </w:p>
        </w:tc>
      </w:tr>
      <w:tr w:rsidR="003152E1" w:rsidRPr="00037E3B" w14:paraId="7967D764" w14:textId="77777777" w:rsidTr="00E549E5">
        <w:tc>
          <w:tcPr>
            <w:tcW w:w="1323" w:type="pct"/>
            <w:vAlign w:val="center"/>
          </w:tcPr>
          <w:p w14:paraId="17409E22" w14:textId="7CF39118" w:rsidR="003152E1" w:rsidRPr="009872A8" w:rsidRDefault="003152E1" w:rsidP="0024159D">
            <w:pPr>
              <w:pStyle w:val="COMTabletext"/>
            </w:pPr>
            <w:r w:rsidRPr="00F57392">
              <w:t xml:space="preserve">Net cost to MBS </w:t>
            </w:r>
            <w:r w:rsidR="00953AB3" w:rsidRPr="00410C7E">
              <w:rPr>
                <w:vertAlign w:val="superscript"/>
              </w:rPr>
              <w:t>a</w:t>
            </w:r>
          </w:p>
        </w:tc>
        <w:tc>
          <w:tcPr>
            <w:tcW w:w="599" w:type="pct"/>
            <w:gridSpan w:val="2"/>
            <w:vAlign w:val="center"/>
          </w:tcPr>
          <w:p w14:paraId="24FF2DA2" w14:textId="5535EB66" w:rsidR="003152E1" w:rsidRPr="00B11526" w:rsidRDefault="003152E1" w:rsidP="0024159D">
            <w:pPr>
              <w:pStyle w:val="TableText"/>
              <w:jc w:val="center"/>
              <w:rPr>
                <w:vertAlign w:val="superscript"/>
              </w:rPr>
            </w:pPr>
            <w:r w:rsidRPr="00737C4F">
              <w:t>$</w:t>
            </w:r>
            <w:r w:rsidR="0024159D" w:rsidRPr="0024159D">
              <w:rPr>
                <w:sz w:val="2"/>
                <w:highlight w:val="black"/>
              </w:rPr>
              <w:t>redacted content</w:t>
            </w:r>
            <w:r w:rsidR="00725864">
              <w:rPr>
                <w:vertAlign w:val="superscript"/>
              </w:rPr>
              <w:t>3</w:t>
            </w:r>
          </w:p>
        </w:tc>
        <w:tc>
          <w:tcPr>
            <w:tcW w:w="632" w:type="pct"/>
            <w:gridSpan w:val="2"/>
            <w:vAlign w:val="center"/>
          </w:tcPr>
          <w:p w14:paraId="6C866AED" w14:textId="2FFF750F" w:rsidR="003152E1" w:rsidRPr="00B11526" w:rsidRDefault="003152E1" w:rsidP="0024159D">
            <w:pPr>
              <w:pStyle w:val="TableText"/>
              <w:jc w:val="center"/>
              <w:rPr>
                <w:vertAlign w:val="superscript"/>
              </w:rPr>
            </w:pPr>
            <w:r w:rsidRPr="00737C4F">
              <w:t>$</w:t>
            </w:r>
            <w:r w:rsidR="0024159D" w:rsidRPr="0024159D">
              <w:rPr>
                <w:sz w:val="2"/>
                <w:highlight w:val="black"/>
              </w:rPr>
              <w:t>redacted content</w:t>
            </w:r>
            <w:r w:rsidR="00725864">
              <w:rPr>
                <w:vertAlign w:val="superscript"/>
              </w:rPr>
              <w:t>3</w:t>
            </w:r>
          </w:p>
        </w:tc>
        <w:tc>
          <w:tcPr>
            <w:tcW w:w="611" w:type="pct"/>
            <w:vAlign w:val="center"/>
          </w:tcPr>
          <w:p w14:paraId="7BC10672" w14:textId="3DF96030" w:rsidR="003152E1" w:rsidRPr="00B11526" w:rsidRDefault="003152E1" w:rsidP="0024159D">
            <w:pPr>
              <w:pStyle w:val="TableText"/>
              <w:jc w:val="center"/>
              <w:rPr>
                <w:highlight w:val="darkGray"/>
                <w:vertAlign w:val="superscript"/>
              </w:rPr>
            </w:pPr>
            <w:r w:rsidRPr="00DA19F2">
              <w:t>$</w:t>
            </w:r>
            <w:r w:rsidR="0024159D" w:rsidRPr="0024159D">
              <w:rPr>
                <w:sz w:val="2"/>
                <w:highlight w:val="black"/>
              </w:rPr>
              <w:t>redacted content</w:t>
            </w:r>
            <w:r w:rsidR="00725864" w:rsidRPr="00B11526">
              <w:rPr>
                <w:vertAlign w:val="superscript"/>
              </w:rPr>
              <w:t>3</w:t>
            </w:r>
          </w:p>
        </w:tc>
        <w:tc>
          <w:tcPr>
            <w:tcW w:w="611" w:type="pct"/>
            <w:vAlign w:val="center"/>
          </w:tcPr>
          <w:p w14:paraId="37214976" w14:textId="511DC3E9" w:rsidR="003152E1" w:rsidRPr="00B11526" w:rsidRDefault="003152E1" w:rsidP="0024159D">
            <w:pPr>
              <w:pStyle w:val="TableText"/>
              <w:jc w:val="center"/>
              <w:rPr>
                <w:vertAlign w:val="superscript"/>
              </w:rPr>
            </w:pPr>
            <w:r w:rsidRPr="00737C4F">
              <w:t>$</w:t>
            </w:r>
            <w:r w:rsidR="0024159D" w:rsidRPr="0024159D">
              <w:rPr>
                <w:sz w:val="2"/>
                <w:highlight w:val="black"/>
              </w:rPr>
              <w:t>redacted content</w:t>
            </w:r>
            <w:r w:rsidR="00725864">
              <w:rPr>
                <w:vertAlign w:val="superscript"/>
              </w:rPr>
              <w:t>3</w:t>
            </w:r>
          </w:p>
        </w:tc>
        <w:tc>
          <w:tcPr>
            <w:tcW w:w="611" w:type="pct"/>
            <w:vAlign w:val="center"/>
          </w:tcPr>
          <w:p w14:paraId="130C0C10" w14:textId="3A4565F1" w:rsidR="003152E1" w:rsidRPr="00D80C6D" w:rsidRDefault="003152E1" w:rsidP="0024159D">
            <w:pPr>
              <w:pStyle w:val="TableText"/>
              <w:jc w:val="center"/>
              <w:rPr>
                <w:vertAlign w:val="superscript"/>
              </w:rPr>
            </w:pPr>
            <w:r w:rsidRPr="00D80C6D">
              <w:t>$</w:t>
            </w:r>
            <w:r w:rsidR="0024159D" w:rsidRPr="0024159D">
              <w:rPr>
                <w:sz w:val="2"/>
                <w:highlight w:val="black"/>
              </w:rPr>
              <w:t>redacted content</w:t>
            </w:r>
            <w:r w:rsidR="00725864" w:rsidRPr="00D80C6D">
              <w:rPr>
                <w:vertAlign w:val="superscript"/>
              </w:rPr>
              <w:t>3</w:t>
            </w:r>
          </w:p>
        </w:tc>
        <w:tc>
          <w:tcPr>
            <w:tcW w:w="613" w:type="pct"/>
            <w:vAlign w:val="center"/>
          </w:tcPr>
          <w:p w14:paraId="50376D45" w14:textId="16F05DC3" w:rsidR="003152E1" w:rsidRPr="00B11526" w:rsidRDefault="003152E1" w:rsidP="0024159D">
            <w:pPr>
              <w:pStyle w:val="TableText"/>
              <w:jc w:val="center"/>
              <w:rPr>
                <w:vertAlign w:val="superscript"/>
              </w:rPr>
            </w:pPr>
            <w:r w:rsidRPr="00737C4F">
              <w:t>$</w:t>
            </w:r>
            <w:r w:rsidR="0024159D" w:rsidRPr="0024159D">
              <w:rPr>
                <w:sz w:val="2"/>
                <w:highlight w:val="black"/>
              </w:rPr>
              <w:t>redacted content</w:t>
            </w:r>
            <w:r w:rsidR="00725864">
              <w:rPr>
                <w:vertAlign w:val="superscript"/>
              </w:rPr>
              <w:t>3</w:t>
            </w:r>
          </w:p>
        </w:tc>
      </w:tr>
      <w:tr w:rsidR="00737C4F" w:rsidRPr="00037E3B" w14:paraId="1DDB31E4" w14:textId="77777777" w:rsidTr="00E549E5">
        <w:tc>
          <w:tcPr>
            <w:tcW w:w="1323" w:type="pct"/>
            <w:vAlign w:val="center"/>
          </w:tcPr>
          <w:p w14:paraId="259E15C5" w14:textId="536E3B77" w:rsidR="00737C4F" w:rsidRPr="009872A8" w:rsidRDefault="00737C4F" w:rsidP="0024159D">
            <w:pPr>
              <w:pStyle w:val="COMTabletext"/>
            </w:pPr>
            <w:r w:rsidRPr="007D7AE7">
              <w:t>Net cost to PBS/RPBS/MBS</w:t>
            </w:r>
            <w:r w:rsidR="00953AB3">
              <w:t xml:space="preserve"> </w:t>
            </w:r>
            <w:r w:rsidR="00953AB3" w:rsidRPr="00410C7E">
              <w:rPr>
                <w:vertAlign w:val="superscript"/>
              </w:rPr>
              <w:t>a</w:t>
            </w:r>
          </w:p>
        </w:tc>
        <w:tc>
          <w:tcPr>
            <w:tcW w:w="599" w:type="pct"/>
            <w:gridSpan w:val="2"/>
            <w:vAlign w:val="center"/>
          </w:tcPr>
          <w:p w14:paraId="3CB5F099" w14:textId="0F3BD964" w:rsidR="00737C4F" w:rsidRPr="00B11526" w:rsidRDefault="00737C4F" w:rsidP="0024159D">
            <w:pPr>
              <w:pStyle w:val="TableText"/>
              <w:jc w:val="center"/>
              <w:rPr>
                <w:vertAlign w:val="superscript"/>
              </w:rPr>
            </w:pPr>
            <w:r w:rsidRPr="00737C4F">
              <w:t>$</w:t>
            </w:r>
            <w:r w:rsidR="0024159D" w:rsidRPr="0024159D">
              <w:rPr>
                <w:sz w:val="2"/>
                <w:highlight w:val="black"/>
              </w:rPr>
              <w:t>redacted content</w:t>
            </w:r>
            <w:r w:rsidR="00015BB7">
              <w:rPr>
                <w:vertAlign w:val="superscript"/>
              </w:rPr>
              <w:t>4</w:t>
            </w:r>
          </w:p>
        </w:tc>
        <w:tc>
          <w:tcPr>
            <w:tcW w:w="632" w:type="pct"/>
            <w:gridSpan w:val="2"/>
            <w:vAlign w:val="center"/>
          </w:tcPr>
          <w:p w14:paraId="2ADBE2BE" w14:textId="1D359B33" w:rsidR="00737C4F" w:rsidRPr="00B11526" w:rsidRDefault="00737C4F" w:rsidP="0024159D">
            <w:pPr>
              <w:pStyle w:val="TableText"/>
              <w:jc w:val="center"/>
              <w:rPr>
                <w:vertAlign w:val="superscript"/>
              </w:rPr>
            </w:pPr>
            <w:r w:rsidRPr="00737C4F">
              <w:t>$</w:t>
            </w:r>
            <w:r w:rsidR="0024159D" w:rsidRPr="0024159D">
              <w:rPr>
                <w:sz w:val="2"/>
                <w:highlight w:val="black"/>
              </w:rPr>
              <w:t>redacted content</w:t>
            </w:r>
            <w:r w:rsidR="00015BB7">
              <w:rPr>
                <w:vertAlign w:val="superscript"/>
              </w:rPr>
              <w:t>4</w:t>
            </w:r>
          </w:p>
        </w:tc>
        <w:tc>
          <w:tcPr>
            <w:tcW w:w="611" w:type="pct"/>
            <w:vAlign w:val="center"/>
          </w:tcPr>
          <w:p w14:paraId="50965F99" w14:textId="1F7C523A" w:rsidR="00737C4F" w:rsidRPr="00B11526" w:rsidRDefault="00737C4F" w:rsidP="0024159D">
            <w:pPr>
              <w:pStyle w:val="TableText"/>
              <w:jc w:val="center"/>
              <w:rPr>
                <w:vertAlign w:val="superscript"/>
              </w:rPr>
            </w:pPr>
            <w:r w:rsidRPr="00737C4F">
              <w:t>$</w:t>
            </w:r>
            <w:r w:rsidR="0024159D" w:rsidRPr="0024159D">
              <w:rPr>
                <w:sz w:val="2"/>
                <w:highlight w:val="black"/>
              </w:rPr>
              <w:t>redacted content</w:t>
            </w:r>
            <w:r w:rsidR="00015BB7">
              <w:rPr>
                <w:vertAlign w:val="superscript"/>
              </w:rPr>
              <w:t>4</w:t>
            </w:r>
          </w:p>
        </w:tc>
        <w:tc>
          <w:tcPr>
            <w:tcW w:w="611" w:type="pct"/>
            <w:vAlign w:val="center"/>
          </w:tcPr>
          <w:p w14:paraId="33DE62D9" w14:textId="4E0800FB" w:rsidR="00737C4F" w:rsidRPr="00B11526" w:rsidRDefault="00737C4F" w:rsidP="0024159D">
            <w:pPr>
              <w:pStyle w:val="TableText"/>
              <w:jc w:val="center"/>
              <w:rPr>
                <w:vertAlign w:val="superscript"/>
              </w:rPr>
            </w:pPr>
            <w:r w:rsidRPr="00737C4F">
              <w:t>$</w:t>
            </w:r>
            <w:r w:rsidR="0024159D" w:rsidRPr="0024159D">
              <w:rPr>
                <w:sz w:val="2"/>
                <w:highlight w:val="black"/>
              </w:rPr>
              <w:t>redacted content</w:t>
            </w:r>
          </w:p>
        </w:tc>
        <w:tc>
          <w:tcPr>
            <w:tcW w:w="611" w:type="pct"/>
            <w:vAlign w:val="center"/>
          </w:tcPr>
          <w:p w14:paraId="7582F8BE" w14:textId="24A00683" w:rsidR="00737C4F" w:rsidRPr="00B11526" w:rsidRDefault="00737C4F" w:rsidP="0024159D">
            <w:pPr>
              <w:pStyle w:val="TableText"/>
              <w:jc w:val="center"/>
              <w:rPr>
                <w:vertAlign w:val="superscript"/>
              </w:rPr>
            </w:pPr>
            <w:r w:rsidRPr="00410C7E">
              <w:rPr>
                <w:i/>
                <w:iCs/>
              </w:rPr>
              <w:t>$</w:t>
            </w:r>
            <w:r w:rsidR="0024159D" w:rsidRPr="0024159D">
              <w:rPr>
                <w:i/>
                <w:iCs/>
                <w:sz w:val="2"/>
                <w:highlight w:val="black"/>
              </w:rPr>
              <w:t>redacted content</w:t>
            </w:r>
            <w:r w:rsidR="00DD339A">
              <w:rPr>
                <w:vertAlign w:val="superscript"/>
              </w:rPr>
              <w:t>5</w:t>
            </w:r>
          </w:p>
        </w:tc>
        <w:tc>
          <w:tcPr>
            <w:tcW w:w="613" w:type="pct"/>
            <w:vAlign w:val="center"/>
          </w:tcPr>
          <w:p w14:paraId="3C8D9007" w14:textId="24509FE6" w:rsidR="00737C4F" w:rsidRPr="00B11526" w:rsidRDefault="00737C4F" w:rsidP="0024159D">
            <w:pPr>
              <w:pStyle w:val="TableText"/>
              <w:jc w:val="center"/>
              <w:rPr>
                <w:vertAlign w:val="superscript"/>
              </w:rPr>
            </w:pPr>
            <w:r w:rsidRPr="00737C4F">
              <w:t>$</w:t>
            </w:r>
            <w:r w:rsidR="0024159D" w:rsidRPr="0024159D">
              <w:rPr>
                <w:sz w:val="2"/>
                <w:highlight w:val="black"/>
              </w:rPr>
              <w:t>redacted content</w:t>
            </w:r>
            <w:r w:rsidR="00DD339A">
              <w:rPr>
                <w:vertAlign w:val="superscript"/>
              </w:rPr>
              <w:t>5</w:t>
            </w:r>
          </w:p>
        </w:tc>
      </w:tr>
      <w:tr w:rsidR="00AF389A" w:rsidRPr="00265ED8" w14:paraId="2583F8BC" w14:textId="77777777" w:rsidTr="00410C7E">
        <w:tc>
          <w:tcPr>
            <w:tcW w:w="1323" w:type="pct"/>
            <w:vAlign w:val="center"/>
          </w:tcPr>
          <w:p w14:paraId="2F24B875" w14:textId="74AC0B58" w:rsidR="00AF389A" w:rsidRPr="00265ED8" w:rsidRDefault="00AF389A" w:rsidP="0024159D">
            <w:pPr>
              <w:pStyle w:val="COMTabletext"/>
            </w:pPr>
            <w:r w:rsidRPr="00265ED8">
              <w:t>Net cost to PBS/RPBS less copayments – corrected patient numbers (cells Y26 – AC32 in 11. Persistent population)</w:t>
            </w:r>
            <w:r w:rsidR="00953AB3" w:rsidRPr="00265ED8">
              <w:t xml:space="preserve"> </w:t>
            </w:r>
            <w:r w:rsidR="00953AB3" w:rsidRPr="00265ED8">
              <w:rPr>
                <w:vertAlign w:val="superscript"/>
              </w:rPr>
              <w:t>b</w:t>
            </w:r>
          </w:p>
        </w:tc>
        <w:tc>
          <w:tcPr>
            <w:tcW w:w="599" w:type="pct"/>
            <w:gridSpan w:val="2"/>
            <w:vAlign w:val="center"/>
          </w:tcPr>
          <w:p w14:paraId="2EC51A46" w14:textId="28A0D3C8" w:rsidR="00AF389A" w:rsidRPr="00B11526" w:rsidRDefault="00AF389A" w:rsidP="0024159D">
            <w:pPr>
              <w:pStyle w:val="TableText"/>
              <w:jc w:val="center"/>
              <w:rPr>
                <w:vertAlign w:val="superscript"/>
              </w:rPr>
            </w:pPr>
            <w:r w:rsidRPr="00265ED8">
              <w:t>$</w:t>
            </w:r>
            <w:r w:rsidR="0024159D" w:rsidRPr="0024159D">
              <w:rPr>
                <w:sz w:val="2"/>
                <w:highlight w:val="black"/>
              </w:rPr>
              <w:t>redacted content</w:t>
            </w:r>
            <w:r w:rsidR="00015BB7">
              <w:rPr>
                <w:vertAlign w:val="superscript"/>
              </w:rPr>
              <w:t>4</w:t>
            </w:r>
          </w:p>
        </w:tc>
        <w:tc>
          <w:tcPr>
            <w:tcW w:w="632" w:type="pct"/>
            <w:gridSpan w:val="2"/>
            <w:vAlign w:val="center"/>
          </w:tcPr>
          <w:p w14:paraId="5A8DCAFE" w14:textId="62881E96" w:rsidR="00AF389A" w:rsidRPr="00B11526" w:rsidRDefault="00AF389A" w:rsidP="0024159D">
            <w:pPr>
              <w:pStyle w:val="TableText"/>
              <w:jc w:val="center"/>
              <w:rPr>
                <w:vertAlign w:val="superscript"/>
              </w:rPr>
            </w:pPr>
            <w:r w:rsidRPr="00265ED8">
              <w:t>$</w:t>
            </w:r>
            <w:r w:rsidR="0024159D" w:rsidRPr="0024159D">
              <w:rPr>
                <w:sz w:val="2"/>
                <w:highlight w:val="black"/>
              </w:rPr>
              <w:t>redacted content</w:t>
            </w:r>
            <w:r w:rsidR="00015BB7">
              <w:rPr>
                <w:vertAlign w:val="superscript"/>
              </w:rPr>
              <w:t>4</w:t>
            </w:r>
          </w:p>
        </w:tc>
        <w:tc>
          <w:tcPr>
            <w:tcW w:w="611" w:type="pct"/>
            <w:vAlign w:val="center"/>
          </w:tcPr>
          <w:p w14:paraId="0CB14AC4" w14:textId="72F69A57" w:rsidR="00AF389A" w:rsidRPr="00B11526" w:rsidRDefault="00AF389A" w:rsidP="0024159D">
            <w:pPr>
              <w:pStyle w:val="TableText"/>
              <w:jc w:val="center"/>
              <w:rPr>
                <w:vertAlign w:val="superscript"/>
              </w:rPr>
            </w:pPr>
            <w:r w:rsidRPr="00265ED8">
              <w:t>$</w:t>
            </w:r>
            <w:r w:rsidR="0024159D" w:rsidRPr="0024159D">
              <w:rPr>
                <w:sz w:val="2"/>
                <w:highlight w:val="black"/>
              </w:rPr>
              <w:t>redacted content</w:t>
            </w:r>
            <w:r w:rsidR="00015BB7">
              <w:rPr>
                <w:vertAlign w:val="superscript"/>
              </w:rPr>
              <w:t>4</w:t>
            </w:r>
          </w:p>
        </w:tc>
        <w:tc>
          <w:tcPr>
            <w:tcW w:w="611" w:type="pct"/>
            <w:vAlign w:val="center"/>
          </w:tcPr>
          <w:p w14:paraId="088E088A" w14:textId="0950D112" w:rsidR="00AF389A" w:rsidRPr="00B11526" w:rsidRDefault="00AF389A" w:rsidP="0024159D">
            <w:pPr>
              <w:pStyle w:val="TableText"/>
              <w:jc w:val="center"/>
              <w:rPr>
                <w:vertAlign w:val="superscript"/>
              </w:rPr>
            </w:pPr>
            <w:r w:rsidRPr="00265ED8">
              <w:t>$</w:t>
            </w:r>
            <w:r w:rsidR="0024159D" w:rsidRPr="0024159D">
              <w:rPr>
                <w:sz w:val="2"/>
                <w:highlight w:val="black"/>
              </w:rPr>
              <w:t>redacted content</w:t>
            </w:r>
            <w:r w:rsidR="00015BB7">
              <w:rPr>
                <w:vertAlign w:val="superscript"/>
              </w:rPr>
              <w:t>4</w:t>
            </w:r>
          </w:p>
        </w:tc>
        <w:tc>
          <w:tcPr>
            <w:tcW w:w="611" w:type="pct"/>
            <w:vAlign w:val="center"/>
          </w:tcPr>
          <w:p w14:paraId="4BEA469C" w14:textId="24E636F8" w:rsidR="00AF389A" w:rsidRPr="00B11526" w:rsidRDefault="00AF389A" w:rsidP="0024159D">
            <w:pPr>
              <w:pStyle w:val="TableText"/>
              <w:jc w:val="center"/>
              <w:rPr>
                <w:vertAlign w:val="superscript"/>
              </w:rPr>
            </w:pPr>
            <w:r w:rsidRPr="00265ED8">
              <w:t>$</w:t>
            </w:r>
            <w:r w:rsidR="0024159D" w:rsidRPr="0024159D">
              <w:rPr>
                <w:sz w:val="2"/>
                <w:highlight w:val="black"/>
              </w:rPr>
              <w:t>redacted content</w:t>
            </w:r>
            <w:r w:rsidR="00015BB7">
              <w:rPr>
                <w:vertAlign w:val="superscript"/>
              </w:rPr>
              <w:t>4</w:t>
            </w:r>
          </w:p>
        </w:tc>
        <w:tc>
          <w:tcPr>
            <w:tcW w:w="613" w:type="pct"/>
            <w:vAlign w:val="center"/>
          </w:tcPr>
          <w:p w14:paraId="75A3BC84" w14:textId="1E24C543" w:rsidR="00AF389A" w:rsidRPr="00B11526" w:rsidRDefault="00AF389A" w:rsidP="0024159D">
            <w:pPr>
              <w:pStyle w:val="TableText"/>
              <w:jc w:val="center"/>
              <w:rPr>
                <w:vertAlign w:val="superscript"/>
              </w:rPr>
            </w:pPr>
            <w:r w:rsidRPr="00265ED8">
              <w:t>$</w:t>
            </w:r>
            <w:r w:rsidR="0024159D" w:rsidRPr="0024159D">
              <w:rPr>
                <w:sz w:val="2"/>
                <w:highlight w:val="black"/>
              </w:rPr>
              <w:t>redacted content</w:t>
            </w:r>
            <w:r w:rsidR="00DD339A">
              <w:rPr>
                <w:vertAlign w:val="superscript"/>
              </w:rPr>
              <w:t>5</w:t>
            </w:r>
          </w:p>
        </w:tc>
      </w:tr>
    </w:tbl>
    <w:p w14:paraId="5A2EE49D" w14:textId="0C469A6F" w:rsidR="001C3F45" w:rsidRPr="00265ED8" w:rsidRDefault="001C3F45" w:rsidP="0024159D">
      <w:pPr>
        <w:pStyle w:val="TableFigureFooter"/>
        <w:keepNext/>
      </w:pPr>
      <w:r w:rsidRPr="00265ED8">
        <w:t xml:space="preserve">Source: </w:t>
      </w:r>
      <w:r w:rsidR="00E5614A" w:rsidRPr="00265ED8">
        <w:t xml:space="preserve">Resubmission financial estimates worksheet “5. Impact – net”, Table </w:t>
      </w:r>
      <w:r w:rsidR="00106E7F" w:rsidRPr="00265ED8">
        <w:t xml:space="preserve">15 </w:t>
      </w:r>
      <w:r w:rsidR="00E5614A" w:rsidRPr="00265ED8">
        <w:t>July 2025 vorasidenib submission</w:t>
      </w:r>
    </w:p>
    <w:p w14:paraId="7E4FF991" w14:textId="6848A8B1" w:rsidR="00F516A3" w:rsidRPr="00265ED8" w:rsidRDefault="00953AB3" w:rsidP="0024159D">
      <w:pPr>
        <w:pStyle w:val="TableFigureFooter"/>
        <w:keepNext/>
      </w:pPr>
      <w:r w:rsidRPr="00265ED8">
        <w:t xml:space="preserve">a </w:t>
      </w:r>
      <w:r w:rsidR="00F516A3" w:rsidRPr="00265ED8">
        <w:t>Values were incorrectly reported in the resubmission and have been corrected from the workbook</w:t>
      </w:r>
    </w:p>
    <w:p w14:paraId="2328A947" w14:textId="181112DE" w:rsidR="00953AB3" w:rsidRDefault="00953AB3" w:rsidP="0024159D">
      <w:pPr>
        <w:pStyle w:val="TableFigureFooter"/>
        <w:keepNext/>
      </w:pPr>
      <w:r w:rsidRPr="00265ED8">
        <w:t xml:space="preserve">b </w:t>
      </w:r>
      <w:r w:rsidR="00B56CA9" w:rsidRPr="00265ED8">
        <w:t>Correction of the</w:t>
      </w:r>
      <w:r w:rsidR="00B633D3" w:rsidRPr="00265ED8">
        <w:t xml:space="preserve"> error identified in the estimates </w:t>
      </w:r>
      <w:r w:rsidR="00B56CA9" w:rsidRPr="00265ED8">
        <w:t>w</w:t>
      </w:r>
      <w:r w:rsidR="00B633D3" w:rsidRPr="00265ED8">
        <w:t>here the year 1 persistence rate (84.08% was applied every year for patients diagnosed in 2008</w:t>
      </w:r>
      <w:r w:rsidR="00B571FA">
        <w:noBreakHyphen/>
      </w:r>
      <w:r w:rsidR="00B633D3" w:rsidRPr="00265ED8">
        <w:t>2014</w:t>
      </w:r>
    </w:p>
    <w:p w14:paraId="061ADB95" w14:textId="77777777" w:rsidR="00F04483" w:rsidRPr="00F04483" w:rsidRDefault="00F04483" w:rsidP="0024159D">
      <w:pPr>
        <w:pStyle w:val="TableFigureFooter"/>
        <w:keepNext/>
        <w:rPr>
          <w:bCs/>
          <w:i/>
          <w:iCs/>
        </w:rPr>
      </w:pPr>
      <w:r w:rsidRPr="00F04483">
        <w:rPr>
          <w:bCs/>
          <w:i/>
          <w:iCs/>
        </w:rPr>
        <w:t xml:space="preserve">The redacted values correspond to the following ranges: </w:t>
      </w:r>
    </w:p>
    <w:p w14:paraId="4F668F69" w14:textId="09F9838F" w:rsidR="00F04483" w:rsidRPr="0013655A" w:rsidRDefault="00F04483" w:rsidP="0024159D">
      <w:pPr>
        <w:pStyle w:val="TableFigureFooter"/>
        <w:keepNext/>
        <w:rPr>
          <w:bCs/>
          <w:i/>
        </w:rPr>
      </w:pPr>
      <w:r w:rsidRPr="00F04483">
        <w:rPr>
          <w:i/>
          <w:vertAlign w:val="superscript"/>
        </w:rPr>
        <w:t>1</w:t>
      </w:r>
      <w:r w:rsidRPr="00F04483">
        <w:rPr>
          <w:i/>
        </w:rPr>
        <w:t xml:space="preserve"> </w:t>
      </w:r>
      <w:r w:rsidR="0013655A" w:rsidRPr="0013655A">
        <w:rPr>
          <w:bCs/>
          <w:i/>
        </w:rPr>
        <w:t>500 to &lt; 5,000</w:t>
      </w:r>
    </w:p>
    <w:p w14:paraId="2C989666" w14:textId="42D2ED14" w:rsidR="00F04483" w:rsidRPr="00F04483" w:rsidRDefault="00F04483" w:rsidP="0024159D">
      <w:pPr>
        <w:pStyle w:val="TableFigureFooter"/>
        <w:keepNext/>
        <w:rPr>
          <w:i/>
        </w:rPr>
      </w:pPr>
      <w:r w:rsidRPr="00F04483">
        <w:rPr>
          <w:i/>
          <w:vertAlign w:val="superscript"/>
        </w:rPr>
        <w:t>2</w:t>
      </w:r>
      <w:r w:rsidRPr="00F04483">
        <w:rPr>
          <w:i/>
        </w:rPr>
        <w:t xml:space="preserve"> </w:t>
      </w:r>
      <w:r w:rsidR="00725864">
        <w:rPr>
          <w:i/>
        </w:rPr>
        <w:t>&lt; 500</w:t>
      </w:r>
    </w:p>
    <w:p w14:paraId="74CE8611" w14:textId="2E689C78" w:rsidR="00F04483" w:rsidRPr="00F04483" w:rsidRDefault="00F04483" w:rsidP="0024159D">
      <w:pPr>
        <w:pStyle w:val="TableFigureFooter"/>
        <w:keepNext/>
        <w:rPr>
          <w:i/>
        </w:rPr>
      </w:pPr>
      <w:r w:rsidRPr="00F04483">
        <w:rPr>
          <w:i/>
          <w:vertAlign w:val="superscript"/>
        </w:rPr>
        <w:t>3</w:t>
      </w:r>
      <w:r w:rsidRPr="00F04483">
        <w:rPr>
          <w:i/>
        </w:rPr>
        <w:t xml:space="preserve"> </w:t>
      </w:r>
      <w:r w:rsidR="00725864" w:rsidRPr="00725864">
        <w:rPr>
          <w:i/>
        </w:rPr>
        <w:t>$0 to &lt; $10 million</w:t>
      </w:r>
    </w:p>
    <w:p w14:paraId="31FA312A" w14:textId="66E1B923" w:rsidR="00F04483" w:rsidRPr="00F04483" w:rsidRDefault="00F04483" w:rsidP="0024159D">
      <w:pPr>
        <w:pStyle w:val="TableFigureFooter"/>
        <w:keepNext/>
        <w:rPr>
          <w:i/>
        </w:rPr>
      </w:pPr>
      <w:r w:rsidRPr="00F04483">
        <w:rPr>
          <w:i/>
          <w:vertAlign w:val="superscript"/>
        </w:rPr>
        <w:t>4</w:t>
      </w:r>
      <w:r w:rsidRPr="00F04483">
        <w:rPr>
          <w:i/>
        </w:rPr>
        <w:t xml:space="preserve"> </w:t>
      </w:r>
      <w:r w:rsidR="00015BB7" w:rsidRPr="00015BB7">
        <w:rPr>
          <w:i/>
        </w:rPr>
        <w:t>$40 million to &lt; $50 million</w:t>
      </w:r>
    </w:p>
    <w:p w14:paraId="663CDCD1" w14:textId="27097968" w:rsidR="00F04483" w:rsidRPr="00F04483" w:rsidRDefault="00F04483" w:rsidP="0024159D">
      <w:pPr>
        <w:pStyle w:val="TableFigureFooter"/>
        <w:keepNext/>
        <w:rPr>
          <w:i/>
        </w:rPr>
      </w:pPr>
      <w:r w:rsidRPr="00F04483">
        <w:rPr>
          <w:i/>
          <w:vertAlign w:val="superscript"/>
        </w:rPr>
        <w:t>5</w:t>
      </w:r>
      <w:r w:rsidRPr="00F04483">
        <w:rPr>
          <w:i/>
        </w:rPr>
        <w:t xml:space="preserve"> </w:t>
      </w:r>
      <w:r w:rsidR="00DD339A" w:rsidRPr="00DD339A">
        <w:rPr>
          <w:i/>
        </w:rPr>
        <w:t>$50 million to &lt; $60 million</w:t>
      </w:r>
    </w:p>
    <w:p w14:paraId="36C44F50" w14:textId="77777777" w:rsidR="00F04483" w:rsidRPr="00265ED8" w:rsidRDefault="00F04483" w:rsidP="00F36268">
      <w:pPr>
        <w:pStyle w:val="TableFigureFooter"/>
      </w:pPr>
    </w:p>
    <w:p w14:paraId="3E13E51F" w14:textId="77777777" w:rsidR="001C3F45" w:rsidRDefault="001C3F45" w:rsidP="00F36268">
      <w:pPr>
        <w:pStyle w:val="4-SubsectionHeading"/>
        <w:rPr>
          <w:rFonts w:eastAsiaTheme="minorEastAsia"/>
        </w:rPr>
      </w:pPr>
      <w:r>
        <w:rPr>
          <w:rFonts w:eastAsiaTheme="minorEastAsia"/>
        </w:rPr>
        <w:t>Financial Management – Risk Sharing Arrangements</w:t>
      </w:r>
    </w:p>
    <w:p w14:paraId="57B5AF7C" w14:textId="1E571F55" w:rsidR="00A2799E" w:rsidRDefault="001C3F45" w:rsidP="00F36268">
      <w:pPr>
        <w:pStyle w:val="3-BodyText"/>
        <w:rPr>
          <w:rFonts w:eastAsiaTheme="minorEastAsia"/>
        </w:rPr>
      </w:pPr>
      <w:r>
        <w:rPr>
          <w:rFonts w:eastAsiaTheme="minorEastAsia"/>
        </w:rPr>
        <w:t xml:space="preserve">In </w:t>
      </w:r>
      <w:r w:rsidR="002E6141">
        <w:rPr>
          <w:rFonts w:eastAsiaTheme="minorEastAsia"/>
        </w:rPr>
        <w:t>July</w:t>
      </w:r>
      <w:r>
        <w:rPr>
          <w:rFonts w:eastAsiaTheme="minorEastAsia"/>
        </w:rPr>
        <w:t xml:space="preserve"> 2025, </w:t>
      </w:r>
      <w:r w:rsidR="005C081A">
        <w:rPr>
          <w:rFonts w:eastAsiaTheme="minorEastAsia"/>
        </w:rPr>
        <w:t>t</w:t>
      </w:r>
      <w:r w:rsidR="005C081A" w:rsidRPr="005C081A">
        <w:rPr>
          <w:rFonts w:eastAsiaTheme="minorEastAsia"/>
        </w:rPr>
        <w:t>he PBAC considered that, given the high level of uncertainty regarding the duration of treatment, the uncertain benefit of treatment beyond radiographic progression, the high cost for vorasidenib, and uncertainty regarding the extent of overall gain in health outcomes, a risk</w:t>
      </w:r>
      <w:r w:rsidR="00FB6DA8">
        <w:rPr>
          <w:rFonts w:eastAsiaTheme="minorEastAsia"/>
        </w:rPr>
        <w:t xml:space="preserve"> </w:t>
      </w:r>
      <w:r w:rsidR="005C081A" w:rsidRPr="005C081A">
        <w:rPr>
          <w:rFonts w:eastAsiaTheme="minorEastAsia"/>
        </w:rPr>
        <w:t>sharing arrangement</w:t>
      </w:r>
      <w:r w:rsidR="001527C9">
        <w:rPr>
          <w:rFonts w:eastAsiaTheme="minorEastAsia"/>
        </w:rPr>
        <w:t xml:space="preserve"> (RSA)</w:t>
      </w:r>
      <w:r w:rsidR="005C081A" w:rsidRPr="005C081A">
        <w:rPr>
          <w:rFonts w:eastAsiaTheme="minorEastAsia"/>
        </w:rPr>
        <w:t xml:space="preserve"> would give the committee confidence that the cost for vorasidenib treatment would be contained and acceptably cost</w:t>
      </w:r>
      <w:r w:rsidR="00B571FA">
        <w:rPr>
          <w:rFonts w:eastAsiaTheme="minorEastAsia"/>
        </w:rPr>
        <w:noBreakHyphen/>
      </w:r>
      <w:r w:rsidR="005C081A" w:rsidRPr="005C081A">
        <w:rPr>
          <w:rFonts w:eastAsiaTheme="minorEastAsia"/>
        </w:rPr>
        <w:t>effective. The PBAC considered it would be appropriate for financial caps for vorasidenib to be calculated based on a duration of treatment reflecting radiographic PFS consistent with the evidence from INDIGO (and extrapolated consistent with the revised model) and costs for use beyond progression should be rebated as such use is unlikely to be cost</w:t>
      </w:r>
      <w:r w:rsidR="00B571FA">
        <w:rPr>
          <w:rFonts w:eastAsiaTheme="minorEastAsia"/>
        </w:rPr>
        <w:noBreakHyphen/>
      </w:r>
      <w:r w:rsidR="005C081A" w:rsidRPr="005C081A">
        <w:rPr>
          <w:rFonts w:eastAsiaTheme="minorEastAsia"/>
        </w:rPr>
        <w:t xml:space="preserve">effective </w:t>
      </w:r>
      <w:r>
        <w:rPr>
          <w:rFonts w:eastAsiaTheme="minorEastAsia"/>
          <w:lang w:val="en-GB"/>
        </w:rPr>
        <w:t>(</w:t>
      </w:r>
      <w:r w:rsidR="00630292">
        <w:rPr>
          <w:rFonts w:eastAsiaTheme="minorEastAsia"/>
          <w:lang w:val="en-GB"/>
        </w:rPr>
        <w:t>paragraph</w:t>
      </w:r>
      <w:r>
        <w:rPr>
          <w:rFonts w:eastAsiaTheme="minorEastAsia"/>
          <w:lang w:val="en-GB"/>
        </w:rPr>
        <w:t xml:space="preserve"> 7.1</w:t>
      </w:r>
      <w:r w:rsidR="005C081A">
        <w:rPr>
          <w:rFonts w:eastAsiaTheme="minorEastAsia"/>
          <w:lang w:val="en-GB"/>
        </w:rPr>
        <w:t>4</w:t>
      </w:r>
      <w:r>
        <w:rPr>
          <w:rFonts w:eastAsiaTheme="minorEastAsia"/>
          <w:lang w:val="en-GB"/>
        </w:rPr>
        <w:t xml:space="preserve">, </w:t>
      </w:r>
      <w:r w:rsidR="005C081A">
        <w:rPr>
          <w:rFonts w:eastAsiaTheme="minorEastAsia"/>
          <w:lang w:val="en-GB"/>
        </w:rPr>
        <w:t>vorasidenib PSD</w:t>
      </w:r>
      <w:r>
        <w:rPr>
          <w:rFonts w:eastAsiaTheme="minorEastAsia"/>
          <w:lang w:val="en-GB"/>
        </w:rPr>
        <w:t xml:space="preserve">, </w:t>
      </w:r>
      <w:r w:rsidR="005C081A">
        <w:rPr>
          <w:rFonts w:eastAsiaTheme="minorEastAsia"/>
          <w:lang w:val="en-GB"/>
        </w:rPr>
        <w:t xml:space="preserve">July </w:t>
      </w:r>
      <w:r>
        <w:rPr>
          <w:rFonts w:eastAsiaTheme="minorEastAsia"/>
          <w:lang w:val="en-GB"/>
        </w:rPr>
        <w:t>2025)</w:t>
      </w:r>
      <w:r w:rsidRPr="008E1FDA">
        <w:rPr>
          <w:rFonts w:eastAsiaTheme="minorEastAsia"/>
          <w:lang w:val="en-GB"/>
        </w:rPr>
        <w:t>.</w:t>
      </w:r>
    </w:p>
    <w:p w14:paraId="0C5459DB" w14:textId="276E5B25" w:rsidR="000E271F" w:rsidRDefault="001C3F45" w:rsidP="00F36268">
      <w:pPr>
        <w:pStyle w:val="3-BodyText"/>
        <w:rPr>
          <w:rFonts w:eastAsiaTheme="minorEastAsia"/>
        </w:rPr>
      </w:pPr>
      <w:r w:rsidRPr="019A69A2">
        <w:rPr>
          <w:rFonts w:eastAsiaTheme="minorEastAsia"/>
          <w:lang w:val="en-GB"/>
        </w:rPr>
        <w:t>The</w:t>
      </w:r>
      <w:r w:rsidRPr="019A69A2" w:rsidDel="00BD7608">
        <w:rPr>
          <w:rFonts w:eastAsiaTheme="minorEastAsia"/>
          <w:lang w:val="en-GB"/>
        </w:rPr>
        <w:t xml:space="preserve"> </w:t>
      </w:r>
      <w:r w:rsidRPr="019A69A2">
        <w:rPr>
          <w:rFonts w:eastAsiaTheme="minorEastAsia"/>
          <w:lang w:val="en-GB"/>
        </w:rPr>
        <w:t xml:space="preserve">resubmission </w:t>
      </w:r>
      <w:r w:rsidR="00D81E95" w:rsidRPr="019A69A2">
        <w:rPr>
          <w:rFonts w:eastAsiaTheme="minorEastAsia"/>
          <w:lang w:val="en-GB"/>
        </w:rPr>
        <w:t xml:space="preserve">proposed </w:t>
      </w:r>
      <w:r w:rsidR="00A9299D" w:rsidRPr="019A69A2">
        <w:rPr>
          <w:rFonts w:eastAsiaTheme="minorEastAsia"/>
          <w:lang w:val="en-GB"/>
        </w:rPr>
        <w:t xml:space="preserve">an RSA with financial caps based on the estimated cost to PBS/RPBS as per </w:t>
      </w:r>
      <w:r w:rsidR="00A9299D" w:rsidRPr="019A69A2">
        <w:rPr>
          <w:rFonts w:eastAsiaTheme="minorEastAsia"/>
          <w:lang w:val="en-GB"/>
        </w:rPr>
        <w:fldChar w:fldCharType="begin"/>
      </w:r>
      <w:r w:rsidR="00A9299D" w:rsidRPr="019A69A2">
        <w:rPr>
          <w:rFonts w:eastAsiaTheme="minorEastAsia"/>
          <w:lang w:val="en-GB"/>
        </w:rPr>
        <w:instrText xml:space="preserve"> REF _Ref222382551 \h </w:instrText>
      </w:r>
      <w:r w:rsidR="00A9299D" w:rsidRPr="019A69A2">
        <w:rPr>
          <w:rFonts w:eastAsiaTheme="minorEastAsia"/>
          <w:lang w:val="en-GB"/>
        </w:rPr>
      </w:r>
      <w:r w:rsidR="00A9299D" w:rsidRPr="019A69A2">
        <w:rPr>
          <w:rFonts w:eastAsiaTheme="minorEastAsia"/>
          <w:lang w:val="en-GB"/>
        </w:rPr>
        <w:fldChar w:fldCharType="separate"/>
      </w:r>
      <w:r w:rsidR="0031315F" w:rsidRPr="00222E0B">
        <w:t xml:space="preserve">Table </w:t>
      </w:r>
      <w:r w:rsidR="0031315F">
        <w:rPr>
          <w:noProof/>
        </w:rPr>
        <w:t>7</w:t>
      </w:r>
      <w:r w:rsidR="00A9299D" w:rsidRPr="019A69A2">
        <w:rPr>
          <w:rFonts w:eastAsiaTheme="minorEastAsia"/>
          <w:lang w:val="en-GB"/>
        </w:rPr>
        <w:fldChar w:fldCharType="end"/>
      </w:r>
      <w:r w:rsidR="00B02DB6" w:rsidRPr="019A69A2">
        <w:rPr>
          <w:rFonts w:eastAsiaTheme="minorEastAsia"/>
          <w:lang w:val="en-GB"/>
        </w:rPr>
        <w:t xml:space="preserve">, noting that these estimates have been revised </w:t>
      </w:r>
      <w:r w:rsidR="004F4A3D">
        <w:t>to address concerns raised by the PBAC around the prevalence estimates and persistence rates</w:t>
      </w:r>
      <w:r w:rsidR="00A9299D" w:rsidRPr="019A69A2">
        <w:rPr>
          <w:rFonts w:eastAsiaTheme="minorEastAsia"/>
          <w:lang w:val="en-GB"/>
        </w:rPr>
        <w:t xml:space="preserve">. </w:t>
      </w:r>
      <w:r w:rsidR="000E271F" w:rsidRPr="000E271F">
        <w:rPr>
          <w:rFonts w:eastAsiaTheme="minorEastAsia"/>
        </w:rPr>
        <w:t>A two</w:t>
      </w:r>
      <w:r w:rsidR="00B571FA">
        <w:rPr>
          <w:rFonts w:eastAsiaTheme="minorEastAsia"/>
        </w:rPr>
        <w:noBreakHyphen/>
      </w:r>
      <w:r w:rsidR="000E271F" w:rsidRPr="000E271F">
        <w:rPr>
          <w:rFonts w:eastAsiaTheme="minorEastAsia"/>
        </w:rPr>
        <w:t xml:space="preserve">tier RSA was proposed, with Tier 1 set at the level of the base case estimates and Tier 2 set at </w:t>
      </w:r>
      <w:r w:rsidR="0024159D" w:rsidRPr="0024159D">
        <w:rPr>
          <w:rFonts w:eastAsiaTheme="minorEastAsia"/>
          <w:sz w:val="2"/>
          <w:highlight w:val="black"/>
        </w:rPr>
        <w:t>redacted content</w:t>
      </w:r>
      <w:r w:rsidR="000E271F" w:rsidRPr="000E271F">
        <w:rPr>
          <w:rFonts w:eastAsiaTheme="minorEastAsia"/>
        </w:rPr>
        <w:t xml:space="preserve">% higher than Tier </w:t>
      </w:r>
      <w:r w:rsidR="00D156E1">
        <w:rPr>
          <w:rFonts w:eastAsiaTheme="minorEastAsia"/>
        </w:rPr>
        <w:t>1</w:t>
      </w:r>
      <w:r w:rsidR="000E271F" w:rsidRPr="000E271F">
        <w:rPr>
          <w:rFonts w:eastAsiaTheme="minorEastAsia"/>
        </w:rPr>
        <w:t xml:space="preserve">. A rebate of </w:t>
      </w:r>
      <w:r w:rsidR="0024159D" w:rsidRPr="0024159D">
        <w:rPr>
          <w:rFonts w:eastAsiaTheme="minorEastAsia"/>
          <w:sz w:val="2"/>
          <w:highlight w:val="black"/>
        </w:rPr>
        <w:t>redacted content</w:t>
      </w:r>
      <w:r w:rsidR="000E271F" w:rsidRPr="000E271F">
        <w:rPr>
          <w:rFonts w:eastAsiaTheme="minorEastAsia"/>
        </w:rPr>
        <w:t xml:space="preserve">% above Tier 1 and </w:t>
      </w:r>
      <w:r w:rsidR="0024159D" w:rsidRPr="0024159D">
        <w:rPr>
          <w:rFonts w:eastAsiaTheme="minorEastAsia"/>
          <w:sz w:val="2"/>
          <w:highlight w:val="black"/>
        </w:rPr>
        <w:t>redacted content</w:t>
      </w:r>
      <w:r w:rsidR="000E271F" w:rsidRPr="000E271F">
        <w:rPr>
          <w:rFonts w:eastAsiaTheme="minorEastAsia"/>
        </w:rPr>
        <w:t xml:space="preserve">% above Tier 2 was proposed. The resubmission's rationale for the two tiers was that the base case </w:t>
      </w:r>
      <w:r w:rsidR="000E271F" w:rsidRPr="000E271F">
        <w:rPr>
          <w:rFonts w:eastAsiaTheme="minorEastAsia"/>
        </w:rPr>
        <w:lastRenderedPageBreak/>
        <w:t xml:space="preserve">estimates underpinning Tier 1 assume uptake below </w:t>
      </w:r>
      <w:r w:rsidR="0024159D" w:rsidRPr="0024159D">
        <w:rPr>
          <w:rFonts w:eastAsiaTheme="minorEastAsia"/>
          <w:sz w:val="2"/>
          <w:highlight w:val="black"/>
        </w:rPr>
        <w:t>redacted content</w:t>
      </w:r>
      <w:r w:rsidR="000E271F" w:rsidRPr="000E271F">
        <w:rPr>
          <w:rFonts w:eastAsiaTheme="minorEastAsia"/>
        </w:rPr>
        <w:t xml:space="preserve">%; full uptake would increase cost above Tier 1 but remain within Tier </w:t>
      </w:r>
      <w:r w:rsidR="000E271F" w:rsidRPr="00363605">
        <w:rPr>
          <w:rFonts w:eastAsiaTheme="minorEastAsia"/>
        </w:rPr>
        <w:t xml:space="preserve">2. </w:t>
      </w:r>
      <w:r w:rsidR="006B32A0" w:rsidRPr="00363605">
        <w:rPr>
          <w:rFonts w:eastAsiaTheme="minorEastAsia"/>
        </w:rPr>
        <w:t xml:space="preserve">Uptake rates </w:t>
      </w:r>
      <w:r w:rsidR="00A21DC8" w:rsidRPr="00363605">
        <w:rPr>
          <w:rFonts w:eastAsiaTheme="minorEastAsia"/>
        </w:rPr>
        <w:t xml:space="preserve">assumed </w:t>
      </w:r>
      <w:r w:rsidR="006B32A0" w:rsidRPr="00363605">
        <w:rPr>
          <w:rFonts w:eastAsiaTheme="minorEastAsia"/>
        </w:rPr>
        <w:t xml:space="preserve">in the </w:t>
      </w:r>
      <w:r w:rsidR="00A21DC8" w:rsidRPr="00363605">
        <w:rPr>
          <w:rFonts w:eastAsiaTheme="minorEastAsia"/>
        </w:rPr>
        <w:t xml:space="preserve">financial estimates were </w:t>
      </w:r>
      <w:r w:rsidR="0024159D" w:rsidRPr="0024159D">
        <w:rPr>
          <w:rFonts w:eastAsiaTheme="minorEastAsia"/>
          <w:sz w:val="2"/>
          <w:highlight w:val="black"/>
        </w:rPr>
        <w:t>redacted content</w:t>
      </w:r>
      <w:r w:rsidR="00A21DC8" w:rsidRPr="00363605">
        <w:rPr>
          <w:rFonts w:eastAsiaTheme="minorEastAsia"/>
        </w:rPr>
        <w:t xml:space="preserve">% in year 1 and </w:t>
      </w:r>
      <w:r w:rsidR="0024159D" w:rsidRPr="0024159D">
        <w:rPr>
          <w:rFonts w:eastAsiaTheme="minorEastAsia"/>
          <w:sz w:val="2"/>
          <w:highlight w:val="black"/>
        </w:rPr>
        <w:t>redacted content</w:t>
      </w:r>
      <w:r w:rsidR="00A21DC8" w:rsidRPr="00363605">
        <w:rPr>
          <w:rFonts w:eastAsiaTheme="minorEastAsia"/>
        </w:rPr>
        <w:t xml:space="preserve">% thereafter for </w:t>
      </w:r>
      <w:r w:rsidR="001F7250" w:rsidRPr="00363605">
        <w:rPr>
          <w:rFonts w:eastAsiaTheme="minorEastAsia"/>
        </w:rPr>
        <w:t xml:space="preserve">incident patients and </w:t>
      </w:r>
      <w:r w:rsidR="0024159D" w:rsidRPr="0024159D">
        <w:rPr>
          <w:rFonts w:eastAsiaTheme="minorEastAsia"/>
          <w:sz w:val="2"/>
          <w:highlight w:val="black"/>
        </w:rPr>
        <w:t>redacted content</w:t>
      </w:r>
      <w:r w:rsidR="001F7250" w:rsidRPr="00363605">
        <w:rPr>
          <w:rFonts w:eastAsiaTheme="minorEastAsia"/>
        </w:rPr>
        <w:t>% for prevalent patients.</w:t>
      </w:r>
      <w:r w:rsidR="001F7250" w:rsidRPr="004E749E">
        <w:rPr>
          <w:rFonts w:eastAsiaTheme="minorEastAsia"/>
          <w:i/>
          <w:iCs/>
        </w:rPr>
        <w:t xml:space="preserve"> </w:t>
      </w:r>
      <w:r w:rsidR="008B7A5E" w:rsidRPr="00265ED8">
        <w:rPr>
          <w:rFonts w:eastAsiaTheme="minorEastAsia"/>
        </w:rPr>
        <w:t xml:space="preserve">It is unclear whether it is reasonable for Tier 2 to be set above </w:t>
      </w:r>
      <w:r w:rsidR="0016186C" w:rsidRPr="00265ED8">
        <w:rPr>
          <w:rFonts w:eastAsiaTheme="minorEastAsia"/>
        </w:rPr>
        <w:t xml:space="preserve">estimates based on </w:t>
      </w:r>
      <w:r w:rsidR="0024159D" w:rsidRPr="0024159D">
        <w:rPr>
          <w:rFonts w:eastAsiaTheme="minorEastAsia"/>
          <w:sz w:val="2"/>
          <w:highlight w:val="black"/>
        </w:rPr>
        <w:t>redacted content</w:t>
      </w:r>
      <w:r w:rsidR="008B7A5E" w:rsidRPr="00265ED8">
        <w:rPr>
          <w:rFonts w:eastAsiaTheme="minorEastAsia"/>
        </w:rPr>
        <w:t>% uptake</w:t>
      </w:r>
      <w:r w:rsidR="0016186C" w:rsidRPr="00265ED8">
        <w:rPr>
          <w:rFonts w:eastAsiaTheme="minorEastAsia"/>
        </w:rPr>
        <w:t xml:space="preserve">. </w:t>
      </w:r>
      <w:r w:rsidR="00073FC5" w:rsidRPr="00265ED8">
        <w:rPr>
          <w:rFonts w:eastAsiaTheme="minorEastAsia"/>
        </w:rPr>
        <w:t xml:space="preserve">The </w:t>
      </w:r>
      <w:r w:rsidR="009E1B06" w:rsidRPr="00265ED8">
        <w:rPr>
          <w:rFonts w:eastAsiaTheme="minorEastAsia"/>
        </w:rPr>
        <w:t xml:space="preserve">Tier 1 and Tier 2 amounts </w:t>
      </w:r>
      <w:r w:rsidR="00E23CC2" w:rsidRPr="00265ED8">
        <w:rPr>
          <w:rFonts w:eastAsiaTheme="minorEastAsia"/>
        </w:rPr>
        <w:t>sh</w:t>
      </w:r>
      <w:r w:rsidR="00983780" w:rsidRPr="00265ED8">
        <w:rPr>
          <w:rFonts w:eastAsiaTheme="minorEastAsia"/>
        </w:rPr>
        <w:t xml:space="preserve">ould be updated to reflect corrections to the </w:t>
      </w:r>
      <w:r w:rsidR="00E23CC2" w:rsidRPr="00265ED8">
        <w:rPr>
          <w:rFonts w:eastAsiaTheme="minorEastAsia"/>
        </w:rPr>
        <w:t xml:space="preserve">persistence rates </w:t>
      </w:r>
      <w:r w:rsidR="00E23CC2" w:rsidRPr="00265ED8">
        <w:t>for patients diagnosed in 2008</w:t>
      </w:r>
      <w:r w:rsidR="00B571FA">
        <w:noBreakHyphen/>
      </w:r>
      <w:r w:rsidR="00E23CC2" w:rsidRPr="00265ED8">
        <w:t xml:space="preserve">2014 (see </w:t>
      </w:r>
      <w:r w:rsidR="00E23CC2" w:rsidRPr="00265ED8">
        <w:fldChar w:fldCharType="begin"/>
      </w:r>
      <w:r w:rsidR="00E23CC2" w:rsidRPr="00265ED8">
        <w:instrText xml:space="preserve"> REF _Ref222382551 \h  \* MERGEFORMAT </w:instrText>
      </w:r>
      <w:r w:rsidR="00E23CC2" w:rsidRPr="00265ED8">
        <w:fldChar w:fldCharType="separate"/>
      </w:r>
      <w:r w:rsidR="0031315F" w:rsidRPr="00222E0B">
        <w:t xml:space="preserve">Table </w:t>
      </w:r>
      <w:r w:rsidR="0031315F">
        <w:rPr>
          <w:noProof/>
        </w:rPr>
        <w:t>7</w:t>
      </w:r>
      <w:r w:rsidR="00E23CC2" w:rsidRPr="00265ED8">
        <w:fldChar w:fldCharType="end"/>
      </w:r>
      <w:r w:rsidR="00E23CC2" w:rsidRPr="00265ED8">
        <w:t>).</w:t>
      </w:r>
      <w:r w:rsidR="00D22386">
        <w:t xml:space="preserve"> The Pre</w:t>
      </w:r>
      <w:r w:rsidR="00B571FA">
        <w:noBreakHyphen/>
      </w:r>
      <w:r w:rsidR="00D22386">
        <w:t xml:space="preserve">PBAC Response </w:t>
      </w:r>
      <w:r w:rsidR="00D22386" w:rsidRPr="00D22386">
        <w:t>acknowledge</w:t>
      </w:r>
      <w:r w:rsidR="00D22386">
        <w:t>d</w:t>
      </w:r>
      <w:r w:rsidR="00D22386" w:rsidRPr="00D22386">
        <w:t xml:space="preserve"> that Tier 2 of the proposed RSA should not exceed the financial estimates based on </w:t>
      </w:r>
      <w:r w:rsidR="0024159D" w:rsidRPr="0024159D">
        <w:rPr>
          <w:sz w:val="2"/>
          <w:highlight w:val="black"/>
        </w:rPr>
        <w:t>redacted content</w:t>
      </w:r>
      <w:r w:rsidR="00D22386" w:rsidRPr="00D22386">
        <w:t>% uptake of vorasidenib in eligible patients and accept</w:t>
      </w:r>
      <w:r w:rsidR="00385D30">
        <w:t xml:space="preserve">ed </w:t>
      </w:r>
      <w:r w:rsidR="00D22386" w:rsidRPr="00D22386">
        <w:t xml:space="preserve">Tier 2 of the proposed RSA to </w:t>
      </w:r>
      <w:r w:rsidR="00385D30">
        <w:t xml:space="preserve">include </w:t>
      </w:r>
      <w:r w:rsidR="0024159D" w:rsidRPr="0024159D">
        <w:rPr>
          <w:sz w:val="2"/>
          <w:highlight w:val="black"/>
        </w:rPr>
        <w:t>redacted content</w:t>
      </w:r>
      <w:r w:rsidR="00D22386" w:rsidRPr="00D22386">
        <w:t>0% uptake.</w:t>
      </w:r>
    </w:p>
    <w:p w14:paraId="5D333AD6" w14:textId="2981F83D" w:rsidR="000145C9" w:rsidRPr="00222E0B" w:rsidRDefault="000145C9" w:rsidP="00F36268">
      <w:pPr>
        <w:pStyle w:val="COMTableheadingrow"/>
      </w:pPr>
      <w:r w:rsidRPr="00222E0B">
        <w:t xml:space="preserve">Table </w:t>
      </w:r>
      <w:r w:rsidRPr="00222E0B">
        <w:fldChar w:fldCharType="begin"/>
      </w:r>
      <w:r w:rsidRPr="00222E0B">
        <w:instrText xml:space="preserve"> SEQ Table \* ARABIC </w:instrText>
      </w:r>
      <w:r w:rsidRPr="00222E0B">
        <w:fldChar w:fldCharType="separate"/>
      </w:r>
      <w:r w:rsidR="0031315F">
        <w:rPr>
          <w:noProof/>
        </w:rPr>
        <w:t>8</w:t>
      </w:r>
      <w:r w:rsidRPr="00222E0B">
        <w:fldChar w:fldCharType="end"/>
      </w:r>
      <w:r w:rsidRPr="00222E0B">
        <w:t xml:space="preserve">: </w:t>
      </w:r>
      <w:r w:rsidR="00C14C43">
        <w:t xml:space="preserve">Proposed </w:t>
      </w:r>
      <w:r w:rsidR="007A125F">
        <w:t xml:space="preserve">RSA financial caps </w:t>
      </w:r>
    </w:p>
    <w:tbl>
      <w:tblPr>
        <w:tblW w:w="5000" w:type="pct"/>
        <w:tblLook w:val="04A0" w:firstRow="1" w:lastRow="0" w:firstColumn="1" w:lastColumn="0" w:noHBand="0" w:noVBand="1"/>
        <w:tblCaption w:val="Table 8: Proposed RSA financial caps "/>
      </w:tblPr>
      <w:tblGrid>
        <w:gridCol w:w="1248"/>
        <w:gridCol w:w="1502"/>
        <w:gridCol w:w="1502"/>
        <w:gridCol w:w="4764"/>
      </w:tblGrid>
      <w:tr w:rsidR="00A21444" w:rsidRPr="000145C9" w14:paraId="655B372D" w14:textId="132EDE45" w:rsidTr="00EB74E1">
        <w:trPr>
          <w:trHeight w:val="250"/>
        </w:trPr>
        <w:tc>
          <w:tcPr>
            <w:tcW w:w="692" w:type="pct"/>
            <w:tcBorders>
              <w:top w:val="single" w:sz="4" w:space="0" w:color="auto"/>
              <w:left w:val="single" w:sz="4" w:space="0" w:color="auto"/>
              <w:bottom w:val="single" w:sz="4" w:space="0" w:color="auto"/>
              <w:right w:val="single" w:sz="4" w:space="0" w:color="auto"/>
            </w:tcBorders>
          </w:tcPr>
          <w:p w14:paraId="7F79EE8B" w14:textId="77777777" w:rsidR="00A21444" w:rsidRPr="004E749E" w:rsidRDefault="00A21444" w:rsidP="00F36268">
            <w:pPr>
              <w:pStyle w:val="Tabletext0"/>
              <w:rPr>
                <w:rFonts w:ascii="Arial Narrow" w:hAnsi="Arial Narrow"/>
                <w:bCs/>
              </w:rPr>
            </w:pPr>
            <w:r w:rsidRPr="004E749E">
              <w:rPr>
                <w:rFonts w:ascii="Arial Narrow" w:hAnsi="Arial Narrow"/>
                <w:b/>
                <w:bCs/>
              </w:rPr>
              <w:t>Year</w:t>
            </w:r>
          </w:p>
        </w:tc>
        <w:tc>
          <w:tcPr>
            <w:tcW w:w="833" w:type="pct"/>
            <w:tcBorders>
              <w:top w:val="single" w:sz="4" w:space="0" w:color="auto"/>
              <w:left w:val="single" w:sz="4" w:space="0" w:color="auto"/>
              <w:bottom w:val="single" w:sz="4" w:space="0" w:color="auto"/>
              <w:right w:val="single" w:sz="4" w:space="0" w:color="auto"/>
            </w:tcBorders>
            <w:noWrap/>
            <w:vAlign w:val="center"/>
            <w:hideMark/>
          </w:tcPr>
          <w:p w14:paraId="03C150C6" w14:textId="2AEA7BE4" w:rsidR="00A21444" w:rsidRPr="004E749E" w:rsidRDefault="00A21444" w:rsidP="00F36268">
            <w:pPr>
              <w:pStyle w:val="Tabletext0"/>
              <w:rPr>
                <w:rFonts w:ascii="Arial Narrow" w:hAnsi="Arial Narrow"/>
                <w:b/>
                <w:bCs/>
                <w:vertAlign w:val="superscript"/>
              </w:rPr>
            </w:pPr>
            <w:r w:rsidRPr="004E749E">
              <w:rPr>
                <w:rFonts w:ascii="Arial Narrow" w:hAnsi="Arial Narrow"/>
                <w:b/>
                <w:bCs/>
              </w:rPr>
              <w:t>T</w:t>
            </w:r>
            <w:r w:rsidR="000D71AE">
              <w:rPr>
                <w:rFonts w:ascii="Arial Narrow" w:hAnsi="Arial Narrow"/>
                <w:b/>
                <w:bCs/>
              </w:rPr>
              <w:t>ier</w:t>
            </w:r>
            <w:r w:rsidRPr="004E749E">
              <w:rPr>
                <w:rFonts w:ascii="Arial Narrow" w:hAnsi="Arial Narrow"/>
                <w:b/>
                <w:bCs/>
              </w:rPr>
              <w:t xml:space="preserve"> 1</w:t>
            </w:r>
            <w:r w:rsidR="00EB230F">
              <w:rPr>
                <w:rFonts w:ascii="Arial Narrow" w:hAnsi="Arial Narrow"/>
                <w:b/>
                <w:bCs/>
                <w:vertAlign w:val="superscript"/>
              </w:rPr>
              <w:t>a</w:t>
            </w:r>
          </w:p>
        </w:tc>
        <w:tc>
          <w:tcPr>
            <w:tcW w:w="833" w:type="pct"/>
            <w:tcBorders>
              <w:top w:val="single" w:sz="4" w:space="0" w:color="auto"/>
              <w:left w:val="nil"/>
              <w:bottom w:val="single" w:sz="4" w:space="0" w:color="auto"/>
              <w:right w:val="single" w:sz="4" w:space="0" w:color="auto"/>
            </w:tcBorders>
            <w:noWrap/>
            <w:vAlign w:val="center"/>
            <w:hideMark/>
          </w:tcPr>
          <w:p w14:paraId="2A445C3A" w14:textId="4C32E563" w:rsidR="00A21444" w:rsidRPr="004E749E" w:rsidRDefault="00A21444" w:rsidP="00F36268">
            <w:pPr>
              <w:pStyle w:val="Tabletext0"/>
              <w:rPr>
                <w:rFonts w:ascii="Arial Narrow" w:hAnsi="Arial Narrow"/>
                <w:b/>
                <w:bCs/>
                <w:vertAlign w:val="superscript"/>
              </w:rPr>
            </w:pPr>
            <w:r w:rsidRPr="004E749E">
              <w:rPr>
                <w:rFonts w:ascii="Arial Narrow" w:hAnsi="Arial Narrow"/>
                <w:b/>
                <w:bCs/>
              </w:rPr>
              <w:t>T</w:t>
            </w:r>
            <w:r w:rsidR="000D71AE">
              <w:rPr>
                <w:rFonts w:ascii="Arial Narrow" w:hAnsi="Arial Narrow"/>
                <w:b/>
                <w:bCs/>
              </w:rPr>
              <w:t>ier</w:t>
            </w:r>
            <w:r w:rsidRPr="004E749E">
              <w:rPr>
                <w:rFonts w:ascii="Arial Narrow" w:hAnsi="Arial Narrow"/>
                <w:b/>
                <w:bCs/>
              </w:rPr>
              <w:t xml:space="preserve"> 2</w:t>
            </w:r>
            <w:r w:rsidR="00EB230F">
              <w:rPr>
                <w:rFonts w:ascii="Arial Narrow" w:hAnsi="Arial Narrow"/>
                <w:b/>
                <w:bCs/>
                <w:vertAlign w:val="superscript"/>
              </w:rPr>
              <w:t>b</w:t>
            </w:r>
          </w:p>
        </w:tc>
        <w:tc>
          <w:tcPr>
            <w:tcW w:w="2642" w:type="pct"/>
            <w:tcBorders>
              <w:top w:val="single" w:sz="4" w:space="0" w:color="auto"/>
              <w:left w:val="nil"/>
              <w:bottom w:val="single" w:sz="4" w:space="0" w:color="auto"/>
              <w:right w:val="single" w:sz="4" w:space="0" w:color="auto"/>
            </w:tcBorders>
          </w:tcPr>
          <w:p w14:paraId="0811ACA6" w14:textId="7F22E520" w:rsidR="00A21444" w:rsidRPr="00A21444" w:rsidRDefault="00FD4FA8" w:rsidP="00F36268">
            <w:pPr>
              <w:pStyle w:val="Tabletext0"/>
              <w:rPr>
                <w:rFonts w:ascii="Arial Narrow" w:hAnsi="Arial Narrow"/>
                <w:b/>
                <w:bCs/>
              </w:rPr>
            </w:pPr>
            <w:r>
              <w:rPr>
                <w:rFonts w:ascii="Arial Narrow" w:hAnsi="Arial Narrow"/>
                <w:b/>
                <w:bCs/>
              </w:rPr>
              <w:t xml:space="preserve">Financial estimates assuming </w:t>
            </w:r>
            <w:r w:rsidR="0024159D" w:rsidRPr="0024159D">
              <w:rPr>
                <w:rFonts w:ascii="Arial Narrow" w:hAnsi="Arial Narrow"/>
                <w:b/>
                <w:bCs/>
                <w:sz w:val="2"/>
                <w:highlight w:val="black"/>
              </w:rPr>
              <w:t>redacted content</w:t>
            </w:r>
            <w:r>
              <w:rPr>
                <w:rFonts w:ascii="Arial Narrow" w:hAnsi="Arial Narrow"/>
                <w:b/>
                <w:bCs/>
              </w:rPr>
              <w:t>% uptake</w:t>
            </w:r>
          </w:p>
        </w:tc>
      </w:tr>
      <w:tr w:rsidR="00A21444" w:rsidRPr="00A21444" w14:paraId="7AF4903C" w14:textId="2B82FBC6" w:rsidTr="00EB74E1">
        <w:trPr>
          <w:trHeight w:val="58"/>
        </w:trPr>
        <w:tc>
          <w:tcPr>
            <w:tcW w:w="692" w:type="pct"/>
            <w:tcBorders>
              <w:top w:val="nil"/>
              <w:left w:val="single" w:sz="4" w:space="0" w:color="auto"/>
              <w:bottom w:val="single" w:sz="4" w:space="0" w:color="auto"/>
              <w:right w:val="single" w:sz="4" w:space="0" w:color="auto"/>
            </w:tcBorders>
            <w:vAlign w:val="center"/>
          </w:tcPr>
          <w:p w14:paraId="6BFDE985" w14:textId="77777777" w:rsidR="00A21444" w:rsidRPr="004E749E" w:rsidRDefault="00A21444" w:rsidP="00F36268">
            <w:pPr>
              <w:pStyle w:val="Tabletext0"/>
              <w:rPr>
                <w:rFonts w:ascii="Arial Narrow" w:hAnsi="Arial Narrow"/>
              </w:rPr>
            </w:pPr>
            <w:r w:rsidRPr="004E749E">
              <w:rPr>
                <w:rFonts w:ascii="Arial Narrow" w:hAnsi="Arial Narrow"/>
              </w:rPr>
              <w:t>Y1 (2026)</w:t>
            </w:r>
          </w:p>
        </w:tc>
        <w:tc>
          <w:tcPr>
            <w:tcW w:w="833" w:type="pct"/>
            <w:tcBorders>
              <w:top w:val="nil"/>
              <w:left w:val="single" w:sz="4" w:space="0" w:color="auto"/>
              <w:bottom w:val="single" w:sz="4" w:space="0" w:color="auto"/>
              <w:right w:val="single" w:sz="4" w:space="0" w:color="auto"/>
            </w:tcBorders>
            <w:noWrap/>
            <w:vAlign w:val="center"/>
          </w:tcPr>
          <w:p w14:paraId="06F474BA" w14:textId="077DE8B2" w:rsidR="00A21444" w:rsidRPr="004E749E" w:rsidRDefault="00A21444" w:rsidP="00F36268">
            <w:pPr>
              <w:pStyle w:val="Tabletext0"/>
              <w:rPr>
                <w:rFonts w:ascii="Arial Narrow" w:hAnsi="Arial Narrow"/>
              </w:rPr>
            </w:pPr>
            <w:r w:rsidRPr="004E749E">
              <w:rPr>
                <w:rFonts w:ascii="Arial Narrow" w:hAnsi="Arial Narrow"/>
              </w:rPr>
              <w:t>$</w:t>
            </w:r>
            <w:r w:rsidR="0024159D" w:rsidRPr="0024159D">
              <w:rPr>
                <w:rFonts w:ascii="Arial Narrow" w:hAnsi="Arial Narrow"/>
                <w:sz w:val="2"/>
                <w:highlight w:val="black"/>
              </w:rPr>
              <w:t>redacted content</w:t>
            </w:r>
          </w:p>
        </w:tc>
        <w:tc>
          <w:tcPr>
            <w:tcW w:w="833" w:type="pct"/>
            <w:tcBorders>
              <w:top w:val="nil"/>
              <w:left w:val="nil"/>
              <w:bottom w:val="single" w:sz="4" w:space="0" w:color="auto"/>
              <w:right w:val="single" w:sz="4" w:space="0" w:color="auto"/>
            </w:tcBorders>
            <w:noWrap/>
            <w:vAlign w:val="center"/>
          </w:tcPr>
          <w:p w14:paraId="6B2EBC24" w14:textId="410DA45E" w:rsidR="00A21444" w:rsidRPr="004E749E" w:rsidRDefault="00A21444" w:rsidP="00F36268">
            <w:pPr>
              <w:pStyle w:val="Tabletext0"/>
              <w:rPr>
                <w:rFonts w:ascii="Arial Narrow" w:hAnsi="Arial Narrow"/>
              </w:rPr>
            </w:pPr>
            <w:r w:rsidRPr="004E749E">
              <w:rPr>
                <w:rFonts w:ascii="Arial Narrow" w:hAnsi="Arial Narrow"/>
              </w:rPr>
              <w:t>$</w:t>
            </w:r>
            <w:r w:rsidR="0024159D" w:rsidRPr="0024159D">
              <w:rPr>
                <w:rFonts w:ascii="Arial Narrow" w:hAnsi="Arial Narrow"/>
                <w:sz w:val="2"/>
                <w:highlight w:val="black"/>
              </w:rPr>
              <w:t>redacted content</w:t>
            </w:r>
          </w:p>
        </w:tc>
        <w:tc>
          <w:tcPr>
            <w:tcW w:w="2642" w:type="pct"/>
            <w:tcBorders>
              <w:top w:val="nil"/>
              <w:left w:val="nil"/>
              <w:bottom w:val="single" w:sz="4" w:space="0" w:color="auto"/>
              <w:right w:val="single" w:sz="4" w:space="0" w:color="auto"/>
            </w:tcBorders>
          </w:tcPr>
          <w:p w14:paraId="5B019DFD" w14:textId="75AC8DAA" w:rsidR="00A21444" w:rsidRPr="00340683" w:rsidRDefault="00FD4FA8" w:rsidP="00F36268">
            <w:pPr>
              <w:pStyle w:val="Tabletext0"/>
              <w:rPr>
                <w:rFonts w:ascii="Arial Narrow" w:hAnsi="Arial Narrow"/>
              </w:rPr>
            </w:pPr>
            <w:r w:rsidRPr="004E749E">
              <w:rPr>
                <w:rFonts w:ascii="Arial Narrow" w:hAnsi="Arial Narrow"/>
              </w:rPr>
              <w:t>$</w:t>
            </w:r>
            <w:r w:rsidR="0024159D" w:rsidRPr="0024159D">
              <w:rPr>
                <w:rFonts w:ascii="Arial Narrow" w:hAnsi="Arial Narrow"/>
                <w:sz w:val="2"/>
                <w:highlight w:val="black"/>
              </w:rPr>
              <w:t>redacted content</w:t>
            </w:r>
          </w:p>
        </w:tc>
      </w:tr>
      <w:tr w:rsidR="00A21444" w:rsidRPr="00A21444" w14:paraId="0C390B0D" w14:textId="422F6DCF" w:rsidTr="00EB74E1">
        <w:trPr>
          <w:trHeight w:val="250"/>
        </w:trPr>
        <w:tc>
          <w:tcPr>
            <w:tcW w:w="692" w:type="pct"/>
            <w:tcBorders>
              <w:top w:val="nil"/>
              <w:left w:val="single" w:sz="4" w:space="0" w:color="auto"/>
              <w:bottom w:val="single" w:sz="4" w:space="0" w:color="auto"/>
              <w:right w:val="single" w:sz="4" w:space="0" w:color="auto"/>
            </w:tcBorders>
            <w:vAlign w:val="center"/>
          </w:tcPr>
          <w:p w14:paraId="134E4204" w14:textId="77777777" w:rsidR="00A21444" w:rsidRPr="004E749E" w:rsidRDefault="00A21444" w:rsidP="00F36268">
            <w:pPr>
              <w:pStyle w:val="Tabletext0"/>
              <w:rPr>
                <w:rFonts w:ascii="Arial Narrow" w:hAnsi="Arial Narrow"/>
              </w:rPr>
            </w:pPr>
            <w:r w:rsidRPr="004E749E">
              <w:rPr>
                <w:rFonts w:ascii="Arial Narrow" w:hAnsi="Arial Narrow"/>
              </w:rPr>
              <w:t>Y2 (2027)</w:t>
            </w:r>
          </w:p>
        </w:tc>
        <w:tc>
          <w:tcPr>
            <w:tcW w:w="833" w:type="pct"/>
            <w:tcBorders>
              <w:top w:val="nil"/>
              <w:left w:val="single" w:sz="4" w:space="0" w:color="auto"/>
              <w:bottom w:val="single" w:sz="4" w:space="0" w:color="auto"/>
              <w:right w:val="single" w:sz="4" w:space="0" w:color="auto"/>
            </w:tcBorders>
            <w:noWrap/>
            <w:vAlign w:val="center"/>
          </w:tcPr>
          <w:p w14:paraId="3C473C71" w14:textId="292B5F53" w:rsidR="00A21444" w:rsidRPr="004E749E" w:rsidRDefault="00A21444" w:rsidP="00F36268">
            <w:pPr>
              <w:pStyle w:val="Tabletext0"/>
              <w:rPr>
                <w:rFonts w:ascii="Arial Narrow" w:hAnsi="Arial Narrow"/>
              </w:rPr>
            </w:pPr>
            <w:r w:rsidRPr="004E749E">
              <w:rPr>
                <w:rFonts w:ascii="Arial Narrow" w:hAnsi="Arial Narrow"/>
              </w:rPr>
              <w:t>$</w:t>
            </w:r>
            <w:r w:rsidR="0024159D" w:rsidRPr="0024159D">
              <w:rPr>
                <w:rFonts w:ascii="Arial Narrow" w:hAnsi="Arial Narrow"/>
                <w:sz w:val="2"/>
                <w:highlight w:val="black"/>
              </w:rPr>
              <w:t>redacted content</w:t>
            </w:r>
          </w:p>
        </w:tc>
        <w:tc>
          <w:tcPr>
            <w:tcW w:w="833" w:type="pct"/>
            <w:tcBorders>
              <w:top w:val="nil"/>
              <w:left w:val="nil"/>
              <w:bottom w:val="single" w:sz="4" w:space="0" w:color="auto"/>
              <w:right w:val="single" w:sz="4" w:space="0" w:color="auto"/>
            </w:tcBorders>
            <w:noWrap/>
            <w:vAlign w:val="center"/>
          </w:tcPr>
          <w:p w14:paraId="13E67C3E" w14:textId="698C2A6E" w:rsidR="00A21444" w:rsidRPr="004E749E" w:rsidRDefault="00A21444" w:rsidP="00F36268">
            <w:pPr>
              <w:pStyle w:val="Tabletext0"/>
              <w:rPr>
                <w:rFonts w:ascii="Arial Narrow" w:hAnsi="Arial Narrow"/>
              </w:rPr>
            </w:pPr>
            <w:r w:rsidRPr="004E749E">
              <w:rPr>
                <w:rFonts w:ascii="Arial Narrow" w:hAnsi="Arial Narrow"/>
              </w:rPr>
              <w:t>$</w:t>
            </w:r>
            <w:r w:rsidR="0024159D" w:rsidRPr="0024159D">
              <w:rPr>
                <w:rFonts w:ascii="Arial Narrow" w:hAnsi="Arial Narrow"/>
                <w:sz w:val="2"/>
                <w:highlight w:val="black"/>
              </w:rPr>
              <w:t>redacted content</w:t>
            </w:r>
          </w:p>
        </w:tc>
        <w:tc>
          <w:tcPr>
            <w:tcW w:w="2642" w:type="pct"/>
            <w:tcBorders>
              <w:top w:val="nil"/>
              <w:left w:val="nil"/>
              <w:bottom w:val="single" w:sz="4" w:space="0" w:color="auto"/>
              <w:right w:val="single" w:sz="4" w:space="0" w:color="auto"/>
            </w:tcBorders>
          </w:tcPr>
          <w:p w14:paraId="3094665B" w14:textId="04EFA68E" w:rsidR="00A21444" w:rsidRPr="00340683" w:rsidRDefault="00340683" w:rsidP="00F36268">
            <w:pPr>
              <w:pStyle w:val="Tabletext0"/>
              <w:rPr>
                <w:rFonts w:ascii="Arial Narrow" w:hAnsi="Arial Narrow"/>
              </w:rPr>
            </w:pPr>
            <w:r w:rsidRPr="004E749E">
              <w:rPr>
                <w:rFonts w:ascii="Arial Narrow" w:hAnsi="Arial Narrow"/>
              </w:rPr>
              <w:t>$</w:t>
            </w:r>
            <w:r w:rsidR="0024159D" w:rsidRPr="0024159D">
              <w:rPr>
                <w:rFonts w:ascii="Arial Narrow" w:hAnsi="Arial Narrow"/>
                <w:sz w:val="2"/>
                <w:highlight w:val="black"/>
              </w:rPr>
              <w:t>redacted content</w:t>
            </w:r>
          </w:p>
        </w:tc>
      </w:tr>
      <w:tr w:rsidR="00A21444" w:rsidRPr="00A21444" w14:paraId="2AB73FDE" w14:textId="24BF73F2" w:rsidTr="00EB74E1">
        <w:trPr>
          <w:trHeight w:val="250"/>
        </w:trPr>
        <w:tc>
          <w:tcPr>
            <w:tcW w:w="692" w:type="pct"/>
            <w:tcBorders>
              <w:top w:val="nil"/>
              <w:left w:val="single" w:sz="4" w:space="0" w:color="auto"/>
              <w:bottom w:val="single" w:sz="4" w:space="0" w:color="auto"/>
              <w:right w:val="single" w:sz="4" w:space="0" w:color="auto"/>
            </w:tcBorders>
            <w:vAlign w:val="center"/>
          </w:tcPr>
          <w:p w14:paraId="0369B1DE" w14:textId="77777777" w:rsidR="00A21444" w:rsidRPr="004E749E" w:rsidRDefault="00A21444" w:rsidP="00F36268">
            <w:pPr>
              <w:pStyle w:val="Tabletext0"/>
              <w:rPr>
                <w:rFonts w:ascii="Arial Narrow" w:hAnsi="Arial Narrow"/>
              </w:rPr>
            </w:pPr>
            <w:r w:rsidRPr="004E749E">
              <w:rPr>
                <w:rFonts w:ascii="Arial Narrow" w:hAnsi="Arial Narrow"/>
              </w:rPr>
              <w:t>Y3 (2028)</w:t>
            </w:r>
          </w:p>
        </w:tc>
        <w:tc>
          <w:tcPr>
            <w:tcW w:w="833" w:type="pct"/>
            <w:tcBorders>
              <w:top w:val="nil"/>
              <w:left w:val="single" w:sz="4" w:space="0" w:color="auto"/>
              <w:bottom w:val="single" w:sz="4" w:space="0" w:color="auto"/>
              <w:right w:val="single" w:sz="4" w:space="0" w:color="auto"/>
            </w:tcBorders>
            <w:noWrap/>
            <w:vAlign w:val="center"/>
          </w:tcPr>
          <w:p w14:paraId="08D93159" w14:textId="295AFCBF" w:rsidR="00A21444" w:rsidRPr="004E749E" w:rsidRDefault="00A21444" w:rsidP="00F36268">
            <w:pPr>
              <w:pStyle w:val="Tabletext0"/>
              <w:rPr>
                <w:rFonts w:ascii="Arial Narrow" w:hAnsi="Arial Narrow"/>
              </w:rPr>
            </w:pPr>
            <w:r w:rsidRPr="004E749E">
              <w:rPr>
                <w:rFonts w:ascii="Arial Narrow" w:hAnsi="Arial Narrow"/>
              </w:rPr>
              <w:t>$</w:t>
            </w:r>
            <w:r w:rsidR="0024159D" w:rsidRPr="0024159D">
              <w:rPr>
                <w:rFonts w:ascii="Arial Narrow" w:hAnsi="Arial Narrow"/>
                <w:sz w:val="2"/>
                <w:highlight w:val="black"/>
              </w:rPr>
              <w:t>redacted content</w:t>
            </w:r>
          </w:p>
        </w:tc>
        <w:tc>
          <w:tcPr>
            <w:tcW w:w="833" w:type="pct"/>
            <w:tcBorders>
              <w:top w:val="nil"/>
              <w:left w:val="nil"/>
              <w:bottom w:val="single" w:sz="4" w:space="0" w:color="auto"/>
              <w:right w:val="single" w:sz="4" w:space="0" w:color="auto"/>
            </w:tcBorders>
            <w:noWrap/>
            <w:vAlign w:val="center"/>
          </w:tcPr>
          <w:p w14:paraId="0F46D071" w14:textId="45038882" w:rsidR="00A21444" w:rsidRPr="004E749E" w:rsidRDefault="00A21444" w:rsidP="00F36268">
            <w:pPr>
              <w:pStyle w:val="Tabletext0"/>
              <w:rPr>
                <w:rFonts w:ascii="Arial Narrow" w:hAnsi="Arial Narrow"/>
              </w:rPr>
            </w:pPr>
            <w:r w:rsidRPr="004E749E">
              <w:rPr>
                <w:rFonts w:ascii="Arial Narrow" w:hAnsi="Arial Narrow"/>
              </w:rPr>
              <w:t>$</w:t>
            </w:r>
            <w:r w:rsidR="0024159D" w:rsidRPr="0024159D">
              <w:rPr>
                <w:rFonts w:ascii="Arial Narrow" w:hAnsi="Arial Narrow"/>
                <w:sz w:val="2"/>
                <w:highlight w:val="black"/>
              </w:rPr>
              <w:t>redacted content</w:t>
            </w:r>
          </w:p>
        </w:tc>
        <w:tc>
          <w:tcPr>
            <w:tcW w:w="2642" w:type="pct"/>
            <w:tcBorders>
              <w:top w:val="nil"/>
              <w:left w:val="nil"/>
              <w:bottom w:val="single" w:sz="4" w:space="0" w:color="auto"/>
              <w:right w:val="single" w:sz="4" w:space="0" w:color="auto"/>
            </w:tcBorders>
          </w:tcPr>
          <w:p w14:paraId="5FCFC9C7" w14:textId="048BD302" w:rsidR="00A21444" w:rsidRPr="00340683" w:rsidRDefault="00340683" w:rsidP="00F36268">
            <w:pPr>
              <w:pStyle w:val="Tabletext0"/>
              <w:rPr>
                <w:rFonts w:ascii="Arial Narrow" w:hAnsi="Arial Narrow"/>
              </w:rPr>
            </w:pPr>
            <w:r w:rsidRPr="004E749E">
              <w:rPr>
                <w:rFonts w:ascii="Arial Narrow" w:hAnsi="Arial Narrow"/>
              </w:rPr>
              <w:t>$</w:t>
            </w:r>
            <w:r w:rsidR="0024159D" w:rsidRPr="0024159D">
              <w:rPr>
                <w:rFonts w:ascii="Arial Narrow" w:hAnsi="Arial Narrow"/>
                <w:sz w:val="2"/>
                <w:highlight w:val="black"/>
              </w:rPr>
              <w:t>redacted content</w:t>
            </w:r>
          </w:p>
        </w:tc>
      </w:tr>
      <w:tr w:rsidR="00A21444" w:rsidRPr="00A21444" w14:paraId="0D6E9F99" w14:textId="13B5B260" w:rsidTr="00EB74E1">
        <w:trPr>
          <w:trHeight w:val="250"/>
        </w:trPr>
        <w:tc>
          <w:tcPr>
            <w:tcW w:w="692" w:type="pct"/>
            <w:tcBorders>
              <w:top w:val="nil"/>
              <w:left w:val="single" w:sz="4" w:space="0" w:color="auto"/>
              <w:bottom w:val="single" w:sz="4" w:space="0" w:color="auto"/>
              <w:right w:val="single" w:sz="4" w:space="0" w:color="auto"/>
            </w:tcBorders>
            <w:vAlign w:val="center"/>
          </w:tcPr>
          <w:p w14:paraId="5319DFB2" w14:textId="77777777" w:rsidR="00A21444" w:rsidRPr="004E749E" w:rsidRDefault="00A21444" w:rsidP="00F36268">
            <w:pPr>
              <w:pStyle w:val="Tabletext0"/>
              <w:rPr>
                <w:rFonts w:ascii="Arial Narrow" w:hAnsi="Arial Narrow"/>
              </w:rPr>
            </w:pPr>
            <w:r w:rsidRPr="004E749E">
              <w:rPr>
                <w:rFonts w:ascii="Arial Narrow" w:hAnsi="Arial Narrow"/>
              </w:rPr>
              <w:t>Y4 (2029)</w:t>
            </w:r>
          </w:p>
        </w:tc>
        <w:tc>
          <w:tcPr>
            <w:tcW w:w="833" w:type="pct"/>
            <w:tcBorders>
              <w:top w:val="nil"/>
              <w:left w:val="single" w:sz="4" w:space="0" w:color="auto"/>
              <w:bottom w:val="single" w:sz="4" w:space="0" w:color="auto"/>
              <w:right w:val="single" w:sz="4" w:space="0" w:color="auto"/>
            </w:tcBorders>
            <w:noWrap/>
            <w:vAlign w:val="center"/>
          </w:tcPr>
          <w:p w14:paraId="22A78469" w14:textId="16DBC1E0" w:rsidR="00A21444" w:rsidRPr="004E749E" w:rsidRDefault="00A21444" w:rsidP="00F36268">
            <w:pPr>
              <w:pStyle w:val="Tabletext0"/>
              <w:rPr>
                <w:rFonts w:ascii="Arial Narrow" w:hAnsi="Arial Narrow"/>
              </w:rPr>
            </w:pPr>
            <w:r w:rsidRPr="004E749E">
              <w:rPr>
                <w:rFonts w:ascii="Arial Narrow" w:hAnsi="Arial Narrow"/>
              </w:rPr>
              <w:t>$</w:t>
            </w:r>
            <w:r w:rsidR="0024159D" w:rsidRPr="0024159D">
              <w:rPr>
                <w:rFonts w:ascii="Arial Narrow" w:hAnsi="Arial Narrow"/>
                <w:sz w:val="2"/>
                <w:highlight w:val="black"/>
              </w:rPr>
              <w:t>redacted content</w:t>
            </w:r>
          </w:p>
        </w:tc>
        <w:tc>
          <w:tcPr>
            <w:tcW w:w="833" w:type="pct"/>
            <w:tcBorders>
              <w:top w:val="nil"/>
              <w:left w:val="nil"/>
              <w:bottom w:val="single" w:sz="4" w:space="0" w:color="auto"/>
              <w:right w:val="single" w:sz="4" w:space="0" w:color="auto"/>
            </w:tcBorders>
            <w:noWrap/>
            <w:vAlign w:val="center"/>
          </w:tcPr>
          <w:p w14:paraId="0F8F7455" w14:textId="099CFF8B" w:rsidR="00A21444" w:rsidRPr="004E749E" w:rsidRDefault="00A21444" w:rsidP="00F36268">
            <w:pPr>
              <w:pStyle w:val="Tabletext0"/>
              <w:rPr>
                <w:rFonts w:ascii="Arial Narrow" w:hAnsi="Arial Narrow"/>
              </w:rPr>
            </w:pPr>
            <w:r w:rsidRPr="004E749E">
              <w:rPr>
                <w:rFonts w:ascii="Arial Narrow" w:hAnsi="Arial Narrow"/>
              </w:rPr>
              <w:t>$</w:t>
            </w:r>
            <w:r w:rsidR="0024159D" w:rsidRPr="0024159D">
              <w:rPr>
                <w:rFonts w:ascii="Arial Narrow" w:hAnsi="Arial Narrow"/>
                <w:sz w:val="2"/>
                <w:highlight w:val="black"/>
              </w:rPr>
              <w:t>redacted content</w:t>
            </w:r>
          </w:p>
        </w:tc>
        <w:tc>
          <w:tcPr>
            <w:tcW w:w="2642" w:type="pct"/>
            <w:tcBorders>
              <w:top w:val="nil"/>
              <w:left w:val="nil"/>
              <w:bottom w:val="single" w:sz="4" w:space="0" w:color="auto"/>
              <w:right w:val="single" w:sz="4" w:space="0" w:color="auto"/>
            </w:tcBorders>
          </w:tcPr>
          <w:p w14:paraId="3C88DA6D" w14:textId="27FF6C77" w:rsidR="00A21444" w:rsidRPr="00340683" w:rsidRDefault="00340683" w:rsidP="00F36268">
            <w:pPr>
              <w:pStyle w:val="Tabletext0"/>
              <w:rPr>
                <w:rFonts w:ascii="Arial Narrow" w:hAnsi="Arial Narrow"/>
              </w:rPr>
            </w:pPr>
            <w:r w:rsidRPr="004E749E">
              <w:rPr>
                <w:rFonts w:ascii="Arial Narrow" w:hAnsi="Arial Narrow"/>
              </w:rPr>
              <w:t>$</w:t>
            </w:r>
            <w:r w:rsidR="0024159D" w:rsidRPr="0024159D">
              <w:rPr>
                <w:rFonts w:ascii="Arial Narrow" w:hAnsi="Arial Narrow"/>
                <w:sz w:val="2"/>
                <w:highlight w:val="black"/>
              </w:rPr>
              <w:t>redacted content</w:t>
            </w:r>
          </w:p>
        </w:tc>
      </w:tr>
      <w:tr w:rsidR="00A21444" w:rsidRPr="00A21444" w14:paraId="386A3B57" w14:textId="190A53EC" w:rsidTr="00EB74E1">
        <w:trPr>
          <w:trHeight w:val="250"/>
        </w:trPr>
        <w:tc>
          <w:tcPr>
            <w:tcW w:w="692" w:type="pct"/>
            <w:tcBorders>
              <w:top w:val="nil"/>
              <w:left w:val="single" w:sz="4" w:space="0" w:color="auto"/>
              <w:bottom w:val="single" w:sz="4" w:space="0" w:color="auto"/>
              <w:right w:val="single" w:sz="4" w:space="0" w:color="auto"/>
            </w:tcBorders>
            <w:vAlign w:val="center"/>
          </w:tcPr>
          <w:p w14:paraId="67ED6554" w14:textId="77777777" w:rsidR="00A21444" w:rsidRPr="004E749E" w:rsidRDefault="00A21444" w:rsidP="00F36268">
            <w:pPr>
              <w:pStyle w:val="Tabletext0"/>
              <w:rPr>
                <w:rFonts w:ascii="Arial Narrow" w:hAnsi="Arial Narrow"/>
              </w:rPr>
            </w:pPr>
            <w:r w:rsidRPr="004E749E">
              <w:rPr>
                <w:rFonts w:ascii="Arial Narrow" w:hAnsi="Arial Narrow"/>
              </w:rPr>
              <w:t>Y5 (2030)</w:t>
            </w:r>
          </w:p>
        </w:tc>
        <w:tc>
          <w:tcPr>
            <w:tcW w:w="833" w:type="pct"/>
            <w:tcBorders>
              <w:top w:val="nil"/>
              <w:left w:val="single" w:sz="4" w:space="0" w:color="auto"/>
              <w:bottom w:val="single" w:sz="4" w:space="0" w:color="auto"/>
              <w:right w:val="single" w:sz="4" w:space="0" w:color="auto"/>
            </w:tcBorders>
            <w:noWrap/>
            <w:vAlign w:val="center"/>
          </w:tcPr>
          <w:p w14:paraId="195542ED" w14:textId="0D9CEF93" w:rsidR="00A21444" w:rsidRPr="004E749E" w:rsidRDefault="00A21444" w:rsidP="00F36268">
            <w:pPr>
              <w:pStyle w:val="Tabletext0"/>
              <w:rPr>
                <w:rFonts w:ascii="Arial Narrow" w:hAnsi="Arial Narrow"/>
              </w:rPr>
            </w:pPr>
            <w:r w:rsidRPr="004E749E">
              <w:rPr>
                <w:rFonts w:ascii="Arial Narrow" w:hAnsi="Arial Narrow"/>
              </w:rPr>
              <w:t>$</w:t>
            </w:r>
            <w:r w:rsidR="0024159D" w:rsidRPr="0024159D">
              <w:rPr>
                <w:rFonts w:ascii="Arial Narrow" w:hAnsi="Arial Narrow"/>
                <w:sz w:val="2"/>
                <w:highlight w:val="black"/>
              </w:rPr>
              <w:t>redacted content</w:t>
            </w:r>
          </w:p>
        </w:tc>
        <w:tc>
          <w:tcPr>
            <w:tcW w:w="833" w:type="pct"/>
            <w:tcBorders>
              <w:top w:val="nil"/>
              <w:left w:val="nil"/>
              <w:bottom w:val="single" w:sz="4" w:space="0" w:color="auto"/>
              <w:right w:val="single" w:sz="4" w:space="0" w:color="auto"/>
            </w:tcBorders>
            <w:noWrap/>
            <w:vAlign w:val="center"/>
          </w:tcPr>
          <w:p w14:paraId="76F537CA" w14:textId="7B1E6D66" w:rsidR="00A21444" w:rsidRPr="004E749E" w:rsidRDefault="00A21444" w:rsidP="00F36268">
            <w:pPr>
              <w:pStyle w:val="Tabletext0"/>
              <w:rPr>
                <w:rFonts w:ascii="Arial Narrow" w:hAnsi="Arial Narrow"/>
              </w:rPr>
            </w:pPr>
            <w:r w:rsidRPr="004E749E">
              <w:rPr>
                <w:rFonts w:ascii="Arial Narrow" w:hAnsi="Arial Narrow"/>
              </w:rPr>
              <w:t>$</w:t>
            </w:r>
            <w:r w:rsidR="0024159D" w:rsidRPr="0024159D">
              <w:rPr>
                <w:rFonts w:ascii="Arial Narrow" w:hAnsi="Arial Narrow"/>
                <w:sz w:val="2"/>
                <w:highlight w:val="black"/>
              </w:rPr>
              <w:t>redacted content</w:t>
            </w:r>
          </w:p>
        </w:tc>
        <w:tc>
          <w:tcPr>
            <w:tcW w:w="2642" w:type="pct"/>
            <w:tcBorders>
              <w:top w:val="nil"/>
              <w:left w:val="nil"/>
              <w:bottom w:val="single" w:sz="4" w:space="0" w:color="auto"/>
              <w:right w:val="single" w:sz="4" w:space="0" w:color="auto"/>
            </w:tcBorders>
          </w:tcPr>
          <w:p w14:paraId="3C425296" w14:textId="1C3F27C3" w:rsidR="00A21444" w:rsidRPr="00340683" w:rsidRDefault="00340683" w:rsidP="00F36268">
            <w:pPr>
              <w:pStyle w:val="Tabletext0"/>
              <w:rPr>
                <w:rFonts w:ascii="Arial Narrow" w:hAnsi="Arial Narrow"/>
              </w:rPr>
            </w:pPr>
            <w:r w:rsidRPr="004E749E">
              <w:rPr>
                <w:rFonts w:ascii="Arial Narrow" w:hAnsi="Arial Narrow"/>
              </w:rPr>
              <w:t>$</w:t>
            </w:r>
            <w:r w:rsidR="0024159D" w:rsidRPr="0024159D">
              <w:rPr>
                <w:rFonts w:ascii="Arial Narrow" w:hAnsi="Arial Narrow"/>
                <w:sz w:val="2"/>
                <w:highlight w:val="black"/>
              </w:rPr>
              <w:t>redacted content</w:t>
            </w:r>
          </w:p>
        </w:tc>
      </w:tr>
    </w:tbl>
    <w:p w14:paraId="5E73554A" w14:textId="53577886" w:rsidR="00BF23F4" w:rsidRDefault="00EB230F" w:rsidP="00F36268">
      <w:pPr>
        <w:pStyle w:val="TableFigureFooter"/>
      </w:pPr>
      <w:r>
        <w:t>a</w:t>
      </w:r>
      <w:r w:rsidR="00BF23F4">
        <w:t xml:space="preserve"> </w:t>
      </w:r>
      <w:r w:rsidR="003C22B5">
        <w:t xml:space="preserve">Based </w:t>
      </w:r>
      <w:r w:rsidR="00BF23F4">
        <w:t xml:space="preserve">on </w:t>
      </w:r>
      <w:r w:rsidR="00BF23F4" w:rsidRPr="006F1D2D">
        <w:t>Net effective PBS/RPBS cost</w:t>
      </w:r>
      <w:r w:rsidR="00BF23F4">
        <w:t xml:space="preserve"> estimated in</w:t>
      </w:r>
      <w:r w:rsidR="000145C9">
        <w:t xml:space="preserve"> </w:t>
      </w:r>
      <w:r w:rsidR="000145C9">
        <w:fldChar w:fldCharType="begin"/>
      </w:r>
      <w:r w:rsidR="000145C9">
        <w:instrText xml:space="preserve"> REF _Ref222382551 \h </w:instrText>
      </w:r>
      <w:r w:rsidR="004E749E">
        <w:instrText xml:space="preserve"> \* MERGEFORMAT </w:instrText>
      </w:r>
      <w:r w:rsidR="000145C9">
        <w:fldChar w:fldCharType="separate"/>
      </w:r>
      <w:r w:rsidR="0031315F" w:rsidRPr="00222E0B">
        <w:t xml:space="preserve">Table </w:t>
      </w:r>
      <w:r w:rsidR="0031315F">
        <w:rPr>
          <w:noProof/>
        </w:rPr>
        <w:t>7</w:t>
      </w:r>
      <w:r w:rsidR="000145C9">
        <w:fldChar w:fldCharType="end"/>
      </w:r>
      <w:r w:rsidR="00BF23F4">
        <w:t>.</w:t>
      </w:r>
      <w:r w:rsidR="003C22B5">
        <w:t xml:space="preserve"> </w:t>
      </w:r>
    </w:p>
    <w:p w14:paraId="33DCDF3A" w14:textId="1B3D5343" w:rsidR="001C3F45" w:rsidRPr="004E749E" w:rsidRDefault="00EB230F" w:rsidP="00F36268">
      <w:pPr>
        <w:pStyle w:val="TableFigureFooter"/>
      </w:pPr>
      <w:r>
        <w:t>b</w:t>
      </w:r>
      <w:r w:rsidR="00BF23F4">
        <w:t xml:space="preserve"> </w:t>
      </w:r>
      <w:r w:rsidR="003C22B5">
        <w:t>C</w:t>
      </w:r>
      <w:r w:rsidR="00BF23F4">
        <w:t xml:space="preserve">alculated by adding </w:t>
      </w:r>
      <w:r w:rsidR="0024159D" w:rsidRPr="0024159D">
        <w:rPr>
          <w:sz w:val="2"/>
          <w:highlight w:val="black"/>
        </w:rPr>
        <w:t>redacted content</w:t>
      </w:r>
      <w:r w:rsidR="00BF23F4">
        <w:t>% to Threshold 1</w:t>
      </w:r>
    </w:p>
    <w:p w14:paraId="288DA1B9" w14:textId="77777777" w:rsidR="000D7003" w:rsidRPr="00C33D30" w:rsidRDefault="000D7003" w:rsidP="00F36268">
      <w:pPr>
        <w:ind w:firstLine="709"/>
        <w:rPr>
          <w:rFonts w:asciiTheme="minorHAnsi" w:hAnsiTheme="minorHAnsi"/>
          <w:i/>
        </w:rPr>
      </w:pPr>
      <w:r w:rsidRPr="00C33D30">
        <w:rPr>
          <w:rFonts w:asciiTheme="minorHAnsi" w:hAnsiTheme="minorHAnsi"/>
          <w:i/>
        </w:rPr>
        <w:t>For more detail on PBAC’s view, see section 7 PBAC outcome.</w:t>
      </w:r>
    </w:p>
    <w:p w14:paraId="69927B81" w14:textId="3C69B6F9" w:rsidR="00790284" w:rsidRPr="0090150D" w:rsidRDefault="00790284" w:rsidP="00F36268">
      <w:pPr>
        <w:pStyle w:val="2-SectionHeading"/>
      </w:pPr>
      <w:bookmarkStart w:id="23" w:name="_Hlk76381249"/>
      <w:r w:rsidRPr="0090150D">
        <w:t>PBAC Outcome</w:t>
      </w:r>
    </w:p>
    <w:p w14:paraId="37F2F3D4" w14:textId="64595EDA" w:rsidR="002176E8" w:rsidRDefault="002176E8" w:rsidP="00F36268">
      <w:pPr>
        <w:pStyle w:val="3-BodyText"/>
      </w:pPr>
      <w:bookmarkStart w:id="24" w:name="_Hlk111543188"/>
      <w:r w:rsidRPr="007B1A6F">
        <w:t xml:space="preserve">The PBAC </w:t>
      </w:r>
      <w:r w:rsidRPr="007F634F">
        <w:t>recommended the</w:t>
      </w:r>
      <w:r w:rsidRPr="007B1A6F">
        <w:t xml:space="preserve"> listing of vorasidenib for the treatment of isocitrate dehydrogenase</w:t>
      </w:r>
      <w:r w:rsidR="00B571FA">
        <w:noBreakHyphen/>
      </w:r>
      <w:r w:rsidRPr="007B1A6F">
        <w:t xml:space="preserve">mutant (IDH) astrocytoma or oligodendroglioma. The PBAC </w:t>
      </w:r>
      <w:r w:rsidR="008E5B13">
        <w:t xml:space="preserve">maintained its view that there is a </w:t>
      </w:r>
      <w:r w:rsidRPr="007B1A6F">
        <w:t xml:space="preserve">high unmet clinical need for </w:t>
      </w:r>
      <w:r w:rsidR="002E6FAC">
        <w:t xml:space="preserve">effective </w:t>
      </w:r>
      <w:r w:rsidRPr="007B1A6F">
        <w:t>treatments for astrocytoma and oligodendroglioma</w:t>
      </w:r>
      <w:r w:rsidR="00A2497B">
        <w:t xml:space="preserve">, </w:t>
      </w:r>
      <w:r w:rsidR="00A2497B" w:rsidRPr="00A2497B">
        <w:t>noting that there are currently no other effective treatments available for patients not in immediate need of chemotherapy/radiotherapy</w:t>
      </w:r>
      <w:r w:rsidR="004E0B69" w:rsidRPr="004E0B69">
        <w:t xml:space="preserve">. </w:t>
      </w:r>
      <w:r w:rsidR="007B3700" w:rsidRPr="00A25B73">
        <w:rPr>
          <w:rFonts w:cstheme="minorHAnsi"/>
          <w:snapToGrid w:val="0"/>
        </w:rPr>
        <w:t xml:space="preserve">The PBAC </w:t>
      </w:r>
      <w:r w:rsidR="00755AEE">
        <w:rPr>
          <w:rFonts w:cstheme="minorHAnsi"/>
          <w:snapToGrid w:val="0"/>
        </w:rPr>
        <w:t>wa</w:t>
      </w:r>
      <w:r w:rsidR="007B3700" w:rsidRPr="00A25B73">
        <w:rPr>
          <w:rFonts w:cstheme="minorHAnsi"/>
          <w:snapToGrid w:val="0"/>
        </w:rPr>
        <w:t xml:space="preserve">s satisfied that vorasidenib provides, for some patients, a significant improvement in efficacy </w:t>
      </w:r>
      <w:proofErr w:type="gramStart"/>
      <w:r w:rsidR="007B3700">
        <w:rPr>
          <w:rFonts w:cstheme="minorHAnsi"/>
          <w:snapToGrid w:val="0"/>
        </w:rPr>
        <w:t xml:space="preserve">over </w:t>
      </w:r>
      <w:r w:rsidR="007B3700" w:rsidRPr="00D56687">
        <w:t>active</w:t>
      </w:r>
      <w:proofErr w:type="gramEnd"/>
      <w:r w:rsidR="007B3700" w:rsidRPr="00D56687">
        <w:t xml:space="preserve"> surveillance in terms of</w:t>
      </w:r>
      <w:r w:rsidR="007B3700" w:rsidRPr="009B5F02">
        <w:t xml:space="preserve"> radiographic progression</w:t>
      </w:r>
      <w:r w:rsidR="007B3700">
        <w:rPr>
          <w:rFonts w:cstheme="minorHAnsi"/>
          <w:snapToGrid w:val="0"/>
        </w:rPr>
        <w:t xml:space="preserve"> </w:t>
      </w:r>
      <w:r w:rsidRPr="007B1A6F">
        <w:t>and acknowledged that delaying the need for chemotherapy and radiation therapy and reduction in epileptic seizures are clinically meaningful outcomes that are likely to positively impact on patient quality of life (QoL). The PBAC noted that due to the slow progressing nature of the disease it was not possible to demonstrate a difference in overall survival or QoL within the trial</w:t>
      </w:r>
      <w:r w:rsidR="00BA0B75">
        <w:t>,</w:t>
      </w:r>
      <w:r w:rsidRPr="007B1A6F">
        <w:t xml:space="preserve"> and due to a substantial proportion of patients in the control arm of the trial crossing over to receive vorasidenib</w:t>
      </w:r>
      <w:r w:rsidR="002D3AAF">
        <w:t>,</w:t>
      </w:r>
      <w:r w:rsidR="003023C5">
        <w:t xml:space="preserve"> </w:t>
      </w:r>
      <w:r w:rsidRPr="007B1A6F">
        <w:t>further data from the trial are unlikely to address these data gaps.</w:t>
      </w:r>
      <w:r w:rsidR="00BB5431">
        <w:t xml:space="preserve"> </w:t>
      </w:r>
      <w:r w:rsidRPr="007B1A6F">
        <w:t>The PBAC considered the revised economic and financial models provided in the resubmission addressed most of the Committee’s previous concerns. The PBAC considered the cost</w:t>
      </w:r>
      <w:r w:rsidR="00B571FA">
        <w:noBreakHyphen/>
      </w:r>
      <w:r w:rsidRPr="007B1A6F">
        <w:t>effectiveness estimate based on the revised model was still uncertain due to the limited data regarding the long</w:t>
      </w:r>
      <w:r w:rsidR="00B571FA">
        <w:noBreakHyphen/>
      </w:r>
      <w:r w:rsidRPr="007B1A6F">
        <w:t>term benefits and the likely duration of treatment. However, vorasidenib was considered acceptably cost</w:t>
      </w:r>
      <w:r w:rsidR="00B571FA">
        <w:noBreakHyphen/>
      </w:r>
      <w:r w:rsidRPr="007B1A6F">
        <w:t xml:space="preserve">effective at the reduced price proposed in the resubmission and the revised financial estimates were considered reasonable. The PBAC advised that amendments </w:t>
      </w:r>
      <w:r w:rsidRPr="007B1A6F">
        <w:lastRenderedPageBreak/>
        <w:t xml:space="preserve">to the proposed Risk Sharing Arrangement </w:t>
      </w:r>
      <w:r w:rsidR="00C57744">
        <w:t xml:space="preserve">(RSA) </w:t>
      </w:r>
      <w:r w:rsidRPr="007B1A6F">
        <w:t xml:space="preserve">were required to address the potential for use beyond radiological progression. </w:t>
      </w:r>
    </w:p>
    <w:p w14:paraId="4FCA9FE2" w14:textId="69D23246" w:rsidR="005D38BE" w:rsidRPr="00264A01" w:rsidRDefault="00B25D6A" w:rsidP="00F36268">
      <w:pPr>
        <w:pStyle w:val="3-BodyText"/>
        <w:rPr>
          <w:szCs w:val="24"/>
        </w:rPr>
      </w:pPr>
      <w:r w:rsidRPr="00264A01">
        <w:rPr>
          <w:szCs w:val="24"/>
        </w:rPr>
        <w:t xml:space="preserve">The PBAC noted </w:t>
      </w:r>
      <w:r w:rsidR="006F56DB" w:rsidRPr="00264A01">
        <w:rPr>
          <w:szCs w:val="24"/>
        </w:rPr>
        <w:t xml:space="preserve">the </w:t>
      </w:r>
      <w:r w:rsidRPr="00264A01">
        <w:rPr>
          <w:szCs w:val="24"/>
        </w:rPr>
        <w:t xml:space="preserve">very strong consumer support for the listing of vorasidenib for this condition. </w:t>
      </w:r>
      <w:r w:rsidR="00943859" w:rsidRPr="00264A01">
        <w:rPr>
          <w:szCs w:val="24"/>
        </w:rPr>
        <w:t xml:space="preserve">The PBAC noted </w:t>
      </w:r>
      <w:r w:rsidR="00AE3997" w:rsidRPr="00AE3997">
        <w:rPr>
          <w:szCs w:val="24"/>
          <w:lang w:val="en-GB"/>
        </w:rPr>
        <w:t>the importan</w:t>
      </w:r>
      <w:r w:rsidR="00D016B2">
        <w:rPr>
          <w:szCs w:val="24"/>
          <w:lang w:val="en-GB"/>
        </w:rPr>
        <w:t>ce of addressing the</w:t>
      </w:r>
      <w:r w:rsidR="00AE3997" w:rsidRPr="00AE3997">
        <w:rPr>
          <w:szCs w:val="24"/>
          <w:lang w:val="en-GB"/>
        </w:rPr>
        <w:t xml:space="preserve"> clinical need </w:t>
      </w:r>
      <w:r w:rsidR="00D016B2">
        <w:rPr>
          <w:szCs w:val="24"/>
          <w:lang w:val="en-GB"/>
        </w:rPr>
        <w:t>ass</w:t>
      </w:r>
      <w:r w:rsidR="001673EF">
        <w:rPr>
          <w:szCs w:val="24"/>
          <w:lang w:val="en-GB"/>
        </w:rPr>
        <w:t>o</w:t>
      </w:r>
      <w:r w:rsidR="00D016B2">
        <w:rPr>
          <w:szCs w:val="24"/>
          <w:lang w:val="en-GB"/>
        </w:rPr>
        <w:t>ciated with</w:t>
      </w:r>
      <w:r w:rsidR="00AE3997" w:rsidRPr="00AE3997">
        <w:rPr>
          <w:szCs w:val="24"/>
          <w:lang w:val="en-GB"/>
        </w:rPr>
        <w:t xml:space="preserve"> delay</w:t>
      </w:r>
      <w:r w:rsidR="001673EF">
        <w:rPr>
          <w:szCs w:val="24"/>
          <w:lang w:val="en-GB"/>
        </w:rPr>
        <w:t>ing</w:t>
      </w:r>
      <w:r w:rsidR="00AE3997" w:rsidRPr="00AE3997">
        <w:rPr>
          <w:szCs w:val="24"/>
          <w:lang w:val="en-GB"/>
        </w:rPr>
        <w:t xml:space="preserve"> progression of disease and delay</w:t>
      </w:r>
      <w:r w:rsidR="001673EF">
        <w:rPr>
          <w:szCs w:val="24"/>
          <w:lang w:val="en-GB"/>
        </w:rPr>
        <w:t>ing</w:t>
      </w:r>
      <w:r w:rsidR="00B262FF">
        <w:rPr>
          <w:szCs w:val="24"/>
          <w:lang w:val="en-GB"/>
        </w:rPr>
        <w:t xml:space="preserve"> the</w:t>
      </w:r>
      <w:r w:rsidR="00AE3997" w:rsidRPr="00AE3997">
        <w:rPr>
          <w:szCs w:val="24"/>
          <w:lang w:val="en-GB"/>
        </w:rPr>
        <w:t xml:space="preserve"> need for more toxic therapies (chemoradiation)</w:t>
      </w:r>
      <w:r w:rsidR="00AE3997" w:rsidRPr="00264A01">
        <w:rPr>
          <w:szCs w:val="24"/>
          <w:lang w:val="en-GB"/>
        </w:rPr>
        <w:t>.</w:t>
      </w:r>
      <w:r w:rsidR="00037BBA" w:rsidRPr="00264A01">
        <w:rPr>
          <w:szCs w:val="24"/>
          <w:lang w:val="en-GB"/>
        </w:rPr>
        <w:t xml:space="preserve"> </w:t>
      </w:r>
      <w:r w:rsidR="00E4084B" w:rsidRPr="00264A01">
        <w:rPr>
          <w:szCs w:val="24"/>
        </w:rPr>
        <w:t xml:space="preserve">The inputs emphasised </w:t>
      </w:r>
      <w:r w:rsidR="00B262FF">
        <w:rPr>
          <w:szCs w:val="24"/>
        </w:rPr>
        <w:t>this</w:t>
      </w:r>
      <w:r w:rsidR="00E4084B" w:rsidRPr="00264A01">
        <w:rPr>
          <w:szCs w:val="24"/>
        </w:rPr>
        <w:t xml:space="preserve"> is valuable to patients and likely to result in improved </w:t>
      </w:r>
      <w:r w:rsidR="00B01F6C">
        <w:rPr>
          <w:szCs w:val="24"/>
        </w:rPr>
        <w:t>QoL</w:t>
      </w:r>
      <w:r w:rsidR="00E4084B" w:rsidRPr="00264A01">
        <w:rPr>
          <w:szCs w:val="24"/>
        </w:rPr>
        <w:t xml:space="preserve"> </w:t>
      </w:r>
      <w:r w:rsidR="0010238A">
        <w:rPr>
          <w:szCs w:val="24"/>
        </w:rPr>
        <w:t xml:space="preserve">over </w:t>
      </w:r>
      <w:proofErr w:type="gramStart"/>
      <w:r w:rsidR="0010238A">
        <w:rPr>
          <w:szCs w:val="24"/>
        </w:rPr>
        <w:t>a number of</w:t>
      </w:r>
      <w:proofErr w:type="gramEnd"/>
      <w:r w:rsidR="0010238A">
        <w:rPr>
          <w:szCs w:val="24"/>
        </w:rPr>
        <w:t xml:space="preserve"> years </w:t>
      </w:r>
      <w:r w:rsidR="00E4084B" w:rsidRPr="00264A01">
        <w:rPr>
          <w:szCs w:val="24"/>
        </w:rPr>
        <w:t xml:space="preserve">for patients, families and carers. </w:t>
      </w:r>
      <w:r w:rsidR="00037BBA" w:rsidRPr="00264A01">
        <w:rPr>
          <w:szCs w:val="24"/>
          <w:lang w:val="en-GB"/>
        </w:rPr>
        <w:t xml:space="preserve">Additionally, the PBAC noted inputs highlighted the significant </w:t>
      </w:r>
      <w:r w:rsidR="00B01F6C">
        <w:rPr>
          <w:szCs w:val="24"/>
          <w:lang w:val="en-GB"/>
        </w:rPr>
        <w:t>QoL</w:t>
      </w:r>
      <w:r w:rsidR="00037BBA" w:rsidRPr="00264A01">
        <w:rPr>
          <w:szCs w:val="24"/>
          <w:lang w:val="en-GB"/>
        </w:rPr>
        <w:t xml:space="preserve"> impacts </w:t>
      </w:r>
      <w:r w:rsidR="00FF5144" w:rsidRPr="00264A01">
        <w:rPr>
          <w:szCs w:val="24"/>
          <w:lang w:val="en-GB"/>
        </w:rPr>
        <w:t xml:space="preserve">of seizures in patients with </w:t>
      </w:r>
      <w:r w:rsidR="00D75593" w:rsidRPr="00F57392">
        <w:t>astrocytoma or oligodendroglioma</w:t>
      </w:r>
      <w:r w:rsidR="00D75593" w:rsidRPr="00264A01" w:rsidDel="00D75593">
        <w:rPr>
          <w:szCs w:val="24"/>
          <w:lang w:val="en-GB"/>
        </w:rPr>
        <w:t xml:space="preserve"> </w:t>
      </w:r>
      <w:r w:rsidR="00FA6445" w:rsidRPr="00264A01">
        <w:rPr>
          <w:szCs w:val="24"/>
          <w:lang w:val="en-GB"/>
        </w:rPr>
        <w:t xml:space="preserve">which the PBAC </w:t>
      </w:r>
      <w:r w:rsidR="009645E6" w:rsidRPr="00264A01">
        <w:rPr>
          <w:szCs w:val="24"/>
          <w:lang w:val="en-GB"/>
        </w:rPr>
        <w:t xml:space="preserve">noted was not highlighted in the previous submission nor the </w:t>
      </w:r>
      <w:r w:rsidR="00FA6445" w:rsidRPr="00264A01">
        <w:rPr>
          <w:szCs w:val="24"/>
          <w:lang w:val="en-GB"/>
        </w:rPr>
        <w:t>clinical data</w:t>
      </w:r>
      <w:r w:rsidR="00FF5144" w:rsidRPr="00264A01">
        <w:rPr>
          <w:szCs w:val="24"/>
          <w:lang w:val="en-GB"/>
        </w:rPr>
        <w:t>.</w:t>
      </w:r>
      <w:r w:rsidR="00E4084B" w:rsidRPr="00264A01">
        <w:rPr>
          <w:szCs w:val="24"/>
          <w:lang w:val="en-GB"/>
        </w:rPr>
        <w:t xml:space="preserve"> </w:t>
      </w:r>
      <w:r w:rsidR="00DA6B9E" w:rsidRPr="00264A01">
        <w:rPr>
          <w:szCs w:val="24"/>
        </w:rPr>
        <w:t xml:space="preserve">The PBAC also acknowledged that chemotherapy/radiotherapy is associated with substantial toxicity and worsening of </w:t>
      </w:r>
      <w:r w:rsidR="00DA6B9E" w:rsidRPr="00777BC3">
        <w:rPr>
          <w:szCs w:val="24"/>
        </w:rPr>
        <w:t xml:space="preserve">neurological deficits. </w:t>
      </w:r>
      <w:r w:rsidR="00630380">
        <w:rPr>
          <w:szCs w:val="24"/>
        </w:rPr>
        <w:t>The i</w:t>
      </w:r>
      <w:r w:rsidR="001138B4" w:rsidRPr="00777BC3">
        <w:rPr>
          <w:snapToGrid w:val="0"/>
          <w:szCs w:val="24"/>
        </w:rPr>
        <w:t xml:space="preserve">nputs outlined </w:t>
      </w:r>
      <w:r w:rsidR="001D125B" w:rsidRPr="00777BC3">
        <w:rPr>
          <w:snapToGrid w:val="0"/>
          <w:szCs w:val="24"/>
        </w:rPr>
        <w:t xml:space="preserve">the </w:t>
      </w:r>
      <w:r w:rsidR="001138B4" w:rsidRPr="00777BC3">
        <w:rPr>
          <w:snapToGrid w:val="0"/>
          <w:szCs w:val="24"/>
        </w:rPr>
        <w:t xml:space="preserve">impact vorasidenib has had </w:t>
      </w:r>
      <w:r w:rsidR="00630380">
        <w:rPr>
          <w:snapToGrid w:val="0"/>
          <w:szCs w:val="24"/>
        </w:rPr>
        <w:t xml:space="preserve">on consumers </w:t>
      </w:r>
      <w:r w:rsidR="001138B4" w:rsidRPr="00777BC3">
        <w:rPr>
          <w:snapToGrid w:val="0"/>
          <w:szCs w:val="24"/>
        </w:rPr>
        <w:t xml:space="preserve">since commencing treatment, </w:t>
      </w:r>
      <w:r w:rsidR="00777BC3" w:rsidRPr="00777BC3">
        <w:rPr>
          <w:snapToGrid w:val="0"/>
          <w:szCs w:val="24"/>
        </w:rPr>
        <w:t xml:space="preserve">including </w:t>
      </w:r>
      <w:r w:rsidR="001138B4" w:rsidRPr="00777BC3">
        <w:rPr>
          <w:snapToGrid w:val="0"/>
          <w:szCs w:val="24"/>
        </w:rPr>
        <w:t xml:space="preserve">offering hope, prolonging life and allowing for a better quality of life. </w:t>
      </w:r>
      <w:r w:rsidR="009D394B" w:rsidRPr="00777BC3">
        <w:rPr>
          <w:snapToGrid w:val="0"/>
          <w:szCs w:val="24"/>
        </w:rPr>
        <w:t xml:space="preserve">The PBAC noted the sponsor </w:t>
      </w:r>
      <w:r w:rsidR="009D394B" w:rsidRPr="00777BC3">
        <w:rPr>
          <w:rFonts w:cs="Arial"/>
          <w:bCs/>
          <w:snapToGrid w:val="0"/>
          <w:szCs w:val="24"/>
        </w:rPr>
        <w:t xml:space="preserve">hearing </w:t>
      </w:r>
      <w:r w:rsidR="004736A2" w:rsidRPr="00777BC3">
        <w:rPr>
          <w:rFonts w:cs="Arial"/>
          <w:bCs/>
          <w:snapToGrid w:val="0"/>
          <w:szCs w:val="24"/>
        </w:rPr>
        <w:t xml:space="preserve">clarified that </w:t>
      </w:r>
      <w:r w:rsidR="008F79DE">
        <w:rPr>
          <w:rFonts w:cs="Arial"/>
          <w:bCs/>
          <w:snapToGrid w:val="0"/>
          <w:szCs w:val="24"/>
        </w:rPr>
        <w:t xml:space="preserve">with more experience using vorasidenib clinicians may consider a treatment break </w:t>
      </w:r>
      <w:r w:rsidR="00135BF2">
        <w:rPr>
          <w:rFonts w:cs="Arial"/>
          <w:bCs/>
          <w:snapToGrid w:val="0"/>
          <w:szCs w:val="24"/>
        </w:rPr>
        <w:t xml:space="preserve">or to stop treatment </w:t>
      </w:r>
      <w:r w:rsidR="008F79DE">
        <w:rPr>
          <w:rFonts w:cs="Arial"/>
          <w:bCs/>
          <w:snapToGrid w:val="0"/>
          <w:szCs w:val="24"/>
        </w:rPr>
        <w:t xml:space="preserve">after approximately 5 years </w:t>
      </w:r>
      <w:r w:rsidR="004736A2" w:rsidRPr="00777BC3">
        <w:rPr>
          <w:rFonts w:cs="Arial"/>
          <w:bCs/>
          <w:snapToGrid w:val="0"/>
          <w:szCs w:val="24"/>
        </w:rPr>
        <w:t xml:space="preserve">and </w:t>
      </w:r>
      <w:r w:rsidR="005B72A7" w:rsidRPr="00777BC3">
        <w:rPr>
          <w:rFonts w:cs="Arial"/>
          <w:bCs/>
          <w:snapToGrid w:val="0"/>
          <w:szCs w:val="24"/>
        </w:rPr>
        <w:t xml:space="preserve">clinicians are unlikely </w:t>
      </w:r>
      <w:r w:rsidR="005B72A7" w:rsidRPr="00264A01">
        <w:rPr>
          <w:rFonts w:cs="Arial"/>
          <w:bCs/>
          <w:snapToGrid w:val="0"/>
          <w:szCs w:val="24"/>
        </w:rPr>
        <w:t xml:space="preserve">to </w:t>
      </w:r>
      <w:r w:rsidR="00C37C48" w:rsidRPr="00264A01">
        <w:rPr>
          <w:rFonts w:cs="Arial"/>
          <w:bCs/>
          <w:snapToGrid w:val="0"/>
          <w:szCs w:val="24"/>
        </w:rPr>
        <w:t xml:space="preserve">treat beyond radiological progression </w:t>
      </w:r>
      <w:r w:rsidR="00FC1F8F" w:rsidRPr="00264A01">
        <w:rPr>
          <w:rFonts w:cs="Arial"/>
          <w:bCs/>
          <w:snapToGrid w:val="0"/>
          <w:szCs w:val="24"/>
        </w:rPr>
        <w:t xml:space="preserve">given it </w:t>
      </w:r>
      <w:r w:rsidR="00FC1F8F" w:rsidRPr="00264A01">
        <w:rPr>
          <w:szCs w:val="24"/>
        </w:rPr>
        <w:t>may compromise outcomes for radiotherapy and surgery.</w:t>
      </w:r>
      <w:r w:rsidR="00C37C48" w:rsidRPr="00264A01">
        <w:rPr>
          <w:rFonts w:cs="Arial"/>
          <w:bCs/>
          <w:snapToGrid w:val="0"/>
          <w:szCs w:val="24"/>
        </w:rPr>
        <w:t xml:space="preserve"> </w:t>
      </w:r>
      <w:r w:rsidR="00612290" w:rsidRPr="00264A01">
        <w:rPr>
          <w:rFonts w:cs="Arial"/>
          <w:bCs/>
          <w:snapToGrid w:val="0"/>
          <w:szCs w:val="24"/>
        </w:rPr>
        <w:t>It is still unclear whether patients would benefit from treatment breaks with vorasidenib</w:t>
      </w:r>
      <w:r w:rsidR="008524AD" w:rsidRPr="00264A01">
        <w:rPr>
          <w:rFonts w:cs="Arial"/>
          <w:bCs/>
          <w:snapToGrid w:val="0"/>
          <w:szCs w:val="24"/>
        </w:rPr>
        <w:t xml:space="preserve"> </w:t>
      </w:r>
      <w:r w:rsidR="008240D3" w:rsidRPr="00264A01">
        <w:rPr>
          <w:rFonts w:cs="Arial"/>
          <w:bCs/>
          <w:snapToGrid w:val="0"/>
          <w:szCs w:val="24"/>
        </w:rPr>
        <w:t>and that further data and surveillance is required to inform this</w:t>
      </w:r>
      <w:r w:rsidR="00054CE6" w:rsidRPr="00264A01">
        <w:rPr>
          <w:rFonts w:cs="Arial"/>
          <w:bCs/>
          <w:snapToGrid w:val="0"/>
          <w:szCs w:val="24"/>
        </w:rPr>
        <w:t xml:space="preserve">. </w:t>
      </w:r>
      <w:r w:rsidR="00354987" w:rsidRPr="00264A01">
        <w:rPr>
          <w:rFonts w:cs="Arial"/>
          <w:bCs/>
          <w:snapToGrid w:val="0"/>
          <w:szCs w:val="24"/>
        </w:rPr>
        <w:t xml:space="preserve">The PBAC noted the inputs were supportive of the evidence provided in the submission. The PBAC valued the inputs provided as they allowed </w:t>
      </w:r>
      <w:r w:rsidR="00171149">
        <w:rPr>
          <w:rFonts w:cs="Arial"/>
          <w:bCs/>
          <w:snapToGrid w:val="0"/>
          <w:szCs w:val="24"/>
        </w:rPr>
        <w:t xml:space="preserve">additional </w:t>
      </w:r>
      <w:r w:rsidR="00354987" w:rsidRPr="00264A01">
        <w:rPr>
          <w:rFonts w:cs="Arial"/>
          <w:bCs/>
          <w:snapToGrid w:val="0"/>
          <w:szCs w:val="24"/>
        </w:rPr>
        <w:t>insight into the patient</w:t>
      </w:r>
      <w:r w:rsidR="00F71CE0">
        <w:rPr>
          <w:rFonts w:cs="Arial"/>
          <w:bCs/>
          <w:snapToGrid w:val="0"/>
          <w:szCs w:val="24"/>
        </w:rPr>
        <w:t>, carer</w:t>
      </w:r>
      <w:r w:rsidR="00354987" w:rsidRPr="00264A01">
        <w:rPr>
          <w:rFonts w:cs="Arial"/>
          <w:bCs/>
          <w:snapToGrid w:val="0"/>
          <w:szCs w:val="24"/>
        </w:rPr>
        <w:t xml:space="preserve"> and health care provider perspective for a rare disease.</w:t>
      </w:r>
    </w:p>
    <w:bookmarkEnd w:id="24"/>
    <w:p w14:paraId="51716E1F" w14:textId="3C0F0E55" w:rsidR="006F6882" w:rsidRPr="006C5B41" w:rsidRDefault="006F6882" w:rsidP="00F36268">
      <w:pPr>
        <w:pStyle w:val="3-BodyText"/>
        <w:rPr>
          <w:snapToGrid w:val="0"/>
          <w:lang w:val="en-GB"/>
        </w:rPr>
      </w:pPr>
      <w:r w:rsidRPr="006C5B41">
        <w:rPr>
          <w:snapToGrid w:val="0"/>
          <w:lang w:val="en-GB"/>
        </w:rPr>
        <w:t xml:space="preserve">The PBAC </w:t>
      </w:r>
      <w:r w:rsidR="006C5B41" w:rsidRPr="006C5B41">
        <w:rPr>
          <w:snapToGrid w:val="0"/>
          <w:lang w:val="en-GB"/>
        </w:rPr>
        <w:t xml:space="preserve">reaffirmed its view that </w:t>
      </w:r>
      <w:r w:rsidRPr="006C5B41">
        <w:rPr>
          <w:snapToGrid w:val="0"/>
          <w:lang w:val="en-GB"/>
        </w:rPr>
        <w:t xml:space="preserve">the </w:t>
      </w:r>
      <w:r w:rsidRPr="006C5B41">
        <w:t xml:space="preserve">nominated comparator of active surveillance was appropriate as no other treatments are available for patients not in immediate need of radiotherapy/chemotherapy. </w:t>
      </w:r>
    </w:p>
    <w:p w14:paraId="538F5EC9" w14:textId="28DBB811" w:rsidR="00D57614" w:rsidRDefault="00551D2B" w:rsidP="00F36268">
      <w:pPr>
        <w:pStyle w:val="3-BodyText"/>
      </w:pPr>
      <w:r>
        <w:t xml:space="preserve">The </w:t>
      </w:r>
      <w:r w:rsidR="007B1DC6">
        <w:t xml:space="preserve">resubmission presented a </w:t>
      </w:r>
      <w:r>
        <w:t>n</w:t>
      </w:r>
      <w:r w:rsidRPr="006274D1">
        <w:t>ew data cut</w:t>
      </w:r>
      <w:r w:rsidR="007B1DC6" w:rsidRPr="007B1DC6">
        <w:t xml:space="preserve"> </w:t>
      </w:r>
      <w:r w:rsidR="007B1DC6" w:rsidRPr="006274D1">
        <w:t>from the INDIGO trial</w:t>
      </w:r>
      <w:r w:rsidR="007B1DC6">
        <w:t xml:space="preserve"> which</w:t>
      </w:r>
      <w:r w:rsidRPr="006274D1">
        <w:t xml:space="preserve"> provide</w:t>
      </w:r>
      <w:r>
        <w:t>d</w:t>
      </w:r>
      <w:r w:rsidRPr="006274D1">
        <w:t xml:space="preserve"> approximately 22 months of additional follow</w:t>
      </w:r>
      <w:r w:rsidR="00B571FA">
        <w:noBreakHyphen/>
      </w:r>
      <w:r w:rsidRPr="006274D1">
        <w:t xml:space="preserve">up data, to 17 </w:t>
      </w:r>
      <w:r w:rsidRPr="00B44811">
        <w:t xml:space="preserve">January 2025 (Jan 25 DCO). </w:t>
      </w:r>
      <w:r w:rsidR="00D57614">
        <w:t xml:space="preserve">The PBAC </w:t>
      </w:r>
      <w:r w:rsidR="00F519D1" w:rsidRPr="00EC7F98">
        <w:t xml:space="preserve">maintained its view that </w:t>
      </w:r>
      <w:r w:rsidR="00015307" w:rsidRPr="00EC7F98">
        <w:t>that the claim</w:t>
      </w:r>
      <w:r w:rsidR="00407F3A">
        <w:t>s</w:t>
      </w:r>
      <w:r w:rsidR="00015307" w:rsidRPr="00EC7F98">
        <w:t xml:space="preserve"> of superior comparative effectiveness and inferior comparative safety were </w:t>
      </w:r>
      <w:r w:rsidR="004D3562" w:rsidRPr="00EC7F98">
        <w:t>still reasonable. T</w:t>
      </w:r>
      <w:r w:rsidR="00EA549D" w:rsidRPr="00EC7F98">
        <w:t>he PBAC</w:t>
      </w:r>
      <w:r w:rsidR="004D3562" w:rsidRPr="00EC7F98">
        <w:t xml:space="preserve"> </w:t>
      </w:r>
      <w:r w:rsidR="00EC7F98" w:rsidRPr="00EC7F98">
        <w:t xml:space="preserve">reiterated its previous view </w:t>
      </w:r>
      <w:r w:rsidR="00EA549D" w:rsidRPr="00EC7F98">
        <w:t>that the PFS benefit shown was substantial, likely to be highly clinically relevant for patients and to result in QoL benefits.</w:t>
      </w:r>
    </w:p>
    <w:p w14:paraId="78F13AFE" w14:textId="1A482F9E" w:rsidR="0075510F" w:rsidRPr="0075510F" w:rsidRDefault="00192E96" w:rsidP="00F36268">
      <w:pPr>
        <w:pStyle w:val="3-BodyText"/>
        <w:rPr>
          <w:rFonts w:cstheme="minorHAnsi"/>
          <w:snapToGrid w:val="0"/>
          <w:color w:val="8064A2" w:themeColor="accent4"/>
          <w:lang w:val="en-GB"/>
        </w:rPr>
      </w:pPr>
      <w:r>
        <w:rPr>
          <w:rFonts w:cstheme="minorHAnsi"/>
          <w:snapToGrid w:val="0"/>
        </w:rPr>
        <w:t>The PBAC recalled its previous advice regarding the economic model and cost</w:t>
      </w:r>
      <w:r w:rsidR="00B571FA">
        <w:rPr>
          <w:rFonts w:cstheme="minorHAnsi"/>
          <w:snapToGrid w:val="0"/>
        </w:rPr>
        <w:noBreakHyphen/>
      </w:r>
      <w:r>
        <w:rPr>
          <w:rFonts w:cstheme="minorHAnsi"/>
          <w:snapToGrid w:val="0"/>
        </w:rPr>
        <w:t xml:space="preserve">effectiveness of </w:t>
      </w:r>
      <w:proofErr w:type="spellStart"/>
      <w:r w:rsidR="0075510F">
        <w:rPr>
          <w:rFonts w:cstheme="minorHAnsi"/>
          <w:snapToGrid w:val="0"/>
        </w:rPr>
        <w:t>vorasidenib</w:t>
      </w:r>
      <w:proofErr w:type="spellEnd"/>
      <w:r w:rsidR="0075510F">
        <w:rPr>
          <w:rFonts w:cstheme="minorHAnsi"/>
          <w:snapToGrid w:val="0"/>
        </w:rPr>
        <w:t xml:space="preserve"> (see </w:t>
      </w:r>
      <w:r w:rsidR="00DC363F">
        <w:rPr>
          <w:rFonts w:cstheme="minorHAnsi"/>
          <w:snapToGrid w:val="0"/>
        </w:rPr>
        <w:fldChar w:fldCharType="begin"/>
      </w:r>
      <w:r w:rsidR="00DC363F">
        <w:rPr>
          <w:rFonts w:cstheme="minorHAnsi"/>
          <w:snapToGrid w:val="0"/>
        </w:rPr>
        <w:instrText xml:space="preserve"> REF _Ref225386336 \h </w:instrText>
      </w:r>
      <w:r w:rsidR="00DC363F">
        <w:rPr>
          <w:rFonts w:cstheme="minorHAnsi"/>
          <w:snapToGrid w:val="0"/>
        </w:rPr>
      </w:r>
      <w:r w:rsidR="00DC363F">
        <w:rPr>
          <w:rFonts w:cstheme="minorHAnsi"/>
          <w:snapToGrid w:val="0"/>
        </w:rPr>
        <w:fldChar w:fldCharType="separate"/>
      </w:r>
      <w:r w:rsidR="0031315F">
        <w:t xml:space="preserve">Table </w:t>
      </w:r>
      <w:r w:rsidR="0031315F">
        <w:rPr>
          <w:noProof/>
        </w:rPr>
        <w:t>1</w:t>
      </w:r>
      <w:r w:rsidR="00DC363F">
        <w:rPr>
          <w:rFonts w:cstheme="minorHAnsi"/>
          <w:snapToGrid w:val="0"/>
        </w:rPr>
        <w:fldChar w:fldCharType="end"/>
      </w:r>
      <w:r w:rsidR="0075510F">
        <w:rPr>
          <w:rFonts w:cstheme="minorHAnsi"/>
          <w:snapToGrid w:val="0"/>
        </w:rPr>
        <w:t xml:space="preserve"> and paragraph</w:t>
      </w:r>
      <w:r w:rsidR="00DC363F">
        <w:rPr>
          <w:rFonts w:cstheme="minorHAnsi"/>
          <w:snapToGrid w:val="0"/>
        </w:rPr>
        <w:t xml:space="preserve"> </w:t>
      </w:r>
      <w:r w:rsidR="005C2A7B">
        <w:rPr>
          <w:rFonts w:cstheme="minorHAnsi"/>
          <w:snapToGrid w:val="0"/>
        </w:rPr>
        <w:fldChar w:fldCharType="begin"/>
      </w:r>
      <w:r w:rsidR="005C2A7B">
        <w:rPr>
          <w:rFonts w:cstheme="minorHAnsi"/>
          <w:snapToGrid w:val="0"/>
        </w:rPr>
        <w:instrText xml:space="preserve"> REF _Ref225386369 \r \h </w:instrText>
      </w:r>
      <w:r w:rsidR="005C2A7B">
        <w:rPr>
          <w:rFonts w:cstheme="minorHAnsi"/>
          <w:snapToGrid w:val="0"/>
        </w:rPr>
      </w:r>
      <w:r w:rsidR="005C2A7B">
        <w:rPr>
          <w:rFonts w:cstheme="minorHAnsi"/>
          <w:snapToGrid w:val="0"/>
        </w:rPr>
        <w:fldChar w:fldCharType="separate"/>
      </w:r>
      <w:r w:rsidR="00490573">
        <w:rPr>
          <w:rFonts w:cstheme="minorHAnsi"/>
          <w:snapToGrid w:val="0"/>
        </w:rPr>
        <w:t>4.17</w:t>
      </w:r>
      <w:r w:rsidR="005C2A7B">
        <w:rPr>
          <w:rFonts w:cstheme="minorHAnsi"/>
          <w:snapToGrid w:val="0"/>
        </w:rPr>
        <w:fldChar w:fldCharType="end"/>
      </w:r>
      <w:r w:rsidR="0075510F">
        <w:rPr>
          <w:rFonts w:cstheme="minorHAnsi"/>
          <w:snapToGrid w:val="0"/>
        </w:rPr>
        <w:t>) to:</w:t>
      </w:r>
    </w:p>
    <w:p w14:paraId="7A3D47CB" w14:textId="77777777" w:rsidR="004D1C33" w:rsidRPr="002C0247" w:rsidRDefault="004D1C33" w:rsidP="00F36268">
      <w:pPr>
        <w:pStyle w:val="3-BodyText"/>
        <w:numPr>
          <w:ilvl w:val="1"/>
          <w:numId w:val="4"/>
        </w:numPr>
        <w:ind w:left="1080"/>
      </w:pPr>
      <w:r w:rsidRPr="002C0247">
        <w:t xml:space="preserve">incorporate more conservative assumptions regarding PFS/OS (Weibull extrapolation function for PFS) and utility values (as per </w:t>
      </w:r>
      <w:r>
        <w:t>d</w:t>
      </w:r>
      <w:r w:rsidRPr="002C0247">
        <w:t>abrafenib + trametinib submission, March 2024 PBAC meeting).</w:t>
      </w:r>
    </w:p>
    <w:p w14:paraId="1BF83707" w14:textId="3DC2BF98" w:rsidR="004D1C33" w:rsidRDefault="004D1C33" w:rsidP="00F36268">
      <w:pPr>
        <w:pStyle w:val="3-BodyText"/>
        <w:numPr>
          <w:ilvl w:val="1"/>
          <w:numId w:val="4"/>
        </w:numPr>
        <w:ind w:left="1080"/>
      </w:pPr>
      <w:r w:rsidRPr="002C0247">
        <w:t xml:space="preserve">Including the revisions of the economic model as proposed, the resultant ICER should be of </w:t>
      </w:r>
      <w:r w:rsidR="00150AC8" w:rsidRPr="00150AC8">
        <w:t>$75,000 to &lt; $95,000</w:t>
      </w:r>
      <w:r w:rsidRPr="002C0247">
        <w:t>/QALY or less, reflecting the high level of uncertainty regarding the magnitude of long</w:t>
      </w:r>
      <w:r w:rsidR="00B571FA">
        <w:noBreakHyphen/>
      </w:r>
      <w:r w:rsidRPr="002C0247">
        <w:t xml:space="preserve">term benefits of treatment. </w:t>
      </w:r>
    </w:p>
    <w:p w14:paraId="22379E93" w14:textId="459798C1" w:rsidR="00912D0A" w:rsidRPr="00912D0A" w:rsidRDefault="00481EFF" w:rsidP="00F36268">
      <w:pPr>
        <w:pStyle w:val="3-BodyText"/>
        <w:rPr>
          <w:rFonts w:cstheme="minorHAnsi"/>
          <w:snapToGrid w:val="0"/>
          <w:color w:val="8064A2" w:themeColor="accent4"/>
          <w:lang w:val="en-GB"/>
        </w:rPr>
      </w:pPr>
      <w:r w:rsidRPr="00A564FF">
        <w:rPr>
          <w:rFonts w:cstheme="minorHAnsi"/>
          <w:snapToGrid w:val="0"/>
        </w:rPr>
        <w:lastRenderedPageBreak/>
        <w:t xml:space="preserve">The PBAC noted that the resubmission </w:t>
      </w:r>
      <w:r w:rsidR="009B7857">
        <w:rPr>
          <w:rFonts w:cstheme="minorHAnsi"/>
          <w:snapToGrid w:val="0"/>
        </w:rPr>
        <w:t xml:space="preserve">revised and corrected </w:t>
      </w:r>
      <w:proofErr w:type="gramStart"/>
      <w:r w:rsidR="006B480F">
        <w:t>a number of</w:t>
      </w:r>
      <w:proofErr w:type="gramEnd"/>
      <w:r w:rsidR="006B480F">
        <w:t xml:space="preserve"> in</w:t>
      </w:r>
      <w:r w:rsidR="002E1AD9">
        <w:t>puts in</w:t>
      </w:r>
      <w:r w:rsidR="006B480F">
        <w:t xml:space="preserve"> the resubmission model </w:t>
      </w:r>
      <w:r w:rsidR="00ED4536">
        <w:rPr>
          <w:rFonts w:cstheme="minorHAnsi"/>
          <w:snapToGrid w:val="0"/>
        </w:rPr>
        <w:t xml:space="preserve">as </w:t>
      </w:r>
      <w:r w:rsidRPr="00A564FF">
        <w:rPr>
          <w:rFonts w:cstheme="minorHAnsi"/>
          <w:snapToGrid w:val="0"/>
        </w:rPr>
        <w:t>requested</w:t>
      </w:r>
      <w:r w:rsidR="009B7857">
        <w:rPr>
          <w:rFonts w:cstheme="minorHAnsi"/>
          <w:snapToGrid w:val="0"/>
        </w:rPr>
        <w:t xml:space="preserve">, however </w:t>
      </w:r>
      <w:r w:rsidR="00116149">
        <w:t>the structure and function of the economic model were unchanged</w:t>
      </w:r>
      <w:r w:rsidR="00565F86">
        <w:rPr>
          <w:rFonts w:cstheme="minorHAnsi"/>
          <w:snapToGrid w:val="0"/>
        </w:rPr>
        <w:t>.</w:t>
      </w:r>
      <w:r w:rsidR="00EA69F8">
        <w:rPr>
          <w:rFonts w:cstheme="minorHAnsi"/>
          <w:snapToGrid w:val="0"/>
        </w:rPr>
        <w:t xml:space="preserve"> </w:t>
      </w:r>
    </w:p>
    <w:p w14:paraId="051302D0" w14:textId="691AD566" w:rsidR="008A70FF" w:rsidRPr="0093044A" w:rsidRDefault="00854113" w:rsidP="00F36268">
      <w:pPr>
        <w:pStyle w:val="3-BodyText"/>
      </w:pPr>
      <w:r>
        <w:t>The PBAC noted the</w:t>
      </w:r>
      <w:r w:rsidR="00BD57D1">
        <w:t xml:space="preserve"> updated PFS data</w:t>
      </w:r>
      <w:r w:rsidR="00B95CAD">
        <w:t xml:space="preserve"> (INV)</w:t>
      </w:r>
      <w:r w:rsidR="00FF16AF">
        <w:t xml:space="preserve"> </w:t>
      </w:r>
      <w:r w:rsidR="00CA1F95">
        <w:t xml:space="preserve">from the INDIGO trial </w:t>
      </w:r>
      <w:r w:rsidR="00FF16AF">
        <w:t>(</w:t>
      </w:r>
      <w:r w:rsidR="003722E2">
        <w:t>Jan 25 DCO</w:t>
      </w:r>
      <w:r w:rsidR="00FF16AF">
        <w:t>)</w:t>
      </w:r>
      <w:r>
        <w:t xml:space="preserve"> </w:t>
      </w:r>
      <w:r w:rsidR="00474B32">
        <w:t xml:space="preserve">was </w:t>
      </w:r>
      <w:r w:rsidR="00B85D52" w:rsidRPr="006274D1">
        <w:t>applied in the revised economic analysis.</w:t>
      </w:r>
      <w:r w:rsidR="001B484A">
        <w:t xml:space="preserve"> The PBAC </w:t>
      </w:r>
      <w:r w:rsidR="00B254CA">
        <w:t>not</w:t>
      </w:r>
      <w:r w:rsidR="003068CF">
        <w:t>ed</w:t>
      </w:r>
      <w:r w:rsidR="006B7191">
        <w:t xml:space="preserve"> </w:t>
      </w:r>
      <w:r w:rsidR="00B254CA">
        <w:t>the economic model presented in the initial submission applied PFS data as assessed by the Blinded Independent Review Committee (BIRC), consistent with the primary endpoint of the INDIGO trial</w:t>
      </w:r>
      <w:r w:rsidR="00F4454D">
        <w:t xml:space="preserve">. </w:t>
      </w:r>
      <w:r w:rsidR="00254AB4">
        <w:t>The resubmission stated that the impact of the change from PFS (BIRC) to PFS (INV) result</w:t>
      </w:r>
      <w:r w:rsidR="00370CBC">
        <w:t>ed</w:t>
      </w:r>
      <w:r w:rsidR="00254AB4">
        <w:t xml:space="preserve"> in slightly higher ICERs, and the change d</w:t>
      </w:r>
      <w:r w:rsidR="00370CBC">
        <w:t>id</w:t>
      </w:r>
      <w:r w:rsidR="00254AB4">
        <w:t xml:space="preserve"> not favour vorasidenib.</w:t>
      </w:r>
      <w:r w:rsidR="008A70FF" w:rsidRPr="008A70FF" w:rsidDel="00FE563E">
        <w:t xml:space="preserve"> </w:t>
      </w:r>
      <w:r w:rsidR="00FE563E">
        <w:t>The PBAC</w:t>
      </w:r>
      <w:r w:rsidR="00FE563E" w:rsidRPr="003068CF">
        <w:t xml:space="preserve"> </w:t>
      </w:r>
      <w:r w:rsidR="00FE563E">
        <w:t xml:space="preserve">considered it was reasonable to apply PFS (INV) as this was the outcome available for the extended data cut. </w:t>
      </w:r>
      <w:r w:rsidR="008A70FF">
        <w:t>The PBAC recalled that i</w:t>
      </w:r>
      <w:r w:rsidR="008A70FF" w:rsidRPr="0093044A">
        <w:t>n July 2025</w:t>
      </w:r>
      <w:r w:rsidR="00BD099A">
        <w:t>,</w:t>
      </w:r>
      <w:r w:rsidR="008A70FF" w:rsidRPr="0093044A">
        <w:t xml:space="preserve"> </w:t>
      </w:r>
      <w:r w:rsidR="00BD099A">
        <w:t xml:space="preserve">it </w:t>
      </w:r>
      <w:r w:rsidR="008A70FF" w:rsidRPr="0093044A">
        <w:t xml:space="preserve">noted the Weibull function </w:t>
      </w:r>
      <w:r w:rsidR="00672659">
        <w:t>resulted in more</w:t>
      </w:r>
      <w:r w:rsidR="008A70FF" w:rsidRPr="0093044A">
        <w:t xml:space="preserve"> conservative </w:t>
      </w:r>
      <w:r w:rsidR="00672659">
        <w:t xml:space="preserve">PFS </w:t>
      </w:r>
      <w:r w:rsidR="00B365B2">
        <w:t xml:space="preserve">extrapolations </w:t>
      </w:r>
      <w:r w:rsidR="008A70FF" w:rsidRPr="0093044A">
        <w:t xml:space="preserve">than </w:t>
      </w:r>
      <w:r w:rsidR="00B365B2">
        <w:t xml:space="preserve">the </w:t>
      </w:r>
      <w:r w:rsidR="008A70FF" w:rsidRPr="0093044A">
        <w:t xml:space="preserve">lognormal, </w:t>
      </w:r>
      <w:r w:rsidR="00B365B2">
        <w:t>and</w:t>
      </w:r>
      <w:r w:rsidR="00F06D36">
        <w:t xml:space="preserve"> </w:t>
      </w:r>
      <w:r w:rsidR="008A70FF" w:rsidRPr="0093044A">
        <w:t>was a good fit for the KM data. The</w:t>
      </w:r>
      <w:r w:rsidR="00316ABB">
        <w:t xml:space="preserve"> PBAC noted the </w:t>
      </w:r>
      <w:r w:rsidR="008A70FF" w:rsidRPr="0093044A">
        <w:t xml:space="preserve">parametric function </w:t>
      </w:r>
      <w:r w:rsidR="00A966A1" w:rsidRPr="0093044A">
        <w:t xml:space="preserve">with the best fit </w:t>
      </w:r>
      <w:r w:rsidR="00A966A1">
        <w:t xml:space="preserve">with the </w:t>
      </w:r>
      <w:r w:rsidR="00A966A1" w:rsidRPr="0093044A">
        <w:t xml:space="preserve">updated data </w:t>
      </w:r>
      <w:r w:rsidR="00A966A1">
        <w:t xml:space="preserve">applied </w:t>
      </w:r>
      <w:r w:rsidR="008A70FF" w:rsidRPr="0093044A">
        <w:t xml:space="preserve">remained </w:t>
      </w:r>
      <w:r w:rsidR="00865A8C">
        <w:t xml:space="preserve">the </w:t>
      </w:r>
      <w:r w:rsidR="008A70FF" w:rsidRPr="0093044A">
        <w:t>lognormal</w:t>
      </w:r>
      <w:r w:rsidR="00E548E8">
        <w:t xml:space="preserve">. </w:t>
      </w:r>
      <w:r w:rsidR="008A70FF" w:rsidRPr="0093044A">
        <w:t xml:space="preserve">The </w:t>
      </w:r>
      <w:r w:rsidR="00E1622F">
        <w:t xml:space="preserve">PBAC </w:t>
      </w:r>
      <w:r w:rsidR="00D6179D">
        <w:t>accepted the lognormal</w:t>
      </w:r>
      <w:r w:rsidR="0053616C">
        <w:t xml:space="preserve"> function in the base</w:t>
      </w:r>
      <w:r w:rsidR="00FF17A6">
        <w:t xml:space="preserve"> </w:t>
      </w:r>
      <w:r w:rsidR="0053616C">
        <w:t>case,</w:t>
      </w:r>
      <w:r w:rsidR="00D6179D">
        <w:t xml:space="preserve"> </w:t>
      </w:r>
      <w:r w:rsidR="0053616C">
        <w:t xml:space="preserve">noting </w:t>
      </w:r>
      <w:r w:rsidR="008A70FF" w:rsidRPr="0093044A">
        <w:t>that the extent of uncertainty around the extrapolated PFS function was reduced with the additional follow</w:t>
      </w:r>
      <w:r w:rsidR="00B571FA">
        <w:noBreakHyphen/>
      </w:r>
      <w:r w:rsidR="008A70FF" w:rsidRPr="0093044A">
        <w:t xml:space="preserve">up data (see </w:t>
      </w:r>
      <w:r w:rsidR="008A70FF" w:rsidRPr="0093044A">
        <w:fldChar w:fldCharType="begin"/>
      </w:r>
      <w:r w:rsidR="008A70FF" w:rsidRPr="0093044A">
        <w:instrText xml:space="preserve"> REF _Ref222328039 \h </w:instrText>
      </w:r>
      <w:r w:rsidR="008A70FF">
        <w:instrText xml:space="preserve"> \* MERGEFORMAT </w:instrText>
      </w:r>
      <w:r w:rsidR="008A70FF" w:rsidRPr="0093044A">
        <w:fldChar w:fldCharType="separate"/>
      </w:r>
      <w:r w:rsidR="0031315F">
        <w:t>Figure 4</w:t>
      </w:r>
      <w:r w:rsidR="008A70FF" w:rsidRPr="0093044A">
        <w:fldChar w:fldCharType="end"/>
      </w:r>
      <w:r w:rsidR="008A70FF" w:rsidRPr="0093044A">
        <w:t>)</w:t>
      </w:r>
      <w:r w:rsidR="00411637">
        <w:t xml:space="preserve"> and that u</w:t>
      </w:r>
      <w:r w:rsidR="008A70FF" w:rsidRPr="0093044A">
        <w:t>sing the Weibull</w:t>
      </w:r>
      <w:r w:rsidR="00411637">
        <w:t xml:space="preserve"> function </w:t>
      </w:r>
      <w:r w:rsidR="001F7494">
        <w:t xml:space="preserve">instead of the </w:t>
      </w:r>
      <w:r w:rsidR="008A70FF" w:rsidRPr="0093044A">
        <w:t xml:space="preserve">lognormal increased the ICER by </w:t>
      </w:r>
      <w:r w:rsidR="0024159D" w:rsidRPr="0024159D">
        <w:rPr>
          <w:sz w:val="2"/>
          <w:highlight w:val="black"/>
        </w:rPr>
        <w:t>redacted content</w:t>
      </w:r>
      <w:r w:rsidR="008A70FF" w:rsidRPr="0093044A">
        <w:t>%.</w:t>
      </w:r>
    </w:p>
    <w:p w14:paraId="1BBAA425" w14:textId="22219F09" w:rsidR="00B85D52" w:rsidRDefault="00381101" w:rsidP="00F36268">
      <w:pPr>
        <w:pStyle w:val="3-BodyText"/>
        <w:rPr>
          <w:rFonts w:cstheme="minorHAnsi"/>
          <w:snapToGrid w:val="0"/>
          <w:lang w:val="en-GB"/>
        </w:rPr>
      </w:pPr>
      <w:r w:rsidRPr="00AD4091">
        <w:rPr>
          <w:rFonts w:cstheme="minorHAnsi"/>
          <w:snapToGrid w:val="0"/>
          <w:lang w:val="en-GB"/>
        </w:rPr>
        <w:t xml:space="preserve">The PBAC </w:t>
      </w:r>
      <w:r w:rsidR="00170FE1">
        <w:rPr>
          <w:rFonts w:cstheme="minorHAnsi"/>
          <w:snapToGrid w:val="0"/>
          <w:lang w:val="en-GB"/>
        </w:rPr>
        <w:t>noted</w:t>
      </w:r>
      <w:r w:rsidR="007D20FF">
        <w:rPr>
          <w:rFonts w:cstheme="minorHAnsi"/>
          <w:snapToGrid w:val="0"/>
          <w:lang w:val="en-GB"/>
        </w:rPr>
        <w:t xml:space="preserve"> that</w:t>
      </w:r>
      <w:r w:rsidR="007D20FF" w:rsidRPr="00AD4091">
        <w:rPr>
          <w:rFonts w:cstheme="minorHAnsi"/>
          <w:snapToGrid w:val="0"/>
          <w:lang w:val="en-GB"/>
        </w:rPr>
        <w:t xml:space="preserve"> </w:t>
      </w:r>
      <w:r w:rsidRPr="00AD4091" w:rsidDel="00170FE1">
        <w:rPr>
          <w:rFonts w:cstheme="minorHAnsi"/>
          <w:snapToGrid w:val="0"/>
          <w:lang w:val="en-GB"/>
        </w:rPr>
        <w:t xml:space="preserve">the </w:t>
      </w:r>
      <w:r w:rsidR="00D36F73">
        <w:rPr>
          <w:rFonts w:cstheme="minorHAnsi"/>
          <w:snapToGrid w:val="0"/>
          <w:lang w:val="en-GB"/>
        </w:rPr>
        <w:t xml:space="preserve">modelled </w:t>
      </w:r>
      <w:r w:rsidRPr="00AD4091">
        <w:rPr>
          <w:rFonts w:cstheme="minorHAnsi"/>
          <w:snapToGrid w:val="0"/>
          <w:lang w:val="en-GB"/>
        </w:rPr>
        <w:t>mean treatment duration</w:t>
      </w:r>
      <w:r w:rsidR="004D3827">
        <w:rPr>
          <w:rFonts w:cstheme="minorHAnsi"/>
          <w:snapToGrid w:val="0"/>
          <w:lang w:val="en-GB"/>
        </w:rPr>
        <w:t xml:space="preserve"> </w:t>
      </w:r>
      <w:r w:rsidR="00170FE1">
        <w:rPr>
          <w:rFonts w:cstheme="minorHAnsi"/>
          <w:snapToGrid w:val="0"/>
          <w:lang w:val="en-GB"/>
        </w:rPr>
        <w:t xml:space="preserve">increased </w:t>
      </w:r>
      <w:r w:rsidR="004D3827">
        <w:rPr>
          <w:rFonts w:cstheme="minorHAnsi"/>
          <w:snapToGrid w:val="0"/>
          <w:lang w:val="en-GB"/>
        </w:rPr>
        <w:t>from</w:t>
      </w:r>
      <w:r w:rsidRPr="00AD4091">
        <w:rPr>
          <w:rFonts w:cstheme="minorHAnsi"/>
          <w:snapToGrid w:val="0"/>
          <w:lang w:val="en-GB"/>
        </w:rPr>
        <w:t xml:space="preserve"> </w:t>
      </w:r>
      <w:r w:rsidR="004D3827">
        <w:rPr>
          <w:rFonts w:cstheme="minorHAnsi"/>
          <w:snapToGrid w:val="0"/>
          <w:lang w:val="en-GB"/>
        </w:rPr>
        <w:t xml:space="preserve">5.37 years (64.5 months) to </w:t>
      </w:r>
      <w:r w:rsidR="004D3827" w:rsidRPr="00AD4091">
        <w:rPr>
          <w:rFonts w:cstheme="minorHAnsi"/>
          <w:snapToGrid w:val="0"/>
          <w:lang w:val="en-GB"/>
        </w:rPr>
        <w:t xml:space="preserve">10.16 years (121.9 months), </w:t>
      </w:r>
      <w:r w:rsidR="009E2A66" w:rsidRPr="00AD4091">
        <w:rPr>
          <w:rFonts w:cstheme="minorHAnsi"/>
          <w:snapToGrid w:val="0"/>
          <w:lang w:val="en-GB"/>
        </w:rPr>
        <w:t>based on the total progression</w:t>
      </w:r>
      <w:r w:rsidR="00B571FA">
        <w:rPr>
          <w:rFonts w:cstheme="minorHAnsi"/>
          <w:snapToGrid w:val="0"/>
          <w:lang w:val="en-GB"/>
        </w:rPr>
        <w:noBreakHyphen/>
      </w:r>
      <w:r w:rsidR="009E2A66" w:rsidRPr="00AD4091">
        <w:rPr>
          <w:rFonts w:cstheme="minorHAnsi"/>
          <w:snapToGrid w:val="0"/>
          <w:lang w:val="en-GB"/>
        </w:rPr>
        <w:t xml:space="preserve">free life years (undiscounted) </w:t>
      </w:r>
      <w:r w:rsidR="00E44377">
        <w:rPr>
          <w:rFonts w:cstheme="minorHAnsi"/>
          <w:snapToGrid w:val="0"/>
          <w:lang w:val="en-GB"/>
        </w:rPr>
        <w:t xml:space="preserve">over a </w:t>
      </w:r>
      <w:proofErr w:type="gramStart"/>
      <w:r w:rsidR="00E44377">
        <w:rPr>
          <w:rFonts w:cstheme="minorHAnsi"/>
          <w:snapToGrid w:val="0"/>
          <w:lang w:val="en-GB"/>
        </w:rPr>
        <w:t>40 year</w:t>
      </w:r>
      <w:proofErr w:type="gramEnd"/>
      <w:r w:rsidR="00E44377">
        <w:rPr>
          <w:rFonts w:cstheme="minorHAnsi"/>
          <w:snapToGrid w:val="0"/>
          <w:lang w:val="en-GB"/>
        </w:rPr>
        <w:t xml:space="preserve"> time horizon</w:t>
      </w:r>
      <w:r w:rsidR="00170FE1">
        <w:rPr>
          <w:rFonts w:cstheme="minorHAnsi"/>
          <w:snapToGrid w:val="0"/>
          <w:lang w:val="en-GB"/>
        </w:rPr>
        <w:t xml:space="preserve"> </w:t>
      </w:r>
      <w:r w:rsidR="009E2A66" w:rsidRPr="00AD4091">
        <w:rPr>
          <w:rFonts w:cstheme="minorHAnsi"/>
          <w:snapToGrid w:val="0"/>
          <w:lang w:val="en-GB"/>
        </w:rPr>
        <w:t>for the vorasidenib arm</w:t>
      </w:r>
      <w:r w:rsidRPr="00AD4091">
        <w:rPr>
          <w:rFonts w:cstheme="minorHAnsi"/>
          <w:snapToGrid w:val="0"/>
          <w:lang w:val="en-GB"/>
        </w:rPr>
        <w:t>.</w:t>
      </w:r>
      <w:r w:rsidR="004817FC" w:rsidRPr="00AD4091">
        <w:rPr>
          <w:rFonts w:cstheme="minorHAnsi"/>
          <w:snapToGrid w:val="0"/>
          <w:lang w:val="en-GB"/>
        </w:rPr>
        <w:t xml:space="preserve"> </w:t>
      </w:r>
      <w:r w:rsidR="00D36F73">
        <w:t xml:space="preserve">The PBAC noted that </w:t>
      </w:r>
      <w:r w:rsidR="00B92CE5">
        <w:t xml:space="preserve">this increase was </w:t>
      </w:r>
      <w:r w:rsidR="00C451BD">
        <w:t xml:space="preserve">mainly </w:t>
      </w:r>
      <w:r w:rsidR="00B92CE5">
        <w:t xml:space="preserve">due to </w:t>
      </w:r>
      <w:r w:rsidR="004817FC" w:rsidRPr="00AD4091">
        <w:rPr>
          <w:rFonts w:cstheme="minorHAnsi"/>
          <w:snapToGrid w:val="0"/>
          <w:lang w:val="en-GB"/>
        </w:rPr>
        <w:t>the switch from PFS (BIRC) to PFS (INV)</w:t>
      </w:r>
      <w:r w:rsidR="00A9080F">
        <w:rPr>
          <w:rFonts w:cstheme="minorHAnsi"/>
          <w:snapToGrid w:val="0"/>
          <w:lang w:val="en-GB"/>
        </w:rPr>
        <w:t xml:space="preserve">. The PBAC considered that the longer treatment duration assumed in the </w:t>
      </w:r>
      <w:r w:rsidR="006D6D89">
        <w:rPr>
          <w:rFonts w:cstheme="minorHAnsi"/>
          <w:snapToGrid w:val="0"/>
          <w:lang w:val="en-GB"/>
        </w:rPr>
        <w:t>resubmission</w:t>
      </w:r>
      <w:r w:rsidR="00A9080F">
        <w:rPr>
          <w:rFonts w:cstheme="minorHAnsi"/>
          <w:snapToGrid w:val="0"/>
          <w:lang w:val="en-GB"/>
        </w:rPr>
        <w:t xml:space="preserve"> was plausible based on the </w:t>
      </w:r>
      <w:r w:rsidR="00945FC7">
        <w:rPr>
          <w:rFonts w:cstheme="minorHAnsi"/>
          <w:snapToGrid w:val="0"/>
          <w:lang w:val="en-GB"/>
        </w:rPr>
        <w:t>longer PFS follow</w:t>
      </w:r>
      <w:r w:rsidR="00B571FA">
        <w:rPr>
          <w:rFonts w:cstheme="minorHAnsi"/>
          <w:snapToGrid w:val="0"/>
          <w:lang w:val="en-GB"/>
        </w:rPr>
        <w:noBreakHyphen/>
      </w:r>
      <w:r w:rsidR="00945FC7">
        <w:rPr>
          <w:rFonts w:cstheme="minorHAnsi"/>
          <w:snapToGrid w:val="0"/>
          <w:lang w:val="en-GB"/>
        </w:rPr>
        <w:t xml:space="preserve">up and the </w:t>
      </w:r>
      <w:r w:rsidR="00A9080F">
        <w:rPr>
          <w:rFonts w:cstheme="minorHAnsi"/>
          <w:snapToGrid w:val="0"/>
          <w:lang w:val="en-GB"/>
        </w:rPr>
        <w:t>slow</w:t>
      </w:r>
      <w:r w:rsidR="00B571FA">
        <w:rPr>
          <w:rFonts w:cstheme="minorHAnsi"/>
          <w:snapToGrid w:val="0"/>
          <w:lang w:val="en-GB"/>
        </w:rPr>
        <w:noBreakHyphen/>
      </w:r>
      <w:r w:rsidR="00A9080F">
        <w:rPr>
          <w:rFonts w:cstheme="minorHAnsi"/>
          <w:snapToGrid w:val="0"/>
          <w:lang w:val="en-GB"/>
        </w:rPr>
        <w:t>progressing</w:t>
      </w:r>
      <w:r w:rsidR="00986DB3">
        <w:rPr>
          <w:rFonts w:cstheme="minorHAnsi"/>
          <w:snapToGrid w:val="0"/>
          <w:lang w:val="en-GB"/>
        </w:rPr>
        <w:t xml:space="preserve"> </w:t>
      </w:r>
      <w:r w:rsidR="00945FC7">
        <w:rPr>
          <w:rFonts w:cstheme="minorHAnsi"/>
          <w:snapToGrid w:val="0"/>
          <w:lang w:val="en-GB"/>
        </w:rPr>
        <w:t xml:space="preserve">nature of the </w:t>
      </w:r>
      <w:proofErr w:type="gramStart"/>
      <w:r w:rsidR="00945FC7">
        <w:rPr>
          <w:rFonts w:cstheme="minorHAnsi"/>
          <w:snapToGrid w:val="0"/>
          <w:lang w:val="en-GB"/>
        </w:rPr>
        <w:t>disease</w:t>
      </w:r>
      <w:r w:rsidR="00A435C3">
        <w:rPr>
          <w:rFonts w:cstheme="minorHAnsi"/>
          <w:snapToGrid w:val="0"/>
          <w:lang w:val="en-GB"/>
        </w:rPr>
        <w:t>,</w:t>
      </w:r>
      <w:r w:rsidR="00945FC7">
        <w:rPr>
          <w:rFonts w:cstheme="minorHAnsi"/>
          <w:snapToGrid w:val="0"/>
          <w:lang w:val="en-GB"/>
        </w:rPr>
        <w:t xml:space="preserve"> </w:t>
      </w:r>
      <w:r w:rsidR="00FF2C48">
        <w:rPr>
          <w:rFonts w:cstheme="minorHAnsi"/>
          <w:snapToGrid w:val="0"/>
          <w:lang w:val="en-GB"/>
        </w:rPr>
        <w:t>and</w:t>
      </w:r>
      <w:proofErr w:type="gramEnd"/>
      <w:r w:rsidR="00FF2C48">
        <w:rPr>
          <w:rFonts w:cstheme="minorHAnsi"/>
          <w:snapToGrid w:val="0"/>
          <w:lang w:val="en-GB"/>
        </w:rPr>
        <w:t xml:space="preserve"> </w:t>
      </w:r>
      <w:r w:rsidR="00A435C3">
        <w:rPr>
          <w:rFonts w:cstheme="minorHAnsi"/>
          <w:snapToGrid w:val="0"/>
          <w:lang w:val="en-GB"/>
        </w:rPr>
        <w:t xml:space="preserve">accepted that </w:t>
      </w:r>
      <w:r w:rsidR="002E648D">
        <w:rPr>
          <w:rFonts w:cstheme="minorHAnsi"/>
          <w:snapToGrid w:val="0"/>
          <w:lang w:val="en-GB"/>
        </w:rPr>
        <w:t>PFS (INV) would better represent clinical practice</w:t>
      </w:r>
      <w:r w:rsidR="004817FC" w:rsidRPr="00AD4091">
        <w:rPr>
          <w:rFonts w:cstheme="minorHAnsi"/>
          <w:snapToGrid w:val="0"/>
          <w:lang w:val="en-GB"/>
        </w:rPr>
        <w:t>.</w:t>
      </w:r>
      <w:r w:rsidR="00FF2C48">
        <w:rPr>
          <w:rFonts w:cstheme="minorHAnsi"/>
          <w:snapToGrid w:val="0"/>
          <w:lang w:val="en-GB"/>
        </w:rPr>
        <w:t xml:space="preserve"> However, the PBAC noted that </w:t>
      </w:r>
      <w:r w:rsidR="00C03A75">
        <w:rPr>
          <w:rFonts w:cstheme="minorHAnsi"/>
          <w:snapToGrid w:val="0"/>
          <w:lang w:val="en-GB"/>
        </w:rPr>
        <w:t xml:space="preserve">input from the sponsor hearing suggested that clinicians may also look to stop treatment </w:t>
      </w:r>
      <w:r w:rsidR="00435E54">
        <w:rPr>
          <w:rFonts w:cstheme="minorHAnsi"/>
          <w:snapToGrid w:val="0"/>
          <w:lang w:val="en-GB"/>
        </w:rPr>
        <w:t>or have a treatment break after approximately 5 years.</w:t>
      </w:r>
    </w:p>
    <w:p w14:paraId="434F5DD6" w14:textId="4FB02E65" w:rsidR="005260B3" w:rsidRPr="00AD4091" w:rsidRDefault="005260B3" w:rsidP="00F36268">
      <w:pPr>
        <w:pStyle w:val="3-BodyText"/>
        <w:rPr>
          <w:rFonts w:cstheme="minorHAnsi"/>
          <w:snapToGrid w:val="0"/>
          <w:lang w:val="en-GB"/>
        </w:rPr>
      </w:pPr>
      <w:r>
        <w:t>The</w:t>
      </w:r>
      <w:r w:rsidR="00101C5D">
        <w:t xml:space="preserve"> PBAC </w:t>
      </w:r>
      <w:r w:rsidR="000674A9">
        <w:t xml:space="preserve">noted the </w:t>
      </w:r>
      <w:r>
        <w:t>resubmission did not revise the utility values in the base case as requested.</w:t>
      </w:r>
      <w:r w:rsidR="000674A9">
        <w:t xml:space="preserve"> </w:t>
      </w:r>
      <w:r w:rsidR="00616830">
        <w:t xml:space="preserve">The PBAC recalled </w:t>
      </w:r>
      <w:r w:rsidR="00670774">
        <w:t xml:space="preserve">that in </w:t>
      </w:r>
      <w:r w:rsidR="00616830">
        <w:t>July 2025</w:t>
      </w:r>
      <w:r w:rsidR="00670774">
        <w:t>,</w:t>
      </w:r>
      <w:r w:rsidR="00616830">
        <w:t xml:space="preserve"> </w:t>
      </w:r>
      <w:r w:rsidR="006371D3">
        <w:t>it</w:t>
      </w:r>
      <w:r w:rsidR="00616830">
        <w:t xml:space="preserve"> noted that the health state utilities, though based on the available </w:t>
      </w:r>
      <w:r w:rsidR="00616830" w:rsidRPr="003D59F9">
        <w:rPr>
          <w:snapToGrid w:val="0"/>
          <w:lang w:val="en-GB"/>
        </w:rPr>
        <w:t xml:space="preserve">quality of life </w:t>
      </w:r>
      <w:r w:rsidR="00616830">
        <w:t>data from INDIGO, appeared high given the symptom burden for patients with glioma (paragraph 7.12, vorasidenib PSD, July 2025 PBAC meeting) and considered that the economic model should be revised to use values as per the d</w:t>
      </w:r>
      <w:proofErr w:type="spellStart"/>
      <w:r w:rsidR="00616830">
        <w:rPr>
          <w:lang w:val="en-GB"/>
        </w:rPr>
        <w:t>abrafenib</w:t>
      </w:r>
      <w:proofErr w:type="spellEnd"/>
      <w:r w:rsidR="00616830">
        <w:rPr>
          <w:lang w:val="en-GB"/>
        </w:rPr>
        <w:t xml:space="preserve"> + trametinib submission </w:t>
      </w:r>
      <w:r w:rsidR="00616830">
        <w:t xml:space="preserve">(paragraph 7.15, vorasidenib PSD, July 2025 PBAC meeting). </w:t>
      </w:r>
      <w:r w:rsidR="000674A9">
        <w:t>The</w:t>
      </w:r>
      <w:r w:rsidR="002E7DEF">
        <w:t xml:space="preserve"> </w:t>
      </w:r>
      <w:r>
        <w:t>resubmission</w:t>
      </w:r>
      <w:r w:rsidR="00D349CD">
        <w:t xml:space="preserve"> argued </w:t>
      </w:r>
      <w:r>
        <w:t>that the utility values from INDIGO were specific to the relevant patient population, whereas the values used in the d</w:t>
      </w:r>
      <w:proofErr w:type="spellStart"/>
      <w:r>
        <w:rPr>
          <w:lang w:val="en-GB"/>
        </w:rPr>
        <w:t>abrafenib</w:t>
      </w:r>
      <w:proofErr w:type="spellEnd"/>
      <w:r>
        <w:rPr>
          <w:lang w:val="en-GB"/>
        </w:rPr>
        <w:t xml:space="preserve"> + trametinib submission reflect quality of life in patients with </w:t>
      </w:r>
      <w:r w:rsidRPr="005B5364">
        <w:t>with high</w:t>
      </w:r>
      <w:r w:rsidR="00B571FA">
        <w:noBreakHyphen/>
      </w:r>
      <w:r w:rsidRPr="005B5364">
        <w:t>grade glioma</w:t>
      </w:r>
      <w:r w:rsidRPr="00BF150F">
        <w:t xml:space="preserve"> </w:t>
      </w:r>
      <w:r w:rsidRPr="002E34EE">
        <w:t>who</w:t>
      </w:r>
      <w:r w:rsidRPr="00BF150F">
        <w:t xml:space="preserve"> are stable after surgery</w:t>
      </w:r>
      <w:r>
        <w:t xml:space="preserve">, without undergoing radiotherapy or chemotherapy. </w:t>
      </w:r>
      <w:r w:rsidR="00B54BD9">
        <w:t xml:space="preserve">The </w:t>
      </w:r>
      <w:r w:rsidR="006B334E">
        <w:t xml:space="preserve">resubmission also argued that the approach to the linear decline in </w:t>
      </w:r>
      <w:r w:rsidR="006E4E08">
        <w:t>post</w:t>
      </w:r>
      <w:r w:rsidR="00B571FA">
        <w:noBreakHyphen/>
      </w:r>
      <w:r w:rsidR="006E4E08">
        <w:t>progression</w:t>
      </w:r>
      <w:r w:rsidR="00D355C4">
        <w:t xml:space="preserve"> </w:t>
      </w:r>
      <w:r w:rsidR="006B334E">
        <w:t xml:space="preserve">utility </w:t>
      </w:r>
      <w:r w:rsidR="009E7599">
        <w:t xml:space="preserve">reflected the </w:t>
      </w:r>
      <w:r w:rsidR="00D355C4">
        <w:t xml:space="preserve">stepwise decline in </w:t>
      </w:r>
      <w:r w:rsidR="002014E0">
        <w:t>QoL</w:t>
      </w:r>
      <w:r w:rsidR="00900C36">
        <w:t>. Th</w:t>
      </w:r>
      <w:r w:rsidR="00376B77">
        <w:t>e PBAC note</w:t>
      </w:r>
      <w:r w:rsidR="00214CA1">
        <w:t>d</w:t>
      </w:r>
      <w:r w:rsidR="00376B77">
        <w:t xml:space="preserve"> this</w:t>
      </w:r>
      <w:r w:rsidR="002014E0">
        <w:t xml:space="preserve"> was consistent with information provided in the sponsor hearing.</w:t>
      </w:r>
      <w:r w:rsidR="009E7599">
        <w:t xml:space="preserve"> </w:t>
      </w:r>
      <w:r w:rsidR="00D349CD">
        <w:t xml:space="preserve">The PBAC </w:t>
      </w:r>
      <w:r w:rsidR="009E09E9">
        <w:t xml:space="preserve">noted that the ICER increased to </w:t>
      </w:r>
      <w:r w:rsidR="001D38AB" w:rsidRPr="001D38AB">
        <w:t>$115,000 to &lt; $135,000</w:t>
      </w:r>
      <w:r w:rsidR="00214CA1">
        <w:t>/QALY</w:t>
      </w:r>
      <w:r w:rsidR="005C5D45">
        <w:t xml:space="preserve"> </w:t>
      </w:r>
      <w:r w:rsidR="009E09E9">
        <w:t xml:space="preserve">when </w:t>
      </w:r>
      <w:r w:rsidR="0070327C">
        <w:t>the</w:t>
      </w:r>
      <w:r w:rsidR="009E09E9">
        <w:t xml:space="preserve"> </w:t>
      </w:r>
      <w:r w:rsidR="0070327C">
        <w:t>d</w:t>
      </w:r>
      <w:proofErr w:type="spellStart"/>
      <w:r w:rsidR="0070327C">
        <w:rPr>
          <w:lang w:val="en-GB"/>
        </w:rPr>
        <w:t>abrafenib</w:t>
      </w:r>
      <w:proofErr w:type="spellEnd"/>
      <w:r w:rsidR="0070327C">
        <w:rPr>
          <w:lang w:val="en-GB"/>
        </w:rPr>
        <w:t xml:space="preserve"> + trametinib </w:t>
      </w:r>
      <w:r w:rsidR="009E4291">
        <w:rPr>
          <w:lang w:val="en-GB"/>
        </w:rPr>
        <w:lastRenderedPageBreak/>
        <w:t xml:space="preserve">utility values </w:t>
      </w:r>
      <w:r w:rsidR="0070327C">
        <w:rPr>
          <w:lang w:val="en-GB"/>
        </w:rPr>
        <w:t>were applied</w:t>
      </w:r>
      <w:r w:rsidR="009E4291">
        <w:rPr>
          <w:lang w:val="en-GB"/>
        </w:rPr>
        <w:t xml:space="preserve"> without linear decline</w:t>
      </w:r>
      <w:r w:rsidR="0070327C">
        <w:rPr>
          <w:lang w:val="en-GB"/>
        </w:rPr>
        <w:t xml:space="preserve">. The PBAC considered there was uncertainty in the </w:t>
      </w:r>
      <w:r w:rsidR="009E4291">
        <w:rPr>
          <w:lang w:val="en-GB"/>
        </w:rPr>
        <w:t xml:space="preserve">values </w:t>
      </w:r>
      <w:proofErr w:type="gramStart"/>
      <w:r w:rsidR="009E4291">
        <w:rPr>
          <w:lang w:val="en-GB"/>
        </w:rPr>
        <w:t>applied</w:t>
      </w:r>
      <w:r w:rsidR="00AC2F6A">
        <w:rPr>
          <w:lang w:val="en-GB"/>
        </w:rPr>
        <w:t>,</w:t>
      </w:r>
      <w:r w:rsidR="009E4291">
        <w:rPr>
          <w:lang w:val="en-GB"/>
        </w:rPr>
        <w:t xml:space="preserve"> but</w:t>
      </w:r>
      <w:proofErr w:type="gramEnd"/>
      <w:r w:rsidR="009E4291">
        <w:rPr>
          <w:lang w:val="en-GB"/>
        </w:rPr>
        <w:t xml:space="preserve"> </w:t>
      </w:r>
      <w:r w:rsidR="00D349CD">
        <w:t xml:space="preserve">accepted the utility values </w:t>
      </w:r>
      <w:r w:rsidR="007F452D">
        <w:t>and linear decline in post</w:t>
      </w:r>
      <w:r w:rsidR="00B571FA">
        <w:noBreakHyphen/>
      </w:r>
      <w:r w:rsidR="007F452D">
        <w:t xml:space="preserve">progression utility </w:t>
      </w:r>
      <w:r w:rsidR="00DA033F">
        <w:t>as applied in the resubmission base case</w:t>
      </w:r>
      <w:r w:rsidR="00C53486">
        <w:t xml:space="preserve"> were reasonable</w:t>
      </w:r>
      <w:r w:rsidR="00AC2F6A">
        <w:t>.</w:t>
      </w:r>
      <w:r w:rsidR="003023C5">
        <w:t xml:space="preserve"> </w:t>
      </w:r>
    </w:p>
    <w:p w14:paraId="7B3D26C3" w14:textId="44BAE306" w:rsidR="00204907" w:rsidRPr="00C84C16" w:rsidRDefault="00912D0A" w:rsidP="00F36268">
      <w:pPr>
        <w:pStyle w:val="3-BodyText"/>
        <w:rPr>
          <w:snapToGrid w:val="0"/>
          <w:color w:val="C0504D" w:themeColor="accent2"/>
        </w:rPr>
      </w:pPr>
      <w:r w:rsidRPr="00C84C16">
        <w:rPr>
          <w:rFonts w:cstheme="minorHAnsi"/>
          <w:snapToGrid w:val="0"/>
        </w:rPr>
        <w:t>The PBAC noted that the resubmission included a reduction in the proposed price for vorasidenib</w:t>
      </w:r>
      <w:r w:rsidR="00355F17" w:rsidRPr="00C84C16">
        <w:rPr>
          <w:rFonts w:cstheme="minorHAnsi"/>
          <w:snapToGrid w:val="0"/>
        </w:rPr>
        <w:t xml:space="preserve">. </w:t>
      </w:r>
      <w:bookmarkStart w:id="25" w:name="_Ref203734817"/>
      <w:r w:rsidR="006C46C7">
        <w:t xml:space="preserve">The PBAC noted </w:t>
      </w:r>
      <w:r w:rsidR="005F4BA6" w:rsidRPr="00293DFD">
        <w:t xml:space="preserve">the </w:t>
      </w:r>
      <w:r w:rsidR="000E78C4">
        <w:t xml:space="preserve">resubmission’s </w:t>
      </w:r>
      <w:r w:rsidR="005F4BA6" w:rsidRPr="00176248">
        <w:t>base case ICER exceed</w:t>
      </w:r>
      <w:r w:rsidR="00842C0E" w:rsidRPr="00176248">
        <w:t>ed the</w:t>
      </w:r>
      <w:r w:rsidR="005F4BA6" w:rsidRPr="00176248">
        <w:t xml:space="preserve"> </w:t>
      </w:r>
      <w:r w:rsidR="001A6C44" w:rsidRPr="001A6C44">
        <w:t>$75,000 to &lt; $95,000</w:t>
      </w:r>
      <w:r w:rsidR="005F4BA6" w:rsidRPr="00176248">
        <w:t xml:space="preserve">/QALY requested by the PBAC </w:t>
      </w:r>
      <w:r w:rsidR="00842C0E" w:rsidRPr="00176248">
        <w:t>previously. However, t</w:t>
      </w:r>
      <w:r w:rsidR="00204907" w:rsidRPr="00176248">
        <w:rPr>
          <w:snapToGrid w:val="0"/>
        </w:rPr>
        <w:t>he PBAC considered that</w:t>
      </w:r>
      <w:r w:rsidR="00C84C16" w:rsidRPr="00176248">
        <w:rPr>
          <w:snapToGrid w:val="0"/>
        </w:rPr>
        <w:t xml:space="preserve"> </w:t>
      </w:r>
      <w:r w:rsidR="00842C0E" w:rsidRPr="00176248">
        <w:rPr>
          <w:snapToGrid w:val="0"/>
        </w:rPr>
        <w:t xml:space="preserve">the additional </w:t>
      </w:r>
      <w:r w:rsidR="00FB2176" w:rsidRPr="00176248">
        <w:rPr>
          <w:snapToGrid w:val="0"/>
        </w:rPr>
        <w:t xml:space="preserve">PFS data </w:t>
      </w:r>
      <w:r w:rsidR="00AB0C3E">
        <w:rPr>
          <w:snapToGrid w:val="0"/>
        </w:rPr>
        <w:t>helped to</w:t>
      </w:r>
      <w:r w:rsidR="00C84C16" w:rsidRPr="00176248">
        <w:rPr>
          <w:snapToGrid w:val="0"/>
        </w:rPr>
        <w:t xml:space="preserve"> address</w:t>
      </w:r>
      <w:r w:rsidR="00AB0C3E">
        <w:rPr>
          <w:snapToGrid w:val="0"/>
        </w:rPr>
        <w:t xml:space="preserve"> </w:t>
      </w:r>
      <w:r w:rsidR="000F4726">
        <w:rPr>
          <w:snapToGrid w:val="0"/>
        </w:rPr>
        <w:t xml:space="preserve">the uncertainty </w:t>
      </w:r>
      <w:r w:rsidR="0050395B">
        <w:rPr>
          <w:snapToGrid w:val="0"/>
        </w:rPr>
        <w:t>from the previous consideration.</w:t>
      </w:r>
      <w:bookmarkEnd w:id="25"/>
      <w:r w:rsidR="0050395B">
        <w:rPr>
          <w:snapToGrid w:val="0"/>
        </w:rPr>
        <w:t xml:space="preserve"> </w:t>
      </w:r>
      <w:r w:rsidR="00F55AE5">
        <w:t>The</w:t>
      </w:r>
      <w:r w:rsidR="00EC59B8">
        <w:t>refore, the</w:t>
      </w:r>
      <w:r w:rsidR="00F55AE5">
        <w:t xml:space="preserve"> PB</w:t>
      </w:r>
      <w:r w:rsidR="00EC59B8">
        <w:t>A</w:t>
      </w:r>
      <w:r w:rsidR="00F55AE5">
        <w:t xml:space="preserve">C </w:t>
      </w:r>
      <w:r w:rsidR="00EC59B8">
        <w:t xml:space="preserve">accepted the </w:t>
      </w:r>
      <w:r w:rsidR="00F55AE5">
        <w:t xml:space="preserve">revised ICER </w:t>
      </w:r>
      <w:r w:rsidR="00EC59B8">
        <w:t xml:space="preserve">of </w:t>
      </w:r>
      <w:r w:rsidR="0003206F" w:rsidRPr="0003206F">
        <w:t xml:space="preserve">$95,000 to &lt; $115,000 </w:t>
      </w:r>
      <w:r w:rsidR="005D48FB">
        <w:t>/</w:t>
      </w:r>
      <w:r w:rsidR="00F55AE5">
        <w:t>QALY.</w:t>
      </w:r>
      <w:r w:rsidR="003023C5">
        <w:t xml:space="preserve"> </w:t>
      </w:r>
    </w:p>
    <w:p w14:paraId="090F20BD" w14:textId="5DA0378D" w:rsidR="00481EFF" w:rsidRPr="004E6602" w:rsidRDefault="003C5407" w:rsidP="00F36268">
      <w:pPr>
        <w:pStyle w:val="3-BodyText"/>
        <w:rPr>
          <w:rFonts w:cstheme="minorHAnsi"/>
          <w:snapToGrid w:val="0"/>
          <w:lang w:val="en-GB"/>
        </w:rPr>
      </w:pPr>
      <w:r>
        <w:rPr>
          <w:rFonts w:cstheme="minorHAnsi"/>
          <w:snapToGrid w:val="0"/>
        </w:rPr>
        <w:t>R</w:t>
      </w:r>
      <w:r w:rsidR="00F80939" w:rsidRPr="004E6602">
        <w:rPr>
          <w:rFonts w:cstheme="minorHAnsi"/>
          <w:snapToGrid w:val="0"/>
        </w:rPr>
        <w:t>egarding the utilisation and financial estimates (see</w:t>
      </w:r>
      <w:r w:rsidR="003023C5">
        <w:rPr>
          <w:rFonts w:cstheme="minorHAnsi"/>
          <w:snapToGrid w:val="0"/>
        </w:rPr>
        <w:t xml:space="preserve"> </w:t>
      </w:r>
      <w:r w:rsidR="00F80939" w:rsidRPr="004E6602">
        <w:rPr>
          <w:rFonts w:cstheme="minorHAnsi"/>
          <w:snapToGrid w:val="0"/>
        </w:rPr>
        <w:fldChar w:fldCharType="begin"/>
      </w:r>
      <w:r w:rsidR="00F80939" w:rsidRPr="004E6602">
        <w:rPr>
          <w:rFonts w:cstheme="minorHAnsi"/>
          <w:snapToGrid w:val="0"/>
        </w:rPr>
        <w:instrText xml:space="preserve"> REF _Ref225386336 \h </w:instrText>
      </w:r>
      <w:r w:rsidR="00F80939" w:rsidRPr="004E6602">
        <w:rPr>
          <w:rFonts w:cstheme="minorHAnsi"/>
          <w:snapToGrid w:val="0"/>
        </w:rPr>
      </w:r>
      <w:r w:rsidR="00F80939" w:rsidRPr="004E6602">
        <w:rPr>
          <w:rFonts w:cstheme="minorHAnsi"/>
          <w:snapToGrid w:val="0"/>
        </w:rPr>
        <w:fldChar w:fldCharType="separate"/>
      </w:r>
      <w:r w:rsidR="0031315F">
        <w:t xml:space="preserve">Table </w:t>
      </w:r>
      <w:r w:rsidR="0031315F">
        <w:rPr>
          <w:noProof/>
        </w:rPr>
        <w:t>1</w:t>
      </w:r>
      <w:r w:rsidR="00F80939" w:rsidRPr="004E6602">
        <w:rPr>
          <w:rFonts w:cstheme="minorHAnsi"/>
          <w:snapToGrid w:val="0"/>
        </w:rPr>
        <w:fldChar w:fldCharType="end"/>
      </w:r>
      <w:r w:rsidR="00F80939" w:rsidRPr="004E6602">
        <w:rPr>
          <w:rFonts w:cstheme="minorHAnsi"/>
          <w:snapToGrid w:val="0"/>
        </w:rPr>
        <w:t xml:space="preserve"> and paragraph </w:t>
      </w:r>
      <w:r w:rsidR="00E8175D" w:rsidRPr="004E6602">
        <w:rPr>
          <w:rFonts w:cstheme="minorHAnsi"/>
          <w:snapToGrid w:val="0"/>
        </w:rPr>
        <w:fldChar w:fldCharType="begin"/>
      </w:r>
      <w:r w:rsidR="00E8175D" w:rsidRPr="004E6602">
        <w:rPr>
          <w:rFonts w:cstheme="minorHAnsi"/>
          <w:snapToGrid w:val="0"/>
        </w:rPr>
        <w:instrText xml:space="preserve"> REF _Ref225386562 \r \h </w:instrText>
      </w:r>
      <w:r w:rsidR="00E8175D" w:rsidRPr="004E6602">
        <w:rPr>
          <w:rFonts w:cstheme="minorHAnsi"/>
          <w:snapToGrid w:val="0"/>
        </w:rPr>
      </w:r>
      <w:r w:rsidR="00E8175D" w:rsidRPr="004E6602">
        <w:rPr>
          <w:rFonts w:cstheme="minorHAnsi"/>
          <w:snapToGrid w:val="0"/>
        </w:rPr>
        <w:fldChar w:fldCharType="separate"/>
      </w:r>
      <w:r w:rsidR="00490573">
        <w:rPr>
          <w:rFonts w:cstheme="minorHAnsi"/>
          <w:snapToGrid w:val="0"/>
        </w:rPr>
        <w:t>4.34</w:t>
      </w:r>
      <w:r w:rsidR="00E8175D" w:rsidRPr="004E6602">
        <w:rPr>
          <w:rFonts w:cstheme="minorHAnsi"/>
          <w:snapToGrid w:val="0"/>
        </w:rPr>
        <w:fldChar w:fldCharType="end"/>
      </w:r>
      <w:r w:rsidR="00F80939" w:rsidRPr="004E6602">
        <w:rPr>
          <w:rFonts w:cstheme="minorHAnsi"/>
          <w:snapToGrid w:val="0"/>
        </w:rPr>
        <w:t>)</w:t>
      </w:r>
      <w:r w:rsidR="00704627">
        <w:rPr>
          <w:rFonts w:cstheme="minorHAnsi"/>
          <w:snapToGrid w:val="0"/>
        </w:rPr>
        <w:t>, the PBAC recalled its advice that</w:t>
      </w:r>
      <w:r w:rsidR="00F80939" w:rsidRPr="004E6602">
        <w:rPr>
          <w:rFonts w:cstheme="minorHAnsi"/>
          <w:snapToGrid w:val="0"/>
        </w:rPr>
        <w:t xml:space="preserve"> </w:t>
      </w:r>
      <w:r w:rsidR="00704627">
        <w:rPr>
          <w:rFonts w:cstheme="minorHAnsi"/>
          <w:snapToGrid w:val="0"/>
        </w:rPr>
        <w:t xml:space="preserve">they </w:t>
      </w:r>
      <w:r w:rsidR="003C72F0">
        <w:t xml:space="preserve">should include </w:t>
      </w:r>
      <w:r w:rsidR="003C72F0" w:rsidRPr="005B0930">
        <w:t xml:space="preserve">corrections to </w:t>
      </w:r>
      <w:r w:rsidR="0023000B">
        <w:t xml:space="preserve">the </w:t>
      </w:r>
      <w:r w:rsidR="003C72F0" w:rsidRPr="005B0930">
        <w:t xml:space="preserve">cost and persistence rate calculations, prevalent patients from before 2020 and </w:t>
      </w:r>
      <w:r w:rsidR="00DE0A28">
        <w:t xml:space="preserve">a </w:t>
      </w:r>
      <w:r w:rsidR="003C72F0" w:rsidRPr="005B0930">
        <w:t>revised mean treatment duration</w:t>
      </w:r>
      <w:r w:rsidR="003C72F0">
        <w:t>.</w:t>
      </w:r>
      <w:r w:rsidR="004E6602">
        <w:rPr>
          <w:rFonts w:cstheme="minorHAnsi"/>
          <w:snapToGrid w:val="0"/>
        </w:rPr>
        <w:t xml:space="preserve"> </w:t>
      </w:r>
      <w:r w:rsidR="00481EFF" w:rsidRPr="004E6602">
        <w:rPr>
          <w:rFonts w:cstheme="minorHAnsi"/>
          <w:snapToGrid w:val="0"/>
        </w:rPr>
        <w:t>The PBAC noted the financial estimates were revised as requested and appeared to be reasonable.</w:t>
      </w:r>
      <w:r w:rsidR="00E3416E" w:rsidRPr="00E3416E">
        <w:t xml:space="preserve"> </w:t>
      </w:r>
      <w:r w:rsidR="00F410A2">
        <w:t>The PBAC noted that d</w:t>
      </w:r>
      <w:r w:rsidR="00E3416E" w:rsidRPr="00265ED8">
        <w:t>espite the increase in patient numbers</w:t>
      </w:r>
      <w:r w:rsidR="008434C1">
        <w:t>,</w:t>
      </w:r>
      <w:r w:rsidR="00E3416E" w:rsidRPr="00265ED8">
        <w:t xml:space="preserve"> the net cost over 6 years remained similar to the July 2025 submission due to the reduced price for vorasidenib.</w:t>
      </w:r>
    </w:p>
    <w:p w14:paraId="1326B00A" w14:textId="0230BAD0" w:rsidR="00D57614" w:rsidRPr="00411F83" w:rsidRDefault="009467D4" w:rsidP="00F36268">
      <w:pPr>
        <w:pStyle w:val="3-BodyText"/>
        <w:rPr>
          <w:snapToGrid w:val="0"/>
        </w:rPr>
      </w:pPr>
      <w:r w:rsidRPr="00411F83">
        <w:rPr>
          <w:rFonts w:eastAsiaTheme="minorEastAsia"/>
          <w:lang w:val="en-GB"/>
        </w:rPr>
        <w:t xml:space="preserve">The PBAC noted the resubmission’s proposal </w:t>
      </w:r>
      <w:r w:rsidR="00B831A5" w:rsidRPr="00411F83">
        <w:rPr>
          <w:rFonts w:eastAsiaTheme="minorEastAsia"/>
          <w:lang w:val="en-GB"/>
        </w:rPr>
        <w:t xml:space="preserve">of a </w:t>
      </w:r>
      <w:r w:rsidR="00B831A5" w:rsidRPr="00411F83">
        <w:rPr>
          <w:rFonts w:eastAsiaTheme="minorEastAsia"/>
        </w:rPr>
        <w:t>two</w:t>
      </w:r>
      <w:r w:rsidR="00B571FA">
        <w:rPr>
          <w:rFonts w:eastAsiaTheme="minorEastAsia"/>
        </w:rPr>
        <w:noBreakHyphen/>
      </w:r>
      <w:r w:rsidR="00B831A5" w:rsidRPr="00411F83">
        <w:rPr>
          <w:rFonts w:eastAsiaTheme="minorEastAsia"/>
        </w:rPr>
        <w:t xml:space="preserve">tier RSA, with Tier 1 set at the level of the base case estimates and Tier 2 set at </w:t>
      </w:r>
      <w:r w:rsidR="0024159D" w:rsidRPr="0024159D">
        <w:rPr>
          <w:rFonts w:eastAsiaTheme="minorEastAsia"/>
          <w:sz w:val="2"/>
          <w:highlight w:val="black"/>
        </w:rPr>
        <w:t>redacted content</w:t>
      </w:r>
      <w:r w:rsidR="00B831A5" w:rsidRPr="00411F83">
        <w:rPr>
          <w:rFonts w:eastAsiaTheme="minorEastAsia"/>
        </w:rPr>
        <w:t>% higher than Tier 1</w:t>
      </w:r>
      <w:r w:rsidR="00384644" w:rsidRPr="00411F83">
        <w:rPr>
          <w:rFonts w:eastAsiaTheme="minorEastAsia"/>
        </w:rPr>
        <w:t xml:space="preserve">, </w:t>
      </w:r>
      <w:r w:rsidR="00316046">
        <w:rPr>
          <w:rFonts w:eastAsiaTheme="minorEastAsia"/>
        </w:rPr>
        <w:t>with a</w:t>
      </w:r>
      <w:r w:rsidR="00B831A5" w:rsidRPr="00411F83">
        <w:rPr>
          <w:rFonts w:eastAsiaTheme="minorEastAsia"/>
        </w:rPr>
        <w:t xml:space="preserve"> rebate of </w:t>
      </w:r>
      <w:r w:rsidR="0024159D" w:rsidRPr="0024159D">
        <w:rPr>
          <w:rFonts w:eastAsiaTheme="minorEastAsia"/>
          <w:sz w:val="2"/>
          <w:highlight w:val="black"/>
        </w:rPr>
        <w:t>redacted content</w:t>
      </w:r>
      <w:r w:rsidR="00B831A5" w:rsidRPr="00411F83">
        <w:rPr>
          <w:rFonts w:eastAsiaTheme="minorEastAsia"/>
        </w:rPr>
        <w:t xml:space="preserve">% above Tier 1 and </w:t>
      </w:r>
      <w:r w:rsidR="0024159D" w:rsidRPr="0024159D">
        <w:rPr>
          <w:rFonts w:eastAsiaTheme="minorEastAsia"/>
          <w:sz w:val="2"/>
          <w:highlight w:val="black"/>
        </w:rPr>
        <w:t>redacted content</w:t>
      </w:r>
      <w:r w:rsidR="00B831A5" w:rsidRPr="00411F83">
        <w:rPr>
          <w:rFonts w:eastAsiaTheme="minorEastAsia"/>
        </w:rPr>
        <w:t>% above Tier 2</w:t>
      </w:r>
      <w:r w:rsidR="00384644" w:rsidRPr="00411F83">
        <w:rPr>
          <w:rFonts w:eastAsiaTheme="minorEastAsia"/>
        </w:rPr>
        <w:t xml:space="preserve">. </w:t>
      </w:r>
      <w:r w:rsidR="006F6AF4" w:rsidRPr="00411F83">
        <w:rPr>
          <w:rFonts w:eastAsiaTheme="minorEastAsia"/>
        </w:rPr>
        <w:t>T</w:t>
      </w:r>
      <w:r w:rsidR="00010B70" w:rsidRPr="00411F83">
        <w:rPr>
          <w:snapToGrid w:val="0"/>
        </w:rPr>
        <w:t xml:space="preserve">he PBAC maintained its view from July 2025 that </w:t>
      </w:r>
      <w:r w:rsidR="005239BC" w:rsidRPr="00411F83">
        <w:rPr>
          <w:snapToGrid w:val="0"/>
        </w:rPr>
        <w:t xml:space="preserve">there was </w:t>
      </w:r>
      <w:r w:rsidR="005239BC" w:rsidRPr="00411F83">
        <w:rPr>
          <w:rFonts w:eastAsiaTheme="minorEastAsia"/>
        </w:rPr>
        <w:t xml:space="preserve">a </w:t>
      </w:r>
      <w:r w:rsidR="00010B70" w:rsidRPr="00411F83">
        <w:rPr>
          <w:rFonts w:eastAsiaTheme="minorEastAsia"/>
        </w:rPr>
        <w:t>high level of uncertainty regarding the duration of treatment the benefit of treatment beyond radiographic progression, and the extent of overall gain in health outcomes</w:t>
      </w:r>
      <w:r w:rsidR="005239BC" w:rsidRPr="00411F83">
        <w:rPr>
          <w:rFonts w:eastAsiaTheme="minorEastAsia"/>
        </w:rPr>
        <w:t xml:space="preserve">. </w:t>
      </w:r>
      <w:r w:rsidR="00010B70" w:rsidRPr="00411F83">
        <w:rPr>
          <w:rFonts w:eastAsiaTheme="minorEastAsia"/>
        </w:rPr>
        <w:t xml:space="preserve">Noting the increase in estimated patient numbers and treatment duration in the resubmission, the PBAC </w:t>
      </w:r>
      <w:r w:rsidR="008C4626" w:rsidRPr="00411F83">
        <w:rPr>
          <w:rFonts w:eastAsiaTheme="minorEastAsia"/>
        </w:rPr>
        <w:t xml:space="preserve">advised the RSA </w:t>
      </w:r>
      <w:r w:rsidR="00652429" w:rsidRPr="00411F83">
        <w:rPr>
          <w:rFonts w:eastAsiaTheme="minorEastAsia"/>
        </w:rPr>
        <w:t xml:space="preserve">should be a single tier </w:t>
      </w:r>
      <w:r w:rsidR="004721F9">
        <w:rPr>
          <w:rFonts w:eastAsiaTheme="minorEastAsia"/>
        </w:rPr>
        <w:t>with</w:t>
      </w:r>
      <w:r w:rsidR="00FD0281" w:rsidRPr="00411F83">
        <w:rPr>
          <w:rFonts w:eastAsiaTheme="minorEastAsia"/>
          <w:lang w:val="en-GB"/>
        </w:rPr>
        <w:t xml:space="preserve"> </w:t>
      </w:r>
      <w:r w:rsidR="00652429" w:rsidRPr="00411F83">
        <w:rPr>
          <w:rFonts w:eastAsiaTheme="minorEastAsia"/>
          <w:lang w:val="en-GB"/>
        </w:rPr>
        <w:t xml:space="preserve">expenditure </w:t>
      </w:r>
      <w:r w:rsidR="00597F5C" w:rsidRPr="00411F83">
        <w:rPr>
          <w:rFonts w:eastAsiaTheme="minorEastAsia"/>
          <w:lang w:val="en-GB"/>
        </w:rPr>
        <w:t xml:space="preserve">caps </w:t>
      </w:r>
      <w:r w:rsidR="002C29F6">
        <w:rPr>
          <w:rFonts w:eastAsiaTheme="minorEastAsia"/>
          <w:lang w:val="en-GB"/>
        </w:rPr>
        <w:t xml:space="preserve">based on the </w:t>
      </w:r>
      <w:r w:rsidR="003000DB">
        <w:rPr>
          <w:rFonts w:eastAsiaTheme="minorEastAsia"/>
          <w:lang w:val="en-GB"/>
        </w:rPr>
        <w:t xml:space="preserve">corrected </w:t>
      </w:r>
      <w:r w:rsidR="002C29F6">
        <w:rPr>
          <w:rFonts w:eastAsiaTheme="minorEastAsia"/>
          <w:lang w:val="en-GB"/>
        </w:rPr>
        <w:t xml:space="preserve">estimated </w:t>
      </w:r>
      <w:r w:rsidR="003000DB">
        <w:rPr>
          <w:rFonts w:eastAsiaTheme="minorEastAsia"/>
          <w:lang w:val="en-GB"/>
        </w:rPr>
        <w:t xml:space="preserve">financial impacts </w:t>
      </w:r>
      <w:r w:rsidR="002C29F6">
        <w:rPr>
          <w:rFonts w:eastAsiaTheme="minorEastAsia"/>
          <w:lang w:val="en-GB"/>
        </w:rPr>
        <w:t>in</w:t>
      </w:r>
      <w:r w:rsidR="008047BF">
        <w:rPr>
          <w:rFonts w:eastAsiaTheme="minorEastAsia"/>
          <w:lang w:val="en-GB"/>
        </w:rPr>
        <w:t xml:space="preserve"> </w:t>
      </w:r>
      <w:r w:rsidR="008047BF">
        <w:rPr>
          <w:rFonts w:eastAsiaTheme="minorEastAsia"/>
          <w:lang w:val="en-GB"/>
        </w:rPr>
        <w:fldChar w:fldCharType="begin"/>
      </w:r>
      <w:r w:rsidR="008047BF">
        <w:rPr>
          <w:rFonts w:eastAsiaTheme="minorEastAsia"/>
          <w:lang w:val="en-GB"/>
        </w:rPr>
        <w:instrText xml:space="preserve"> REF _Ref222382551 \h </w:instrText>
      </w:r>
      <w:r w:rsidR="008047BF">
        <w:rPr>
          <w:rFonts w:eastAsiaTheme="minorEastAsia"/>
          <w:lang w:val="en-GB"/>
        </w:rPr>
      </w:r>
      <w:r w:rsidR="008047BF">
        <w:rPr>
          <w:rFonts w:eastAsiaTheme="minorEastAsia"/>
          <w:lang w:val="en-GB"/>
        </w:rPr>
        <w:fldChar w:fldCharType="separate"/>
      </w:r>
      <w:r w:rsidR="0031315F" w:rsidRPr="00222E0B">
        <w:t xml:space="preserve">Table </w:t>
      </w:r>
      <w:r w:rsidR="0031315F">
        <w:rPr>
          <w:noProof/>
        </w:rPr>
        <w:t>7</w:t>
      </w:r>
      <w:r w:rsidR="008047BF">
        <w:rPr>
          <w:rFonts w:eastAsiaTheme="minorEastAsia"/>
          <w:lang w:val="en-GB"/>
        </w:rPr>
        <w:fldChar w:fldCharType="end"/>
      </w:r>
      <w:r w:rsidR="00752F6A">
        <w:rPr>
          <w:rFonts w:eastAsiaTheme="minorEastAsia"/>
          <w:lang w:val="en-GB"/>
        </w:rPr>
        <w:t>,</w:t>
      </w:r>
      <w:r w:rsidR="00652429" w:rsidRPr="00411F83">
        <w:rPr>
          <w:rFonts w:eastAsiaTheme="minorEastAsia"/>
          <w:lang w:val="en-GB"/>
        </w:rPr>
        <w:t xml:space="preserve"> with a rebate</w:t>
      </w:r>
      <w:r w:rsidR="000D473C">
        <w:rPr>
          <w:rFonts w:eastAsiaTheme="minorEastAsia"/>
          <w:lang w:val="en-GB"/>
        </w:rPr>
        <w:t xml:space="preserve"> </w:t>
      </w:r>
      <w:r w:rsidR="00652429" w:rsidRPr="00411F83">
        <w:rPr>
          <w:rFonts w:eastAsiaTheme="minorEastAsia"/>
          <w:lang w:val="en-GB"/>
        </w:rPr>
        <w:t xml:space="preserve">of </w:t>
      </w:r>
      <w:r w:rsidR="0024159D" w:rsidRPr="0024159D">
        <w:rPr>
          <w:rFonts w:eastAsiaTheme="minorEastAsia"/>
          <w:sz w:val="2"/>
          <w:highlight w:val="black"/>
          <w:lang w:val="en-GB"/>
        </w:rPr>
        <w:t>redacted content</w:t>
      </w:r>
      <w:r w:rsidR="00D64FA9" w:rsidRPr="00411F83">
        <w:rPr>
          <w:rFonts w:eastAsiaTheme="minorEastAsia"/>
          <w:lang w:val="en-GB"/>
        </w:rPr>
        <w:t xml:space="preserve">% for </w:t>
      </w:r>
      <w:r w:rsidR="00C21924" w:rsidRPr="00411F83">
        <w:rPr>
          <w:rFonts w:eastAsiaTheme="minorEastAsia"/>
          <w:lang w:val="en-GB"/>
        </w:rPr>
        <w:t>expenditure on vorasidenib over the agreed expenditure caps.</w:t>
      </w:r>
      <w:r w:rsidR="00337DAE" w:rsidRPr="00411F83">
        <w:rPr>
          <w:rFonts w:eastAsiaTheme="minorEastAsia"/>
          <w:lang w:val="en-GB"/>
        </w:rPr>
        <w:t xml:space="preserve"> </w:t>
      </w:r>
      <w:r w:rsidR="00776A32" w:rsidRPr="00411F83">
        <w:rPr>
          <w:rFonts w:eastAsiaTheme="minorEastAsia"/>
        </w:rPr>
        <w:t xml:space="preserve">The PBAC considered </w:t>
      </w:r>
      <w:r w:rsidR="00016F11">
        <w:rPr>
          <w:rFonts w:eastAsiaTheme="minorEastAsia"/>
        </w:rPr>
        <w:t xml:space="preserve">a </w:t>
      </w:r>
      <w:r w:rsidR="00333328">
        <w:rPr>
          <w:rFonts w:eastAsiaTheme="minorEastAsia"/>
        </w:rPr>
        <w:t xml:space="preserve">single tier </w:t>
      </w:r>
      <w:r w:rsidR="00A229DB">
        <w:rPr>
          <w:rFonts w:eastAsiaTheme="minorEastAsia"/>
        </w:rPr>
        <w:t xml:space="preserve">RSA </w:t>
      </w:r>
      <w:r w:rsidR="00DD31F9">
        <w:rPr>
          <w:rFonts w:eastAsiaTheme="minorEastAsia"/>
        </w:rPr>
        <w:t xml:space="preserve">provided more </w:t>
      </w:r>
      <w:r w:rsidR="00776A32" w:rsidRPr="00411F83">
        <w:rPr>
          <w:rFonts w:eastAsiaTheme="minorEastAsia"/>
        </w:rPr>
        <w:t>confidence that the cost for vorasidenib treatment would be contained and acceptably cost</w:t>
      </w:r>
      <w:r w:rsidR="00B571FA">
        <w:rPr>
          <w:rFonts w:eastAsiaTheme="minorEastAsia"/>
        </w:rPr>
        <w:noBreakHyphen/>
      </w:r>
      <w:r w:rsidR="00776A32" w:rsidRPr="00411F83">
        <w:rPr>
          <w:rFonts w:eastAsiaTheme="minorEastAsia"/>
        </w:rPr>
        <w:t>effective.</w:t>
      </w:r>
      <w:r w:rsidR="00411F83">
        <w:rPr>
          <w:rFonts w:eastAsiaTheme="minorEastAsia"/>
        </w:rPr>
        <w:t xml:space="preserve"> </w:t>
      </w:r>
      <w:r w:rsidR="00337DAE" w:rsidRPr="007B1A6F">
        <w:t>The PBAC advised that the utilisation of vorasidenib should be reviewed once listed on the PBS to ensure patient numbers reflect the estimates in the submission.</w:t>
      </w:r>
    </w:p>
    <w:p w14:paraId="54950408" w14:textId="042C6E40" w:rsidR="00680857" w:rsidRPr="00731C58" w:rsidRDefault="00680857" w:rsidP="00F36268">
      <w:pPr>
        <w:pStyle w:val="3-BodyText"/>
        <w:rPr>
          <w:i/>
          <w:iCs/>
          <w:color w:val="C0504D" w:themeColor="accent2"/>
        </w:rPr>
      </w:pPr>
      <w:r w:rsidRPr="00296EAF">
        <w:rPr>
          <w:snapToGrid w:val="0"/>
          <w:lang w:eastAsia="en-US"/>
        </w:rPr>
        <w:t xml:space="preserve">In terms of the restriction, the PBAC advised that </w:t>
      </w:r>
      <w:r>
        <w:rPr>
          <w:snapToGrid w:val="0"/>
          <w:lang w:eastAsia="en-US"/>
        </w:rPr>
        <w:t xml:space="preserve">vorasidenib </w:t>
      </w:r>
      <w:r w:rsidRPr="00296EAF">
        <w:rPr>
          <w:snapToGrid w:val="0"/>
          <w:lang w:eastAsia="en-US"/>
        </w:rPr>
        <w:t xml:space="preserve">should be listed as a </w:t>
      </w:r>
      <w:r>
        <w:rPr>
          <w:snapToGrid w:val="0"/>
          <w:lang w:val="en-GB" w:eastAsia="en-US"/>
        </w:rPr>
        <w:t xml:space="preserve">General Schedule </w:t>
      </w:r>
      <w:r w:rsidR="00ED4FA4">
        <w:rPr>
          <w:snapToGrid w:val="0"/>
          <w:lang w:val="en-GB" w:eastAsia="en-US"/>
        </w:rPr>
        <w:t xml:space="preserve">item </w:t>
      </w:r>
      <w:r w:rsidRPr="00296EAF">
        <w:rPr>
          <w:snapToGrid w:val="0"/>
          <w:lang w:eastAsia="en-US"/>
        </w:rPr>
        <w:t>with an Authority Required (</w:t>
      </w:r>
      <w:r>
        <w:rPr>
          <w:snapToGrid w:val="0"/>
          <w:lang w:eastAsia="en-US"/>
        </w:rPr>
        <w:t>Streamlined</w:t>
      </w:r>
      <w:r w:rsidRPr="00296EAF">
        <w:rPr>
          <w:snapToGrid w:val="0"/>
          <w:lang w:eastAsia="en-US"/>
        </w:rPr>
        <w:t>) listing</w:t>
      </w:r>
      <w:r>
        <w:rPr>
          <w:snapToGrid w:val="0"/>
          <w:lang w:eastAsia="en-US"/>
        </w:rPr>
        <w:t xml:space="preserve">. The PBAC reaffirmed its recommendations about the restrictions as outlined in paragraph </w:t>
      </w:r>
      <w:r>
        <w:rPr>
          <w:snapToGrid w:val="0"/>
          <w:lang w:eastAsia="en-US"/>
        </w:rPr>
        <w:fldChar w:fldCharType="begin"/>
      </w:r>
      <w:r>
        <w:rPr>
          <w:snapToGrid w:val="0"/>
          <w:lang w:eastAsia="en-US"/>
        </w:rPr>
        <w:instrText xml:space="preserve"> REF _Ref225356300 \r \h </w:instrText>
      </w:r>
      <w:r>
        <w:rPr>
          <w:snapToGrid w:val="0"/>
          <w:lang w:eastAsia="en-US"/>
        </w:rPr>
      </w:r>
      <w:r>
        <w:rPr>
          <w:snapToGrid w:val="0"/>
          <w:lang w:eastAsia="en-US"/>
        </w:rPr>
        <w:fldChar w:fldCharType="separate"/>
      </w:r>
      <w:r w:rsidR="0024159D">
        <w:rPr>
          <w:snapToGrid w:val="0"/>
          <w:lang w:eastAsia="en-US"/>
        </w:rPr>
        <w:t>3.1</w:t>
      </w:r>
      <w:r>
        <w:rPr>
          <w:snapToGrid w:val="0"/>
          <w:lang w:eastAsia="en-US"/>
        </w:rPr>
        <w:fldChar w:fldCharType="end"/>
      </w:r>
      <w:r>
        <w:rPr>
          <w:snapToGrid w:val="0"/>
          <w:lang w:eastAsia="en-US"/>
        </w:rPr>
        <w:t xml:space="preserve">. Additionally, the PBAC accepted a grandfather restriction to allow patients </w:t>
      </w:r>
      <w:r w:rsidR="0036349F">
        <w:rPr>
          <w:snapToGrid w:val="0"/>
          <w:lang w:eastAsia="en-US"/>
        </w:rPr>
        <w:t>receiving non</w:t>
      </w:r>
      <w:r w:rsidR="00AA481B">
        <w:rPr>
          <w:snapToGrid w:val="0"/>
          <w:lang w:eastAsia="en-US"/>
        </w:rPr>
        <w:t>-</w:t>
      </w:r>
      <w:r w:rsidR="0036349F">
        <w:rPr>
          <w:snapToGrid w:val="0"/>
          <w:lang w:eastAsia="en-US"/>
        </w:rPr>
        <w:t>PBS</w:t>
      </w:r>
      <w:r w:rsidR="00AA481B">
        <w:rPr>
          <w:snapToGrid w:val="0"/>
          <w:lang w:eastAsia="en-US"/>
        </w:rPr>
        <w:t xml:space="preserve"> </w:t>
      </w:r>
      <w:r w:rsidR="0036349F">
        <w:rPr>
          <w:snapToGrid w:val="0"/>
          <w:lang w:eastAsia="en-US"/>
        </w:rPr>
        <w:t xml:space="preserve">subsidised vorasidenib, including those </w:t>
      </w:r>
      <w:r>
        <w:rPr>
          <w:snapToGrid w:val="0"/>
          <w:lang w:eastAsia="en-US"/>
        </w:rPr>
        <w:t xml:space="preserve">enrolled in the </w:t>
      </w:r>
      <w:r w:rsidRPr="00847870">
        <w:t>sponsor’s compassionate access program</w:t>
      </w:r>
      <w:r w:rsidR="0036349F">
        <w:t>,</w:t>
      </w:r>
      <w:r>
        <w:t xml:space="preserve"> to initiate PBS</w:t>
      </w:r>
      <w:r w:rsidR="00B571FA">
        <w:noBreakHyphen/>
      </w:r>
      <w:r>
        <w:t xml:space="preserve">funded vorasidenib treatment. </w:t>
      </w:r>
      <w:r w:rsidRPr="00AF0D1C">
        <w:rPr>
          <w:rFonts w:eastAsia="Times New Roman" w:cs="Arial"/>
          <w:snapToGrid w:val="0"/>
          <w:szCs w:val="24"/>
          <w:lang w:eastAsia="en-US"/>
        </w:rPr>
        <w:t xml:space="preserve">The </w:t>
      </w:r>
      <w:r>
        <w:rPr>
          <w:rFonts w:eastAsia="Times New Roman" w:cs="Arial"/>
          <w:snapToGrid w:val="0"/>
          <w:szCs w:val="24"/>
          <w:lang w:eastAsia="en-US"/>
        </w:rPr>
        <w:t xml:space="preserve">PBAC advised </w:t>
      </w:r>
      <w:r w:rsidRPr="00AF0D1C">
        <w:rPr>
          <w:rFonts w:eastAsia="Times New Roman" w:cs="Arial"/>
          <w:snapToGrid w:val="0"/>
          <w:szCs w:val="24"/>
          <w:lang w:eastAsia="en-US"/>
        </w:rPr>
        <w:t>applying a standard 12</w:t>
      </w:r>
      <w:r w:rsidR="00B571FA">
        <w:rPr>
          <w:rFonts w:eastAsia="Times New Roman" w:cs="Arial"/>
          <w:snapToGrid w:val="0"/>
          <w:szCs w:val="24"/>
          <w:lang w:eastAsia="en-US"/>
        </w:rPr>
        <w:noBreakHyphen/>
      </w:r>
      <w:r w:rsidRPr="00AF0D1C">
        <w:rPr>
          <w:rFonts w:eastAsia="Times New Roman" w:cs="Arial"/>
          <w:snapToGrid w:val="0"/>
          <w:szCs w:val="24"/>
          <w:lang w:eastAsia="en-US"/>
        </w:rPr>
        <w:t>month expiry along with the relevant clinical criteri</w:t>
      </w:r>
      <w:r>
        <w:rPr>
          <w:rFonts w:eastAsia="Times New Roman" w:cs="Arial"/>
          <w:snapToGrid w:val="0"/>
          <w:szCs w:val="24"/>
          <w:lang w:eastAsia="en-US"/>
        </w:rPr>
        <w:t>a as included in the recommended listing section</w:t>
      </w:r>
      <w:r w:rsidRPr="00AF0D1C">
        <w:rPr>
          <w:rFonts w:eastAsia="Times New Roman" w:cs="Arial"/>
          <w:snapToGrid w:val="0"/>
          <w:szCs w:val="24"/>
          <w:lang w:eastAsia="en-US"/>
        </w:rPr>
        <w:t>.</w:t>
      </w:r>
    </w:p>
    <w:p w14:paraId="54561BE1" w14:textId="42DE7D83" w:rsidR="000C271C" w:rsidRDefault="000C271C" w:rsidP="00F36268">
      <w:pPr>
        <w:pStyle w:val="3-BodyText"/>
        <w:rPr>
          <w:snapToGrid w:val="0"/>
          <w:lang w:val="en-GB"/>
        </w:rPr>
      </w:pPr>
      <w:r w:rsidRPr="000C271C">
        <w:rPr>
          <w:snapToGrid w:val="0"/>
        </w:rPr>
        <w:t xml:space="preserve">The PBAC recommended that </w:t>
      </w:r>
      <w:r>
        <w:rPr>
          <w:snapToGrid w:val="0"/>
        </w:rPr>
        <w:t xml:space="preserve">vorasidenib </w:t>
      </w:r>
      <w:r w:rsidRPr="000C271C">
        <w:rPr>
          <w:snapToGrid w:val="0"/>
        </w:rPr>
        <w:t>should not be treated as interchangeable on an individual patient basis with any other drugs.</w:t>
      </w:r>
    </w:p>
    <w:p w14:paraId="13286016" w14:textId="5C3D6921" w:rsidR="00790284" w:rsidRPr="002B0DC3" w:rsidRDefault="00790284" w:rsidP="00F36268">
      <w:pPr>
        <w:pStyle w:val="3-BodyText"/>
        <w:rPr>
          <w:snapToGrid w:val="0"/>
          <w:lang w:val="en-GB"/>
        </w:rPr>
      </w:pPr>
      <w:r w:rsidRPr="00D8553E">
        <w:rPr>
          <w:snapToGrid w:val="0"/>
          <w:lang w:val="en-GB"/>
        </w:rPr>
        <w:t xml:space="preserve">The PBAC advised that </w:t>
      </w:r>
      <w:r w:rsidR="007917B4">
        <w:rPr>
          <w:snapToGrid w:val="0"/>
          <w:lang w:val="en-GB"/>
        </w:rPr>
        <w:t xml:space="preserve">vorasidenib </w:t>
      </w:r>
      <w:r w:rsidRPr="00D8553E">
        <w:rPr>
          <w:snapToGrid w:val="0"/>
          <w:lang w:val="en-GB"/>
        </w:rPr>
        <w:t>is suitable</w:t>
      </w:r>
      <w:r>
        <w:rPr>
          <w:snapToGrid w:val="0"/>
          <w:lang w:val="en-GB"/>
        </w:rPr>
        <w:t xml:space="preserve"> for prescribing by medical practitioners only</w:t>
      </w:r>
      <w:r w:rsidR="002500DF">
        <w:rPr>
          <w:snapToGrid w:val="0"/>
          <w:lang w:val="en-GB"/>
        </w:rPr>
        <w:t>.</w:t>
      </w:r>
    </w:p>
    <w:p w14:paraId="5EEBE94E" w14:textId="6CD871B1" w:rsidR="00336823" w:rsidRPr="00336823" w:rsidRDefault="00336823" w:rsidP="00F36268">
      <w:pPr>
        <w:pStyle w:val="3-BodyText"/>
        <w:rPr>
          <w:lang w:val="en-GB"/>
        </w:rPr>
      </w:pPr>
      <w:r>
        <w:rPr>
          <w:lang w:val="en-GB"/>
        </w:rPr>
        <w:lastRenderedPageBreak/>
        <w:t>T</w:t>
      </w:r>
      <w:r w:rsidRPr="00336823">
        <w:rPr>
          <w:lang w:val="en-GB"/>
        </w:rPr>
        <w:t xml:space="preserve">he PBAC advised that the early supply rule should be </w:t>
      </w:r>
      <w:r w:rsidRPr="00336823">
        <w:t>applied</w:t>
      </w:r>
      <w:r w:rsidRPr="00336823">
        <w:rPr>
          <w:lang w:val="en-GB"/>
        </w:rPr>
        <w:t xml:space="preserve"> to </w:t>
      </w:r>
      <w:r>
        <w:rPr>
          <w:lang w:val="en-GB"/>
        </w:rPr>
        <w:t xml:space="preserve">vorasidenib </w:t>
      </w:r>
      <w:r w:rsidR="00BF330B">
        <w:rPr>
          <w:lang w:val="en-GB"/>
        </w:rPr>
        <w:t xml:space="preserve">as it </w:t>
      </w:r>
      <w:r w:rsidR="00F44692" w:rsidRPr="00F44692">
        <w:rPr>
          <w:lang w:val="en-GB"/>
        </w:rPr>
        <w:t>currently applies to similar cancer drugs</w:t>
      </w:r>
      <w:r w:rsidR="005B5B2A">
        <w:rPr>
          <w:lang w:val="en-GB"/>
        </w:rPr>
        <w:t xml:space="preserve"> with oral administration</w:t>
      </w:r>
      <w:r w:rsidRPr="00336823">
        <w:rPr>
          <w:lang w:val="en-GB"/>
        </w:rPr>
        <w:t>.</w:t>
      </w:r>
    </w:p>
    <w:p w14:paraId="017A89C3" w14:textId="41F49459" w:rsidR="00790284" w:rsidRPr="003762B4" w:rsidRDefault="00790284" w:rsidP="00F36268">
      <w:pPr>
        <w:pStyle w:val="3-BodyText"/>
        <w:contextualSpacing/>
        <w:rPr>
          <w:rFonts w:cstheme="minorHAnsi"/>
          <w:b/>
          <w:u w:val="single"/>
          <w:lang w:val="en-GB"/>
        </w:rPr>
      </w:pPr>
      <w:r w:rsidRPr="003762B4">
        <w:rPr>
          <w:rFonts w:cstheme="minorHAnsi"/>
          <w:lang w:val="en-GB"/>
        </w:rPr>
        <w:t xml:space="preserve">The PBAC found that the criteria prescribed by the </w:t>
      </w:r>
      <w:r w:rsidRPr="003762B4">
        <w:rPr>
          <w:rFonts w:cstheme="minorHAnsi"/>
          <w:i/>
          <w:lang w:val="en-GB"/>
        </w:rPr>
        <w:t>National Health (Pharmaceuticals and Vaccines – Cost Recovery) Regulations 2022</w:t>
      </w:r>
      <w:r w:rsidRPr="003762B4">
        <w:rPr>
          <w:rFonts w:cstheme="minorHAnsi"/>
          <w:lang w:val="en-GB"/>
        </w:rPr>
        <w:t xml:space="preserve"> for Pricing Pathway A were not met. </w:t>
      </w:r>
      <w:proofErr w:type="gramStart"/>
      <w:r w:rsidRPr="003762B4">
        <w:rPr>
          <w:rFonts w:cstheme="minorHAnsi"/>
          <w:lang w:val="en-GB"/>
        </w:rPr>
        <w:t>Specifically</w:t>
      </w:r>
      <w:proofErr w:type="gramEnd"/>
      <w:r w:rsidRPr="003762B4">
        <w:rPr>
          <w:rFonts w:cstheme="minorHAnsi"/>
          <w:lang w:val="en-GB"/>
        </w:rPr>
        <w:t xml:space="preserve"> the PBAC found that in the circumstances of its recommendation for </w:t>
      </w:r>
      <w:r w:rsidR="00AD04F1">
        <w:rPr>
          <w:rFonts w:cstheme="minorHAnsi"/>
          <w:lang w:val="en-GB"/>
        </w:rPr>
        <w:t>vorasidenib</w:t>
      </w:r>
      <w:r w:rsidRPr="003762B4">
        <w:rPr>
          <w:rFonts w:cstheme="minorHAnsi"/>
          <w:lang w:val="en-GB"/>
        </w:rPr>
        <w:t>:</w:t>
      </w:r>
    </w:p>
    <w:p w14:paraId="55039EA8" w14:textId="10059051" w:rsidR="00790284" w:rsidRPr="00763DFB" w:rsidRDefault="00790284" w:rsidP="00F36268">
      <w:pPr>
        <w:numPr>
          <w:ilvl w:val="1"/>
          <w:numId w:val="15"/>
        </w:numPr>
        <w:spacing w:after="120"/>
        <w:ind w:left="1134"/>
        <w:rPr>
          <w:rFonts w:asciiTheme="minorHAnsi" w:hAnsiTheme="minorHAnsi" w:cstheme="minorHAnsi"/>
          <w:lang w:val="en-GB"/>
        </w:rPr>
      </w:pPr>
      <w:r w:rsidRPr="00763DFB">
        <w:rPr>
          <w:rFonts w:asciiTheme="minorHAnsi" w:hAnsiTheme="minorHAnsi" w:cstheme="minorHAnsi"/>
          <w:lang w:val="en-GB"/>
        </w:rPr>
        <w:t>The treatment is not expected to provide a substantial and clinically relevant improvement in efficacy</w:t>
      </w:r>
      <w:r w:rsidR="00ED044B">
        <w:rPr>
          <w:rFonts w:asciiTheme="minorHAnsi" w:hAnsiTheme="minorHAnsi" w:cstheme="minorHAnsi"/>
          <w:lang w:val="en-GB"/>
        </w:rPr>
        <w:t xml:space="preserve"> over </w:t>
      </w:r>
      <w:r w:rsidR="00B74F09">
        <w:t>alternative therapies. Although</w:t>
      </w:r>
      <w:r w:rsidR="009F05DF">
        <w:t xml:space="preserve"> INDIGO trial </w:t>
      </w:r>
      <w:r w:rsidR="00442A1F">
        <w:t xml:space="preserve">demonstrated vorasidenib was associated with </w:t>
      </w:r>
      <w:r w:rsidR="00434CE5" w:rsidRPr="00434CE5">
        <w:t>improvement in PFS compared to placebo</w:t>
      </w:r>
      <w:r w:rsidRPr="00763DFB">
        <w:rPr>
          <w:rFonts w:asciiTheme="minorHAnsi" w:hAnsiTheme="minorHAnsi" w:cstheme="minorHAnsi"/>
          <w:lang w:val="en-GB"/>
        </w:rPr>
        <w:t xml:space="preserve">, </w:t>
      </w:r>
      <w:r w:rsidR="005A4E6A" w:rsidRPr="005A4E6A">
        <w:rPr>
          <w:rFonts w:asciiTheme="minorHAnsi" w:hAnsiTheme="minorHAnsi" w:cstheme="minorHAnsi"/>
        </w:rPr>
        <w:t>it is unclear to what extent the improvements in radiographic PFS associated with vorasidenib treatment will translate into improvements in OS</w:t>
      </w:r>
      <w:r w:rsidR="005A4E6A">
        <w:rPr>
          <w:rFonts w:asciiTheme="minorHAnsi" w:hAnsiTheme="minorHAnsi" w:cstheme="minorHAnsi"/>
          <w:lang w:val="en-GB"/>
        </w:rPr>
        <w:t>.</w:t>
      </w:r>
    </w:p>
    <w:p w14:paraId="06EA824E" w14:textId="6AAC6DF8" w:rsidR="00790284" w:rsidRPr="00763DFB" w:rsidRDefault="00790284" w:rsidP="00F36268">
      <w:pPr>
        <w:numPr>
          <w:ilvl w:val="1"/>
          <w:numId w:val="15"/>
        </w:numPr>
        <w:spacing w:after="120"/>
        <w:ind w:left="1134"/>
        <w:rPr>
          <w:rFonts w:asciiTheme="minorHAnsi" w:hAnsiTheme="minorHAnsi" w:cstheme="minorHAnsi"/>
          <w:lang w:val="en-GB"/>
        </w:rPr>
      </w:pPr>
      <w:r w:rsidRPr="00763DFB">
        <w:rPr>
          <w:rFonts w:asciiTheme="minorHAnsi" w:hAnsiTheme="minorHAnsi" w:cstheme="minorHAnsi"/>
          <w:lang w:val="en-GB"/>
        </w:rPr>
        <w:t xml:space="preserve">The treatment </w:t>
      </w:r>
      <w:r w:rsidR="00834D9E">
        <w:rPr>
          <w:rFonts w:asciiTheme="minorHAnsi" w:hAnsiTheme="minorHAnsi" w:cstheme="minorHAnsi"/>
          <w:lang w:val="en-GB"/>
        </w:rPr>
        <w:t>i</w:t>
      </w:r>
      <w:r w:rsidRPr="00763DFB">
        <w:rPr>
          <w:rFonts w:asciiTheme="minorHAnsi" w:hAnsiTheme="minorHAnsi" w:cstheme="minorHAnsi"/>
          <w:lang w:val="en-GB"/>
        </w:rPr>
        <w:t>s expected to address a high and urgent unmet clinical need</w:t>
      </w:r>
      <w:r w:rsidR="005B5B2A">
        <w:rPr>
          <w:rFonts w:asciiTheme="minorHAnsi" w:hAnsiTheme="minorHAnsi" w:cstheme="minorHAnsi"/>
          <w:lang w:val="en-GB"/>
        </w:rPr>
        <w:t>.</w:t>
      </w:r>
    </w:p>
    <w:p w14:paraId="6B31744F" w14:textId="14AE1EA6" w:rsidR="00790284" w:rsidRPr="00CC02FF" w:rsidRDefault="00790284" w:rsidP="00F36268">
      <w:pPr>
        <w:numPr>
          <w:ilvl w:val="1"/>
          <w:numId w:val="15"/>
        </w:numPr>
        <w:spacing w:after="120"/>
        <w:ind w:left="1134"/>
        <w:rPr>
          <w:rFonts w:asciiTheme="minorHAnsi" w:hAnsiTheme="minorHAnsi" w:cstheme="minorHAnsi"/>
          <w:lang w:val="en-GB"/>
        </w:rPr>
      </w:pPr>
      <w:r w:rsidRPr="00CC02FF">
        <w:rPr>
          <w:rFonts w:asciiTheme="minorHAnsi" w:hAnsiTheme="minorHAnsi" w:cstheme="minorHAnsi"/>
          <w:lang w:val="en-GB"/>
        </w:rPr>
        <w:t>It was not necessary to make a finding in relation to whether it would be in the public interest for the subsequent pricing application to be progressed under Pricing Pathway A because one or more of the preceding tests had failed</w:t>
      </w:r>
      <w:r w:rsidR="009B4399">
        <w:rPr>
          <w:rFonts w:asciiTheme="minorHAnsi" w:hAnsiTheme="minorHAnsi" w:cstheme="minorHAnsi"/>
          <w:lang w:val="en-GB"/>
        </w:rPr>
        <w:t>.</w:t>
      </w:r>
    </w:p>
    <w:p w14:paraId="79F47038" w14:textId="0771656B" w:rsidR="00790284" w:rsidRPr="007D4707" w:rsidRDefault="00790284" w:rsidP="00F36268">
      <w:pPr>
        <w:pStyle w:val="3-BodyText"/>
        <w:rPr>
          <w:rFonts w:cs="Arial"/>
          <w:bCs/>
          <w:snapToGrid w:val="0"/>
          <w:lang w:val="en-GB"/>
        </w:rPr>
      </w:pPr>
      <w:r w:rsidRPr="00525B39">
        <w:rPr>
          <w:rFonts w:cs="Arial"/>
          <w:bCs/>
          <w:snapToGrid w:val="0"/>
          <w:lang w:val="en-GB"/>
        </w:rPr>
        <w:t>The PBAC noted that this submission is not eligible for an Independent Review</w:t>
      </w:r>
      <w:r w:rsidR="00B45190">
        <w:rPr>
          <w:rFonts w:cs="Arial"/>
          <w:bCs/>
          <w:snapToGrid w:val="0"/>
          <w:lang w:val="en-GB"/>
        </w:rPr>
        <w:t xml:space="preserve"> </w:t>
      </w:r>
      <w:r w:rsidR="00B45190" w:rsidRPr="00B45190">
        <w:rPr>
          <w:rFonts w:cs="Arial"/>
          <w:bCs/>
          <w:snapToGrid w:val="0"/>
        </w:rPr>
        <w:t>as it received a positive PBAC recommendation</w:t>
      </w:r>
      <w:r w:rsidRPr="00525B39">
        <w:rPr>
          <w:rFonts w:cs="Arial"/>
          <w:bCs/>
          <w:snapToGrid w:val="0"/>
          <w:lang w:val="en-GB"/>
        </w:rPr>
        <w:t>.</w:t>
      </w:r>
    </w:p>
    <w:p w14:paraId="31821273" w14:textId="77777777" w:rsidR="00790284" w:rsidRPr="00525B39" w:rsidRDefault="00790284" w:rsidP="00F36268">
      <w:pPr>
        <w:spacing w:before="240"/>
        <w:rPr>
          <w:rFonts w:asciiTheme="minorHAnsi" w:hAnsiTheme="minorHAnsi" w:cs="Arial"/>
          <w:b/>
          <w:bCs/>
          <w:snapToGrid w:val="0"/>
          <w:lang w:val="en-GB"/>
        </w:rPr>
      </w:pPr>
      <w:r w:rsidRPr="00525B39">
        <w:rPr>
          <w:rFonts w:asciiTheme="minorHAnsi" w:hAnsiTheme="minorHAnsi" w:cs="Arial"/>
          <w:b/>
          <w:bCs/>
          <w:snapToGrid w:val="0"/>
          <w:lang w:val="en-GB"/>
        </w:rPr>
        <w:t>Outcome:</w:t>
      </w:r>
    </w:p>
    <w:p w14:paraId="660A943A" w14:textId="6DAB27C7" w:rsidR="00790284" w:rsidRPr="00525B39" w:rsidRDefault="00790284" w:rsidP="00F36268">
      <w:pPr>
        <w:rPr>
          <w:rFonts w:asciiTheme="minorHAnsi" w:hAnsiTheme="minorHAnsi" w:cs="Arial"/>
          <w:bCs/>
          <w:snapToGrid w:val="0"/>
          <w:lang w:val="en-GB"/>
        </w:rPr>
      </w:pPr>
      <w:r w:rsidRPr="00525B39">
        <w:rPr>
          <w:rFonts w:asciiTheme="minorHAnsi" w:hAnsiTheme="minorHAnsi" w:cs="Arial"/>
          <w:bCs/>
          <w:snapToGrid w:val="0"/>
          <w:lang w:val="en-GB"/>
        </w:rPr>
        <w:t>Recommended</w:t>
      </w:r>
    </w:p>
    <w:p w14:paraId="3EE555BA" w14:textId="77777777" w:rsidR="00790284" w:rsidRPr="00525B39" w:rsidRDefault="00790284" w:rsidP="00F36268">
      <w:pPr>
        <w:rPr>
          <w:rFonts w:asciiTheme="minorHAnsi" w:hAnsiTheme="minorHAnsi" w:cs="Arial"/>
          <w:b/>
          <w:bCs/>
          <w:snapToGrid w:val="0"/>
        </w:rPr>
      </w:pPr>
    </w:p>
    <w:bookmarkEnd w:id="23"/>
    <w:p w14:paraId="7263B319" w14:textId="77777777" w:rsidR="00790284" w:rsidRPr="00907671" w:rsidRDefault="00790284" w:rsidP="00F36268">
      <w:pPr>
        <w:pStyle w:val="2-SectionHeading"/>
      </w:pPr>
      <w:r w:rsidRPr="00907671">
        <w:t>Recommended listing</w:t>
      </w:r>
    </w:p>
    <w:p w14:paraId="62BCA0CD" w14:textId="6C222C73" w:rsidR="00790284" w:rsidRPr="0073450A" w:rsidRDefault="00790284" w:rsidP="00F36268">
      <w:pPr>
        <w:pStyle w:val="3-BodyText"/>
        <w:rPr>
          <w:rFonts w:cs="Arial"/>
          <w:b/>
          <w:bCs/>
          <w:snapToGrid w:val="0"/>
        </w:rPr>
      </w:pPr>
      <w:r w:rsidRPr="0073450A">
        <w:rPr>
          <w:rFonts w:cs="Arial"/>
          <w:bCs/>
          <w:snapToGrid w:val="0"/>
        </w:rPr>
        <w:t>Add new item:</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Caption w:val="Recommended listing"/>
      </w:tblPr>
      <w:tblGrid>
        <w:gridCol w:w="562"/>
        <w:gridCol w:w="718"/>
        <w:gridCol w:w="2654"/>
        <w:gridCol w:w="813"/>
        <w:gridCol w:w="814"/>
        <w:gridCol w:w="813"/>
        <w:gridCol w:w="814"/>
        <w:gridCol w:w="1828"/>
      </w:tblGrid>
      <w:tr w:rsidR="00956835" w:rsidRPr="00472ED3" w14:paraId="3105BC47" w14:textId="77777777">
        <w:trPr>
          <w:cantSplit/>
          <w:trHeight w:val="20"/>
        </w:trPr>
        <w:tc>
          <w:tcPr>
            <w:tcW w:w="3934" w:type="dxa"/>
            <w:gridSpan w:val="3"/>
            <w:vAlign w:val="center"/>
          </w:tcPr>
          <w:p w14:paraId="05BEF1ED" w14:textId="77777777" w:rsidR="00956835" w:rsidRPr="00472ED3" w:rsidRDefault="00956835" w:rsidP="00F36268">
            <w:pPr>
              <w:keepNext/>
              <w:keepLines/>
              <w:rPr>
                <w:rFonts w:ascii="Arial Narrow" w:hAnsi="Arial Narrow" w:cs="Arial"/>
                <w:b/>
                <w:bCs/>
                <w:sz w:val="20"/>
                <w:szCs w:val="20"/>
              </w:rPr>
            </w:pPr>
            <w:r w:rsidRPr="00472ED3">
              <w:rPr>
                <w:rFonts w:ascii="Arial Narrow" w:hAnsi="Arial Narrow" w:cs="Arial"/>
                <w:b/>
                <w:bCs/>
                <w:sz w:val="20"/>
                <w:szCs w:val="20"/>
              </w:rPr>
              <w:t>MEDICINAL PRODUCT</w:t>
            </w:r>
          </w:p>
          <w:p w14:paraId="0953B6DD" w14:textId="77777777" w:rsidR="00956835" w:rsidRPr="00472ED3" w:rsidRDefault="00956835" w:rsidP="00F36268">
            <w:pPr>
              <w:keepNext/>
              <w:keepLines/>
              <w:rPr>
                <w:rFonts w:ascii="Arial Narrow" w:hAnsi="Arial Narrow" w:cs="Arial"/>
                <w:b/>
                <w:sz w:val="20"/>
                <w:szCs w:val="20"/>
              </w:rPr>
            </w:pPr>
            <w:r w:rsidRPr="00472ED3">
              <w:rPr>
                <w:rFonts w:ascii="Arial Narrow" w:hAnsi="Arial Narrow" w:cs="Arial"/>
                <w:b/>
                <w:bCs/>
                <w:sz w:val="20"/>
                <w:szCs w:val="20"/>
              </w:rPr>
              <w:t>medicinal product pack</w:t>
            </w:r>
          </w:p>
        </w:tc>
        <w:tc>
          <w:tcPr>
            <w:tcW w:w="813" w:type="dxa"/>
            <w:vAlign w:val="center"/>
          </w:tcPr>
          <w:p w14:paraId="6B9B04BD" w14:textId="77777777" w:rsidR="00956835" w:rsidRPr="00472ED3" w:rsidRDefault="00956835" w:rsidP="00F36268">
            <w:pPr>
              <w:keepNext/>
              <w:keepLines/>
              <w:jc w:val="center"/>
              <w:rPr>
                <w:rFonts w:ascii="Arial Narrow" w:hAnsi="Arial Narrow" w:cs="Arial"/>
                <w:b/>
                <w:sz w:val="20"/>
                <w:szCs w:val="20"/>
              </w:rPr>
            </w:pPr>
            <w:r w:rsidRPr="00472ED3">
              <w:rPr>
                <w:rFonts w:ascii="Arial Narrow" w:hAnsi="Arial Narrow" w:cs="Arial"/>
                <w:b/>
                <w:sz w:val="20"/>
                <w:szCs w:val="20"/>
              </w:rPr>
              <w:t>PBS item code</w:t>
            </w:r>
          </w:p>
        </w:tc>
        <w:tc>
          <w:tcPr>
            <w:tcW w:w="814" w:type="dxa"/>
            <w:vAlign w:val="center"/>
          </w:tcPr>
          <w:p w14:paraId="3511B94D" w14:textId="77777777" w:rsidR="00956835" w:rsidRPr="00472ED3" w:rsidRDefault="00956835" w:rsidP="00F36268">
            <w:pPr>
              <w:keepNext/>
              <w:keepLines/>
              <w:jc w:val="center"/>
              <w:rPr>
                <w:rFonts w:ascii="Arial Narrow" w:hAnsi="Arial Narrow" w:cs="Arial"/>
                <w:b/>
                <w:sz w:val="20"/>
                <w:szCs w:val="20"/>
              </w:rPr>
            </w:pPr>
            <w:r w:rsidRPr="00472ED3">
              <w:rPr>
                <w:rFonts w:ascii="Arial Narrow" w:hAnsi="Arial Narrow" w:cs="Arial"/>
                <w:b/>
                <w:sz w:val="20"/>
                <w:szCs w:val="20"/>
              </w:rPr>
              <w:t>Max. qty packs</w:t>
            </w:r>
          </w:p>
        </w:tc>
        <w:tc>
          <w:tcPr>
            <w:tcW w:w="813" w:type="dxa"/>
            <w:vAlign w:val="center"/>
          </w:tcPr>
          <w:p w14:paraId="03FE9585" w14:textId="77777777" w:rsidR="00956835" w:rsidRPr="00472ED3" w:rsidRDefault="00956835" w:rsidP="00F36268">
            <w:pPr>
              <w:keepNext/>
              <w:keepLines/>
              <w:jc w:val="center"/>
              <w:rPr>
                <w:rFonts w:ascii="Arial Narrow" w:hAnsi="Arial Narrow" w:cs="Arial"/>
                <w:b/>
                <w:sz w:val="20"/>
                <w:szCs w:val="20"/>
              </w:rPr>
            </w:pPr>
            <w:r w:rsidRPr="00472ED3">
              <w:rPr>
                <w:rFonts w:ascii="Arial Narrow" w:hAnsi="Arial Narrow" w:cs="Arial"/>
                <w:b/>
                <w:sz w:val="20"/>
                <w:szCs w:val="20"/>
              </w:rPr>
              <w:t>Max. qty units</w:t>
            </w:r>
          </w:p>
        </w:tc>
        <w:tc>
          <w:tcPr>
            <w:tcW w:w="814" w:type="dxa"/>
            <w:vAlign w:val="center"/>
          </w:tcPr>
          <w:p w14:paraId="58BABAEC" w14:textId="77777777" w:rsidR="00956835" w:rsidRPr="00472ED3" w:rsidRDefault="00956835" w:rsidP="00F36268">
            <w:pPr>
              <w:keepNext/>
              <w:keepLines/>
              <w:jc w:val="center"/>
              <w:rPr>
                <w:rFonts w:ascii="Arial Narrow" w:hAnsi="Arial Narrow" w:cs="Arial"/>
                <w:b/>
                <w:sz w:val="20"/>
                <w:szCs w:val="20"/>
              </w:rPr>
            </w:pPr>
            <w:r w:rsidRPr="00472ED3">
              <w:rPr>
                <w:rFonts w:ascii="Arial Narrow" w:hAnsi="Arial Narrow" w:cs="Arial"/>
                <w:b/>
                <w:sz w:val="20"/>
                <w:szCs w:val="20"/>
              </w:rPr>
              <w:t>№.of</w:t>
            </w:r>
          </w:p>
          <w:p w14:paraId="0EA1E500" w14:textId="77777777" w:rsidR="00956835" w:rsidRPr="00472ED3" w:rsidRDefault="00956835" w:rsidP="00F36268">
            <w:pPr>
              <w:keepNext/>
              <w:keepLines/>
              <w:jc w:val="center"/>
              <w:rPr>
                <w:rFonts w:ascii="Arial Narrow" w:hAnsi="Arial Narrow" w:cs="Arial"/>
                <w:b/>
                <w:sz w:val="20"/>
                <w:szCs w:val="20"/>
              </w:rPr>
            </w:pPr>
            <w:r w:rsidRPr="00472ED3">
              <w:rPr>
                <w:rFonts w:ascii="Arial Narrow" w:hAnsi="Arial Narrow" w:cs="Arial"/>
                <w:b/>
                <w:sz w:val="20"/>
                <w:szCs w:val="20"/>
              </w:rPr>
              <w:t>Rpts</w:t>
            </w:r>
          </w:p>
        </w:tc>
        <w:tc>
          <w:tcPr>
            <w:tcW w:w="1828" w:type="dxa"/>
            <w:vAlign w:val="center"/>
          </w:tcPr>
          <w:p w14:paraId="73DAEEBD" w14:textId="77777777" w:rsidR="00956835" w:rsidRPr="00472ED3" w:rsidRDefault="00956835" w:rsidP="00F36268">
            <w:pPr>
              <w:keepNext/>
              <w:keepLines/>
              <w:rPr>
                <w:rFonts w:ascii="Arial Narrow" w:hAnsi="Arial Narrow" w:cs="Arial"/>
                <w:b/>
                <w:sz w:val="20"/>
                <w:szCs w:val="20"/>
                <w:lang w:val="fr-FR"/>
              </w:rPr>
            </w:pPr>
            <w:r w:rsidRPr="00472ED3">
              <w:rPr>
                <w:rFonts w:ascii="Arial Narrow" w:hAnsi="Arial Narrow" w:cs="Arial"/>
                <w:b/>
                <w:sz w:val="20"/>
                <w:szCs w:val="20"/>
              </w:rPr>
              <w:t>Available brands</w:t>
            </w:r>
          </w:p>
        </w:tc>
      </w:tr>
      <w:tr w:rsidR="00956835" w:rsidRPr="00472ED3" w14:paraId="685ACDA1" w14:textId="77777777">
        <w:trPr>
          <w:cantSplit/>
          <w:trHeight w:val="20"/>
        </w:trPr>
        <w:tc>
          <w:tcPr>
            <w:tcW w:w="9016" w:type="dxa"/>
            <w:gridSpan w:val="8"/>
            <w:vAlign w:val="center"/>
          </w:tcPr>
          <w:p w14:paraId="4414ADC2" w14:textId="77777777" w:rsidR="00956835" w:rsidRPr="00472ED3" w:rsidRDefault="00956835" w:rsidP="00F36268">
            <w:pPr>
              <w:keepNext/>
              <w:keepLines/>
              <w:rPr>
                <w:rFonts w:ascii="Arial Narrow" w:hAnsi="Arial Narrow" w:cs="Arial"/>
                <w:sz w:val="20"/>
                <w:szCs w:val="20"/>
              </w:rPr>
            </w:pPr>
            <w:r w:rsidRPr="00472ED3">
              <w:rPr>
                <w:rFonts w:ascii="Arial Narrow" w:hAnsi="Arial Narrow" w:cs="Arial"/>
                <w:sz w:val="20"/>
                <w:szCs w:val="20"/>
              </w:rPr>
              <w:t>VORASIDENIB</w:t>
            </w:r>
          </w:p>
        </w:tc>
      </w:tr>
      <w:tr w:rsidR="00956835" w:rsidRPr="00472ED3" w14:paraId="19925684" w14:textId="77777777">
        <w:trPr>
          <w:cantSplit/>
          <w:trHeight w:val="20"/>
        </w:trPr>
        <w:tc>
          <w:tcPr>
            <w:tcW w:w="3934" w:type="dxa"/>
            <w:gridSpan w:val="3"/>
            <w:vAlign w:val="center"/>
          </w:tcPr>
          <w:p w14:paraId="7E8F97BD" w14:textId="77777777" w:rsidR="00956835" w:rsidRPr="00472ED3" w:rsidRDefault="00956835" w:rsidP="00F36268">
            <w:pPr>
              <w:keepNext/>
              <w:keepLines/>
              <w:rPr>
                <w:rFonts w:ascii="Arial Narrow" w:eastAsia="Calibri" w:hAnsi="Arial Narrow" w:cs="Arial"/>
                <w:sz w:val="20"/>
                <w:szCs w:val="20"/>
              </w:rPr>
            </w:pPr>
            <w:r w:rsidRPr="00472ED3">
              <w:rPr>
                <w:rFonts w:ascii="Arial Narrow" w:eastAsia="Calibri" w:hAnsi="Arial Narrow" w:cs="Arial"/>
                <w:sz w:val="20"/>
                <w:szCs w:val="20"/>
              </w:rPr>
              <w:t>Vorasidenib 10 mg tablet, 30</w:t>
            </w:r>
          </w:p>
        </w:tc>
        <w:tc>
          <w:tcPr>
            <w:tcW w:w="813" w:type="dxa"/>
            <w:vAlign w:val="center"/>
          </w:tcPr>
          <w:p w14:paraId="65BD3055" w14:textId="77777777" w:rsidR="00956835" w:rsidRPr="00472ED3" w:rsidRDefault="00956835" w:rsidP="00F36268">
            <w:pPr>
              <w:keepNext/>
              <w:keepLines/>
              <w:jc w:val="center"/>
              <w:rPr>
                <w:rFonts w:ascii="Arial Narrow" w:eastAsia="Calibri" w:hAnsi="Arial Narrow" w:cs="Arial"/>
                <w:sz w:val="20"/>
                <w:szCs w:val="20"/>
              </w:rPr>
            </w:pPr>
            <w:r w:rsidRPr="00472ED3">
              <w:rPr>
                <w:rFonts w:ascii="Arial Narrow" w:eastAsia="Calibri" w:hAnsi="Arial Narrow" w:cs="Arial"/>
                <w:sz w:val="20"/>
                <w:szCs w:val="20"/>
              </w:rPr>
              <w:t>NEW</w:t>
            </w:r>
          </w:p>
        </w:tc>
        <w:tc>
          <w:tcPr>
            <w:tcW w:w="814" w:type="dxa"/>
          </w:tcPr>
          <w:p w14:paraId="25F424B1" w14:textId="77777777" w:rsidR="00956835" w:rsidRPr="00472ED3" w:rsidRDefault="00956835" w:rsidP="00F36268">
            <w:pPr>
              <w:keepNext/>
              <w:keepLines/>
              <w:jc w:val="center"/>
              <w:rPr>
                <w:rFonts w:ascii="Arial Narrow" w:eastAsia="Calibri" w:hAnsi="Arial Narrow" w:cs="Arial"/>
                <w:sz w:val="20"/>
                <w:szCs w:val="20"/>
              </w:rPr>
            </w:pPr>
            <w:r w:rsidRPr="00472ED3">
              <w:rPr>
                <w:rFonts w:ascii="Arial Narrow" w:eastAsia="Calibri" w:hAnsi="Arial Narrow" w:cs="Arial"/>
                <w:sz w:val="20"/>
                <w:szCs w:val="20"/>
              </w:rPr>
              <w:t>2</w:t>
            </w:r>
          </w:p>
        </w:tc>
        <w:tc>
          <w:tcPr>
            <w:tcW w:w="813" w:type="dxa"/>
            <w:vAlign w:val="center"/>
          </w:tcPr>
          <w:p w14:paraId="22305ECA" w14:textId="77777777" w:rsidR="00956835" w:rsidRPr="00472ED3" w:rsidRDefault="00956835" w:rsidP="00F36268">
            <w:pPr>
              <w:keepNext/>
              <w:keepLines/>
              <w:jc w:val="center"/>
              <w:rPr>
                <w:rFonts w:ascii="Arial Narrow" w:eastAsia="Calibri" w:hAnsi="Arial Narrow" w:cs="Arial"/>
                <w:sz w:val="20"/>
                <w:szCs w:val="20"/>
              </w:rPr>
            </w:pPr>
            <w:r w:rsidRPr="00472ED3">
              <w:rPr>
                <w:rFonts w:ascii="Arial Narrow" w:eastAsia="Calibri" w:hAnsi="Arial Narrow" w:cs="Arial"/>
                <w:sz w:val="20"/>
                <w:szCs w:val="20"/>
              </w:rPr>
              <w:t>60</w:t>
            </w:r>
          </w:p>
        </w:tc>
        <w:tc>
          <w:tcPr>
            <w:tcW w:w="814" w:type="dxa"/>
            <w:vAlign w:val="center"/>
          </w:tcPr>
          <w:p w14:paraId="34B11F9C" w14:textId="77777777" w:rsidR="00956835" w:rsidRPr="00472ED3" w:rsidRDefault="00956835" w:rsidP="00F36268">
            <w:pPr>
              <w:keepNext/>
              <w:keepLines/>
              <w:jc w:val="center"/>
              <w:rPr>
                <w:rFonts w:ascii="Arial Narrow" w:eastAsia="Calibri" w:hAnsi="Arial Narrow" w:cs="Arial"/>
                <w:sz w:val="20"/>
                <w:szCs w:val="20"/>
              </w:rPr>
            </w:pPr>
            <w:r w:rsidRPr="00472ED3">
              <w:rPr>
                <w:rFonts w:ascii="Arial Narrow" w:eastAsia="Calibri" w:hAnsi="Arial Narrow" w:cs="Arial"/>
                <w:sz w:val="20"/>
                <w:szCs w:val="20"/>
              </w:rPr>
              <w:t>5</w:t>
            </w:r>
          </w:p>
        </w:tc>
        <w:tc>
          <w:tcPr>
            <w:tcW w:w="1828" w:type="dxa"/>
            <w:vAlign w:val="center"/>
          </w:tcPr>
          <w:p w14:paraId="0A166E4E" w14:textId="77777777" w:rsidR="00956835" w:rsidRPr="00472ED3" w:rsidRDefault="00956835" w:rsidP="00F36268">
            <w:pPr>
              <w:keepNext/>
              <w:keepLines/>
              <w:rPr>
                <w:rFonts w:ascii="Arial Narrow" w:eastAsia="Calibri" w:hAnsi="Arial Narrow" w:cs="Arial"/>
                <w:sz w:val="20"/>
                <w:szCs w:val="20"/>
              </w:rPr>
            </w:pPr>
            <w:r w:rsidRPr="00472ED3">
              <w:rPr>
                <w:rFonts w:ascii="Arial Narrow" w:eastAsia="Calibri" w:hAnsi="Arial Narrow" w:cs="Arial"/>
                <w:sz w:val="20"/>
                <w:szCs w:val="20"/>
              </w:rPr>
              <w:t>VORANIGO</w:t>
            </w:r>
          </w:p>
        </w:tc>
      </w:tr>
      <w:tr w:rsidR="00956835" w:rsidRPr="00472ED3" w14:paraId="6DF702ED" w14:textId="77777777">
        <w:trPr>
          <w:cantSplit/>
          <w:trHeight w:val="20"/>
        </w:trPr>
        <w:tc>
          <w:tcPr>
            <w:tcW w:w="3934" w:type="dxa"/>
            <w:gridSpan w:val="3"/>
            <w:vAlign w:val="center"/>
          </w:tcPr>
          <w:p w14:paraId="1E0DD7ED" w14:textId="77777777" w:rsidR="00956835" w:rsidRPr="00472ED3" w:rsidRDefault="00956835" w:rsidP="00F36268">
            <w:pPr>
              <w:keepNext/>
              <w:tabs>
                <w:tab w:val="left" w:pos="1077"/>
              </w:tabs>
              <w:rPr>
                <w:rFonts w:ascii="Arial Narrow" w:hAnsi="Arial Narrow" w:cs="Arial"/>
                <w:sz w:val="20"/>
                <w:szCs w:val="20"/>
              </w:rPr>
            </w:pPr>
            <w:r w:rsidRPr="00472ED3">
              <w:rPr>
                <w:rFonts w:ascii="Arial Narrow" w:eastAsia="Calibri" w:hAnsi="Arial Narrow" w:cs="Arial"/>
                <w:sz w:val="20"/>
                <w:szCs w:val="20"/>
              </w:rPr>
              <w:t>Vorasidenib 40 mg tablet, 30</w:t>
            </w:r>
          </w:p>
        </w:tc>
        <w:tc>
          <w:tcPr>
            <w:tcW w:w="813" w:type="dxa"/>
            <w:vAlign w:val="center"/>
          </w:tcPr>
          <w:p w14:paraId="14216E00" w14:textId="77777777" w:rsidR="00956835" w:rsidRPr="00472ED3" w:rsidRDefault="00956835" w:rsidP="00F36268">
            <w:pPr>
              <w:keepNext/>
              <w:jc w:val="center"/>
              <w:rPr>
                <w:rFonts w:ascii="Arial Narrow" w:hAnsi="Arial Narrow" w:cs="Arial"/>
                <w:sz w:val="20"/>
                <w:szCs w:val="20"/>
              </w:rPr>
            </w:pPr>
            <w:r w:rsidRPr="00472ED3">
              <w:rPr>
                <w:rFonts w:ascii="Arial Narrow" w:eastAsia="Calibri" w:hAnsi="Arial Narrow" w:cs="Arial"/>
                <w:sz w:val="20"/>
                <w:szCs w:val="20"/>
              </w:rPr>
              <w:t>NEW</w:t>
            </w:r>
          </w:p>
        </w:tc>
        <w:tc>
          <w:tcPr>
            <w:tcW w:w="814" w:type="dxa"/>
          </w:tcPr>
          <w:p w14:paraId="6185B3BD" w14:textId="77777777" w:rsidR="00956835" w:rsidRPr="00472ED3" w:rsidRDefault="00956835" w:rsidP="00F36268">
            <w:pPr>
              <w:keepNext/>
              <w:jc w:val="center"/>
              <w:rPr>
                <w:rFonts w:ascii="Arial Narrow" w:hAnsi="Arial Narrow" w:cs="Arial"/>
                <w:sz w:val="20"/>
                <w:szCs w:val="20"/>
              </w:rPr>
            </w:pPr>
            <w:r w:rsidRPr="00472ED3">
              <w:rPr>
                <w:rFonts w:ascii="Arial Narrow" w:eastAsia="Calibri" w:hAnsi="Arial Narrow" w:cs="Arial"/>
                <w:sz w:val="20"/>
                <w:szCs w:val="20"/>
              </w:rPr>
              <w:t>1</w:t>
            </w:r>
          </w:p>
        </w:tc>
        <w:tc>
          <w:tcPr>
            <w:tcW w:w="813" w:type="dxa"/>
            <w:vAlign w:val="center"/>
          </w:tcPr>
          <w:p w14:paraId="614D4D46" w14:textId="77777777" w:rsidR="00956835" w:rsidRPr="00472ED3" w:rsidRDefault="00956835" w:rsidP="00F36268">
            <w:pPr>
              <w:keepNext/>
              <w:jc w:val="center"/>
              <w:rPr>
                <w:rFonts w:ascii="Arial Narrow" w:hAnsi="Arial Narrow" w:cs="Arial"/>
                <w:sz w:val="20"/>
                <w:szCs w:val="20"/>
              </w:rPr>
            </w:pPr>
            <w:r w:rsidRPr="00472ED3">
              <w:rPr>
                <w:rFonts w:ascii="Arial Narrow" w:eastAsia="Calibri" w:hAnsi="Arial Narrow" w:cs="Arial"/>
                <w:sz w:val="20"/>
                <w:szCs w:val="20"/>
              </w:rPr>
              <w:t>30</w:t>
            </w:r>
          </w:p>
        </w:tc>
        <w:tc>
          <w:tcPr>
            <w:tcW w:w="814" w:type="dxa"/>
            <w:vAlign w:val="center"/>
          </w:tcPr>
          <w:p w14:paraId="6D9A5AAE" w14:textId="77777777" w:rsidR="00956835" w:rsidRPr="00472ED3" w:rsidRDefault="00956835" w:rsidP="00F36268">
            <w:pPr>
              <w:keepNext/>
              <w:jc w:val="center"/>
              <w:rPr>
                <w:rFonts w:ascii="Arial Narrow" w:hAnsi="Arial Narrow" w:cs="Arial"/>
                <w:sz w:val="20"/>
                <w:szCs w:val="20"/>
              </w:rPr>
            </w:pPr>
            <w:r w:rsidRPr="00472ED3">
              <w:rPr>
                <w:rFonts w:ascii="Arial Narrow" w:eastAsia="Calibri" w:hAnsi="Arial Narrow" w:cs="Arial"/>
                <w:sz w:val="20"/>
                <w:szCs w:val="20"/>
              </w:rPr>
              <w:t>5</w:t>
            </w:r>
          </w:p>
        </w:tc>
        <w:tc>
          <w:tcPr>
            <w:tcW w:w="1828" w:type="dxa"/>
            <w:vAlign w:val="center"/>
          </w:tcPr>
          <w:p w14:paraId="5595C6C3" w14:textId="77777777" w:rsidR="00956835" w:rsidRPr="00472ED3" w:rsidRDefault="00956835" w:rsidP="00F36268">
            <w:pPr>
              <w:keepNext/>
              <w:rPr>
                <w:rFonts w:ascii="Arial Narrow" w:hAnsi="Arial Narrow" w:cs="Arial"/>
                <w:sz w:val="20"/>
                <w:szCs w:val="20"/>
              </w:rPr>
            </w:pPr>
            <w:r w:rsidRPr="00472ED3">
              <w:rPr>
                <w:rFonts w:ascii="Arial Narrow" w:eastAsia="Calibri" w:hAnsi="Arial Narrow" w:cs="Arial"/>
                <w:sz w:val="20"/>
                <w:szCs w:val="20"/>
              </w:rPr>
              <w:t>VORANIGO</w:t>
            </w:r>
          </w:p>
        </w:tc>
      </w:tr>
      <w:tr w:rsidR="00956835" w:rsidRPr="00472ED3" w14:paraId="5C56F436" w14:textId="77777777">
        <w:tblPrEx>
          <w:tblCellMar>
            <w:top w:w="15" w:type="dxa"/>
            <w:bottom w:w="15" w:type="dxa"/>
          </w:tblCellMar>
          <w:tblLook w:val="04A0" w:firstRow="1" w:lastRow="0" w:firstColumn="1" w:lastColumn="0" w:noHBand="0" w:noVBand="1"/>
        </w:tblPrEx>
        <w:trPr>
          <w:trHeight w:val="20"/>
        </w:trPr>
        <w:tc>
          <w:tcPr>
            <w:tcW w:w="9016" w:type="dxa"/>
            <w:gridSpan w:val="8"/>
            <w:tcBorders>
              <w:top w:val="single" w:sz="4" w:space="0" w:color="auto"/>
              <w:left w:val="single" w:sz="4" w:space="0" w:color="auto"/>
              <w:right w:val="single" w:sz="4" w:space="0" w:color="auto"/>
            </w:tcBorders>
            <w:vAlign w:val="center"/>
          </w:tcPr>
          <w:p w14:paraId="38382101" w14:textId="77777777" w:rsidR="00956835" w:rsidRPr="00472ED3" w:rsidRDefault="00956835" w:rsidP="00F36268">
            <w:pPr>
              <w:keepNext/>
              <w:rPr>
                <w:rFonts w:ascii="Arial Narrow" w:hAnsi="Arial Narrow" w:cs="Arial"/>
                <w:sz w:val="20"/>
                <w:szCs w:val="20"/>
              </w:rPr>
            </w:pPr>
          </w:p>
        </w:tc>
      </w:tr>
      <w:tr w:rsidR="00956835" w:rsidRPr="00472ED3" w14:paraId="0853FDE0" w14:textId="77777777">
        <w:tblPrEx>
          <w:tblCellMar>
            <w:top w:w="15" w:type="dxa"/>
            <w:bottom w:w="15" w:type="dxa"/>
          </w:tblCellMar>
          <w:tblLook w:val="04A0" w:firstRow="1" w:lastRow="0" w:firstColumn="1" w:lastColumn="0" w:noHBand="0" w:noVBand="1"/>
        </w:tblPrEx>
        <w:trPr>
          <w:trHeight w:val="20"/>
        </w:trPr>
        <w:tc>
          <w:tcPr>
            <w:tcW w:w="1280" w:type="dxa"/>
            <w:gridSpan w:val="2"/>
            <w:vMerge w:val="restart"/>
            <w:tcBorders>
              <w:top w:val="single" w:sz="4" w:space="0" w:color="auto"/>
              <w:left w:val="single" w:sz="4" w:space="0" w:color="auto"/>
              <w:right w:val="single" w:sz="4" w:space="0" w:color="auto"/>
            </w:tcBorders>
          </w:tcPr>
          <w:p w14:paraId="0EE39516" w14:textId="77777777" w:rsidR="00956835" w:rsidRPr="00472ED3" w:rsidRDefault="00956835" w:rsidP="00F36268">
            <w:pPr>
              <w:keepNext/>
              <w:jc w:val="center"/>
              <w:rPr>
                <w:rFonts w:ascii="Arial Narrow" w:hAnsi="Arial Narrow" w:cs="Arial"/>
                <w:b/>
                <w:sz w:val="20"/>
                <w:szCs w:val="20"/>
              </w:rPr>
            </w:pPr>
            <w:r w:rsidRPr="00472ED3">
              <w:rPr>
                <w:rFonts w:ascii="Arial Narrow" w:hAnsi="Arial Narrow" w:cs="Arial"/>
                <w:b/>
                <w:sz w:val="20"/>
                <w:szCs w:val="20"/>
              </w:rPr>
              <w:t xml:space="preserve">Concept ID </w:t>
            </w:r>
            <w:r w:rsidRPr="00472ED3">
              <w:rPr>
                <w:rFonts w:ascii="Arial Narrow" w:hAnsi="Arial Narrow" w:cs="Arial"/>
                <w:sz w:val="20"/>
                <w:szCs w:val="20"/>
              </w:rPr>
              <w:t>(for internal Dept. use)</w:t>
            </w:r>
          </w:p>
        </w:tc>
        <w:tc>
          <w:tcPr>
            <w:tcW w:w="7736" w:type="dxa"/>
            <w:gridSpan w:val="6"/>
            <w:tcBorders>
              <w:top w:val="single" w:sz="4" w:space="0" w:color="auto"/>
              <w:left w:val="single" w:sz="4" w:space="0" w:color="auto"/>
              <w:bottom w:val="single" w:sz="4" w:space="0" w:color="auto"/>
              <w:right w:val="single" w:sz="4" w:space="0" w:color="auto"/>
            </w:tcBorders>
            <w:vAlign w:val="center"/>
          </w:tcPr>
          <w:p w14:paraId="4BDB1BD2" w14:textId="77777777" w:rsidR="00956835" w:rsidRPr="00472ED3" w:rsidRDefault="00956835" w:rsidP="00F36268">
            <w:pPr>
              <w:keepNext/>
              <w:keepLines/>
              <w:rPr>
                <w:rFonts w:ascii="Arial Narrow" w:hAnsi="Arial Narrow" w:cs="Arial"/>
                <w:sz w:val="20"/>
                <w:szCs w:val="20"/>
              </w:rPr>
            </w:pPr>
            <w:r w:rsidRPr="00472ED3">
              <w:rPr>
                <w:rFonts w:ascii="Arial Narrow" w:hAnsi="Arial Narrow" w:cs="Arial"/>
                <w:b/>
                <w:sz w:val="20"/>
                <w:szCs w:val="20"/>
              </w:rPr>
              <w:t>Category / Program:</w:t>
            </w:r>
          </w:p>
          <w:p w14:paraId="2FC73549" w14:textId="77777777" w:rsidR="00956835" w:rsidRPr="00472ED3" w:rsidRDefault="00956835" w:rsidP="00F36268">
            <w:pPr>
              <w:keepNext/>
              <w:keepLines/>
              <w:rPr>
                <w:rFonts w:ascii="Arial Narrow" w:hAnsi="Arial Narrow" w:cs="Arial"/>
                <w:sz w:val="20"/>
                <w:szCs w:val="20"/>
              </w:rPr>
            </w:pPr>
            <w:r w:rsidRPr="00472ED3">
              <w:rPr>
                <w:rFonts w:ascii="Arial Narrow" w:eastAsia="Calibri" w:hAnsi="Arial Narrow" w:cs="Arial"/>
                <w:sz w:val="20"/>
                <w:szCs w:val="20"/>
              </w:rPr>
              <w:fldChar w:fldCharType="begin">
                <w:ffData>
                  <w:name w:val="Check1"/>
                  <w:enabled/>
                  <w:calcOnExit w:val="0"/>
                  <w:checkBox>
                    <w:sizeAuto/>
                    <w:default w:val="1"/>
                  </w:checkBox>
                </w:ffData>
              </w:fldChar>
            </w:r>
            <w:bookmarkStart w:id="26" w:name="Check1"/>
            <w:r w:rsidRPr="00472ED3">
              <w:rPr>
                <w:rFonts w:ascii="Arial Narrow" w:eastAsia="Calibri" w:hAnsi="Arial Narrow" w:cs="Arial"/>
                <w:sz w:val="20"/>
                <w:szCs w:val="20"/>
              </w:rPr>
              <w:instrText xml:space="preserve"> FORMCHECKBOX </w:instrText>
            </w:r>
            <w:r w:rsidRPr="00472ED3">
              <w:rPr>
                <w:rFonts w:ascii="Arial Narrow" w:eastAsia="Calibri" w:hAnsi="Arial Narrow" w:cs="Arial"/>
                <w:sz w:val="20"/>
                <w:szCs w:val="20"/>
              </w:rPr>
            </w:r>
            <w:r w:rsidRPr="00472ED3">
              <w:rPr>
                <w:rFonts w:ascii="Arial Narrow" w:eastAsia="Calibri" w:hAnsi="Arial Narrow" w:cs="Arial"/>
                <w:sz w:val="20"/>
                <w:szCs w:val="20"/>
              </w:rPr>
              <w:fldChar w:fldCharType="separate"/>
            </w:r>
            <w:r w:rsidRPr="00472ED3">
              <w:rPr>
                <w:rFonts w:ascii="Arial Narrow" w:eastAsia="Calibri" w:hAnsi="Arial Narrow" w:cs="Arial"/>
                <w:sz w:val="20"/>
                <w:szCs w:val="20"/>
              </w:rPr>
              <w:fldChar w:fldCharType="end"/>
            </w:r>
            <w:bookmarkEnd w:id="26"/>
            <w:r w:rsidRPr="00472ED3">
              <w:rPr>
                <w:rFonts w:ascii="Arial Narrow" w:eastAsia="Calibri" w:hAnsi="Arial Narrow" w:cs="Arial"/>
                <w:sz w:val="20"/>
                <w:szCs w:val="20"/>
              </w:rPr>
              <w:t xml:space="preserve"> GENERAL – General Schedule (Code GE) </w:t>
            </w:r>
          </w:p>
        </w:tc>
      </w:tr>
      <w:tr w:rsidR="00956835" w:rsidRPr="00472ED3" w14:paraId="03DCEFE7" w14:textId="77777777">
        <w:tblPrEx>
          <w:tblCellMar>
            <w:top w:w="15" w:type="dxa"/>
            <w:bottom w:w="15" w:type="dxa"/>
          </w:tblCellMar>
          <w:tblLook w:val="04A0" w:firstRow="1" w:lastRow="0" w:firstColumn="1" w:lastColumn="0" w:noHBand="0" w:noVBand="1"/>
        </w:tblPrEx>
        <w:trPr>
          <w:trHeight w:val="20"/>
        </w:trPr>
        <w:tc>
          <w:tcPr>
            <w:tcW w:w="1280" w:type="dxa"/>
            <w:gridSpan w:val="2"/>
            <w:vMerge/>
          </w:tcPr>
          <w:p w14:paraId="193F3160" w14:textId="77777777" w:rsidR="00956835" w:rsidRPr="00472ED3" w:rsidRDefault="00956835" w:rsidP="00F36268">
            <w:pPr>
              <w:rPr>
                <w:rFonts w:ascii="Arial Narrow" w:hAnsi="Arial Narrow" w:cs="Arial"/>
                <w:sz w:val="20"/>
                <w:szCs w:val="20"/>
              </w:rPr>
            </w:pPr>
          </w:p>
        </w:tc>
        <w:tc>
          <w:tcPr>
            <w:tcW w:w="7736" w:type="dxa"/>
            <w:gridSpan w:val="6"/>
            <w:tcBorders>
              <w:top w:val="single" w:sz="4" w:space="0" w:color="auto"/>
              <w:left w:val="single" w:sz="4" w:space="0" w:color="auto"/>
              <w:bottom w:val="single" w:sz="4" w:space="0" w:color="auto"/>
              <w:right w:val="single" w:sz="4" w:space="0" w:color="auto"/>
            </w:tcBorders>
            <w:vAlign w:val="center"/>
          </w:tcPr>
          <w:p w14:paraId="2855EFCA" w14:textId="77777777" w:rsidR="00956835" w:rsidRPr="00472ED3" w:rsidRDefault="00956835" w:rsidP="00F36268">
            <w:pPr>
              <w:keepLines/>
              <w:rPr>
                <w:rFonts w:ascii="Arial Narrow" w:hAnsi="Arial Narrow" w:cs="Arial"/>
                <w:b/>
                <w:sz w:val="20"/>
                <w:szCs w:val="20"/>
              </w:rPr>
            </w:pPr>
            <w:r w:rsidRPr="00472ED3">
              <w:rPr>
                <w:rFonts w:ascii="Arial Narrow" w:hAnsi="Arial Narrow" w:cs="Arial"/>
                <w:b/>
                <w:sz w:val="20"/>
                <w:szCs w:val="20"/>
              </w:rPr>
              <w:t xml:space="preserve">Prescriber type: </w:t>
            </w:r>
            <w:r w:rsidRPr="00472ED3">
              <w:rPr>
                <w:rFonts w:ascii="Arial Narrow" w:hAnsi="Arial Narrow" w:cs="Arial"/>
                <w:sz w:val="20"/>
                <w:szCs w:val="20"/>
              </w:rPr>
              <w:fldChar w:fldCharType="begin">
                <w:ffData>
                  <w:name w:val=""/>
                  <w:enabled/>
                  <w:calcOnExit w:val="0"/>
                  <w:checkBox>
                    <w:sizeAuto/>
                    <w:default w:val="1"/>
                  </w:checkBox>
                </w:ffData>
              </w:fldChar>
            </w:r>
            <w:r w:rsidRPr="00472ED3">
              <w:rPr>
                <w:rFonts w:ascii="Arial Narrow" w:hAnsi="Arial Narrow" w:cs="Arial"/>
                <w:sz w:val="20"/>
                <w:szCs w:val="20"/>
              </w:rPr>
              <w:instrText xml:space="preserve"> FORMCHECKBOX </w:instrText>
            </w:r>
            <w:r w:rsidRPr="00472ED3">
              <w:rPr>
                <w:rFonts w:ascii="Arial Narrow" w:hAnsi="Arial Narrow" w:cs="Arial"/>
                <w:sz w:val="20"/>
                <w:szCs w:val="20"/>
              </w:rPr>
            </w:r>
            <w:r w:rsidRPr="00472ED3">
              <w:rPr>
                <w:rFonts w:ascii="Arial Narrow" w:hAnsi="Arial Narrow" w:cs="Arial"/>
                <w:sz w:val="20"/>
                <w:szCs w:val="20"/>
              </w:rPr>
              <w:fldChar w:fldCharType="separate"/>
            </w:r>
            <w:r w:rsidRPr="00472ED3">
              <w:rPr>
                <w:rFonts w:ascii="Arial Narrow" w:hAnsi="Arial Narrow" w:cs="Arial"/>
                <w:sz w:val="20"/>
                <w:szCs w:val="20"/>
              </w:rPr>
              <w:fldChar w:fldCharType="end"/>
            </w:r>
            <w:r w:rsidRPr="00472ED3">
              <w:rPr>
                <w:rFonts w:ascii="Arial Narrow" w:hAnsi="Arial Narrow" w:cs="Arial"/>
                <w:sz w:val="20"/>
                <w:szCs w:val="20"/>
              </w:rPr>
              <w:t>Medical Practitioners</w:t>
            </w:r>
          </w:p>
        </w:tc>
      </w:tr>
      <w:tr w:rsidR="00956835" w:rsidRPr="00472ED3" w14:paraId="7177C86D" w14:textId="77777777">
        <w:tblPrEx>
          <w:tblCellMar>
            <w:top w:w="15" w:type="dxa"/>
            <w:bottom w:w="15" w:type="dxa"/>
          </w:tblCellMar>
          <w:tblLook w:val="04A0" w:firstRow="1" w:lastRow="0" w:firstColumn="1" w:lastColumn="0" w:noHBand="0" w:noVBand="1"/>
        </w:tblPrEx>
        <w:trPr>
          <w:trHeight w:val="20"/>
        </w:trPr>
        <w:tc>
          <w:tcPr>
            <w:tcW w:w="1280" w:type="dxa"/>
            <w:gridSpan w:val="2"/>
            <w:vMerge/>
          </w:tcPr>
          <w:p w14:paraId="4DEC2A63" w14:textId="77777777" w:rsidR="00956835" w:rsidRPr="00472ED3" w:rsidRDefault="00956835" w:rsidP="00F36268">
            <w:pPr>
              <w:rPr>
                <w:rFonts w:ascii="Arial Narrow" w:hAnsi="Arial Narrow" w:cs="Arial"/>
                <w:sz w:val="20"/>
                <w:szCs w:val="20"/>
              </w:rPr>
            </w:pPr>
          </w:p>
        </w:tc>
        <w:tc>
          <w:tcPr>
            <w:tcW w:w="7736" w:type="dxa"/>
            <w:gridSpan w:val="6"/>
            <w:tcBorders>
              <w:top w:val="single" w:sz="4" w:space="0" w:color="auto"/>
              <w:left w:val="single" w:sz="4" w:space="0" w:color="auto"/>
              <w:bottom w:val="single" w:sz="4" w:space="0" w:color="auto"/>
              <w:right w:val="single" w:sz="4" w:space="0" w:color="auto"/>
            </w:tcBorders>
            <w:vAlign w:val="center"/>
          </w:tcPr>
          <w:p w14:paraId="7822FE04" w14:textId="77777777" w:rsidR="00956835" w:rsidRPr="00472ED3" w:rsidRDefault="00956835" w:rsidP="00F36268">
            <w:pPr>
              <w:keepLines/>
              <w:rPr>
                <w:rFonts w:ascii="Arial Narrow" w:eastAsia="Calibri" w:hAnsi="Arial Narrow" w:cs="Arial"/>
                <w:sz w:val="20"/>
                <w:szCs w:val="20"/>
              </w:rPr>
            </w:pPr>
            <w:r w:rsidRPr="00472ED3">
              <w:rPr>
                <w:rFonts w:ascii="Arial Narrow" w:hAnsi="Arial Narrow" w:cs="Arial"/>
                <w:b/>
                <w:sz w:val="20"/>
                <w:szCs w:val="20"/>
              </w:rPr>
              <w:t xml:space="preserve">Restriction type: </w:t>
            </w:r>
            <w:r w:rsidRPr="00472ED3">
              <w:rPr>
                <w:rFonts w:ascii="Arial Narrow" w:eastAsia="Calibri" w:hAnsi="Arial Narrow" w:cs="Arial"/>
                <w:strike/>
                <w:sz w:val="20"/>
                <w:szCs w:val="20"/>
              </w:rPr>
              <w:fldChar w:fldCharType="begin">
                <w:ffData>
                  <w:name w:val=""/>
                  <w:enabled/>
                  <w:calcOnExit w:val="0"/>
                  <w:checkBox>
                    <w:sizeAuto/>
                    <w:default w:val="1"/>
                  </w:checkBox>
                </w:ffData>
              </w:fldChar>
            </w:r>
            <w:r w:rsidRPr="00472ED3">
              <w:rPr>
                <w:rFonts w:ascii="Arial Narrow" w:eastAsia="Calibri" w:hAnsi="Arial Narrow" w:cs="Arial"/>
                <w:strike/>
                <w:sz w:val="20"/>
                <w:szCs w:val="20"/>
              </w:rPr>
              <w:instrText xml:space="preserve"> FORMCHECKBOX </w:instrText>
            </w:r>
            <w:r w:rsidRPr="00472ED3">
              <w:rPr>
                <w:rFonts w:ascii="Arial Narrow" w:eastAsia="Calibri" w:hAnsi="Arial Narrow" w:cs="Arial"/>
                <w:strike/>
                <w:sz w:val="20"/>
                <w:szCs w:val="20"/>
              </w:rPr>
            </w:r>
            <w:r w:rsidRPr="00472ED3">
              <w:rPr>
                <w:rFonts w:ascii="Arial Narrow" w:eastAsia="Calibri" w:hAnsi="Arial Narrow" w:cs="Arial"/>
                <w:strike/>
                <w:sz w:val="20"/>
                <w:szCs w:val="20"/>
              </w:rPr>
              <w:fldChar w:fldCharType="separate"/>
            </w:r>
            <w:r w:rsidRPr="00472ED3">
              <w:rPr>
                <w:rFonts w:ascii="Arial Narrow" w:eastAsia="Calibri" w:hAnsi="Arial Narrow" w:cs="Arial"/>
                <w:strike/>
                <w:sz w:val="20"/>
                <w:szCs w:val="20"/>
              </w:rPr>
              <w:fldChar w:fldCharType="end"/>
            </w:r>
            <w:r w:rsidRPr="00472ED3">
              <w:rPr>
                <w:rFonts w:ascii="Arial Narrow" w:eastAsia="Calibri" w:hAnsi="Arial Narrow" w:cs="Arial"/>
                <w:sz w:val="20"/>
                <w:szCs w:val="20"/>
              </w:rPr>
              <w:t xml:space="preserve">Authority Required (Streamlined) [new code] </w:t>
            </w:r>
          </w:p>
        </w:tc>
      </w:tr>
      <w:tr w:rsidR="00956835" w:rsidRPr="00472ED3" w14:paraId="71FC6C8E" w14:textId="77777777">
        <w:tblPrEx>
          <w:tblCellMar>
            <w:top w:w="15" w:type="dxa"/>
            <w:bottom w:w="15" w:type="dxa"/>
          </w:tblCellMar>
          <w:tblLook w:val="04A0" w:firstRow="1" w:lastRow="0" w:firstColumn="1" w:lastColumn="0" w:noHBand="0" w:noVBand="1"/>
        </w:tblPrEx>
        <w:trPr>
          <w:trHeight w:val="20"/>
        </w:trPr>
        <w:tc>
          <w:tcPr>
            <w:tcW w:w="562" w:type="dxa"/>
            <w:vMerge w:val="restart"/>
            <w:tcBorders>
              <w:left w:val="single" w:sz="4" w:space="0" w:color="auto"/>
              <w:right w:val="single" w:sz="4" w:space="0" w:color="auto"/>
            </w:tcBorders>
            <w:textDirection w:val="btLr"/>
            <w:vAlign w:val="center"/>
          </w:tcPr>
          <w:p w14:paraId="1B50E9DF" w14:textId="77777777" w:rsidR="00956835" w:rsidRPr="00BE3792" w:rsidRDefault="00956835" w:rsidP="00F36268">
            <w:pPr>
              <w:jc w:val="center"/>
              <w:rPr>
                <w:rFonts w:ascii="Arial Narrow" w:hAnsi="Arial Narrow" w:cs="Arial"/>
                <w:sz w:val="18"/>
                <w:szCs w:val="18"/>
              </w:rPr>
            </w:pPr>
            <w:r w:rsidRPr="00BE3792">
              <w:rPr>
                <w:rFonts w:ascii="Arial Narrow" w:hAnsi="Arial Narrow" w:cs="Arial"/>
                <w:sz w:val="18"/>
                <w:szCs w:val="18"/>
              </w:rPr>
              <w:t>Prescribing rule level</w:t>
            </w:r>
          </w:p>
        </w:tc>
        <w:tc>
          <w:tcPr>
            <w:tcW w:w="718" w:type="dxa"/>
            <w:vAlign w:val="center"/>
          </w:tcPr>
          <w:p w14:paraId="0A28D5A0" w14:textId="29ADC482" w:rsidR="00956835" w:rsidRPr="00472ED3" w:rsidRDefault="00956835" w:rsidP="00F36268">
            <w:pPr>
              <w:jc w:val="center"/>
              <w:rPr>
                <w:rFonts w:ascii="Arial Narrow" w:hAnsi="Arial Narrow"/>
                <w:sz w:val="20"/>
                <w:szCs w:val="20"/>
              </w:rPr>
            </w:pPr>
          </w:p>
        </w:tc>
        <w:tc>
          <w:tcPr>
            <w:tcW w:w="7736" w:type="dxa"/>
            <w:gridSpan w:val="6"/>
            <w:vAlign w:val="center"/>
          </w:tcPr>
          <w:p w14:paraId="5B9804C9" w14:textId="77777777" w:rsidR="00956835" w:rsidRPr="00472ED3" w:rsidRDefault="00956835" w:rsidP="00F36268">
            <w:pPr>
              <w:rPr>
                <w:rFonts w:ascii="Arial Narrow" w:hAnsi="Arial Narrow"/>
                <w:sz w:val="20"/>
                <w:szCs w:val="20"/>
              </w:rPr>
            </w:pPr>
            <w:r w:rsidRPr="00472ED3">
              <w:rPr>
                <w:rFonts w:ascii="Arial Narrow" w:hAnsi="Arial Narrow"/>
                <w:b/>
                <w:bCs/>
                <w:sz w:val="20"/>
                <w:szCs w:val="20"/>
              </w:rPr>
              <w:t xml:space="preserve">Administrative Advice: </w:t>
            </w:r>
            <w:r w:rsidRPr="00472ED3">
              <w:rPr>
                <w:rFonts w:ascii="Arial Narrow" w:hAnsi="Arial Narrow"/>
                <w:bCs/>
                <w:sz w:val="20"/>
                <w:szCs w:val="20"/>
              </w:rPr>
              <w:t>No increase in the maximum quantity or number of units may be authorised.</w:t>
            </w:r>
          </w:p>
        </w:tc>
      </w:tr>
      <w:tr w:rsidR="00956835" w:rsidRPr="00472ED3" w14:paraId="2AC2088F" w14:textId="77777777">
        <w:tblPrEx>
          <w:tblCellMar>
            <w:top w:w="15" w:type="dxa"/>
            <w:bottom w:w="15" w:type="dxa"/>
          </w:tblCellMar>
          <w:tblLook w:val="04A0" w:firstRow="1" w:lastRow="0" w:firstColumn="1" w:lastColumn="0" w:noHBand="0" w:noVBand="1"/>
        </w:tblPrEx>
        <w:trPr>
          <w:trHeight w:val="20"/>
        </w:trPr>
        <w:tc>
          <w:tcPr>
            <w:tcW w:w="562" w:type="dxa"/>
            <w:vMerge/>
          </w:tcPr>
          <w:p w14:paraId="7BDD861C" w14:textId="77777777" w:rsidR="00956835" w:rsidRPr="00472ED3" w:rsidRDefault="00956835" w:rsidP="00F36268">
            <w:pPr>
              <w:rPr>
                <w:rFonts w:ascii="Arial Narrow" w:hAnsi="Arial Narrow" w:cs="Arial"/>
                <w:sz w:val="20"/>
                <w:szCs w:val="20"/>
              </w:rPr>
            </w:pPr>
          </w:p>
        </w:tc>
        <w:tc>
          <w:tcPr>
            <w:tcW w:w="718" w:type="dxa"/>
            <w:vAlign w:val="center"/>
          </w:tcPr>
          <w:p w14:paraId="7C6ECA31" w14:textId="40CFA32C" w:rsidR="00956835" w:rsidRPr="00472ED3" w:rsidRDefault="00956835" w:rsidP="00F36268">
            <w:pPr>
              <w:jc w:val="center"/>
              <w:rPr>
                <w:rFonts w:ascii="Arial Narrow" w:hAnsi="Arial Narrow"/>
                <w:sz w:val="20"/>
                <w:szCs w:val="20"/>
              </w:rPr>
            </w:pPr>
          </w:p>
        </w:tc>
        <w:tc>
          <w:tcPr>
            <w:tcW w:w="7736" w:type="dxa"/>
            <w:gridSpan w:val="6"/>
            <w:vAlign w:val="center"/>
          </w:tcPr>
          <w:p w14:paraId="414FBAE7" w14:textId="77777777" w:rsidR="00956835" w:rsidRPr="00472ED3" w:rsidRDefault="00956835" w:rsidP="00F36268">
            <w:pPr>
              <w:rPr>
                <w:rFonts w:ascii="Arial Narrow" w:hAnsi="Arial Narrow"/>
                <w:b/>
                <w:bCs/>
                <w:sz w:val="20"/>
                <w:szCs w:val="20"/>
              </w:rPr>
            </w:pPr>
            <w:r w:rsidRPr="00472ED3">
              <w:rPr>
                <w:rFonts w:ascii="Arial Narrow" w:hAnsi="Arial Narrow"/>
                <w:b/>
                <w:bCs/>
                <w:sz w:val="20"/>
                <w:szCs w:val="20"/>
              </w:rPr>
              <w:t xml:space="preserve">Administrative Advice: </w:t>
            </w:r>
            <w:r w:rsidRPr="00472ED3">
              <w:rPr>
                <w:rFonts w:ascii="Arial Narrow" w:hAnsi="Arial Narrow"/>
                <w:bCs/>
                <w:sz w:val="20"/>
                <w:szCs w:val="20"/>
              </w:rPr>
              <w:t>No increase in the maximum number of repeats may be authorised.</w:t>
            </w:r>
          </w:p>
        </w:tc>
      </w:tr>
      <w:tr w:rsidR="00956835" w:rsidRPr="00472ED3" w14:paraId="79E0BE0B" w14:textId="77777777">
        <w:tblPrEx>
          <w:tblCellMar>
            <w:top w:w="15" w:type="dxa"/>
            <w:bottom w:w="15" w:type="dxa"/>
          </w:tblCellMar>
          <w:tblLook w:val="04A0" w:firstRow="1" w:lastRow="0" w:firstColumn="1" w:lastColumn="0" w:noHBand="0" w:noVBand="1"/>
        </w:tblPrEx>
        <w:trPr>
          <w:trHeight w:val="20"/>
        </w:trPr>
        <w:tc>
          <w:tcPr>
            <w:tcW w:w="562" w:type="dxa"/>
            <w:vMerge/>
          </w:tcPr>
          <w:p w14:paraId="70CF2B37" w14:textId="77777777" w:rsidR="00956835" w:rsidRPr="00472ED3" w:rsidRDefault="00956835" w:rsidP="00F36268">
            <w:pPr>
              <w:rPr>
                <w:rFonts w:ascii="Arial Narrow" w:hAnsi="Arial Narrow" w:cs="Arial"/>
                <w:sz w:val="20"/>
                <w:szCs w:val="20"/>
              </w:rPr>
            </w:pPr>
          </w:p>
        </w:tc>
        <w:tc>
          <w:tcPr>
            <w:tcW w:w="718" w:type="dxa"/>
            <w:vAlign w:val="center"/>
          </w:tcPr>
          <w:p w14:paraId="56B9D1F1" w14:textId="7C992E60" w:rsidR="00956835" w:rsidRPr="00472ED3" w:rsidRDefault="00956835" w:rsidP="00F36268">
            <w:pPr>
              <w:jc w:val="center"/>
              <w:rPr>
                <w:rFonts w:ascii="Arial Narrow" w:hAnsi="Arial Narrow"/>
                <w:sz w:val="20"/>
                <w:szCs w:val="20"/>
              </w:rPr>
            </w:pPr>
          </w:p>
        </w:tc>
        <w:tc>
          <w:tcPr>
            <w:tcW w:w="7736" w:type="dxa"/>
            <w:gridSpan w:val="6"/>
            <w:vAlign w:val="center"/>
          </w:tcPr>
          <w:p w14:paraId="31B7F939" w14:textId="77777777" w:rsidR="00956835" w:rsidRPr="00472ED3" w:rsidRDefault="00956835" w:rsidP="00F36268">
            <w:pPr>
              <w:rPr>
                <w:rFonts w:ascii="Arial Narrow" w:hAnsi="Arial Narrow"/>
                <w:b/>
                <w:bCs/>
                <w:sz w:val="20"/>
                <w:szCs w:val="20"/>
              </w:rPr>
            </w:pPr>
            <w:r w:rsidRPr="00472ED3">
              <w:rPr>
                <w:rFonts w:ascii="Arial Narrow" w:hAnsi="Arial Narrow"/>
                <w:b/>
                <w:bCs/>
                <w:sz w:val="20"/>
                <w:szCs w:val="20"/>
              </w:rPr>
              <w:t xml:space="preserve">Administrative Advice: </w:t>
            </w:r>
            <w:r w:rsidRPr="00472ED3">
              <w:rPr>
                <w:rFonts w:ascii="Arial Narrow" w:hAnsi="Arial Narrow"/>
                <w:bCs/>
                <w:sz w:val="20"/>
                <w:szCs w:val="20"/>
              </w:rPr>
              <w:t>Special Pricing Arrangements apply.</w:t>
            </w:r>
          </w:p>
        </w:tc>
      </w:tr>
      <w:tr w:rsidR="00956835" w:rsidRPr="00472ED3" w14:paraId="0586C0CB" w14:textId="77777777">
        <w:tblPrEx>
          <w:tblCellMar>
            <w:top w:w="15" w:type="dxa"/>
            <w:bottom w:w="15" w:type="dxa"/>
          </w:tblCellMar>
          <w:tblLook w:val="04A0" w:firstRow="1" w:lastRow="0" w:firstColumn="1" w:lastColumn="0" w:noHBand="0" w:noVBand="1"/>
        </w:tblPrEx>
        <w:trPr>
          <w:cantSplit/>
          <w:trHeight w:val="20"/>
        </w:trPr>
        <w:tc>
          <w:tcPr>
            <w:tcW w:w="1280" w:type="dxa"/>
            <w:gridSpan w:val="2"/>
            <w:vMerge w:val="restart"/>
            <w:vAlign w:val="center"/>
          </w:tcPr>
          <w:p w14:paraId="3DE7B0FF" w14:textId="77777777" w:rsidR="00956835" w:rsidRPr="00472ED3" w:rsidRDefault="00956835" w:rsidP="00F36268">
            <w:pPr>
              <w:keepLines/>
              <w:jc w:val="center"/>
              <w:rPr>
                <w:rFonts w:ascii="Arial Narrow" w:hAnsi="Arial Narrow"/>
                <w:sz w:val="20"/>
                <w:szCs w:val="20"/>
              </w:rPr>
            </w:pPr>
          </w:p>
        </w:tc>
        <w:tc>
          <w:tcPr>
            <w:tcW w:w="7736" w:type="dxa"/>
            <w:gridSpan w:val="6"/>
            <w:vAlign w:val="center"/>
          </w:tcPr>
          <w:p w14:paraId="7C7DE9FE" w14:textId="77777777" w:rsidR="00956835" w:rsidRPr="00472ED3" w:rsidRDefault="00956835" w:rsidP="00F36268">
            <w:pPr>
              <w:keepLines/>
              <w:rPr>
                <w:rFonts w:ascii="Arial Narrow" w:hAnsi="Arial Narrow"/>
                <w:b/>
                <w:bCs/>
                <w:sz w:val="20"/>
                <w:szCs w:val="20"/>
              </w:rPr>
            </w:pPr>
            <w:r w:rsidRPr="00472ED3">
              <w:rPr>
                <w:rFonts w:ascii="Arial Narrow" w:hAnsi="Arial Narrow"/>
                <w:b/>
                <w:bCs/>
                <w:sz w:val="20"/>
                <w:szCs w:val="20"/>
              </w:rPr>
              <w:t xml:space="preserve">Episodicity: </w:t>
            </w:r>
            <w:r w:rsidRPr="00472ED3">
              <w:rPr>
                <w:rFonts w:ascii="Arial Narrow" w:hAnsi="Arial Narrow"/>
                <w:bCs/>
                <w:sz w:val="20"/>
                <w:szCs w:val="20"/>
              </w:rPr>
              <w:t>[blank]</w:t>
            </w:r>
          </w:p>
        </w:tc>
      </w:tr>
      <w:tr w:rsidR="00956835" w:rsidRPr="00472ED3" w14:paraId="49B43962" w14:textId="77777777">
        <w:tblPrEx>
          <w:tblCellMar>
            <w:top w:w="15" w:type="dxa"/>
            <w:bottom w:w="15" w:type="dxa"/>
          </w:tblCellMar>
          <w:tblLook w:val="04A0" w:firstRow="1" w:lastRow="0" w:firstColumn="1" w:lastColumn="0" w:noHBand="0" w:noVBand="1"/>
        </w:tblPrEx>
        <w:trPr>
          <w:cantSplit/>
          <w:trHeight w:val="20"/>
        </w:trPr>
        <w:tc>
          <w:tcPr>
            <w:tcW w:w="1280" w:type="dxa"/>
            <w:gridSpan w:val="2"/>
            <w:vMerge/>
            <w:vAlign w:val="center"/>
          </w:tcPr>
          <w:p w14:paraId="1D9EE79E" w14:textId="77777777" w:rsidR="00956835" w:rsidRPr="00472ED3" w:rsidRDefault="00956835" w:rsidP="00F36268">
            <w:pPr>
              <w:keepLines/>
              <w:jc w:val="center"/>
              <w:rPr>
                <w:rFonts w:ascii="Arial Narrow" w:hAnsi="Arial Narrow"/>
                <w:sz w:val="20"/>
                <w:szCs w:val="20"/>
              </w:rPr>
            </w:pPr>
          </w:p>
        </w:tc>
        <w:tc>
          <w:tcPr>
            <w:tcW w:w="7736" w:type="dxa"/>
            <w:gridSpan w:val="6"/>
            <w:vAlign w:val="center"/>
          </w:tcPr>
          <w:p w14:paraId="742850E4" w14:textId="77777777" w:rsidR="00956835" w:rsidRPr="00472ED3" w:rsidRDefault="00956835" w:rsidP="00F36268">
            <w:pPr>
              <w:keepLines/>
              <w:rPr>
                <w:rFonts w:ascii="Arial Narrow" w:hAnsi="Arial Narrow"/>
                <w:b/>
                <w:bCs/>
                <w:sz w:val="20"/>
                <w:szCs w:val="20"/>
              </w:rPr>
            </w:pPr>
            <w:r w:rsidRPr="00472ED3">
              <w:rPr>
                <w:rFonts w:ascii="Arial Narrow" w:hAnsi="Arial Narrow"/>
                <w:b/>
                <w:bCs/>
                <w:sz w:val="20"/>
                <w:szCs w:val="20"/>
              </w:rPr>
              <w:t>Severity:</w:t>
            </w:r>
            <w:r w:rsidRPr="00472ED3">
              <w:rPr>
                <w:rFonts w:ascii="Arial Narrow" w:hAnsi="Arial Narrow"/>
                <w:bCs/>
                <w:sz w:val="20"/>
                <w:szCs w:val="20"/>
              </w:rPr>
              <w:t xml:space="preserve"> [blank] </w:t>
            </w:r>
          </w:p>
        </w:tc>
      </w:tr>
      <w:tr w:rsidR="00956835" w:rsidRPr="00472ED3" w14:paraId="42202830" w14:textId="77777777">
        <w:tblPrEx>
          <w:tblCellMar>
            <w:top w:w="15" w:type="dxa"/>
            <w:bottom w:w="15" w:type="dxa"/>
          </w:tblCellMar>
          <w:tblLook w:val="04A0" w:firstRow="1" w:lastRow="0" w:firstColumn="1" w:lastColumn="0" w:noHBand="0" w:noVBand="1"/>
        </w:tblPrEx>
        <w:trPr>
          <w:cantSplit/>
          <w:trHeight w:val="20"/>
        </w:trPr>
        <w:tc>
          <w:tcPr>
            <w:tcW w:w="1280" w:type="dxa"/>
            <w:gridSpan w:val="2"/>
            <w:vMerge/>
            <w:vAlign w:val="center"/>
          </w:tcPr>
          <w:p w14:paraId="220A3680" w14:textId="77777777" w:rsidR="00956835" w:rsidRPr="00472ED3" w:rsidRDefault="00956835" w:rsidP="00F36268">
            <w:pPr>
              <w:keepLines/>
              <w:jc w:val="center"/>
              <w:rPr>
                <w:rFonts w:ascii="Arial Narrow" w:hAnsi="Arial Narrow"/>
                <w:sz w:val="20"/>
                <w:szCs w:val="20"/>
              </w:rPr>
            </w:pPr>
          </w:p>
        </w:tc>
        <w:tc>
          <w:tcPr>
            <w:tcW w:w="7736" w:type="dxa"/>
            <w:gridSpan w:val="6"/>
            <w:vAlign w:val="center"/>
          </w:tcPr>
          <w:p w14:paraId="7CD9946E" w14:textId="49D96650" w:rsidR="00956835" w:rsidRPr="00472ED3" w:rsidRDefault="00956835" w:rsidP="00F36268">
            <w:pPr>
              <w:keepLines/>
              <w:rPr>
                <w:rFonts w:ascii="Arial Narrow" w:hAnsi="Arial Narrow"/>
                <w:b/>
                <w:bCs/>
                <w:sz w:val="20"/>
                <w:szCs w:val="20"/>
              </w:rPr>
            </w:pPr>
            <w:r w:rsidRPr="00472ED3">
              <w:rPr>
                <w:rFonts w:ascii="Arial Narrow" w:hAnsi="Arial Narrow"/>
                <w:b/>
                <w:bCs/>
                <w:sz w:val="20"/>
                <w:szCs w:val="20"/>
              </w:rPr>
              <w:t xml:space="preserve">Condition: </w:t>
            </w:r>
            <w:r w:rsidRPr="00472ED3">
              <w:rPr>
                <w:rFonts w:ascii="Arial Narrow" w:hAnsi="Arial Narrow"/>
                <w:bCs/>
                <w:sz w:val="20"/>
                <w:szCs w:val="20"/>
              </w:rPr>
              <w:t>Adult</w:t>
            </w:r>
            <w:r w:rsidR="00B571FA">
              <w:rPr>
                <w:rFonts w:ascii="Arial Narrow" w:hAnsi="Arial Narrow"/>
                <w:bCs/>
                <w:sz w:val="20"/>
                <w:szCs w:val="20"/>
              </w:rPr>
              <w:noBreakHyphen/>
            </w:r>
            <w:r w:rsidRPr="00472ED3">
              <w:rPr>
                <w:rFonts w:ascii="Arial Narrow" w:hAnsi="Arial Narrow"/>
                <w:bCs/>
                <w:sz w:val="20"/>
                <w:szCs w:val="20"/>
              </w:rPr>
              <w:t>type IDH</w:t>
            </w:r>
            <w:r w:rsidR="00B571FA">
              <w:rPr>
                <w:rFonts w:ascii="Arial Narrow" w:hAnsi="Arial Narrow"/>
                <w:bCs/>
                <w:sz w:val="20"/>
                <w:szCs w:val="20"/>
              </w:rPr>
              <w:noBreakHyphen/>
            </w:r>
            <w:r w:rsidRPr="00472ED3">
              <w:rPr>
                <w:rFonts w:ascii="Arial Narrow" w:hAnsi="Arial Narrow"/>
                <w:bCs/>
                <w:sz w:val="20"/>
                <w:szCs w:val="20"/>
              </w:rPr>
              <w:t>mutant astrocytoma or oligodendroglioma</w:t>
            </w:r>
          </w:p>
        </w:tc>
      </w:tr>
      <w:tr w:rsidR="00956835" w:rsidRPr="00472ED3" w14:paraId="69DA72B5" w14:textId="77777777">
        <w:tblPrEx>
          <w:tblCellMar>
            <w:top w:w="15" w:type="dxa"/>
            <w:bottom w:w="15" w:type="dxa"/>
          </w:tblCellMar>
          <w:tblLook w:val="04A0" w:firstRow="1" w:lastRow="0" w:firstColumn="1" w:lastColumn="0" w:noHBand="0" w:noVBand="1"/>
        </w:tblPrEx>
        <w:trPr>
          <w:cantSplit/>
          <w:trHeight w:val="20"/>
        </w:trPr>
        <w:tc>
          <w:tcPr>
            <w:tcW w:w="9016" w:type="dxa"/>
            <w:gridSpan w:val="8"/>
            <w:vAlign w:val="center"/>
          </w:tcPr>
          <w:p w14:paraId="66B28663" w14:textId="77777777" w:rsidR="00956835" w:rsidRPr="00472ED3" w:rsidRDefault="00956835" w:rsidP="00F36268">
            <w:pPr>
              <w:keepLines/>
              <w:rPr>
                <w:rFonts w:ascii="Arial Narrow" w:hAnsi="Arial Narrow"/>
                <w:b/>
                <w:bCs/>
                <w:sz w:val="20"/>
                <w:szCs w:val="20"/>
              </w:rPr>
            </w:pPr>
            <w:r w:rsidRPr="00472ED3">
              <w:rPr>
                <w:rFonts w:ascii="Arial Narrow" w:hAnsi="Arial Narrow"/>
                <w:b/>
                <w:sz w:val="20"/>
                <w:szCs w:val="20"/>
              </w:rPr>
              <w:t>Restriction Summary [new1] / Treatment of Concept: [new1A]</w:t>
            </w:r>
          </w:p>
        </w:tc>
      </w:tr>
      <w:tr w:rsidR="00956835" w:rsidRPr="00472ED3" w14:paraId="11AF6933" w14:textId="77777777">
        <w:tblPrEx>
          <w:tblCellMar>
            <w:top w:w="15" w:type="dxa"/>
            <w:bottom w:w="15" w:type="dxa"/>
          </w:tblCellMar>
          <w:tblLook w:val="04A0" w:firstRow="1" w:lastRow="0" w:firstColumn="1" w:lastColumn="0" w:noHBand="0" w:noVBand="1"/>
        </w:tblPrEx>
        <w:trPr>
          <w:cantSplit/>
          <w:trHeight w:val="20"/>
        </w:trPr>
        <w:tc>
          <w:tcPr>
            <w:tcW w:w="1280" w:type="dxa"/>
            <w:gridSpan w:val="2"/>
            <w:vAlign w:val="center"/>
          </w:tcPr>
          <w:p w14:paraId="7C6F756C" w14:textId="77777777" w:rsidR="00956835" w:rsidRPr="00472ED3" w:rsidRDefault="00956835" w:rsidP="00F36268">
            <w:pPr>
              <w:jc w:val="center"/>
              <w:rPr>
                <w:rFonts w:ascii="Arial Narrow" w:hAnsi="Arial Narrow"/>
                <w:sz w:val="20"/>
                <w:szCs w:val="20"/>
              </w:rPr>
            </w:pPr>
          </w:p>
        </w:tc>
        <w:tc>
          <w:tcPr>
            <w:tcW w:w="7736" w:type="dxa"/>
            <w:gridSpan w:val="6"/>
            <w:vAlign w:val="center"/>
          </w:tcPr>
          <w:p w14:paraId="5AF8B11C" w14:textId="326902D7" w:rsidR="00956835" w:rsidRPr="00472ED3" w:rsidRDefault="00956835" w:rsidP="00F36268">
            <w:pPr>
              <w:rPr>
                <w:rFonts w:ascii="Arial Narrow" w:hAnsi="Arial Narrow"/>
                <w:b/>
                <w:bCs/>
                <w:sz w:val="20"/>
                <w:szCs w:val="20"/>
              </w:rPr>
            </w:pPr>
            <w:r w:rsidRPr="00472ED3">
              <w:rPr>
                <w:rFonts w:ascii="Arial Narrow" w:hAnsi="Arial Narrow"/>
                <w:b/>
                <w:bCs/>
                <w:sz w:val="20"/>
                <w:szCs w:val="20"/>
              </w:rPr>
              <w:t>Indication:</w:t>
            </w:r>
            <w:r w:rsidRPr="00472ED3">
              <w:rPr>
                <w:rFonts w:ascii="Arial Narrow" w:hAnsi="Arial Narrow"/>
                <w:sz w:val="20"/>
                <w:szCs w:val="20"/>
              </w:rPr>
              <w:t xml:space="preserve"> Adult</w:t>
            </w:r>
            <w:r w:rsidR="00B571FA">
              <w:rPr>
                <w:rFonts w:ascii="Arial Narrow" w:hAnsi="Arial Narrow"/>
                <w:sz w:val="20"/>
                <w:szCs w:val="20"/>
              </w:rPr>
              <w:noBreakHyphen/>
            </w:r>
            <w:r w:rsidRPr="00472ED3">
              <w:rPr>
                <w:rFonts w:ascii="Arial Narrow" w:hAnsi="Arial Narrow"/>
                <w:sz w:val="20"/>
                <w:szCs w:val="20"/>
              </w:rPr>
              <w:t>type IDH</w:t>
            </w:r>
            <w:r w:rsidR="00B571FA">
              <w:rPr>
                <w:rFonts w:ascii="Arial Narrow" w:hAnsi="Arial Narrow"/>
                <w:sz w:val="20"/>
                <w:szCs w:val="20"/>
              </w:rPr>
              <w:noBreakHyphen/>
            </w:r>
            <w:r w:rsidRPr="00472ED3">
              <w:rPr>
                <w:rFonts w:ascii="Arial Narrow" w:hAnsi="Arial Narrow"/>
                <w:sz w:val="20"/>
                <w:szCs w:val="20"/>
              </w:rPr>
              <w:t>mutant astrocytoma or oligodendroglioma</w:t>
            </w:r>
          </w:p>
        </w:tc>
      </w:tr>
      <w:tr w:rsidR="00956835" w:rsidRPr="00472ED3" w14:paraId="7600FC74" w14:textId="77777777">
        <w:tblPrEx>
          <w:tblCellMar>
            <w:top w:w="15" w:type="dxa"/>
            <w:bottom w:w="15" w:type="dxa"/>
          </w:tblCellMar>
          <w:tblLook w:val="04A0" w:firstRow="1" w:lastRow="0" w:firstColumn="1" w:lastColumn="0" w:noHBand="0" w:noVBand="1"/>
        </w:tblPrEx>
        <w:trPr>
          <w:cantSplit/>
          <w:trHeight w:val="20"/>
        </w:trPr>
        <w:tc>
          <w:tcPr>
            <w:tcW w:w="1280" w:type="dxa"/>
            <w:gridSpan w:val="2"/>
            <w:vAlign w:val="center"/>
            <w:hideMark/>
          </w:tcPr>
          <w:p w14:paraId="11637DD5" w14:textId="77777777" w:rsidR="00956835" w:rsidRPr="00472ED3" w:rsidRDefault="00956835" w:rsidP="00F36268">
            <w:pPr>
              <w:jc w:val="center"/>
              <w:rPr>
                <w:rFonts w:ascii="Arial Narrow" w:hAnsi="Arial Narrow"/>
                <w:sz w:val="20"/>
                <w:szCs w:val="20"/>
              </w:rPr>
            </w:pPr>
          </w:p>
        </w:tc>
        <w:tc>
          <w:tcPr>
            <w:tcW w:w="7736" w:type="dxa"/>
            <w:gridSpan w:val="6"/>
            <w:vAlign w:val="center"/>
            <w:hideMark/>
          </w:tcPr>
          <w:p w14:paraId="30DEFF9D" w14:textId="77777777" w:rsidR="00956835" w:rsidRPr="00472ED3" w:rsidRDefault="00956835" w:rsidP="00F36268">
            <w:pPr>
              <w:rPr>
                <w:rFonts w:ascii="Arial Narrow" w:hAnsi="Arial Narrow"/>
                <w:sz w:val="20"/>
                <w:szCs w:val="20"/>
              </w:rPr>
            </w:pPr>
            <w:r w:rsidRPr="00472ED3">
              <w:rPr>
                <w:rFonts w:ascii="Arial Narrow" w:hAnsi="Arial Narrow"/>
                <w:b/>
                <w:bCs/>
                <w:sz w:val="20"/>
                <w:szCs w:val="20"/>
              </w:rPr>
              <w:t>Treatment Phase:</w:t>
            </w:r>
            <w:r w:rsidRPr="00472ED3">
              <w:rPr>
                <w:rFonts w:ascii="Arial Narrow" w:hAnsi="Arial Narrow"/>
                <w:sz w:val="20"/>
                <w:szCs w:val="20"/>
              </w:rPr>
              <w:t xml:space="preserve"> Initial treatment</w:t>
            </w:r>
          </w:p>
        </w:tc>
      </w:tr>
      <w:tr w:rsidR="00956835" w:rsidRPr="00472ED3" w14:paraId="5A592AC5" w14:textId="77777777">
        <w:tblPrEx>
          <w:tblCellMar>
            <w:top w:w="15" w:type="dxa"/>
            <w:bottom w:w="15" w:type="dxa"/>
          </w:tblCellMar>
          <w:tblLook w:val="04A0" w:firstRow="1" w:lastRow="0" w:firstColumn="1" w:lastColumn="0" w:noHBand="0" w:noVBand="1"/>
        </w:tblPrEx>
        <w:trPr>
          <w:cantSplit/>
          <w:trHeight w:val="20"/>
        </w:trPr>
        <w:tc>
          <w:tcPr>
            <w:tcW w:w="1280" w:type="dxa"/>
            <w:gridSpan w:val="2"/>
            <w:vAlign w:val="center"/>
          </w:tcPr>
          <w:p w14:paraId="1EE1E6DA" w14:textId="77777777" w:rsidR="00956835" w:rsidRPr="00472ED3" w:rsidRDefault="00956835" w:rsidP="00F36268">
            <w:pPr>
              <w:jc w:val="center"/>
              <w:rPr>
                <w:rFonts w:ascii="Arial Narrow" w:hAnsi="Arial Narrow"/>
                <w:sz w:val="20"/>
                <w:szCs w:val="20"/>
              </w:rPr>
            </w:pPr>
          </w:p>
        </w:tc>
        <w:tc>
          <w:tcPr>
            <w:tcW w:w="7736" w:type="dxa"/>
            <w:gridSpan w:val="6"/>
            <w:vAlign w:val="center"/>
          </w:tcPr>
          <w:p w14:paraId="5B6204A6" w14:textId="77777777" w:rsidR="00956835" w:rsidRPr="00472ED3" w:rsidRDefault="00956835" w:rsidP="00F36268">
            <w:pPr>
              <w:rPr>
                <w:rFonts w:ascii="Arial Narrow" w:hAnsi="Arial Narrow"/>
                <w:b/>
                <w:bCs/>
                <w:sz w:val="20"/>
                <w:szCs w:val="20"/>
              </w:rPr>
            </w:pPr>
            <w:r w:rsidRPr="00472ED3">
              <w:rPr>
                <w:rFonts w:ascii="Arial Narrow" w:hAnsi="Arial Narrow"/>
                <w:b/>
                <w:bCs/>
                <w:sz w:val="20"/>
                <w:szCs w:val="20"/>
              </w:rPr>
              <w:t>Clinical criteria:</w:t>
            </w:r>
          </w:p>
        </w:tc>
      </w:tr>
      <w:tr w:rsidR="00956835" w:rsidRPr="00472ED3" w14:paraId="760CF132" w14:textId="77777777">
        <w:tblPrEx>
          <w:tblCellMar>
            <w:top w:w="15" w:type="dxa"/>
            <w:bottom w:w="15" w:type="dxa"/>
          </w:tblCellMar>
          <w:tblLook w:val="04A0" w:firstRow="1" w:lastRow="0" w:firstColumn="1" w:lastColumn="0" w:noHBand="0" w:noVBand="1"/>
        </w:tblPrEx>
        <w:trPr>
          <w:cantSplit/>
          <w:trHeight w:val="20"/>
        </w:trPr>
        <w:tc>
          <w:tcPr>
            <w:tcW w:w="1280" w:type="dxa"/>
            <w:gridSpan w:val="2"/>
            <w:vAlign w:val="center"/>
          </w:tcPr>
          <w:p w14:paraId="29CAB8EF" w14:textId="5095B47E" w:rsidR="00956835" w:rsidRPr="00472ED3" w:rsidRDefault="00956835" w:rsidP="00F36268">
            <w:pPr>
              <w:jc w:val="center"/>
              <w:rPr>
                <w:rFonts w:ascii="Arial Narrow" w:hAnsi="Arial Narrow"/>
                <w:sz w:val="20"/>
                <w:szCs w:val="20"/>
              </w:rPr>
            </w:pPr>
          </w:p>
        </w:tc>
        <w:tc>
          <w:tcPr>
            <w:tcW w:w="7736" w:type="dxa"/>
            <w:gridSpan w:val="6"/>
            <w:vAlign w:val="center"/>
          </w:tcPr>
          <w:p w14:paraId="61257BD8" w14:textId="77777777" w:rsidR="00956835" w:rsidRPr="00472ED3" w:rsidRDefault="00956835" w:rsidP="00F36268">
            <w:pPr>
              <w:rPr>
                <w:rFonts w:ascii="Arial Narrow" w:hAnsi="Arial Narrow"/>
                <w:b/>
                <w:bCs/>
                <w:sz w:val="20"/>
                <w:szCs w:val="20"/>
              </w:rPr>
            </w:pPr>
            <w:r w:rsidRPr="00472ED3">
              <w:rPr>
                <w:rFonts w:ascii="Arial Narrow" w:hAnsi="Arial Narrow"/>
                <w:sz w:val="20"/>
                <w:szCs w:val="20"/>
              </w:rPr>
              <w:t>Patient must have a World Health Organisation (WHO) Grade 2 astrocytoma or oligodendroglioma,</w:t>
            </w:r>
          </w:p>
        </w:tc>
      </w:tr>
      <w:tr w:rsidR="00956835" w:rsidRPr="00472ED3" w14:paraId="469F92A6" w14:textId="77777777">
        <w:tblPrEx>
          <w:tblCellMar>
            <w:top w:w="15" w:type="dxa"/>
            <w:bottom w:w="15" w:type="dxa"/>
          </w:tblCellMar>
          <w:tblLook w:val="04A0" w:firstRow="1" w:lastRow="0" w:firstColumn="1" w:lastColumn="0" w:noHBand="0" w:noVBand="1"/>
        </w:tblPrEx>
        <w:trPr>
          <w:cantSplit/>
          <w:trHeight w:val="20"/>
        </w:trPr>
        <w:tc>
          <w:tcPr>
            <w:tcW w:w="1280" w:type="dxa"/>
            <w:gridSpan w:val="2"/>
            <w:vAlign w:val="center"/>
          </w:tcPr>
          <w:p w14:paraId="698E024C" w14:textId="77777777" w:rsidR="00956835" w:rsidRPr="00472ED3" w:rsidRDefault="00956835" w:rsidP="00F36268">
            <w:pPr>
              <w:jc w:val="center"/>
              <w:rPr>
                <w:rFonts w:ascii="Arial Narrow" w:hAnsi="Arial Narrow"/>
                <w:sz w:val="20"/>
                <w:szCs w:val="20"/>
              </w:rPr>
            </w:pPr>
          </w:p>
        </w:tc>
        <w:tc>
          <w:tcPr>
            <w:tcW w:w="7736" w:type="dxa"/>
            <w:gridSpan w:val="6"/>
            <w:vAlign w:val="center"/>
          </w:tcPr>
          <w:p w14:paraId="07FB169F" w14:textId="77777777" w:rsidR="00956835" w:rsidRPr="00472ED3" w:rsidRDefault="00956835" w:rsidP="00F36268">
            <w:pPr>
              <w:rPr>
                <w:rFonts w:ascii="Arial Narrow" w:hAnsi="Arial Narrow"/>
                <w:sz w:val="20"/>
                <w:szCs w:val="20"/>
              </w:rPr>
            </w:pPr>
            <w:r w:rsidRPr="00472ED3">
              <w:rPr>
                <w:rFonts w:ascii="Arial Narrow" w:hAnsi="Arial Narrow"/>
                <w:b/>
                <w:bCs/>
                <w:sz w:val="20"/>
                <w:szCs w:val="20"/>
              </w:rPr>
              <w:t>AND</w:t>
            </w:r>
          </w:p>
        </w:tc>
      </w:tr>
      <w:tr w:rsidR="00956835" w:rsidRPr="00472ED3" w14:paraId="53059216" w14:textId="77777777">
        <w:tblPrEx>
          <w:tblCellMar>
            <w:top w:w="15" w:type="dxa"/>
            <w:bottom w:w="15" w:type="dxa"/>
          </w:tblCellMar>
          <w:tblLook w:val="04A0" w:firstRow="1" w:lastRow="0" w:firstColumn="1" w:lastColumn="0" w:noHBand="0" w:noVBand="1"/>
        </w:tblPrEx>
        <w:trPr>
          <w:cantSplit/>
          <w:trHeight w:val="20"/>
        </w:trPr>
        <w:tc>
          <w:tcPr>
            <w:tcW w:w="1280" w:type="dxa"/>
            <w:gridSpan w:val="2"/>
            <w:vAlign w:val="center"/>
          </w:tcPr>
          <w:p w14:paraId="72C9CFAE" w14:textId="77777777" w:rsidR="00956835" w:rsidRPr="00472ED3" w:rsidRDefault="00956835" w:rsidP="00F36268">
            <w:pPr>
              <w:jc w:val="center"/>
              <w:rPr>
                <w:rFonts w:ascii="Arial Narrow" w:hAnsi="Arial Narrow"/>
                <w:sz w:val="20"/>
                <w:szCs w:val="20"/>
              </w:rPr>
            </w:pPr>
          </w:p>
        </w:tc>
        <w:tc>
          <w:tcPr>
            <w:tcW w:w="7736" w:type="dxa"/>
            <w:gridSpan w:val="6"/>
            <w:vAlign w:val="center"/>
          </w:tcPr>
          <w:p w14:paraId="43313D32" w14:textId="77777777" w:rsidR="00956835" w:rsidRPr="00472ED3" w:rsidRDefault="00956835" w:rsidP="00F36268">
            <w:pPr>
              <w:rPr>
                <w:rFonts w:ascii="Arial Narrow" w:hAnsi="Arial Narrow"/>
                <w:sz w:val="20"/>
                <w:szCs w:val="20"/>
              </w:rPr>
            </w:pPr>
            <w:r w:rsidRPr="00472ED3">
              <w:rPr>
                <w:rFonts w:ascii="Arial Narrow" w:hAnsi="Arial Narrow"/>
                <w:b/>
                <w:bCs/>
                <w:sz w:val="20"/>
                <w:szCs w:val="20"/>
              </w:rPr>
              <w:t>Clinical criteria:</w:t>
            </w:r>
          </w:p>
        </w:tc>
      </w:tr>
      <w:tr w:rsidR="00956835" w:rsidRPr="00472ED3" w14:paraId="11DBF6DB" w14:textId="77777777">
        <w:tblPrEx>
          <w:tblCellMar>
            <w:top w:w="15" w:type="dxa"/>
            <w:bottom w:w="15" w:type="dxa"/>
          </w:tblCellMar>
          <w:tblLook w:val="04A0" w:firstRow="1" w:lastRow="0" w:firstColumn="1" w:lastColumn="0" w:noHBand="0" w:noVBand="1"/>
        </w:tblPrEx>
        <w:trPr>
          <w:cantSplit/>
          <w:trHeight w:val="20"/>
        </w:trPr>
        <w:tc>
          <w:tcPr>
            <w:tcW w:w="1280" w:type="dxa"/>
            <w:gridSpan w:val="2"/>
            <w:vAlign w:val="center"/>
          </w:tcPr>
          <w:p w14:paraId="17C2378D" w14:textId="11346B00" w:rsidR="00956835" w:rsidRPr="00472ED3" w:rsidRDefault="00956835" w:rsidP="00F36268">
            <w:pPr>
              <w:jc w:val="center"/>
              <w:rPr>
                <w:rFonts w:ascii="Arial Narrow" w:hAnsi="Arial Narrow"/>
                <w:sz w:val="20"/>
                <w:szCs w:val="20"/>
              </w:rPr>
            </w:pPr>
          </w:p>
        </w:tc>
        <w:tc>
          <w:tcPr>
            <w:tcW w:w="7736" w:type="dxa"/>
            <w:gridSpan w:val="6"/>
            <w:vAlign w:val="center"/>
          </w:tcPr>
          <w:p w14:paraId="10D9E2BC" w14:textId="09929D57" w:rsidR="00956835" w:rsidRPr="00472ED3" w:rsidRDefault="00956835" w:rsidP="00F36268">
            <w:pPr>
              <w:rPr>
                <w:rFonts w:ascii="Arial Narrow" w:hAnsi="Arial Narrow"/>
                <w:sz w:val="20"/>
                <w:szCs w:val="20"/>
              </w:rPr>
            </w:pPr>
            <w:r w:rsidRPr="00472ED3">
              <w:rPr>
                <w:rFonts w:ascii="Arial Narrow" w:hAnsi="Arial Narrow"/>
                <w:sz w:val="20"/>
                <w:szCs w:val="20"/>
              </w:rPr>
              <w:t>The patient must have a test of tumour tissue confirming the presence of a susceptible isocitrate dehydrogenase</w:t>
            </w:r>
            <w:r w:rsidR="00B571FA">
              <w:rPr>
                <w:rFonts w:ascii="Arial Narrow" w:hAnsi="Arial Narrow"/>
                <w:sz w:val="20"/>
                <w:szCs w:val="20"/>
              </w:rPr>
              <w:noBreakHyphen/>
            </w:r>
            <w:r w:rsidRPr="00472ED3">
              <w:rPr>
                <w:rFonts w:ascii="Arial Narrow" w:hAnsi="Arial Narrow"/>
                <w:sz w:val="20"/>
                <w:szCs w:val="20"/>
              </w:rPr>
              <w:t>1 (IDH1) R132H/C/G/S/L variant or isocitrate dehydrogenase</w:t>
            </w:r>
            <w:r w:rsidR="00B571FA">
              <w:rPr>
                <w:rFonts w:ascii="Arial Narrow" w:hAnsi="Arial Narrow"/>
                <w:sz w:val="20"/>
                <w:szCs w:val="20"/>
              </w:rPr>
              <w:noBreakHyphen/>
            </w:r>
            <w:r w:rsidRPr="00472ED3">
              <w:rPr>
                <w:rFonts w:ascii="Arial Narrow" w:hAnsi="Arial Narrow"/>
                <w:sz w:val="20"/>
                <w:szCs w:val="20"/>
              </w:rPr>
              <w:t>2 (IDH2) R172K/M/W/S/G variant,</w:t>
            </w:r>
          </w:p>
        </w:tc>
      </w:tr>
      <w:tr w:rsidR="00956835" w:rsidRPr="00472ED3" w14:paraId="302D9490" w14:textId="77777777">
        <w:tblPrEx>
          <w:tblCellMar>
            <w:top w:w="15" w:type="dxa"/>
            <w:bottom w:w="15" w:type="dxa"/>
          </w:tblCellMar>
          <w:tblLook w:val="04A0" w:firstRow="1" w:lastRow="0" w:firstColumn="1" w:lastColumn="0" w:noHBand="0" w:noVBand="1"/>
        </w:tblPrEx>
        <w:trPr>
          <w:cantSplit/>
          <w:trHeight w:val="20"/>
        </w:trPr>
        <w:tc>
          <w:tcPr>
            <w:tcW w:w="1280" w:type="dxa"/>
            <w:gridSpan w:val="2"/>
            <w:vAlign w:val="center"/>
          </w:tcPr>
          <w:p w14:paraId="3E99D7A5" w14:textId="77777777" w:rsidR="00956835" w:rsidRPr="00472ED3" w:rsidRDefault="00956835" w:rsidP="00F36268">
            <w:pPr>
              <w:jc w:val="center"/>
              <w:rPr>
                <w:rFonts w:ascii="Arial Narrow" w:hAnsi="Arial Narrow"/>
                <w:sz w:val="20"/>
                <w:szCs w:val="20"/>
              </w:rPr>
            </w:pPr>
          </w:p>
        </w:tc>
        <w:tc>
          <w:tcPr>
            <w:tcW w:w="7736" w:type="dxa"/>
            <w:gridSpan w:val="6"/>
            <w:vAlign w:val="center"/>
          </w:tcPr>
          <w:p w14:paraId="2EF2B59A" w14:textId="77777777" w:rsidR="00956835" w:rsidRPr="00472ED3" w:rsidRDefault="00956835" w:rsidP="00F36268">
            <w:pPr>
              <w:rPr>
                <w:rFonts w:ascii="Arial Narrow" w:hAnsi="Arial Narrow"/>
                <w:sz w:val="20"/>
                <w:szCs w:val="20"/>
              </w:rPr>
            </w:pPr>
            <w:r w:rsidRPr="00472ED3">
              <w:rPr>
                <w:rFonts w:ascii="Arial Narrow" w:hAnsi="Arial Narrow"/>
                <w:b/>
                <w:bCs/>
                <w:sz w:val="20"/>
                <w:szCs w:val="20"/>
              </w:rPr>
              <w:t>AND</w:t>
            </w:r>
          </w:p>
        </w:tc>
      </w:tr>
      <w:tr w:rsidR="00956835" w:rsidRPr="00472ED3" w14:paraId="70F4068E" w14:textId="77777777">
        <w:tblPrEx>
          <w:tblCellMar>
            <w:top w:w="15" w:type="dxa"/>
            <w:bottom w:w="15" w:type="dxa"/>
          </w:tblCellMar>
          <w:tblLook w:val="04A0" w:firstRow="1" w:lastRow="0" w:firstColumn="1" w:lastColumn="0" w:noHBand="0" w:noVBand="1"/>
        </w:tblPrEx>
        <w:trPr>
          <w:cantSplit/>
          <w:trHeight w:val="20"/>
        </w:trPr>
        <w:tc>
          <w:tcPr>
            <w:tcW w:w="1280" w:type="dxa"/>
            <w:gridSpan w:val="2"/>
            <w:vAlign w:val="center"/>
          </w:tcPr>
          <w:p w14:paraId="5FA913F4" w14:textId="77777777" w:rsidR="00956835" w:rsidRPr="00472ED3" w:rsidRDefault="00956835" w:rsidP="00F36268">
            <w:pPr>
              <w:jc w:val="center"/>
              <w:rPr>
                <w:rFonts w:ascii="Arial Narrow" w:hAnsi="Arial Narrow"/>
                <w:sz w:val="20"/>
                <w:szCs w:val="20"/>
              </w:rPr>
            </w:pPr>
          </w:p>
        </w:tc>
        <w:tc>
          <w:tcPr>
            <w:tcW w:w="7736" w:type="dxa"/>
            <w:gridSpan w:val="6"/>
            <w:vAlign w:val="center"/>
          </w:tcPr>
          <w:p w14:paraId="746F67F5" w14:textId="77777777" w:rsidR="00956835" w:rsidRPr="00472ED3" w:rsidRDefault="00956835" w:rsidP="00F36268">
            <w:pPr>
              <w:rPr>
                <w:rFonts w:ascii="Arial Narrow" w:hAnsi="Arial Narrow"/>
                <w:sz w:val="20"/>
                <w:szCs w:val="20"/>
              </w:rPr>
            </w:pPr>
            <w:r w:rsidRPr="00472ED3">
              <w:rPr>
                <w:rFonts w:ascii="Arial Narrow" w:hAnsi="Arial Narrow"/>
                <w:b/>
                <w:bCs/>
                <w:sz w:val="20"/>
                <w:szCs w:val="20"/>
              </w:rPr>
              <w:t>Clinical criteria:</w:t>
            </w:r>
          </w:p>
        </w:tc>
      </w:tr>
      <w:tr w:rsidR="00956835" w:rsidRPr="00472ED3" w14:paraId="0EEA6778" w14:textId="77777777">
        <w:tblPrEx>
          <w:tblCellMar>
            <w:top w:w="15" w:type="dxa"/>
            <w:bottom w:w="15" w:type="dxa"/>
          </w:tblCellMar>
          <w:tblLook w:val="04A0" w:firstRow="1" w:lastRow="0" w:firstColumn="1" w:lastColumn="0" w:noHBand="0" w:noVBand="1"/>
        </w:tblPrEx>
        <w:trPr>
          <w:cantSplit/>
          <w:trHeight w:val="20"/>
        </w:trPr>
        <w:tc>
          <w:tcPr>
            <w:tcW w:w="1280" w:type="dxa"/>
            <w:gridSpan w:val="2"/>
            <w:vAlign w:val="center"/>
          </w:tcPr>
          <w:p w14:paraId="5CAC6CCC" w14:textId="39F8A1D6" w:rsidR="00956835" w:rsidRPr="00472ED3" w:rsidRDefault="00956835" w:rsidP="00F36268">
            <w:pPr>
              <w:jc w:val="center"/>
              <w:rPr>
                <w:rFonts w:ascii="Arial Narrow" w:hAnsi="Arial Narrow"/>
                <w:sz w:val="20"/>
                <w:szCs w:val="20"/>
              </w:rPr>
            </w:pPr>
          </w:p>
        </w:tc>
        <w:tc>
          <w:tcPr>
            <w:tcW w:w="7736" w:type="dxa"/>
            <w:gridSpan w:val="6"/>
            <w:vAlign w:val="center"/>
          </w:tcPr>
          <w:p w14:paraId="5DD6A7A6" w14:textId="287B5C74" w:rsidR="00956835" w:rsidRPr="00472ED3" w:rsidRDefault="00956835" w:rsidP="00F36268">
            <w:pPr>
              <w:rPr>
                <w:rFonts w:ascii="Arial Narrow" w:hAnsi="Arial Narrow"/>
                <w:sz w:val="20"/>
                <w:szCs w:val="20"/>
              </w:rPr>
            </w:pPr>
            <w:r w:rsidRPr="00472ED3">
              <w:rPr>
                <w:rFonts w:ascii="Arial Narrow" w:hAnsi="Arial Narrow"/>
                <w:sz w:val="20"/>
                <w:szCs w:val="20"/>
              </w:rPr>
              <w:t>Patient must have residual or recurrent disease after at least one prior surgery (biopsy, sub</w:t>
            </w:r>
            <w:r w:rsidR="00B571FA">
              <w:rPr>
                <w:rFonts w:ascii="Arial Narrow" w:hAnsi="Arial Narrow"/>
                <w:sz w:val="20"/>
                <w:szCs w:val="20"/>
              </w:rPr>
              <w:noBreakHyphen/>
            </w:r>
            <w:r w:rsidRPr="00472ED3">
              <w:rPr>
                <w:rFonts w:ascii="Arial Narrow" w:hAnsi="Arial Narrow"/>
                <w:sz w:val="20"/>
                <w:szCs w:val="20"/>
              </w:rPr>
              <w:t>total resection, or gross total resection) for this condition,</w:t>
            </w:r>
          </w:p>
        </w:tc>
      </w:tr>
      <w:tr w:rsidR="00956835" w:rsidRPr="00472ED3" w14:paraId="3F82D39C" w14:textId="77777777">
        <w:tblPrEx>
          <w:tblCellMar>
            <w:top w:w="15" w:type="dxa"/>
            <w:bottom w:w="15" w:type="dxa"/>
          </w:tblCellMar>
          <w:tblLook w:val="04A0" w:firstRow="1" w:lastRow="0" w:firstColumn="1" w:lastColumn="0" w:noHBand="0" w:noVBand="1"/>
        </w:tblPrEx>
        <w:trPr>
          <w:cantSplit/>
          <w:trHeight w:val="20"/>
        </w:trPr>
        <w:tc>
          <w:tcPr>
            <w:tcW w:w="1280" w:type="dxa"/>
            <w:gridSpan w:val="2"/>
            <w:vAlign w:val="center"/>
          </w:tcPr>
          <w:p w14:paraId="51902A1A" w14:textId="77777777" w:rsidR="00956835" w:rsidRPr="00472ED3" w:rsidRDefault="00956835" w:rsidP="00F36268">
            <w:pPr>
              <w:jc w:val="center"/>
              <w:rPr>
                <w:rFonts w:ascii="Arial Narrow" w:hAnsi="Arial Narrow"/>
                <w:strike/>
                <w:sz w:val="20"/>
                <w:szCs w:val="20"/>
              </w:rPr>
            </w:pPr>
          </w:p>
        </w:tc>
        <w:tc>
          <w:tcPr>
            <w:tcW w:w="7736" w:type="dxa"/>
            <w:gridSpan w:val="6"/>
            <w:vAlign w:val="center"/>
          </w:tcPr>
          <w:p w14:paraId="22AC1A8A" w14:textId="77777777" w:rsidR="00956835" w:rsidRPr="00472ED3" w:rsidRDefault="00956835" w:rsidP="00F36268">
            <w:pPr>
              <w:rPr>
                <w:rFonts w:ascii="Arial Narrow" w:hAnsi="Arial Narrow"/>
                <w:sz w:val="20"/>
                <w:szCs w:val="20"/>
              </w:rPr>
            </w:pPr>
            <w:r w:rsidRPr="00472ED3">
              <w:rPr>
                <w:rFonts w:ascii="Arial Narrow" w:hAnsi="Arial Narrow"/>
                <w:b/>
                <w:bCs/>
                <w:sz w:val="20"/>
                <w:szCs w:val="20"/>
              </w:rPr>
              <w:t>AND</w:t>
            </w:r>
          </w:p>
        </w:tc>
      </w:tr>
      <w:tr w:rsidR="00956835" w:rsidRPr="00472ED3" w14:paraId="02A13DA7" w14:textId="77777777">
        <w:tblPrEx>
          <w:tblCellMar>
            <w:top w:w="15" w:type="dxa"/>
            <w:bottom w:w="15" w:type="dxa"/>
          </w:tblCellMar>
          <w:tblLook w:val="04A0" w:firstRow="1" w:lastRow="0" w:firstColumn="1" w:lastColumn="0" w:noHBand="0" w:noVBand="1"/>
        </w:tblPrEx>
        <w:trPr>
          <w:cantSplit/>
          <w:trHeight w:val="20"/>
        </w:trPr>
        <w:tc>
          <w:tcPr>
            <w:tcW w:w="1280" w:type="dxa"/>
            <w:gridSpan w:val="2"/>
            <w:vAlign w:val="center"/>
          </w:tcPr>
          <w:p w14:paraId="18FCD959" w14:textId="77777777" w:rsidR="00956835" w:rsidRPr="00472ED3" w:rsidRDefault="00956835" w:rsidP="00F36268">
            <w:pPr>
              <w:jc w:val="center"/>
              <w:rPr>
                <w:rFonts w:ascii="Arial Narrow" w:hAnsi="Arial Narrow"/>
                <w:sz w:val="20"/>
                <w:szCs w:val="20"/>
              </w:rPr>
            </w:pPr>
          </w:p>
        </w:tc>
        <w:tc>
          <w:tcPr>
            <w:tcW w:w="7736" w:type="dxa"/>
            <w:gridSpan w:val="6"/>
            <w:vAlign w:val="center"/>
          </w:tcPr>
          <w:p w14:paraId="372ADE5C" w14:textId="77777777" w:rsidR="00956835" w:rsidRPr="00472ED3" w:rsidRDefault="00956835" w:rsidP="00F36268">
            <w:pPr>
              <w:rPr>
                <w:rFonts w:ascii="Arial Narrow" w:hAnsi="Arial Narrow"/>
                <w:sz w:val="20"/>
                <w:szCs w:val="20"/>
              </w:rPr>
            </w:pPr>
            <w:r w:rsidRPr="00472ED3">
              <w:rPr>
                <w:rFonts w:ascii="Arial Narrow" w:hAnsi="Arial Narrow"/>
                <w:b/>
                <w:bCs/>
                <w:sz w:val="20"/>
                <w:szCs w:val="20"/>
              </w:rPr>
              <w:t>Clinical criteria:</w:t>
            </w:r>
          </w:p>
        </w:tc>
      </w:tr>
      <w:tr w:rsidR="00956835" w:rsidRPr="00472ED3" w14:paraId="6B94898E" w14:textId="77777777">
        <w:tblPrEx>
          <w:tblCellMar>
            <w:top w:w="15" w:type="dxa"/>
            <w:bottom w:w="15" w:type="dxa"/>
          </w:tblCellMar>
          <w:tblLook w:val="04A0" w:firstRow="1" w:lastRow="0" w:firstColumn="1" w:lastColumn="0" w:noHBand="0" w:noVBand="1"/>
        </w:tblPrEx>
        <w:trPr>
          <w:cantSplit/>
          <w:trHeight w:val="20"/>
        </w:trPr>
        <w:tc>
          <w:tcPr>
            <w:tcW w:w="1280" w:type="dxa"/>
            <w:gridSpan w:val="2"/>
            <w:vAlign w:val="center"/>
          </w:tcPr>
          <w:p w14:paraId="7EC6D50E" w14:textId="5B5093A9" w:rsidR="00956835" w:rsidRPr="00472ED3" w:rsidRDefault="00956835" w:rsidP="00F36268">
            <w:pPr>
              <w:jc w:val="center"/>
              <w:rPr>
                <w:rFonts w:ascii="Arial Narrow" w:hAnsi="Arial Narrow"/>
                <w:sz w:val="20"/>
                <w:szCs w:val="20"/>
              </w:rPr>
            </w:pPr>
          </w:p>
        </w:tc>
        <w:tc>
          <w:tcPr>
            <w:tcW w:w="7736" w:type="dxa"/>
            <w:gridSpan w:val="6"/>
            <w:vAlign w:val="center"/>
          </w:tcPr>
          <w:p w14:paraId="2CE86C6E" w14:textId="77777777" w:rsidR="00956835" w:rsidRPr="00472ED3" w:rsidRDefault="00956835" w:rsidP="00F36268">
            <w:pPr>
              <w:rPr>
                <w:rFonts w:ascii="Arial Narrow" w:hAnsi="Arial Narrow"/>
                <w:sz w:val="20"/>
                <w:szCs w:val="20"/>
              </w:rPr>
            </w:pPr>
            <w:r w:rsidRPr="00472ED3">
              <w:rPr>
                <w:rFonts w:ascii="Arial Narrow" w:hAnsi="Arial Narrow"/>
                <w:sz w:val="20"/>
                <w:szCs w:val="20"/>
              </w:rPr>
              <w:t>Patient must not be in immediate need of radiotherapy and/or chemotherapy for this condition,</w:t>
            </w:r>
          </w:p>
        </w:tc>
      </w:tr>
      <w:tr w:rsidR="00956835" w:rsidRPr="00472ED3" w14:paraId="5F28C64C" w14:textId="77777777">
        <w:tblPrEx>
          <w:tblCellMar>
            <w:top w:w="15" w:type="dxa"/>
            <w:bottom w:w="15" w:type="dxa"/>
          </w:tblCellMar>
          <w:tblLook w:val="04A0" w:firstRow="1" w:lastRow="0" w:firstColumn="1" w:lastColumn="0" w:noHBand="0" w:noVBand="1"/>
        </w:tblPrEx>
        <w:trPr>
          <w:cantSplit/>
          <w:trHeight w:val="20"/>
        </w:trPr>
        <w:tc>
          <w:tcPr>
            <w:tcW w:w="1280" w:type="dxa"/>
            <w:gridSpan w:val="2"/>
            <w:vAlign w:val="center"/>
          </w:tcPr>
          <w:p w14:paraId="3C6E055F" w14:textId="77777777" w:rsidR="00956835" w:rsidRPr="00472ED3" w:rsidRDefault="00956835" w:rsidP="00F36268">
            <w:pPr>
              <w:jc w:val="center"/>
              <w:rPr>
                <w:rFonts w:ascii="Arial Narrow" w:hAnsi="Arial Narrow"/>
                <w:sz w:val="20"/>
                <w:szCs w:val="20"/>
              </w:rPr>
            </w:pPr>
          </w:p>
        </w:tc>
        <w:tc>
          <w:tcPr>
            <w:tcW w:w="7736" w:type="dxa"/>
            <w:gridSpan w:val="6"/>
            <w:vAlign w:val="center"/>
          </w:tcPr>
          <w:p w14:paraId="63D0DFDB" w14:textId="77777777" w:rsidR="00956835" w:rsidRPr="00472ED3" w:rsidRDefault="00956835" w:rsidP="00F36268">
            <w:pPr>
              <w:rPr>
                <w:rFonts w:ascii="Arial Narrow" w:hAnsi="Arial Narrow"/>
                <w:sz w:val="20"/>
                <w:szCs w:val="20"/>
              </w:rPr>
            </w:pPr>
            <w:r w:rsidRPr="00472ED3">
              <w:rPr>
                <w:rFonts w:ascii="Arial Narrow" w:hAnsi="Arial Narrow"/>
                <w:b/>
                <w:bCs/>
                <w:sz w:val="20"/>
                <w:szCs w:val="20"/>
              </w:rPr>
              <w:t>AND</w:t>
            </w:r>
          </w:p>
        </w:tc>
      </w:tr>
      <w:tr w:rsidR="00956835" w:rsidRPr="00472ED3" w14:paraId="1C624447" w14:textId="77777777">
        <w:tblPrEx>
          <w:tblCellMar>
            <w:top w:w="15" w:type="dxa"/>
            <w:bottom w:w="15" w:type="dxa"/>
          </w:tblCellMar>
          <w:tblLook w:val="04A0" w:firstRow="1" w:lastRow="0" w:firstColumn="1" w:lastColumn="0" w:noHBand="0" w:noVBand="1"/>
        </w:tblPrEx>
        <w:trPr>
          <w:cantSplit/>
          <w:trHeight w:val="20"/>
        </w:trPr>
        <w:tc>
          <w:tcPr>
            <w:tcW w:w="1280" w:type="dxa"/>
            <w:gridSpan w:val="2"/>
            <w:vAlign w:val="center"/>
          </w:tcPr>
          <w:p w14:paraId="3A4C4779" w14:textId="77777777" w:rsidR="00956835" w:rsidRPr="00472ED3" w:rsidRDefault="00956835" w:rsidP="00F36268">
            <w:pPr>
              <w:jc w:val="center"/>
              <w:rPr>
                <w:rFonts w:ascii="Arial Narrow" w:hAnsi="Arial Narrow"/>
                <w:sz w:val="20"/>
                <w:szCs w:val="20"/>
              </w:rPr>
            </w:pPr>
          </w:p>
        </w:tc>
        <w:tc>
          <w:tcPr>
            <w:tcW w:w="7736" w:type="dxa"/>
            <w:gridSpan w:val="6"/>
            <w:vAlign w:val="center"/>
          </w:tcPr>
          <w:p w14:paraId="1B5EBC15" w14:textId="77777777" w:rsidR="00956835" w:rsidRPr="00472ED3" w:rsidRDefault="00956835" w:rsidP="00F36268">
            <w:pPr>
              <w:rPr>
                <w:rFonts w:ascii="Arial Narrow" w:hAnsi="Arial Narrow"/>
                <w:sz w:val="20"/>
                <w:szCs w:val="20"/>
              </w:rPr>
            </w:pPr>
            <w:r w:rsidRPr="00472ED3">
              <w:rPr>
                <w:rFonts w:ascii="Arial Narrow" w:hAnsi="Arial Narrow"/>
                <w:b/>
                <w:bCs/>
                <w:sz w:val="20"/>
                <w:szCs w:val="20"/>
              </w:rPr>
              <w:t>Clinical criteria:</w:t>
            </w:r>
          </w:p>
        </w:tc>
      </w:tr>
      <w:tr w:rsidR="00956835" w:rsidRPr="00472ED3" w14:paraId="4658617B" w14:textId="77777777">
        <w:tblPrEx>
          <w:tblCellMar>
            <w:top w:w="15" w:type="dxa"/>
            <w:bottom w:w="15" w:type="dxa"/>
          </w:tblCellMar>
          <w:tblLook w:val="04A0" w:firstRow="1" w:lastRow="0" w:firstColumn="1" w:lastColumn="0" w:noHBand="0" w:noVBand="1"/>
        </w:tblPrEx>
        <w:trPr>
          <w:cantSplit/>
          <w:trHeight w:val="20"/>
        </w:trPr>
        <w:tc>
          <w:tcPr>
            <w:tcW w:w="1280" w:type="dxa"/>
            <w:gridSpan w:val="2"/>
            <w:vAlign w:val="center"/>
          </w:tcPr>
          <w:p w14:paraId="00E218AF" w14:textId="707ACB03" w:rsidR="00956835" w:rsidRPr="00472ED3" w:rsidRDefault="00956835" w:rsidP="00F36268">
            <w:pPr>
              <w:jc w:val="center"/>
              <w:rPr>
                <w:rFonts w:ascii="Arial Narrow" w:hAnsi="Arial Narrow"/>
                <w:sz w:val="20"/>
                <w:szCs w:val="20"/>
              </w:rPr>
            </w:pPr>
          </w:p>
        </w:tc>
        <w:tc>
          <w:tcPr>
            <w:tcW w:w="7736" w:type="dxa"/>
            <w:gridSpan w:val="6"/>
            <w:vAlign w:val="center"/>
          </w:tcPr>
          <w:p w14:paraId="7CD9B096" w14:textId="77777777" w:rsidR="00956835" w:rsidRPr="00472ED3" w:rsidRDefault="00956835" w:rsidP="00F36268">
            <w:pPr>
              <w:rPr>
                <w:rFonts w:ascii="Arial Narrow" w:hAnsi="Arial Narrow"/>
                <w:sz w:val="20"/>
                <w:szCs w:val="20"/>
              </w:rPr>
            </w:pPr>
            <w:r w:rsidRPr="00472ED3">
              <w:rPr>
                <w:rFonts w:ascii="Arial Narrow" w:hAnsi="Arial Narrow"/>
                <w:sz w:val="20"/>
                <w:szCs w:val="20"/>
              </w:rPr>
              <w:t>The condition must not have been previously treated with systemic anticancer therapy or radiotherapy,</w:t>
            </w:r>
          </w:p>
        </w:tc>
      </w:tr>
      <w:tr w:rsidR="00956835" w:rsidRPr="00472ED3" w14:paraId="52A98B4C" w14:textId="77777777">
        <w:tblPrEx>
          <w:tblCellMar>
            <w:top w:w="15" w:type="dxa"/>
            <w:bottom w:w="15" w:type="dxa"/>
          </w:tblCellMar>
          <w:tblLook w:val="04A0" w:firstRow="1" w:lastRow="0" w:firstColumn="1" w:lastColumn="0" w:noHBand="0" w:noVBand="1"/>
        </w:tblPrEx>
        <w:trPr>
          <w:cantSplit/>
          <w:trHeight w:val="20"/>
        </w:trPr>
        <w:tc>
          <w:tcPr>
            <w:tcW w:w="1280" w:type="dxa"/>
            <w:gridSpan w:val="2"/>
            <w:vAlign w:val="center"/>
          </w:tcPr>
          <w:p w14:paraId="47A07BC8" w14:textId="77777777" w:rsidR="00956835" w:rsidRPr="00472ED3" w:rsidRDefault="00956835" w:rsidP="00F36268">
            <w:pPr>
              <w:jc w:val="center"/>
              <w:rPr>
                <w:rFonts w:ascii="Arial Narrow" w:hAnsi="Arial Narrow"/>
                <w:sz w:val="20"/>
                <w:szCs w:val="20"/>
              </w:rPr>
            </w:pPr>
          </w:p>
        </w:tc>
        <w:tc>
          <w:tcPr>
            <w:tcW w:w="7736" w:type="dxa"/>
            <w:gridSpan w:val="6"/>
            <w:vAlign w:val="center"/>
          </w:tcPr>
          <w:p w14:paraId="72B98829" w14:textId="77777777" w:rsidR="00956835" w:rsidRPr="00472ED3" w:rsidRDefault="00956835" w:rsidP="00F36268">
            <w:pPr>
              <w:rPr>
                <w:rFonts w:ascii="Arial Narrow" w:hAnsi="Arial Narrow"/>
                <w:sz w:val="20"/>
                <w:szCs w:val="20"/>
              </w:rPr>
            </w:pPr>
            <w:r w:rsidRPr="00472ED3">
              <w:rPr>
                <w:rFonts w:ascii="Arial Narrow" w:hAnsi="Arial Narrow"/>
                <w:b/>
                <w:bCs/>
                <w:sz w:val="20"/>
                <w:szCs w:val="20"/>
              </w:rPr>
              <w:t>AND</w:t>
            </w:r>
          </w:p>
        </w:tc>
      </w:tr>
      <w:tr w:rsidR="00956835" w:rsidRPr="00472ED3" w14:paraId="00726A1E" w14:textId="77777777">
        <w:tblPrEx>
          <w:tblCellMar>
            <w:top w:w="15" w:type="dxa"/>
            <w:bottom w:w="15" w:type="dxa"/>
          </w:tblCellMar>
          <w:tblLook w:val="04A0" w:firstRow="1" w:lastRow="0" w:firstColumn="1" w:lastColumn="0" w:noHBand="0" w:noVBand="1"/>
        </w:tblPrEx>
        <w:trPr>
          <w:cantSplit/>
          <w:trHeight w:val="20"/>
        </w:trPr>
        <w:tc>
          <w:tcPr>
            <w:tcW w:w="1280" w:type="dxa"/>
            <w:gridSpan w:val="2"/>
            <w:vAlign w:val="center"/>
          </w:tcPr>
          <w:p w14:paraId="4D51CCEF" w14:textId="77777777" w:rsidR="00956835" w:rsidRPr="00472ED3" w:rsidRDefault="00956835" w:rsidP="00F36268">
            <w:pPr>
              <w:jc w:val="center"/>
              <w:rPr>
                <w:rFonts w:ascii="Arial Narrow" w:hAnsi="Arial Narrow"/>
                <w:sz w:val="20"/>
                <w:szCs w:val="20"/>
              </w:rPr>
            </w:pPr>
          </w:p>
        </w:tc>
        <w:tc>
          <w:tcPr>
            <w:tcW w:w="7736" w:type="dxa"/>
            <w:gridSpan w:val="6"/>
            <w:vAlign w:val="center"/>
          </w:tcPr>
          <w:p w14:paraId="562FBCFF" w14:textId="77777777" w:rsidR="00956835" w:rsidRPr="00472ED3" w:rsidRDefault="00956835" w:rsidP="00F36268">
            <w:pPr>
              <w:rPr>
                <w:rFonts w:ascii="Arial Narrow" w:hAnsi="Arial Narrow"/>
                <w:b/>
                <w:bCs/>
                <w:strike/>
                <w:sz w:val="20"/>
                <w:szCs w:val="20"/>
              </w:rPr>
            </w:pPr>
            <w:r w:rsidRPr="00472ED3">
              <w:rPr>
                <w:rFonts w:ascii="Arial Narrow" w:hAnsi="Arial Narrow"/>
                <w:b/>
                <w:bCs/>
                <w:sz w:val="20"/>
                <w:szCs w:val="20"/>
              </w:rPr>
              <w:t>Clinical criteria:</w:t>
            </w:r>
          </w:p>
        </w:tc>
      </w:tr>
      <w:tr w:rsidR="00956835" w:rsidRPr="00472ED3" w14:paraId="79776A59" w14:textId="77777777">
        <w:tblPrEx>
          <w:tblCellMar>
            <w:top w:w="15" w:type="dxa"/>
            <w:bottom w:w="15" w:type="dxa"/>
          </w:tblCellMar>
          <w:tblLook w:val="04A0" w:firstRow="1" w:lastRow="0" w:firstColumn="1" w:lastColumn="0" w:noHBand="0" w:noVBand="1"/>
        </w:tblPrEx>
        <w:trPr>
          <w:cantSplit/>
          <w:trHeight w:val="20"/>
        </w:trPr>
        <w:tc>
          <w:tcPr>
            <w:tcW w:w="1280" w:type="dxa"/>
            <w:gridSpan w:val="2"/>
            <w:vAlign w:val="center"/>
          </w:tcPr>
          <w:p w14:paraId="405DAE75" w14:textId="6D716F14" w:rsidR="00956835" w:rsidRPr="00472ED3" w:rsidRDefault="00956835" w:rsidP="00F36268">
            <w:pPr>
              <w:jc w:val="center"/>
              <w:rPr>
                <w:rFonts w:ascii="Arial Narrow" w:hAnsi="Arial Narrow"/>
                <w:sz w:val="20"/>
                <w:szCs w:val="20"/>
              </w:rPr>
            </w:pPr>
          </w:p>
        </w:tc>
        <w:tc>
          <w:tcPr>
            <w:tcW w:w="7736" w:type="dxa"/>
            <w:gridSpan w:val="6"/>
            <w:vAlign w:val="center"/>
          </w:tcPr>
          <w:p w14:paraId="64FA82C3" w14:textId="77777777" w:rsidR="00956835" w:rsidRPr="00472ED3" w:rsidRDefault="00956835" w:rsidP="00F36268">
            <w:pPr>
              <w:rPr>
                <w:rFonts w:ascii="Arial Narrow" w:hAnsi="Arial Narrow"/>
                <w:sz w:val="20"/>
                <w:szCs w:val="20"/>
              </w:rPr>
            </w:pPr>
            <w:r w:rsidRPr="00472ED3">
              <w:rPr>
                <w:rFonts w:ascii="Arial Narrow" w:hAnsi="Arial Narrow"/>
                <w:sz w:val="20"/>
                <w:szCs w:val="20"/>
              </w:rPr>
              <w:t>Patient must have either a: (i) Karnofsky Performance Score of at least 80%, (ii) Lansky Performance Score of at least 80%.</w:t>
            </w:r>
          </w:p>
        </w:tc>
      </w:tr>
      <w:tr w:rsidR="00956835" w:rsidRPr="00472ED3" w14:paraId="24B0C49B" w14:textId="77777777">
        <w:tblPrEx>
          <w:tblCellMar>
            <w:top w:w="15" w:type="dxa"/>
            <w:bottom w:w="15" w:type="dxa"/>
          </w:tblCellMar>
          <w:tblLook w:val="04A0" w:firstRow="1" w:lastRow="0" w:firstColumn="1" w:lastColumn="0" w:noHBand="0" w:noVBand="1"/>
        </w:tblPrEx>
        <w:trPr>
          <w:cantSplit/>
          <w:trHeight w:val="20"/>
        </w:trPr>
        <w:tc>
          <w:tcPr>
            <w:tcW w:w="1280" w:type="dxa"/>
            <w:gridSpan w:val="2"/>
            <w:vAlign w:val="center"/>
          </w:tcPr>
          <w:p w14:paraId="7537CDAB" w14:textId="33BF3B3E" w:rsidR="00956835" w:rsidRPr="00472ED3" w:rsidRDefault="00956835" w:rsidP="00F36268">
            <w:pPr>
              <w:jc w:val="center"/>
              <w:rPr>
                <w:rFonts w:ascii="Arial Narrow" w:hAnsi="Arial Narrow"/>
                <w:strike/>
                <w:sz w:val="20"/>
                <w:szCs w:val="20"/>
              </w:rPr>
            </w:pPr>
          </w:p>
        </w:tc>
        <w:tc>
          <w:tcPr>
            <w:tcW w:w="7736" w:type="dxa"/>
            <w:gridSpan w:val="6"/>
            <w:vAlign w:val="center"/>
          </w:tcPr>
          <w:p w14:paraId="78DA0457" w14:textId="77777777" w:rsidR="00956835" w:rsidRPr="00472ED3" w:rsidRDefault="00956835" w:rsidP="00F36268">
            <w:pPr>
              <w:contextualSpacing/>
              <w:rPr>
                <w:rFonts w:ascii="Arial Narrow" w:hAnsi="Arial Narrow"/>
                <w:b/>
                <w:bCs/>
                <w:sz w:val="20"/>
                <w:szCs w:val="20"/>
              </w:rPr>
            </w:pPr>
            <w:r w:rsidRPr="5594184A">
              <w:rPr>
                <w:rFonts w:ascii="Arial Narrow" w:hAnsi="Arial Narrow"/>
                <w:b/>
                <w:bCs/>
                <w:sz w:val="20"/>
                <w:szCs w:val="20"/>
              </w:rPr>
              <w:t xml:space="preserve">Prescriber instructions: </w:t>
            </w:r>
          </w:p>
          <w:p w14:paraId="5EE57B1C" w14:textId="4A753402" w:rsidR="00956835" w:rsidRPr="00472ED3" w:rsidRDefault="00956835" w:rsidP="00F36268">
            <w:pPr>
              <w:contextualSpacing/>
              <w:rPr>
                <w:rFonts w:ascii="Arial Narrow" w:hAnsi="Arial Narrow"/>
                <w:strike/>
                <w:sz w:val="20"/>
                <w:szCs w:val="20"/>
              </w:rPr>
            </w:pPr>
            <w:r w:rsidRPr="00472ED3">
              <w:rPr>
                <w:rStyle w:val="normaltextrun"/>
                <w:rFonts w:ascii="Arial Narrow" w:hAnsi="Arial Narrow"/>
                <w:sz w:val="20"/>
                <w:szCs w:val="20"/>
                <w:shd w:val="clear" w:color="auto" w:fill="FFFFFF"/>
              </w:rPr>
              <w:t xml:space="preserve">Confirm that evidence of the presence of a </w:t>
            </w:r>
            <w:r w:rsidR="00BA41BD">
              <w:rPr>
                <w:rStyle w:val="normaltextrun"/>
                <w:rFonts w:ascii="Arial Narrow" w:hAnsi="Arial Narrow"/>
                <w:sz w:val="20"/>
                <w:szCs w:val="20"/>
                <w:shd w:val="clear" w:color="auto" w:fill="FFFFFF"/>
              </w:rPr>
              <w:t xml:space="preserve">susceptible </w:t>
            </w:r>
            <w:r w:rsidRPr="00472ED3">
              <w:rPr>
                <w:rStyle w:val="normaltextrun"/>
                <w:rFonts w:ascii="Arial Narrow" w:hAnsi="Arial Narrow"/>
                <w:sz w:val="20"/>
                <w:szCs w:val="20"/>
                <w:shd w:val="clear" w:color="auto" w:fill="FFFFFF"/>
              </w:rPr>
              <w:t xml:space="preserve">IDH1 or IDH2 </w:t>
            </w:r>
            <w:r w:rsidR="00BA41BD">
              <w:rPr>
                <w:rStyle w:val="normaltextrun"/>
                <w:rFonts w:ascii="Arial Narrow" w:hAnsi="Arial Narrow"/>
                <w:sz w:val="20"/>
                <w:szCs w:val="20"/>
                <w:shd w:val="clear" w:color="auto" w:fill="FFFFFF"/>
              </w:rPr>
              <w:t>variant in the tumour tissue</w:t>
            </w:r>
            <w:r w:rsidR="00BA41BD" w:rsidRPr="00472ED3">
              <w:rPr>
                <w:rStyle w:val="normaltextrun"/>
                <w:rFonts w:ascii="Arial Narrow" w:hAnsi="Arial Narrow"/>
                <w:sz w:val="20"/>
                <w:szCs w:val="20"/>
                <w:shd w:val="clear" w:color="auto" w:fill="FFFFFF"/>
              </w:rPr>
              <w:t xml:space="preserve"> </w:t>
            </w:r>
            <w:r w:rsidRPr="00472ED3">
              <w:rPr>
                <w:rStyle w:val="normaltextrun"/>
                <w:rFonts w:ascii="Arial Narrow" w:hAnsi="Arial Narrow"/>
                <w:sz w:val="20"/>
                <w:szCs w:val="20"/>
                <w:shd w:val="clear" w:color="auto" w:fill="FFFFFF"/>
              </w:rPr>
              <w:t>is documented/retained in the patient's medical records once only with the first PBS prescription</w:t>
            </w:r>
            <w:r w:rsidRPr="5594184A">
              <w:rPr>
                <w:rStyle w:val="normaltextrun"/>
                <w:rFonts w:ascii="Arial Narrow" w:hAnsi="Arial Narrow"/>
                <w:shd w:val="clear" w:color="auto" w:fill="FFFFFF"/>
              </w:rPr>
              <w:t>.</w:t>
            </w:r>
          </w:p>
        </w:tc>
      </w:tr>
      <w:tr w:rsidR="00956835" w:rsidRPr="00472ED3" w14:paraId="0D5C549E" w14:textId="77777777">
        <w:tblPrEx>
          <w:tblCellMar>
            <w:top w:w="15" w:type="dxa"/>
            <w:bottom w:w="15" w:type="dxa"/>
          </w:tblCellMar>
          <w:tblLook w:val="04A0" w:firstRow="1" w:lastRow="0" w:firstColumn="1" w:lastColumn="0" w:noHBand="0" w:noVBand="1"/>
        </w:tblPrEx>
        <w:trPr>
          <w:cantSplit/>
          <w:trHeight w:val="20"/>
        </w:trPr>
        <w:tc>
          <w:tcPr>
            <w:tcW w:w="1280" w:type="dxa"/>
            <w:gridSpan w:val="2"/>
            <w:vAlign w:val="center"/>
          </w:tcPr>
          <w:p w14:paraId="2C732336" w14:textId="77777777" w:rsidR="00956835" w:rsidRPr="00472ED3" w:rsidRDefault="00956835" w:rsidP="00F36268">
            <w:pPr>
              <w:jc w:val="center"/>
              <w:rPr>
                <w:rFonts w:ascii="Arial Narrow" w:hAnsi="Arial Narrow"/>
                <w:strike/>
                <w:sz w:val="20"/>
                <w:szCs w:val="20"/>
              </w:rPr>
            </w:pPr>
          </w:p>
        </w:tc>
        <w:tc>
          <w:tcPr>
            <w:tcW w:w="7736" w:type="dxa"/>
            <w:gridSpan w:val="6"/>
            <w:vAlign w:val="center"/>
          </w:tcPr>
          <w:p w14:paraId="581A8B3C" w14:textId="77777777" w:rsidR="00956835" w:rsidRPr="00472ED3" w:rsidRDefault="00956835" w:rsidP="00F36268">
            <w:pPr>
              <w:rPr>
                <w:rFonts w:ascii="Arial Narrow" w:hAnsi="Arial Narrow"/>
                <w:strike/>
                <w:sz w:val="20"/>
                <w:szCs w:val="20"/>
              </w:rPr>
            </w:pPr>
          </w:p>
        </w:tc>
      </w:tr>
      <w:tr w:rsidR="00956835" w:rsidRPr="00472ED3" w14:paraId="307ABECF" w14:textId="77777777">
        <w:tblPrEx>
          <w:tblCellMar>
            <w:top w:w="15" w:type="dxa"/>
            <w:bottom w:w="15" w:type="dxa"/>
          </w:tblCellMar>
          <w:tblLook w:val="04A0" w:firstRow="1" w:lastRow="0" w:firstColumn="1" w:lastColumn="0" w:noHBand="0" w:noVBand="1"/>
        </w:tblPrEx>
        <w:trPr>
          <w:cantSplit/>
          <w:trHeight w:val="20"/>
        </w:trPr>
        <w:tc>
          <w:tcPr>
            <w:tcW w:w="9016" w:type="dxa"/>
            <w:gridSpan w:val="8"/>
            <w:vAlign w:val="center"/>
          </w:tcPr>
          <w:p w14:paraId="2A26E061" w14:textId="77777777" w:rsidR="00956835" w:rsidRPr="00472ED3" w:rsidRDefault="00956835" w:rsidP="00F36268">
            <w:pPr>
              <w:rPr>
                <w:rFonts w:ascii="Arial Narrow" w:hAnsi="Arial Narrow"/>
                <w:strike/>
                <w:sz w:val="20"/>
                <w:szCs w:val="20"/>
              </w:rPr>
            </w:pPr>
            <w:r w:rsidRPr="00472ED3">
              <w:rPr>
                <w:rFonts w:ascii="Arial Narrow" w:hAnsi="Arial Narrow"/>
                <w:b/>
                <w:sz w:val="20"/>
                <w:szCs w:val="20"/>
              </w:rPr>
              <w:t>Restriction Summary [new2] / Treatment of Concept: [new2A]</w:t>
            </w:r>
          </w:p>
        </w:tc>
      </w:tr>
      <w:tr w:rsidR="00956835" w:rsidRPr="00472ED3" w14:paraId="2E78CF6F" w14:textId="77777777">
        <w:tblPrEx>
          <w:tblCellMar>
            <w:top w:w="15" w:type="dxa"/>
            <w:bottom w:w="15" w:type="dxa"/>
          </w:tblCellMar>
          <w:tblLook w:val="04A0" w:firstRow="1" w:lastRow="0" w:firstColumn="1" w:lastColumn="0" w:noHBand="0" w:noVBand="1"/>
        </w:tblPrEx>
        <w:trPr>
          <w:cantSplit/>
          <w:trHeight w:val="20"/>
        </w:trPr>
        <w:tc>
          <w:tcPr>
            <w:tcW w:w="1280" w:type="dxa"/>
            <w:gridSpan w:val="2"/>
            <w:vAlign w:val="center"/>
            <w:hideMark/>
          </w:tcPr>
          <w:p w14:paraId="6FF6CF4E" w14:textId="77777777" w:rsidR="00956835" w:rsidRPr="00472ED3" w:rsidRDefault="00956835" w:rsidP="00F36268">
            <w:pPr>
              <w:jc w:val="center"/>
              <w:rPr>
                <w:rFonts w:ascii="Arial Narrow" w:hAnsi="Arial Narrow"/>
                <w:sz w:val="20"/>
                <w:szCs w:val="20"/>
              </w:rPr>
            </w:pPr>
          </w:p>
        </w:tc>
        <w:tc>
          <w:tcPr>
            <w:tcW w:w="7736" w:type="dxa"/>
            <w:gridSpan w:val="6"/>
            <w:vAlign w:val="center"/>
            <w:hideMark/>
          </w:tcPr>
          <w:p w14:paraId="6A7BE7CF" w14:textId="77777777" w:rsidR="00956835" w:rsidRPr="00472ED3" w:rsidRDefault="00956835" w:rsidP="00F36268">
            <w:pPr>
              <w:rPr>
                <w:rFonts w:ascii="Arial Narrow" w:hAnsi="Arial Narrow"/>
                <w:sz w:val="20"/>
                <w:szCs w:val="20"/>
              </w:rPr>
            </w:pPr>
            <w:r w:rsidRPr="00472ED3">
              <w:rPr>
                <w:rFonts w:ascii="Arial Narrow" w:hAnsi="Arial Narrow"/>
                <w:b/>
                <w:bCs/>
                <w:sz w:val="20"/>
                <w:szCs w:val="20"/>
              </w:rPr>
              <w:t>Treatment Phase:</w:t>
            </w:r>
            <w:r w:rsidRPr="00472ED3">
              <w:rPr>
                <w:rFonts w:ascii="Arial Narrow" w:hAnsi="Arial Narrow"/>
                <w:sz w:val="20"/>
                <w:szCs w:val="20"/>
              </w:rPr>
              <w:t xml:space="preserve"> Continuing treatment</w:t>
            </w:r>
          </w:p>
        </w:tc>
      </w:tr>
      <w:tr w:rsidR="00956835" w:rsidRPr="00472ED3" w14:paraId="08158C79" w14:textId="77777777">
        <w:tblPrEx>
          <w:tblCellMar>
            <w:top w:w="15" w:type="dxa"/>
            <w:bottom w:w="15" w:type="dxa"/>
          </w:tblCellMar>
          <w:tblLook w:val="04A0" w:firstRow="1" w:lastRow="0" w:firstColumn="1" w:lastColumn="0" w:noHBand="0" w:noVBand="1"/>
        </w:tblPrEx>
        <w:trPr>
          <w:cantSplit/>
          <w:trHeight w:val="20"/>
        </w:trPr>
        <w:tc>
          <w:tcPr>
            <w:tcW w:w="1280" w:type="dxa"/>
            <w:gridSpan w:val="2"/>
            <w:vAlign w:val="center"/>
          </w:tcPr>
          <w:p w14:paraId="6BBAA9FE" w14:textId="77777777" w:rsidR="00956835" w:rsidRPr="00472ED3" w:rsidRDefault="00956835" w:rsidP="00F36268">
            <w:pPr>
              <w:jc w:val="center"/>
              <w:rPr>
                <w:rFonts w:ascii="Arial Narrow" w:hAnsi="Arial Narrow"/>
                <w:sz w:val="20"/>
                <w:szCs w:val="20"/>
              </w:rPr>
            </w:pPr>
          </w:p>
        </w:tc>
        <w:tc>
          <w:tcPr>
            <w:tcW w:w="7736" w:type="dxa"/>
            <w:gridSpan w:val="6"/>
            <w:vAlign w:val="center"/>
          </w:tcPr>
          <w:p w14:paraId="731858DA" w14:textId="77777777" w:rsidR="00956835" w:rsidRPr="00472ED3" w:rsidRDefault="00956835" w:rsidP="00F36268">
            <w:pPr>
              <w:rPr>
                <w:rFonts w:ascii="Arial Narrow" w:hAnsi="Arial Narrow"/>
                <w:sz w:val="20"/>
                <w:szCs w:val="20"/>
              </w:rPr>
            </w:pPr>
            <w:r w:rsidRPr="00472ED3">
              <w:rPr>
                <w:rFonts w:ascii="Arial Narrow" w:hAnsi="Arial Narrow"/>
                <w:b/>
                <w:bCs/>
                <w:sz w:val="20"/>
                <w:szCs w:val="20"/>
              </w:rPr>
              <w:t>Clinical criteria:</w:t>
            </w:r>
          </w:p>
        </w:tc>
      </w:tr>
      <w:tr w:rsidR="00956835" w:rsidRPr="00472ED3" w14:paraId="5861A86F" w14:textId="77777777">
        <w:tblPrEx>
          <w:tblCellMar>
            <w:top w:w="15" w:type="dxa"/>
            <w:bottom w:w="15" w:type="dxa"/>
          </w:tblCellMar>
          <w:tblLook w:val="04A0" w:firstRow="1" w:lastRow="0" w:firstColumn="1" w:lastColumn="0" w:noHBand="0" w:noVBand="1"/>
        </w:tblPrEx>
        <w:trPr>
          <w:cantSplit/>
          <w:trHeight w:val="20"/>
        </w:trPr>
        <w:tc>
          <w:tcPr>
            <w:tcW w:w="1280" w:type="dxa"/>
            <w:gridSpan w:val="2"/>
            <w:vAlign w:val="center"/>
          </w:tcPr>
          <w:p w14:paraId="3DBAB960" w14:textId="5A1CE2FA" w:rsidR="00956835" w:rsidRPr="00472ED3" w:rsidRDefault="00956835" w:rsidP="00F36268">
            <w:pPr>
              <w:jc w:val="center"/>
              <w:rPr>
                <w:rFonts w:ascii="Arial Narrow" w:hAnsi="Arial Narrow"/>
                <w:sz w:val="20"/>
                <w:szCs w:val="20"/>
              </w:rPr>
            </w:pPr>
          </w:p>
        </w:tc>
        <w:tc>
          <w:tcPr>
            <w:tcW w:w="7736" w:type="dxa"/>
            <w:gridSpan w:val="6"/>
            <w:vAlign w:val="center"/>
          </w:tcPr>
          <w:p w14:paraId="3F66734A" w14:textId="6D366DB6" w:rsidR="00956835" w:rsidRPr="00472ED3" w:rsidRDefault="00956835" w:rsidP="00F36268">
            <w:pPr>
              <w:rPr>
                <w:rFonts w:ascii="Arial Narrow" w:hAnsi="Arial Narrow"/>
                <w:sz w:val="20"/>
                <w:szCs w:val="20"/>
              </w:rPr>
            </w:pPr>
            <w:r w:rsidRPr="00472ED3">
              <w:rPr>
                <w:rFonts w:ascii="Arial Narrow" w:hAnsi="Arial Narrow"/>
                <w:sz w:val="20"/>
                <w:szCs w:val="20"/>
              </w:rPr>
              <w:t>Patient must have previously received PBS</w:t>
            </w:r>
            <w:r w:rsidR="00B571FA">
              <w:rPr>
                <w:rFonts w:ascii="Arial Narrow" w:hAnsi="Arial Narrow"/>
                <w:sz w:val="20"/>
                <w:szCs w:val="20"/>
              </w:rPr>
              <w:noBreakHyphen/>
            </w:r>
            <w:r w:rsidRPr="00472ED3">
              <w:rPr>
                <w:rFonts w:ascii="Arial Narrow" w:hAnsi="Arial Narrow"/>
                <w:sz w:val="20"/>
                <w:szCs w:val="20"/>
              </w:rPr>
              <w:t>subsidised treatment with this drug for this condition.</w:t>
            </w:r>
          </w:p>
        </w:tc>
      </w:tr>
      <w:tr w:rsidR="00956835" w:rsidRPr="00472ED3" w14:paraId="604970D9" w14:textId="77777777">
        <w:tblPrEx>
          <w:tblCellMar>
            <w:top w:w="15" w:type="dxa"/>
            <w:bottom w:w="15" w:type="dxa"/>
          </w:tblCellMar>
          <w:tblLook w:val="04A0" w:firstRow="1" w:lastRow="0" w:firstColumn="1" w:lastColumn="0" w:noHBand="0" w:noVBand="1"/>
        </w:tblPrEx>
        <w:trPr>
          <w:cantSplit/>
          <w:trHeight w:val="20"/>
        </w:trPr>
        <w:tc>
          <w:tcPr>
            <w:tcW w:w="1280" w:type="dxa"/>
            <w:gridSpan w:val="2"/>
            <w:vAlign w:val="center"/>
          </w:tcPr>
          <w:p w14:paraId="3587A043" w14:textId="77777777" w:rsidR="00956835" w:rsidRPr="00472ED3" w:rsidRDefault="00956835" w:rsidP="00F36268">
            <w:pPr>
              <w:jc w:val="center"/>
              <w:rPr>
                <w:rFonts w:ascii="Arial Narrow" w:hAnsi="Arial Narrow"/>
                <w:sz w:val="20"/>
                <w:szCs w:val="20"/>
              </w:rPr>
            </w:pPr>
          </w:p>
        </w:tc>
        <w:tc>
          <w:tcPr>
            <w:tcW w:w="7736" w:type="dxa"/>
            <w:gridSpan w:val="6"/>
            <w:vAlign w:val="center"/>
          </w:tcPr>
          <w:p w14:paraId="2F1C006F" w14:textId="77777777" w:rsidR="00956835" w:rsidRPr="00472ED3" w:rsidRDefault="00956835" w:rsidP="00F36268">
            <w:pPr>
              <w:rPr>
                <w:rFonts w:ascii="Arial Narrow" w:hAnsi="Arial Narrow"/>
                <w:sz w:val="20"/>
                <w:szCs w:val="20"/>
              </w:rPr>
            </w:pPr>
            <w:r w:rsidRPr="00472ED3">
              <w:rPr>
                <w:rFonts w:ascii="Arial Narrow" w:hAnsi="Arial Narrow"/>
                <w:b/>
                <w:bCs/>
                <w:sz w:val="20"/>
                <w:szCs w:val="20"/>
              </w:rPr>
              <w:t>AND</w:t>
            </w:r>
          </w:p>
        </w:tc>
      </w:tr>
      <w:tr w:rsidR="00956835" w:rsidRPr="00472ED3" w14:paraId="7D3829F3" w14:textId="77777777">
        <w:tblPrEx>
          <w:tblCellMar>
            <w:top w:w="15" w:type="dxa"/>
            <w:bottom w:w="15" w:type="dxa"/>
          </w:tblCellMar>
          <w:tblLook w:val="04A0" w:firstRow="1" w:lastRow="0" w:firstColumn="1" w:lastColumn="0" w:noHBand="0" w:noVBand="1"/>
        </w:tblPrEx>
        <w:trPr>
          <w:cantSplit/>
          <w:trHeight w:val="20"/>
        </w:trPr>
        <w:tc>
          <w:tcPr>
            <w:tcW w:w="1280" w:type="dxa"/>
            <w:gridSpan w:val="2"/>
            <w:vAlign w:val="center"/>
          </w:tcPr>
          <w:p w14:paraId="7C7B1C74" w14:textId="77777777" w:rsidR="00956835" w:rsidRPr="00472ED3" w:rsidRDefault="00956835" w:rsidP="00F36268">
            <w:pPr>
              <w:jc w:val="center"/>
              <w:rPr>
                <w:rFonts w:ascii="Arial Narrow" w:hAnsi="Arial Narrow"/>
                <w:sz w:val="20"/>
                <w:szCs w:val="20"/>
              </w:rPr>
            </w:pPr>
          </w:p>
        </w:tc>
        <w:tc>
          <w:tcPr>
            <w:tcW w:w="7736" w:type="dxa"/>
            <w:gridSpan w:val="6"/>
            <w:vAlign w:val="center"/>
          </w:tcPr>
          <w:p w14:paraId="19FF965D" w14:textId="77777777" w:rsidR="00956835" w:rsidRPr="00472ED3" w:rsidRDefault="00956835" w:rsidP="00F36268">
            <w:pPr>
              <w:rPr>
                <w:rFonts w:ascii="Arial Narrow" w:hAnsi="Arial Narrow"/>
                <w:b/>
                <w:bCs/>
                <w:sz w:val="20"/>
                <w:szCs w:val="20"/>
              </w:rPr>
            </w:pPr>
            <w:r w:rsidRPr="00472ED3">
              <w:rPr>
                <w:rFonts w:ascii="Arial Narrow" w:hAnsi="Arial Narrow"/>
                <w:b/>
                <w:bCs/>
                <w:sz w:val="20"/>
                <w:szCs w:val="20"/>
              </w:rPr>
              <w:t>Clinical criteria</w:t>
            </w:r>
          </w:p>
        </w:tc>
      </w:tr>
      <w:tr w:rsidR="00956835" w:rsidRPr="00472ED3" w14:paraId="2F15513F" w14:textId="77777777">
        <w:tblPrEx>
          <w:tblCellMar>
            <w:top w:w="15" w:type="dxa"/>
            <w:bottom w:w="15" w:type="dxa"/>
          </w:tblCellMar>
          <w:tblLook w:val="04A0" w:firstRow="1" w:lastRow="0" w:firstColumn="1" w:lastColumn="0" w:noHBand="0" w:noVBand="1"/>
        </w:tblPrEx>
        <w:trPr>
          <w:cantSplit/>
          <w:trHeight w:val="20"/>
        </w:trPr>
        <w:tc>
          <w:tcPr>
            <w:tcW w:w="1280" w:type="dxa"/>
            <w:gridSpan w:val="2"/>
            <w:vAlign w:val="center"/>
          </w:tcPr>
          <w:p w14:paraId="6EAE4A02" w14:textId="622128FD" w:rsidR="00956835" w:rsidRPr="00472ED3" w:rsidRDefault="00956835" w:rsidP="00F36268">
            <w:pPr>
              <w:jc w:val="center"/>
              <w:rPr>
                <w:rFonts w:ascii="Arial Narrow" w:hAnsi="Arial Narrow"/>
                <w:sz w:val="20"/>
                <w:szCs w:val="20"/>
              </w:rPr>
            </w:pPr>
          </w:p>
        </w:tc>
        <w:tc>
          <w:tcPr>
            <w:tcW w:w="7736" w:type="dxa"/>
            <w:gridSpan w:val="6"/>
            <w:vAlign w:val="center"/>
          </w:tcPr>
          <w:p w14:paraId="2F5A1CF3" w14:textId="77777777" w:rsidR="00956835" w:rsidRPr="00472ED3" w:rsidRDefault="00956835" w:rsidP="00F36268">
            <w:pPr>
              <w:rPr>
                <w:rFonts w:ascii="Arial Narrow" w:hAnsi="Arial Narrow"/>
                <w:sz w:val="20"/>
                <w:szCs w:val="20"/>
              </w:rPr>
            </w:pPr>
            <w:r w:rsidRPr="00472ED3">
              <w:rPr>
                <w:rFonts w:ascii="Arial Narrow" w:hAnsi="Arial Narrow"/>
                <w:sz w:val="20"/>
                <w:szCs w:val="20"/>
              </w:rPr>
              <w:t>Patient must not have developed disease progression while receiving treatment with this drug for this condition.</w:t>
            </w:r>
          </w:p>
        </w:tc>
      </w:tr>
      <w:tr w:rsidR="00956835" w:rsidRPr="00472ED3" w14:paraId="0318C8A6" w14:textId="77777777">
        <w:tblPrEx>
          <w:tblCellMar>
            <w:top w:w="15" w:type="dxa"/>
            <w:bottom w:w="15" w:type="dxa"/>
          </w:tblCellMar>
          <w:tblLook w:val="04A0" w:firstRow="1" w:lastRow="0" w:firstColumn="1" w:lastColumn="0" w:noHBand="0" w:noVBand="1"/>
        </w:tblPrEx>
        <w:trPr>
          <w:cantSplit/>
          <w:trHeight w:val="20"/>
        </w:trPr>
        <w:tc>
          <w:tcPr>
            <w:tcW w:w="1280" w:type="dxa"/>
            <w:gridSpan w:val="2"/>
            <w:vAlign w:val="center"/>
          </w:tcPr>
          <w:p w14:paraId="5FDAB5DA" w14:textId="77777777" w:rsidR="00956835" w:rsidRPr="00472ED3" w:rsidRDefault="00956835" w:rsidP="00F36268">
            <w:pPr>
              <w:jc w:val="center"/>
              <w:rPr>
                <w:rFonts w:ascii="Arial Narrow" w:hAnsi="Arial Narrow"/>
                <w:sz w:val="20"/>
                <w:szCs w:val="20"/>
              </w:rPr>
            </w:pPr>
          </w:p>
        </w:tc>
        <w:tc>
          <w:tcPr>
            <w:tcW w:w="7736" w:type="dxa"/>
            <w:gridSpan w:val="6"/>
            <w:vAlign w:val="center"/>
          </w:tcPr>
          <w:p w14:paraId="647F4F79" w14:textId="77777777" w:rsidR="00956835" w:rsidRPr="00472ED3" w:rsidRDefault="00956835" w:rsidP="00F36268">
            <w:pPr>
              <w:rPr>
                <w:rFonts w:ascii="Arial Narrow" w:hAnsi="Arial Narrow"/>
                <w:sz w:val="20"/>
                <w:szCs w:val="20"/>
              </w:rPr>
            </w:pPr>
          </w:p>
        </w:tc>
      </w:tr>
      <w:tr w:rsidR="00956835" w:rsidRPr="00472ED3" w14:paraId="005B1B55" w14:textId="77777777">
        <w:tblPrEx>
          <w:tblCellMar>
            <w:top w:w="15" w:type="dxa"/>
            <w:bottom w:w="15" w:type="dxa"/>
          </w:tblCellMar>
          <w:tblLook w:val="04A0" w:firstRow="1" w:lastRow="0" w:firstColumn="1" w:lastColumn="0" w:noHBand="0" w:noVBand="1"/>
        </w:tblPrEx>
        <w:trPr>
          <w:cantSplit/>
          <w:trHeight w:val="20"/>
        </w:trPr>
        <w:tc>
          <w:tcPr>
            <w:tcW w:w="9016" w:type="dxa"/>
            <w:gridSpan w:val="8"/>
            <w:vAlign w:val="center"/>
          </w:tcPr>
          <w:p w14:paraId="68D64D29" w14:textId="77777777" w:rsidR="00956835" w:rsidRPr="00472ED3" w:rsidRDefault="00956835" w:rsidP="00F36268">
            <w:pPr>
              <w:rPr>
                <w:rFonts w:ascii="Arial Narrow" w:hAnsi="Arial Narrow"/>
                <w:sz w:val="20"/>
                <w:szCs w:val="20"/>
              </w:rPr>
            </w:pPr>
            <w:r w:rsidRPr="00472ED3">
              <w:rPr>
                <w:rFonts w:ascii="Arial Narrow" w:hAnsi="Arial Narrow"/>
                <w:b/>
                <w:sz w:val="20"/>
                <w:szCs w:val="20"/>
              </w:rPr>
              <w:t>Restriction Summary [new3] / Treatment of Concept: [new3A]</w:t>
            </w:r>
          </w:p>
        </w:tc>
      </w:tr>
      <w:tr w:rsidR="00956835" w:rsidRPr="00472ED3" w14:paraId="467CCD68" w14:textId="77777777">
        <w:tblPrEx>
          <w:tblCellMar>
            <w:top w:w="15" w:type="dxa"/>
            <w:bottom w:w="15" w:type="dxa"/>
          </w:tblCellMar>
          <w:tblLook w:val="04A0" w:firstRow="1" w:lastRow="0" w:firstColumn="1" w:lastColumn="0" w:noHBand="0" w:noVBand="1"/>
        </w:tblPrEx>
        <w:trPr>
          <w:cantSplit/>
          <w:trHeight w:val="20"/>
        </w:trPr>
        <w:tc>
          <w:tcPr>
            <w:tcW w:w="1280" w:type="dxa"/>
            <w:gridSpan w:val="2"/>
            <w:vAlign w:val="center"/>
            <w:hideMark/>
          </w:tcPr>
          <w:p w14:paraId="4234328B" w14:textId="77777777" w:rsidR="00956835" w:rsidRPr="00472ED3" w:rsidRDefault="00956835" w:rsidP="00F36268">
            <w:pPr>
              <w:jc w:val="center"/>
              <w:rPr>
                <w:rFonts w:ascii="Arial Narrow" w:hAnsi="Arial Narrow"/>
                <w:sz w:val="20"/>
                <w:szCs w:val="20"/>
              </w:rPr>
            </w:pPr>
          </w:p>
        </w:tc>
        <w:tc>
          <w:tcPr>
            <w:tcW w:w="7736" w:type="dxa"/>
            <w:gridSpan w:val="6"/>
            <w:vAlign w:val="center"/>
            <w:hideMark/>
          </w:tcPr>
          <w:p w14:paraId="6783CDD8" w14:textId="0C148BD6" w:rsidR="00956835" w:rsidRPr="00472ED3" w:rsidRDefault="00956835" w:rsidP="00F36268">
            <w:pPr>
              <w:rPr>
                <w:rFonts w:ascii="Arial Narrow" w:hAnsi="Arial Narrow"/>
                <w:sz w:val="20"/>
                <w:szCs w:val="20"/>
              </w:rPr>
            </w:pPr>
            <w:r w:rsidRPr="00472ED3">
              <w:rPr>
                <w:rFonts w:ascii="Arial Narrow" w:hAnsi="Arial Narrow"/>
                <w:b/>
                <w:bCs/>
                <w:sz w:val="20"/>
                <w:szCs w:val="20"/>
              </w:rPr>
              <w:t>Treatment Phase:</w:t>
            </w:r>
            <w:r w:rsidRPr="00472ED3">
              <w:rPr>
                <w:rFonts w:ascii="Arial Narrow" w:hAnsi="Arial Narrow"/>
                <w:sz w:val="20"/>
                <w:szCs w:val="20"/>
              </w:rPr>
              <w:t xml:space="preserve"> Transitioning from non</w:t>
            </w:r>
            <w:r w:rsidR="00B571FA">
              <w:rPr>
                <w:rFonts w:ascii="Arial Narrow" w:hAnsi="Arial Narrow"/>
                <w:sz w:val="20"/>
                <w:szCs w:val="20"/>
              </w:rPr>
              <w:noBreakHyphen/>
            </w:r>
            <w:r w:rsidRPr="00472ED3">
              <w:rPr>
                <w:rFonts w:ascii="Arial Narrow" w:hAnsi="Arial Narrow"/>
                <w:sz w:val="20"/>
                <w:szCs w:val="20"/>
              </w:rPr>
              <w:t>PBS to PBS</w:t>
            </w:r>
            <w:r w:rsidR="00B571FA">
              <w:rPr>
                <w:rFonts w:ascii="Arial Narrow" w:hAnsi="Arial Narrow"/>
                <w:sz w:val="20"/>
                <w:szCs w:val="20"/>
              </w:rPr>
              <w:noBreakHyphen/>
            </w:r>
            <w:r w:rsidRPr="00472ED3">
              <w:rPr>
                <w:rFonts w:ascii="Arial Narrow" w:hAnsi="Arial Narrow"/>
                <w:sz w:val="20"/>
                <w:szCs w:val="20"/>
              </w:rPr>
              <w:t xml:space="preserve">subsidised treatment </w:t>
            </w:r>
            <w:r w:rsidR="00B571FA">
              <w:rPr>
                <w:rFonts w:ascii="Arial Narrow" w:hAnsi="Arial Narrow"/>
                <w:sz w:val="20"/>
                <w:szCs w:val="20"/>
              </w:rPr>
              <w:noBreakHyphen/>
            </w:r>
            <w:r w:rsidRPr="00472ED3">
              <w:rPr>
                <w:rFonts w:ascii="Arial Narrow" w:hAnsi="Arial Narrow"/>
                <w:sz w:val="20"/>
                <w:szCs w:val="20"/>
              </w:rPr>
              <w:t xml:space="preserve"> Grandfather arrangements</w:t>
            </w:r>
          </w:p>
        </w:tc>
      </w:tr>
      <w:tr w:rsidR="00956835" w:rsidRPr="00472ED3" w14:paraId="4E08E62E" w14:textId="77777777">
        <w:tblPrEx>
          <w:tblCellMar>
            <w:top w:w="15" w:type="dxa"/>
            <w:bottom w:w="15" w:type="dxa"/>
          </w:tblCellMar>
          <w:tblLook w:val="04A0" w:firstRow="1" w:lastRow="0" w:firstColumn="1" w:lastColumn="0" w:noHBand="0" w:noVBand="1"/>
        </w:tblPrEx>
        <w:trPr>
          <w:cantSplit/>
          <w:trHeight w:val="20"/>
        </w:trPr>
        <w:tc>
          <w:tcPr>
            <w:tcW w:w="1280" w:type="dxa"/>
            <w:gridSpan w:val="2"/>
            <w:vAlign w:val="center"/>
          </w:tcPr>
          <w:p w14:paraId="3CE0E4E0" w14:textId="77777777" w:rsidR="00956835" w:rsidRPr="00472ED3" w:rsidRDefault="00956835" w:rsidP="00F36268">
            <w:pPr>
              <w:jc w:val="center"/>
              <w:rPr>
                <w:rFonts w:ascii="Arial Narrow" w:hAnsi="Arial Narrow"/>
                <w:sz w:val="20"/>
                <w:szCs w:val="20"/>
              </w:rPr>
            </w:pPr>
          </w:p>
        </w:tc>
        <w:tc>
          <w:tcPr>
            <w:tcW w:w="7736" w:type="dxa"/>
            <w:gridSpan w:val="6"/>
            <w:vAlign w:val="center"/>
          </w:tcPr>
          <w:p w14:paraId="1AB933E7" w14:textId="77777777" w:rsidR="00956835" w:rsidRPr="00472ED3" w:rsidRDefault="00956835" w:rsidP="00F36268">
            <w:pPr>
              <w:rPr>
                <w:rFonts w:ascii="Arial Narrow" w:hAnsi="Arial Narrow"/>
                <w:b/>
                <w:bCs/>
                <w:sz w:val="20"/>
                <w:szCs w:val="20"/>
              </w:rPr>
            </w:pPr>
            <w:r w:rsidRPr="00472ED3">
              <w:rPr>
                <w:rFonts w:ascii="Arial Narrow" w:hAnsi="Arial Narrow"/>
                <w:b/>
                <w:bCs/>
                <w:sz w:val="20"/>
                <w:szCs w:val="20"/>
              </w:rPr>
              <w:t>Clinical criteria:</w:t>
            </w:r>
          </w:p>
        </w:tc>
      </w:tr>
      <w:tr w:rsidR="00956835" w:rsidRPr="00472ED3" w14:paraId="3B8102E2" w14:textId="77777777">
        <w:tblPrEx>
          <w:tblCellMar>
            <w:top w:w="15" w:type="dxa"/>
            <w:bottom w:w="15" w:type="dxa"/>
          </w:tblCellMar>
          <w:tblLook w:val="04A0" w:firstRow="1" w:lastRow="0" w:firstColumn="1" w:lastColumn="0" w:noHBand="0" w:noVBand="1"/>
        </w:tblPrEx>
        <w:trPr>
          <w:cantSplit/>
          <w:trHeight w:val="20"/>
        </w:trPr>
        <w:tc>
          <w:tcPr>
            <w:tcW w:w="1280" w:type="dxa"/>
            <w:gridSpan w:val="2"/>
            <w:vAlign w:val="center"/>
          </w:tcPr>
          <w:p w14:paraId="46735491" w14:textId="54DC23B0" w:rsidR="00956835" w:rsidRPr="00472ED3" w:rsidRDefault="00956835" w:rsidP="00F36268">
            <w:pPr>
              <w:jc w:val="center"/>
              <w:rPr>
                <w:rFonts w:ascii="Arial Narrow" w:hAnsi="Arial Narrow"/>
                <w:sz w:val="20"/>
                <w:szCs w:val="20"/>
              </w:rPr>
            </w:pPr>
          </w:p>
        </w:tc>
        <w:tc>
          <w:tcPr>
            <w:tcW w:w="7736" w:type="dxa"/>
            <w:gridSpan w:val="6"/>
            <w:vAlign w:val="center"/>
          </w:tcPr>
          <w:p w14:paraId="5180210E" w14:textId="2BAE6B68" w:rsidR="00956835" w:rsidRPr="00472ED3" w:rsidRDefault="00956835" w:rsidP="00F36268">
            <w:pPr>
              <w:rPr>
                <w:rFonts w:ascii="Arial Narrow" w:hAnsi="Arial Narrow"/>
                <w:sz w:val="20"/>
                <w:szCs w:val="20"/>
              </w:rPr>
            </w:pPr>
            <w:r w:rsidRPr="5594184A">
              <w:rPr>
                <w:rFonts w:ascii="Arial Narrow" w:hAnsi="Arial Narrow"/>
                <w:sz w:val="20"/>
                <w:szCs w:val="20"/>
              </w:rPr>
              <w:t>Patient must have received non</w:t>
            </w:r>
            <w:r w:rsidR="00B571FA">
              <w:rPr>
                <w:rFonts w:ascii="Arial Narrow" w:hAnsi="Arial Narrow"/>
                <w:sz w:val="20"/>
                <w:szCs w:val="20"/>
              </w:rPr>
              <w:noBreakHyphen/>
            </w:r>
            <w:r w:rsidRPr="5594184A">
              <w:rPr>
                <w:rFonts w:ascii="Arial Narrow" w:hAnsi="Arial Narrow"/>
                <w:sz w:val="20"/>
                <w:szCs w:val="20"/>
              </w:rPr>
              <w:t>PBS</w:t>
            </w:r>
            <w:r w:rsidR="00B571FA">
              <w:rPr>
                <w:rFonts w:ascii="Arial Narrow" w:hAnsi="Arial Narrow"/>
                <w:sz w:val="20"/>
                <w:szCs w:val="20"/>
              </w:rPr>
              <w:noBreakHyphen/>
            </w:r>
            <w:r w:rsidRPr="5594184A">
              <w:rPr>
                <w:rFonts w:ascii="Arial Narrow" w:hAnsi="Arial Narrow"/>
                <w:sz w:val="20"/>
                <w:szCs w:val="20"/>
              </w:rPr>
              <w:t>subsidised treatment with this drug for this condition prior to [date of listing],</w:t>
            </w:r>
          </w:p>
        </w:tc>
      </w:tr>
      <w:tr w:rsidR="00956835" w:rsidRPr="00472ED3" w14:paraId="59E55687" w14:textId="77777777">
        <w:tblPrEx>
          <w:tblCellMar>
            <w:top w:w="15" w:type="dxa"/>
            <w:bottom w:w="15" w:type="dxa"/>
          </w:tblCellMar>
          <w:tblLook w:val="04A0" w:firstRow="1" w:lastRow="0" w:firstColumn="1" w:lastColumn="0" w:noHBand="0" w:noVBand="1"/>
        </w:tblPrEx>
        <w:trPr>
          <w:cantSplit/>
          <w:trHeight w:val="20"/>
        </w:trPr>
        <w:tc>
          <w:tcPr>
            <w:tcW w:w="1280" w:type="dxa"/>
            <w:gridSpan w:val="2"/>
            <w:vAlign w:val="center"/>
          </w:tcPr>
          <w:p w14:paraId="5F58680C" w14:textId="77777777" w:rsidR="00956835" w:rsidRPr="00472ED3" w:rsidRDefault="00956835" w:rsidP="00F36268">
            <w:pPr>
              <w:jc w:val="center"/>
              <w:rPr>
                <w:rFonts w:ascii="Arial Narrow" w:hAnsi="Arial Narrow"/>
                <w:sz w:val="20"/>
                <w:szCs w:val="20"/>
              </w:rPr>
            </w:pPr>
          </w:p>
        </w:tc>
        <w:tc>
          <w:tcPr>
            <w:tcW w:w="7736" w:type="dxa"/>
            <w:gridSpan w:val="6"/>
            <w:vAlign w:val="center"/>
          </w:tcPr>
          <w:p w14:paraId="5D9C8D4B" w14:textId="77777777" w:rsidR="00956835" w:rsidRPr="00472ED3" w:rsidRDefault="00956835" w:rsidP="00F36268">
            <w:pPr>
              <w:rPr>
                <w:rFonts w:ascii="Arial Narrow" w:hAnsi="Arial Narrow"/>
                <w:sz w:val="20"/>
                <w:szCs w:val="20"/>
              </w:rPr>
            </w:pPr>
            <w:r w:rsidRPr="00472ED3">
              <w:rPr>
                <w:rFonts w:ascii="Arial Narrow" w:hAnsi="Arial Narrow"/>
                <w:b/>
                <w:bCs/>
                <w:sz w:val="20"/>
                <w:szCs w:val="20"/>
              </w:rPr>
              <w:t>AND</w:t>
            </w:r>
          </w:p>
        </w:tc>
      </w:tr>
      <w:tr w:rsidR="00956835" w:rsidRPr="00472ED3" w14:paraId="63FDED77" w14:textId="77777777">
        <w:tblPrEx>
          <w:tblCellMar>
            <w:top w:w="15" w:type="dxa"/>
            <w:bottom w:w="15" w:type="dxa"/>
          </w:tblCellMar>
          <w:tblLook w:val="04A0" w:firstRow="1" w:lastRow="0" w:firstColumn="1" w:lastColumn="0" w:noHBand="0" w:noVBand="1"/>
        </w:tblPrEx>
        <w:trPr>
          <w:cantSplit/>
          <w:trHeight w:val="20"/>
        </w:trPr>
        <w:tc>
          <w:tcPr>
            <w:tcW w:w="1280" w:type="dxa"/>
            <w:gridSpan w:val="2"/>
            <w:vAlign w:val="center"/>
          </w:tcPr>
          <w:p w14:paraId="4E35628B" w14:textId="77777777" w:rsidR="00956835" w:rsidRPr="00472ED3" w:rsidRDefault="00956835" w:rsidP="00F36268">
            <w:pPr>
              <w:jc w:val="center"/>
              <w:rPr>
                <w:rFonts w:ascii="Arial Narrow" w:hAnsi="Arial Narrow"/>
                <w:sz w:val="20"/>
                <w:szCs w:val="20"/>
              </w:rPr>
            </w:pPr>
          </w:p>
        </w:tc>
        <w:tc>
          <w:tcPr>
            <w:tcW w:w="7736" w:type="dxa"/>
            <w:gridSpan w:val="6"/>
            <w:vAlign w:val="center"/>
          </w:tcPr>
          <w:p w14:paraId="71123EBE" w14:textId="77777777" w:rsidR="00956835" w:rsidRPr="00472ED3" w:rsidRDefault="00956835" w:rsidP="00F36268">
            <w:pPr>
              <w:rPr>
                <w:rFonts w:ascii="Arial Narrow" w:hAnsi="Arial Narrow"/>
                <w:sz w:val="20"/>
                <w:szCs w:val="20"/>
              </w:rPr>
            </w:pPr>
            <w:r w:rsidRPr="00472ED3">
              <w:rPr>
                <w:rFonts w:ascii="Arial Narrow" w:hAnsi="Arial Narrow"/>
                <w:b/>
                <w:bCs/>
                <w:sz w:val="20"/>
                <w:szCs w:val="20"/>
              </w:rPr>
              <w:t>Clinical criteria:</w:t>
            </w:r>
          </w:p>
        </w:tc>
      </w:tr>
      <w:tr w:rsidR="00956835" w:rsidRPr="00472ED3" w14:paraId="1D3D1B76" w14:textId="77777777">
        <w:tblPrEx>
          <w:tblCellMar>
            <w:top w:w="15" w:type="dxa"/>
            <w:bottom w:w="15" w:type="dxa"/>
          </w:tblCellMar>
          <w:tblLook w:val="04A0" w:firstRow="1" w:lastRow="0" w:firstColumn="1" w:lastColumn="0" w:noHBand="0" w:noVBand="1"/>
        </w:tblPrEx>
        <w:trPr>
          <w:cantSplit/>
          <w:trHeight w:val="20"/>
        </w:trPr>
        <w:tc>
          <w:tcPr>
            <w:tcW w:w="1280" w:type="dxa"/>
            <w:gridSpan w:val="2"/>
            <w:vAlign w:val="center"/>
          </w:tcPr>
          <w:p w14:paraId="1F8BE48B" w14:textId="1C520AA1" w:rsidR="00956835" w:rsidRPr="00472ED3" w:rsidRDefault="00956835" w:rsidP="00F36268">
            <w:pPr>
              <w:jc w:val="center"/>
              <w:rPr>
                <w:rFonts w:ascii="Arial Narrow" w:hAnsi="Arial Narrow"/>
                <w:sz w:val="20"/>
                <w:szCs w:val="20"/>
              </w:rPr>
            </w:pPr>
          </w:p>
        </w:tc>
        <w:tc>
          <w:tcPr>
            <w:tcW w:w="7736" w:type="dxa"/>
            <w:gridSpan w:val="6"/>
            <w:vAlign w:val="center"/>
          </w:tcPr>
          <w:p w14:paraId="54CB7B11" w14:textId="77777777" w:rsidR="00956835" w:rsidRPr="00472ED3" w:rsidRDefault="00956835" w:rsidP="00F36268">
            <w:pPr>
              <w:rPr>
                <w:rFonts w:ascii="Arial Narrow" w:hAnsi="Arial Narrow"/>
                <w:sz w:val="20"/>
                <w:szCs w:val="20"/>
              </w:rPr>
            </w:pPr>
            <w:r w:rsidRPr="00472ED3">
              <w:rPr>
                <w:rFonts w:ascii="Arial Narrow" w:hAnsi="Arial Narrow"/>
                <w:sz w:val="20"/>
                <w:szCs w:val="20"/>
              </w:rPr>
              <w:t>Patient must have a World Health Organisation (WHO) Grade 2 astrocytoma or oligodendroglioma</w:t>
            </w:r>
          </w:p>
        </w:tc>
      </w:tr>
      <w:tr w:rsidR="00956835" w:rsidRPr="00472ED3" w14:paraId="3EB8B61E" w14:textId="77777777">
        <w:tblPrEx>
          <w:tblCellMar>
            <w:top w:w="15" w:type="dxa"/>
            <w:bottom w:w="15" w:type="dxa"/>
          </w:tblCellMar>
          <w:tblLook w:val="04A0" w:firstRow="1" w:lastRow="0" w:firstColumn="1" w:lastColumn="0" w:noHBand="0" w:noVBand="1"/>
        </w:tblPrEx>
        <w:trPr>
          <w:cantSplit/>
          <w:trHeight w:val="20"/>
        </w:trPr>
        <w:tc>
          <w:tcPr>
            <w:tcW w:w="1280" w:type="dxa"/>
            <w:gridSpan w:val="2"/>
            <w:vAlign w:val="center"/>
          </w:tcPr>
          <w:p w14:paraId="4C534101" w14:textId="77777777" w:rsidR="00956835" w:rsidRPr="00472ED3" w:rsidRDefault="00956835" w:rsidP="00F36268">
            <w:pPr>
              <w:jc w:val="center"/>
              <w:rPr>
                <w:rFonts w:ascii="Arial Narrow" w:hAnsi="Arial Narrow"/>
                <w:sz w:val="20"/>
                <w:szCs w:val="20"/>
              </w:rPr>
            </w:pPr>
          </w:p>
        </w:tc>
        <w:tc>
          <w:tcPr>
            <w:tcW w:w="7736" w:type="dxa"/>
            <w:gridSpan w:val="6"/>
            <w:vAlign w:val="center"/>
          </w:tcPr>
          <w:p w14:paraId="30F1939D" w14:textId="77777777" w:rsidR="00956835" w:rsidRPr="00472ED3" w:rsidRDefault="00956835" w:rsidP="00F36268">
            <w:pPr>
              <w:rPr>
                <w:rFonts w:ascii="Arial Narrow" w:hAnsi="Arial Narrow"/>
                <w:sz w:val="20"/>
                <w:szCs w:val="20"/>
              </w:rPr>
            </w:pPr>
            <w:r w:rsidRPr="00472ED3">
              <w:rPr>
                <w:rFonts w:ascii="Arial Narrow" w:hAnsi="Arial Narrow"/>
                <w:b/>
                <w:bCs/>
                <w:sz w:val="20"/>
                <w:szCs w:val="20"/>
              </w:rPr>
              <w:t>AND</w:t>
            </w:r>
          </w:p>
        </w:tc>
      </w:tr>
      <w:tr w:rsidR="00956835" w:rsidRPr="00472ED3" w14:paraId="1BE9E2EC" w14:textId="77777777">
        <w:tblPrEx>
          <w:tblCellMar>
            <w:top w:w="15" w:type="dxa"/>
            <w:bottom w:w="15" w:type="dxa"/>
          </w:tblCellMar>
          <w:tblLook w:val="04A0" w:firstRow="1" w:lastRow="0" w:firstColumn="1" w:lastColumn="0" w:noHBand="0" w:noVBand="1"/>
        </w:tblPrEx>
        <w:trPr>
          <w:cantSplit/>
          <w:trHeight w:val="20"/>
        </w:trPr>
        <w:tc>
          <w:tcPr>
            <w:tcW w:w="1280" w:type="dxa"/>
            <w:gridSpan w:val="2"/>
            <w:vAlign w:val="center"/>
          </w:tcPr>
          <w:p w14:paraId="4F2F6CB2" w14:textId="77777777" w:rsidR="00956835" w:rsidRPr="00472ED3" w:rsidRDefault="00956835" w:rsidP="00F36268">
            <w:pPr>
              <w:jc w:val="center"/>
              <w:rPr>
                <w:rFonts w:ascii="Arial Narrow" w:hAnsi="Arial Narrow"/>
                <w:sz w:val="20"/>
                <w:szCs w:val="20"/>
              </w:rPr>
            </w:pPr>
          </w:p>
        </w:tc>
        <w:tc>
          <w:tcPr>
            <w:tcW w:w="7736" w:type="dxa"/>
            <w:gridSpan w:val="6"/>
            <w:vAlign w:val="center"/>
          </w:tcPr>
          <w:p w14:paraId="6969D3A9" w14:textId="77777777" w:rsidR="00956835" w:rsidRPr="00472ED3" w:rsidRDefault="00956835" w:rsidP="00F36268">
            <w:pPr>
              <w:rPr>
                <w:rFonts w:ascii="Arial Narrow" w:hAnsi="Arial Narrow"/>
                <w:sz w:val="20"/>
                <w:szCs w:val="20"/>
              </w:rPr>
            </w:pPr>
            <w:r w:rsidRPr="00472ED3">
              <w:rPr>
                <w:rFonts w:ascii="Arial Narrow" w:hAnsi="Arial Narrow"/>
                <w:b/>
                <w:bCs/>
                <w:sz w:val="20"/>
                <w:szCs w:val="20"/>
              </w:rPr>
              <w:t>Clinical criteria:</w:t>
            </w:r>
          </w:p>
        </w:tc>
      </w:tr>
      <w:tr w:rsidR="00956835" w:rsidRPr="00472ED3" w14:paraId="536EA897" w14:textId="77777777">
        <w:tblPrEx>
          <w:tblCellMar>
            <w:top w:w="15" w:type="dxa"/>
            <w:bottom w:w="15" w:type="dxa"/>
          </w:tblCellMar>
          <w:tblLook w:val="04A0" w:firstRow="1" w:lastRow="0" w:firstColumn="1" w:lastColumn="0" w:noHBand="0" w:noVBand="1"/>
        </w:tblPrEx>
        <w:trPr>
          <w:cantSplit/>
          <w:trHeight w:val="20"/>
        </w:trPr>
        <w:tc>
          <w:tcPr>
            <w:tcW w:w="1280" w:type="dxa"/>
            <w:gridSpan w:val="2"/>
            <w:vAlign w:val="center"/>
          </w:tcPr>
          <w:p w14:paraId="76B33A1E" w14:textId="21BF7D72" w:rsidR="00956835" w:rsidRPr="00472ED3" w:rsidRDefault="00956835" w:rsidP="00F36268">
            <w:pPr>
              <w:jc w:val="center"/>
              <w:rPr>
                <w:rFonts w:ascii="Arial Narrow" w:hAnsi="Arial Narrow"/>
                <w:sz w:val="20"/>
                <w:szCs w:val="20"/>
              </w:rPr>
            </w:pPr>
          </w:p>
        </w:tc>
        <w:tc>
          <w:tcPr>
            <w:tcW w:w="7736" w:type="dxa"/>
            <w:gridSpan w:val="6"/>
            <w:vAlign w:val="center"/>
          </w:tcPr>
          <w:p w14:paraId="54C98E8D" w14:textId="74E970C8" w:rsidR="00956835" w:rsidRPr="00472ED3" w:rsidRDefault="00956835" w:rsidP="00F36268">
            <w:pPr>
              <w:rPr>
                <w:rFonts w:ascii="Arial Narrow" w:hAnsi="Arial Narrow"/>
                <w:sz w:val="20"/>
                <w:szCs w:val="20"/>
              </w:rPr>
            </w:pPr>
            <w:r w:rsidRPr="00472ED3">
              <w:rPr>
                <w:rFonts w:ascii="Arial Narrow" w:hAnsi="Arial Narrow"/>
                <w:sz w:val="20"/>
                <w:szCs w:val="20"/>
              </w:rPr>
              <w:t>Patient must have had a susceptible isocitrate dehydrogenase</w:t>
            </w:r>
            <w:r w:rsidR="00B571FA">
              <w:rPr>
                <w:rFonts w:ascii="Arial Narrow" w:hAnsi="Arial Narrow"/>
                <w:sz w:val="20"/>
                <w:szCs w:val="20"/>
              </w:rPr>
              <w:noBreakHyphen/>
            </w:r>
            <w:r w:rsidRPr="00472ED3">
              <w:rPr>
                <w:rFonts w:ascii="Arial Narrow" w:hAnsi="Arial Narrow"/>
                <w:sz w:val="20"/>
                <w:szCs w:val="20"/>
              </w:rPr>
              <w:t>1 (IDH1) mutation or isocitrate dehydrogenase</w:t>
            </w:r>
            <w:r w:rsidR="00B571FA">
              <w:rPr>
                <w:rFonts w:ascii="Arial Narrow" w:hAnsi="Arial Narrow"/>
                <w:sz w:val="20"/>
                <w:szCs w:val="20"/>
              </w:rPr>
              <w:noBreakHyphen/>
            </w:r>
            <w:r w:rsidRPr="00472ED3">
              <w:rPr>
                <w:rFonts w:ascii="Arial Narrow" w:hAnsi="Arial Narrow"/>
                <w:sz w:val="20"/>
                <w:szCs w:val="20"/>
              </w:rPr>
              <w:t>2 (IDH2) mutation at the time of initiation of non</w:t>
            </w:r>
            <w:r w:rsidR="00B571FA">
              <w:rPr>
                <w:rFonts w:ascii="Arial Narrow" w:hAnsi="Arial Narrow"/>
                <w:sz w:val="20"/>
                <w:szCs w:val="20"/>
              </w:rPr>
              <w:noBreakHyphen/>
            </w:r>
            <w:r w:rsidRPr="00472ED3">
              <w:rPr>
                <w:rFonts w:ascii="Arial Narrow" w:hAnsi="Arial Narrow"/>
                <w:sz w:val="20"/>
                <w:szCs w:val="20"/>
              </w:rPr>
              <w:t>PBS</w:t>
            </w:r>
            <w:r w:rsidR="00B571FA">
              <w:rPr>
                <w:rFonts w:ascii="Arial Narrow" w:hAnsi="Arial Narrow"/>
                <w:sz w:val="20"/>
                <w:szCs w:val="20"/>
              </w:rPr>
              <w:noBreakHyphen/>
            </w:r>
            <w:r w:rsidRPr="00472ED3">
              <w:rPr>
                <w:rFonts w:ascii="Arial Narrow" w:hAnsi="Arial Narrow"/>
                <w:sz w:val="20"/>
                <w:szCs w:val="20"/>
              </w:rPr>
              <w:t>subsidised treatment with this drug,</w:t>
            </w:r>
          </w:p>
        </w:tc>
      </w:tr>
      <w:tr w:rsidR="00956835" w:rsidRPr="00472ED3" w14:paraId="3474F095" w14:textId="77777777">
        <w:tblPrEx>
          <w:tblCellMar>
            <w:top w:w="15" w:type="dxa"/>
            <w:bottom w:w="15" w:type="dxa"/>
          </w:tblCellMar>
          <w:tblLook w:val="04A0" w:firstRow="1" w:lastRow="0" w:firstColumn="1" w:lastColumn="0" w:noHBand="0" w:noVBand="1"/>
        </w:tblPrEx>
        <w:trPr>
          <w:cantSplit/>
          <w:trHeight w:val="20"/>
        </w:trPr>
        <w:tc>
          <w:tcPr>
            <w:tcW w:w="1280" w:type="dxa"/>
            <w:gridSpan w:val="2"/>
            <w:vAlign w:val="center"/>
          </w:tcPr>
          <w:p w14:paraId="57467BE0" w14:textId="77777777" w:rsidR="00956835" w:rsidRPr="00472ED3" w:rsidRDefault="00956835" w:rsidP="00F36268">
            <w:pPr>
              <w:jc w:val="center"/>
              <w:rPr>
                <w:rFonts w:ascii="Arial Narrow" w:hAnsi="Arial Narrow"/>
                <w:sz w:val="20"/>
                <w:szCs w:val="20"/>
              </w:rPr>
            </w:pPr>
          </w:p>
        </w:tc>
        <w:tc>
          <w:tcPr>
            <w:tcW w:w="7736" w:type="dxa"/>
            <w:gridSpan w:val="6"/>
            <w:vAlign w:val="center"/>
          </w:tcPr>
          <w:p w14:paraId="460B241B" w14:textId="77777777" w:rsidR="00956835" w:rsidRPr="00472ED3" w:rsidRDefault="00956835" w:rsidP="00F36268">
            <w:pPr>
              <w:rPr>
                <w:rFonts w:ascii="Arial Narrow" w:hAnsi="Arial Narrow"/>
                <w:sz w:val="20"/>
                <w:szCs w:val="20"/>
              </w:rPr>
            </w:pPr>
            <w:r w:rsidRPr="00472ED3">
              <w:rPr>
                <w:rFonts w:ascii="Arial Narrow" w:hAnsi="Arial Narrow"/>
                <w:b/>
                <w:bCs/>
                <w:sz w:val="20"/>
                <w:szCs w:val="20"/>
              </w:rPr>
              <w:t>AND</w:t>
            </w:r>
          </w:p>
        </w:tc>
      </w:tr>
      <w:tr w:rsidR="00956835" w:rsidRPr="00472ED3" w14:paraId="3C3FE34F" w14:textId="77777777">
        <w:tblPrEx>
          <w:tblCellMar>
            <w:top w:w="15" w:type="dxa"/>
            <w:bottom w:w="15" w:type="dxa"/>
          </w:tblCellMar>
          <w:tblLook w:val="04A0" w:firstRow="1" w:lastRow="0" w:firstColumn="1" w:lastColumn="0" w:noHBand="0" w:noVBand="1"/>
        </w:tblPrEx>
        <w:trPr>
          <w:cantSplit/>
          <w:trHeight w:val="20"/>
        </w:trPr>
        <w:tc>
          <w:tcPr>
            <w:tcW w:w="1280" w:type="dxa"/>
            <w:gridSpan w:val="2"/>
            <w:vAlign w:val="center"/>
          </w:tcPr>
          <w:p w14:paraId="053E56A1" w14:textId="77777777" w:rsidR="00956835" w:rsidRPr="00472ED3" w:rsidRDefault="00956835" w:rsidP="00F36268">
            <w:pPr>
              <w:jc w:val="center"/>
              <w:rPr>
                <w:rFonts w:ascii="Arial Narrow" w:hAnsi="Arial Narrow"/>
                <w:sz w:val="20"/>
                <w:szCs w:val="20"/>
              </w:rPr>
            </w:pPr>
          </w:p>
        </w:tc>
        <w:tc>
          <w:tcPr>
            <w:tcW w:w="7736" w:type="dxa"/>
            <w:gridSpan w:val="6"/>
            <w:vAlign w:val="center"/>
          </w:tcPr>
          <w:p w14:paraId="438E1171" w14:textId="77777777" w:rsidR="00956835" w:rsidRPr="00472ED3" w:rsidRDefault="00956835" w:rsidP="00F36268">
            <w:pPr>
              <w:rPr>
                <w:rFonts w:ascii="Arial Narrow" w:hAnsi="Arial Narrow"/>
                <w:sz w:val="20"/>
                <w:szCs w:val="20"/>
              </w:rPr>
            </w:pPr>
            <w:r w:rsidRPr="00472ED3">
              <w:rPr>
                <w:rFonts w:ascii="Arial Narrow" w:hAnsi="Arial Narrow"/>
                <w:b/>
                <w:bCs/>
                <w:sz w:val="20"/>
                <w:szCs w:val="20"/>
              </w:rPr>
              <w:t>Clinical criteria:</w:t>
            </w:r>
          </w:p>
        </w:tc>
      </w:tr>
      <w:tr w:rsidR="00956835" w:rsidRPr="00472ED3" w14:paraId="248576D8" w14:textId="77777777">
        <w:tblPrEx>
          <w:tblCellMar>
            <w:top w:w="15" w:type="dxa"/>
            <w:bottom w:w="15" w:type="dxa"/>
          </w:tblCellMar>
          <w:tblLook w:val="04A0" w:firstRow="1" w:lastRow="0" w:firstColumn="1" w:lastColumn="0" w:noHBand="0" w:noVBand="1"/>
        </w:tblPrEx>
        <w:trPr>
          <w:cantSplit/>
          <w:trHeight w:val="20"/>
        </w:trPr>
        <w:tc>
          <w:tcPr>
            <w:tcW w:w="1280" w:type="dxa"/>
            <w:gridSpan w:val="2"/>
            <w:vAlign w:val="center"/>
          </w:tcPr>
          <w:p w14:paraId="7A001D92" w14:textId="0DCF30F8" w:rsidR="00956835" w:rsidRPr="00472ED3" w:rsidRDefault="00956835" w:rsidP="00F36268">
            <w:pPr>
              <w:jc w:val="center"/>
              <w:rPr>
                <w:rFonts w:ascii="Arial Narrow" w:hAnsi="Arial Narrow"/>
                <w:sz w:val="20"/>
                <w:szCs w:val="20"/>
              </w:rPr>
            </w:pPr>
          </w:p>
        </w:tc>
        <w:tc>
          <w:tcPr>
            <w:tcW w:w="7736" w:type="dxa"/>
            <w:gridSpan w:val="6"/>
            <w:vAlign w:val="center"/>
          </w:tcPr>
          <w:p w14:paraId="717B5C01" w14:textId="0AC43201" w:rsidR="00956835" w:rsidRPr="00472ED3" w:rsidRDefault="00956835" w:rsidP="00F36268">
            <w:pPr>
              <w:rPr>
                <w:rFonts w:ascii="Arial Narrow" w:hAnsi="Arial Narrow"/>
                <w:sz w:val="20"/>
                <w:szCs w:val="20"/>
              </w:rPr>
            </w:pPr>
            <w:r w:rsidRPr="5594184A">
              <w:rPr>
                <w:rFonts w:ascii="Arial Narrow" w:hAnsi="Arial Narrow"/>
                <w:sz w:val="20"/>
                <w:szCs w:val="20"/>
              </w:rPr>
              <w:t>Patient must have had an Eastern Cooperative Oncology Group (ECOG) performance status score of 1 or less at the time of initiation of non</w:t>
            </w:r>
            <w:r w:rsidR="00B571FA">
              <w:rPr>
                <w:rFonts w:ascii="Arial Narrow" w:hAnsi="Arial Narrow"/>
                <w:sz w:val="20"/>
                <w:szCs w:val="20"/>
              </w:rPr>
              <w:noBreakHyphen/>
            </w:r>
            <w:r w:rsidRPr="5594184A">
              <w:rPr>
                <w:rFonts w:ascii="Arial Narrow" w:hAnsi="Arial Narrow"/>
                <w:sz w:val="20"/>
                <w:szCs w:val="20"/>
              </w:rPr>
              <w:t>PBS subsidised treatment with this drug,</w:t>
            </w:r>
          </w:p>
        </w:tc>
      </w:tr>
      <w:tr w:rsidR="00956835" w:rsidRPr="00472ED3" w14:paraId="2AC7DF4D" w14:textId="77777777">
        <w:tblPrEx>
          <w:tblCellMar>
            <w:top w:w="15" w:type="dxa"/>
            <w:bottom w:w="15" w:type="dxa"/>
          </w:tblCellMar>
          <w:tblLook w:val="04A0" w:firstRow="1" w:lastRow="0" w:firstColumn="1" w:lastColumn="0" w:noHBand="0" w:noVBand="1"/>
        </w:tblPrEx>
        <w:trPr>
          <w:cantSplit/>
          <w:trHeight w:val="20"/>
        </w:trPr>
        <w:tc>
          <w:tcPr>
            <w:tcW w:w="1280" w:type="dxa"/>
            <w:gridSpan w:val="2"/>
            <w:vAlign w:val="center"/>
          </w:tcPr>
          <w:p w14:paraId="2F2D0646" w14:textId="77777777" w:rsidR="00956835" w:rsidRPr="00472ED3" w:rsidRDefault="00956835" w:rsidP="00F36268">
            <w:pPr>
              <w:jc w:val="center"/>
              <w:rPr>
                <w:rFonts w:ascii="Arial Narrow" w:hAnsi="Arial Narrow"/>
                <w:sz w:val="20"/>
                <w:szCs w:val="20"/>
              </w:rPr>
            </w:pPr>
          </w:p>
        </w:tc>
        <w:tc>
          <w:tcPr>
            <w:tcW w:w="7736" w:type="dxa"/>
            <w:gridSpan w:val="6"/>
            <w:vAlign w:val="center"/>
          </w:tcPr>
          <w:p w14:paraId="6D56820B" w14:textId="77777777" w:rsidR="00956835" w:rsidRPr="00472ED3" w:rsidRDefault="00956835" w:rsidP="00F36268">
            <w:pPr>
              <w:rPr>
                <w:rFonts w:ascii="Arial Narrow" w:hAnsi="Arial Narrow"/>
                <w:sz w:val="20"/>
                <w:szCs w:val="20"/>
              </w:rPr>
            </w:pPr>
            <w:r w:rsidRPr="00472ED3">
              <w:rPr>
                <w:rFonts w:ascii="Arial Narrow" w:hAnsi="Arial Narrow"/>
                <w:b/>
                <w:bCs/>
                <w:sz w:val="20"/>
                <w:szCs w:val="20"/>
              </w:rPr>
              <w:t>AND</w:t>
            </w:r>
          </w:p>
        </w:tc>
      </w:tr>
      <w:tr w:rsidR="00956835" w:rsidRPr="00472ED3" w14:paraId="47F81C0E" w14:textId="77777777">
        <w:tblPrEx>
          <w:tblCellMar>
            <w:top w:w="15" w:type="dxa"/>
            <w:bottom w:w="15" w:type="dxa"/>
          </w:tblCellMar>
          <w:tblLook w:val="04A0" w:firstRow="1" w:lastRow="0" w:firstColumn="1" w:lastColumn="0" w:noHBand="0" w:noVBand="1"/>
        </w:tblPrEx>
        <w:trPr>
          <w:cantSplit/>
          <w:trHeight w:val="20"/>
        </w:trPr>
        <w:tc>
          <w:tcPr>
            <w:tcW w:w="1280" w:type="dxa"/>
            <w:gridSpan w:val="2"/>
            <w:vAlign w:val="center"/>
          </w:tcPr>
          <w:p w14:paraId="50CE57D3" w14:textId="77777777" w:rsidR="00956835" w:rsidRPr="00472ED3" w:rsidRDefault="00956835" w:rsidP="00F36268">
            <w:pPr>
              <w:jc w:val="center"/>
              <w:rPr>
                <w:rFonts w:ascii="Arial Narrow" w:hAnsi="Arial Narrow"/>
                <w:sz w:val="20"/>
                <w:szCs w:val="20"/>
              </w:rPr>
            </w:pPr>
          </w:p>
        </w:tc>
        <w:tc>
          <w:tcPr>
            <w:tcW w:w="7736" w:type="dxa"/>
            <w:gridSpan w:val="6"/>
            <w:vAlign w:val="center"/>
          </w:tcPr>
          <w:p w14:paraId="170C251A" w14:textId="77777777" w:rsidR="00956835" w:rsidRPr="00472ED3" w:rsidRDefault="00956835" w:rsidP="00F36268">
            <w:pPr>
              <w:rPr>
                <w:rFonts w:ascii="Arial Narrow" w:hAnsi="Arial Narrow"/>
                <w:sz w:val="20"/>
                <w:szCs w:val="20"/>
              </w:rPr>
            </w:pPr>
            <w:r w:rsidRPr="00472ED3">
              <w:rPr>
                <w:rFonts w:ascii="Arial Narrow" w:hAnsi="Arial Narrow"/>
                <w:b/>
                <w:bCs/>
                <w:sz w:val="20"/>
                <w:szCs w:val="20"/>
              </w:rPr>
              <w:t>Clinical criteria:</w:t>
            </w:r>
          </w:p>
        </w:tc>
      </w:tr>
      <w:tr w:rsidR="00956835" w:rsidRPr="00472ED3" w14:paraId="616D9E47" w14:textId="77777777">
        <w:tblPrEx>
          <w:tblCellMar>
            <w:top w:w="15" w:type="dxa"/>
            <w:bottom w:w="15" w:type="dxa"/>
          </w:tblCellMar>
          <w:tblLook w:val="04A0" w:firstRow="1" w:lastRow="0" w:firstColumn="1" w:lastColumn="0" w:noHBand="0" w:noVBand="1"/>
        </w:tblPrEx>
        <w:trPr>
          <w:cantSplit/>
          <w:trHeight w:val="20"/>
        </w:trPr>
        <w:tc>
          <w:tcPr>
            <w:tcW w:w="1280" w:type="dxa"/>
            <w:gridSpan w:val="2"/>
            <w:vAlign w:val="center"/>
          </w:tcPr>
          <w:p w14:paraId="1459151D" w14:textId="3C8D1628" w:rsidR="00956835" w:rsidRPr="00472ED3" w:rsidRDefault="00956835" w:rsidP="00F36268">
            <w:pPr>
              <w:jc w:val="center"/>
              <w:rPr>
                <w:rFonts w:ascii="Arial Narrow" w:hAnsi="Arial Narrow"/>
                <w:sz w:val="20"/>
                <w:szCs w:val="20"/>
              </w:rPr>
            </w:pPr>
          </w:p>
        </w:tc>
        <w:tc>
          <w:tcPr>
            <w:tcW w:w="7736" w:type="dxa"/>
            <w:gridSpan w:val="6"/>
            <w:vAlign w:val="center"/>
          </w:tcPr>
          <w:p w14:paraId="388BACB6" w14:textId="78E4A09C" w:rsidR="00956835" w:rsidRPr="00472ED3" w:rsidRDefault="00956835" w:rsidP="00F36268">
            <w:pPr>
              <w:rPr>
                <w:rFonts w:ascii="Arial Narrow" w:hAnsi="Arial Narrow"/>
                <w:sz w:val="20"/>
                <w:szCs w:val="20"/>
              </w:rPr>
            </w:pPr>
            <w:r w:rsidRPr="00472ED3">
              <w:rPr>
                <w:rFonts w:ascii="Arial Narrow" w:hAnsi="Arial Narrow"/>
                <w:sz w:val="20"/>
                <w:szCs w:val="20"/>
              </w:rPr>
              <w:t>Patient must have had residual or recurrent disease after at least one prior surgery (biopsy, sub</w:t>
            </w:r>
            <w:r w:rsidR="00B571FA">
              <w:rPr>
                <w:rFonts w:ascii="Arial Narrow" w:hAnsi="Arial Narrow"/>
                <w:sz w:val="20"/>
                <w:szCs w:val="20"/>
              </w:rPr>
              <w:noBreakHyphen/>
            </w:r>
            <w:r w:rsidRPr="00472ED3">
              <w:rPr>
                <w:rFonts w:ascii="Arial Narrow" w:hAnsi="Arial Narrow"/>
                <w:sz w:val="20"/>
                <w:szCs w:val="20"/>
              </w:rPr>
              <w:t>total resection, or gross total resection) for this condition at the time of initiation of non</w:t>
            </w:r>
            <w:r w:rsidR="00B571FA">
              <w:rPr>
                <w:rFonts w:ascii="Arial Narrow" w:hAnsi="Arial Narrow"/>
                <w:sz w:val="20"/>
                <w:szCs w:val="20"/>
              </w:rPr>
              <w:noBreakHyphen/>
            </w:r>
            <w:r w:rsidRPr="00472ED3">
              <w:rPr>
                <w:rFonts w:ascii="Arial Narrow" w:hAnsi="Arial Narrow"/>
                <w:sz w:val="20"/>
                <w:szCs w:val="20"/>
              </w:rPr>
              <w:t>PBS</w:t>
            </w:r>
            <w:r w:rsidR="00B571FA">
              <w:rPr>
                <w:rFonts w:ascii="Arial Narrow" w:hAnsi="Arial Narrow"/>
                <w:sz w:val="20"/>
                <w:szCs w:val="20"/>
              </w:rPr>
              <w:noBreakHyphen/>
            </w:r>
            <w:r w:rsidRPr="00472ED3">
              <w:rPr>
                <w:rFonts w:ascii="Arial Narrow" w:hAnsi="Arial Narrow"/>
                <w:sz w:val="20"/>
                <w:szCs w:val="20"/>
              </w:rPr>
              <w:t>subsidised treatment with this drug for this condition,</w:t>
            </w:r>
          </w:p>
        </w:tc>
      </w:tr>
      <w:tr w:rsidR="00956835" w:rsidRPr="00472ED3" w14:paraId="4C5565AC" w14:textId="77777777">
        <w:tblPrEx>
          <w:tblCellMar>
            <w:top w:w="15" w:type="dxa"/>
            <w:bottom w:w="15" w:type="dxa"/>
          </w:tblCellMar>
          <w:tblLook w:val="04A0" w:firstRow="1" w:lastRow="0" w:firstColumn="1" w:lastColumn="0" w:noHBand="0" w:noVBand="1"/>
        </w:tblPrEx>
        <w:trPr>
          <w:cantSplit/>
          <w:trHeight w:val="20"/>
        </w:trPr>
        <w:tc>
          <w:tcPr>
            <w:tcW w:w="1280" w:type="dxa"/>
            <w:gridSpan w:val="2"/>
            <w:vAlign w:val="center"/>
          </w:tcPr>
          <w:p w14:paraId="455DF3AB" w14:textId="77777777" w:rsidR="00956835" w:rsidRPr="00472ED3" w:rsidRDefault="00956835" w:rsidP="00F36268">
            <w:pPr>
              <w:jc w:val="center"/>
              <w:rPr>
                <w:rFonts w:ascii="Arial Narrow" w:hAnsi="Arial Narrow"/>
                <w:strike/>
                <w:sz w:val="20"/>
                <w:szCs w:val="20"/>
              </w:rPr>
            </w:pPr>
          </w:p>
        </w:tc>
        <w:tc>
          <w:tcPr>
            <w:tcW w:w="7736" w:type="dxa"/>
            <w:gridSpan w:val="6"/>
            <w:vAlign w:val="center"/>
          </w:tcPr>
          <w:p w14:paraId="4059B3D9" w14:textId="77777777" w:rsidR="00956835" w:rsidRPr="00472ED3" w:rsidRDefault="00956835" w:rsidP="00F36268">
            <w:pPr>
              <w:rPr>
                <w:rFonts w:ascii="Arial Narrow" w:hAnsi="Arial Narrow"/>
                <w:sz w:val="20"/>
                <w:szCs w:val="20"/>
              </w:rPr>
            </w:pPr>
            <w:r w:rsidRPr="00472ED3">
              <w:rPr>
                <w:rFonts w:ascii="Arial Narrow" w:hAnsi="Arial Narrow"/>
                <w:b/>
                <w:bCs/>
                <w:sz w:val="20"/>
                <w:szCs w:val="20"/>
              </w:rPr>
              <w:t>AND</w:t>
            </w:r>
          </w:p>
        </w:tc>
      </w:tr>
      <w:tr w:rsidR="00956835" w:rsidRPr="00472ED3" w14:paraId="680A97F6" w14:textId="77777777">
        <w:tblPrEx>
          <w:tblCellMar>
            <w:top w:w="15" w:type="dxa"/>
            <w:bottom w:w="15" w:type="dxa"/>
          </w:tblCellMar>
          <w:tblLook w:val="04A0" w:firstRow="1" w:lastRow="0" w:firstColumn="1" w:lastColumn="0" w:noHBand="0" w:noVBand="1"/>
        </w:tblPrEx>
        <w:trPr>
          <w:cantSplit/>
          <w:trHeight w:val="20"/>
        </w:trPr>
        <w:tc>
          <w:tcPr>
            <w:tcW w:w="1280" w:type="dxa"/>
            <w:gridSpan w:val="2"/>
            <w:vAlign w:val="center"/>
          </w:tcPr>
          <w:p w14:paraId="032A4929" w14:textId="77777777" w:rsidR="00956835" w:rsidRPr="00472ED3" w:rsidRDefault="00956835" w:rsidP="00F36268">
            <w:pPr>
              <w:jc w:val="center"/>
              <w:rPr>
                <w:rFonts w:ascii="Arial Narrow" w:hAnsi="Arial Narrow"/>
                <w:sz w:val="20"/>
                <w:szCs w:val="20"/>
              </w:rPr>
            </w:pPr>
          </w:p>
        </w:tc>
        <w:tc>
          <w:tcPr>
            <w:tcW w:w="7736" w:type="dxa"/>
            <w:gridSpan w:val="6"/>
            <w:vAlign w:val="center"/>
          </w:tcPr>
          <w:p w14:paraId="08455CED" w14:textId="77777777" w:rsidR="00956835" w:rsidRPr="00472ED3" w:rsidRDefault="00956835" w:rsidP="00F36268">
            <w:pPr>
              <w:rPr>
                <w:rFonts w:ascii="Arial Narrow" w:hAnsi="Arial Narrow"/>
                <w:sz w:val="20"/>
                <w:szCs w:val="20"/>
              </w:rPr>
            </w:pPr>
            <w:r w:rsidRPr="00472ED3">
              <w:rPr>
                <w:rFonts w:ascii="Arial Narrow" w:hAnsi="Arial Narrow"/>
                <w:b/>
                <w:bCs/>
                <w:sz w:val="20"/>
                <w:szCs w:val="20"/>
              </w:rPr>
              <w:t>Clinical criteria:</w:t>
            </w:r>
          </w:p>
        </w:tc>
      </w:tr>
      <w:tr w:rsidR="00956835" w:rsidRPr="00472ED3" w14:paraId="15C8D15E" w14:textId="77777777">
        <w:tblPrEx>
          <w:tblCellMar>
            <w:top w:w="15" w:type="dxa"/>
            <w:bottom w:w="15" w:type="dxa"/>
          </w:tblCellMar>
          <w:tblLook w:val="04A0" w:firstRow="1" w:lastRow="0" w:firstColumn="1" w:lastColumn="0" w:noHBand="0" w:noVBand="1"/>
        </w:tblPrEx>
        <w:trPr>
          <w:cantSplit/>
          <w:trHeight w:val="20"/>
        </w:trPr>
        <w:tc>
          <w:tcPr>
            <w:tcW w:w="1280" w:type="dxa"/>
            <w:gridSpan w:val="2"/>
            <w:vAlign w:val="center"/>
          </w:tcPr>
          <w:p w14:paraId="79749B1C" w14:textId="003FBCF1" w:rsidR="00956835" w:rsidRPr="00472ED3" w:rsidRDefault="00956835" w:rsidP="00F36268">
            <w:pPr>
              <w:jc w:val="center"/>
              <w:rPr>
                <w:rFonts w:ascii="Arial Narrow" w:hAnsi="Arial Narrow"/>
                <w:sz w:val="20"/>
                <w:szCs w:val="20"/>
              </w:rPr>
            </w:pPr>
          </w:p>
        </w:tc>
        <w:tc>
          <w:tcPr>
            <w:tcW w:w="7736" w:type="dxa"/>
            <w:gridSpan w:val="6"/>
            <w:vAlign w:val="center"/>
          </w:tcPr>
          <w:p w14:paraId="096F8187" w14:textId="72584DC7" w:rsidR="00956835" w:rsidRPr="00472ED3" w:rsidRDefault="00956835" w:rsidP="00F36268">
            <w:pPr>
              <w:rPr>
                <w:rFonts w:ascii="Arial Narrow" w:hAnsi="Arial Narrow"/>
                <w:sz w:val="20"/>
                <w:szCs w:val="20"/>
              </w:rPr>
            </w:pPr>
            <w:r w:rsidRPr="5594184A">
              <w:rPr>
                <w:rFonts w:ascii="Arial Narrow" w:hAnsi="Arial Narrow"/>
                <w:sz w:val="20"/>
                <w:szCs w:val="20"/>
              </w:rPr>
              <w:t xml:space="preserve">The condition must not have been previously treated with systemic anticancer therapy prior to initiation </w:t>
            </w:r>
            <w:r>
              <w:rPr>
                <w:rFonts w:ascii="Arial Narrow" w:hAnsi="Arial Narrow"/>
                <w:sz w:val="20"/>
                <w:szCs w:val="20"/>
              </w:rPr>
              <w:t xml:space="preserve">of </w:t>
            </w:r>
            <w:r w:rsidRPr="5594184A">
              <w:rPr>
                <w:rFonts w:ascii="Arial Narrow" w:hAnsi="Arial Narrow"/>
                <w:sz w:val="20"/>
                <w:szCs w:val="20"/>
              </w:rPr>
              <w:t>non</w:t>
            </w:r>
            <w:r w:rsidR="00B571FA">
              <w:rPr>
                <w:rFonts w:ascii="Arial Narrow" w:hAnsi="Arial Narrow"/>
                <w:sz w:val="20"/>
                <w:szCs w:val="20"/>
              </w:rPr>
              <w:noBreakHyphen/>
            </w:r>
            <w:r w:rsidRPr="5594184A">
              <w:rPr>
                <w:rFonts w:ascii="Arial Narrow" w:hAnsi="Arial Narrow"/>
                <w:sz w:val="20"/>
                <w:szCs w:val="20"/>
              </w:rPr>
              <w:t>PBS subsidised treatment with this drug for this condition</w:t>
            </w:r>
          </w:p>
        </w:tc>
      </w:tr>
      <w:tr w:rsidR="00956835" w:rsidRPr="00472ED3" w14:paraId="1DF88D04" w14:textId="77777777">
        <w:tblPrEx>
          <w:tblCellMar>
            <w:top w:w="15" w:type="dxa"/>
            <w:bottom w:w="15" w:type="dxa"/>
          </w:tblCellMar>
          <w:tblLook w:val="04A0" w:firstRow="1" w:lastRow="0" w:firstColumn="1" w:lastColumn="0" w:noHBand="0" w:noVBand="1"/>
        </w:tblPrEx>
        <w:trPr>
          <w:cantSplit/>
          <w:trHeight w:val="20"/>
        </w:trPr>
        <w:tc>
          <w:tcPr>
            <w:tcW w:w="1280" w:type="dxa"/>
            <w:gridSpan w:val="2"/>
            <w:vAlign w:val="center"/>
          </w:tcPr>
          <w:p w14:paraId="5414B4E6" w14:textId="77777777" w:rsidR="00956835" w:rsidRPr="00472ED3" w:rsidRDefault="00956835" w:rsidP="00F36268">
            <w:pPr>
              <w:jc w:val="center"/>
              <w:rPr>
                <w:rFonts w:ascii="Arial Narrow" w:hAnsi="Arial Narrow"/>
                <w:sz w:val="20"/>
                <w:szCs w:val="20"/>
              </w:rPr>
            </w:pPr>
          </w:p>
        </w:tc>
        <w:tc>
          <w:tcPr>
            <w:tcW w:w="7736" w:type="dxa"/>
            <w:gridSpan w:val="6"/>
            <w:vAlign w:val="center"/>
          </w:tcPr>
          <w:p w14:paraId="396CCCC6" w14:textId="77777777" w:rsidR="00956835" w:rsidRPr="00472ED3" w:rsidRDefault="00956835" w:rsidP="00F36268">
            <w:pPr>
              <w:rPr>
                <w:rFonts w:ascii="Arial Narrow" w:hAnsi="Arial Narrow"/>
                <w:sz w:val="20"/>
                <w:szCs w:val="20"/>
              </w:rPr>
            </w:pPr>
            <w:r w:rsidRPr="00472ED3">
              <w:rPr>
                <w:rFonts w:ascii="Arial Narrow" w:hAnsi="Arial Narrow"/>
                <w:b/>
                <w:bCs/>
                <w:sz w:val="20"/>
                <w:szCs w:val="20"/>
              </w:rPr>
              <w:t>AND</w:t>
            </w:r>
          </w:p>
        </w:tc>
      </w:tr>
      <w:tr w:rsidR="00956835" w:rsidRPr="00472ED3" w14:paraId="2A368448" w14:textId="77777777">
        <w:tblPrEx>
          <w:tblCellMar>
            <w:top w:w="15" w:type="dxa"/>
            <w:bottom w:w="15" w:type="dxa"/>
          </w:tblCellMar>
          <w:tblLook w:val="04A0" w:firstRow="1" w:lastRow="0" w:firstColumn="1" w:lastColumn="0" w:noHBand="0" w:noVBand="1"/>
        </w:tblPrEx>
        <w:trPr>
          <w:cantSplit/>
          <w:trHeight w:val="20"/>
        </w:trPr>
        <w:tc>
          <w:tcPr>
            <w:tcW w:w="1280" w:type="dxa"/>
            <w:gridSpan w:val="2"/>
            <w:vAlign w:val="center"/>
          </w:tcPr>
          <w:p w14:paraId="6346980F" w14:textId="77777777" w:rsidR="00956835" w:rsidRPr="00472ED3" w:rsidRDefault="00956835" w:rsidP="00F36268">
            <w:pPr>
              <w:jc w:val="center"/>
              <w:rPr>
                <w:rFonts w:ascii="Arial Narrow" w:hAnsi="Arial Narrow"/>
                <w:sz w:val="20"/>
                <w:szCs w:val="20"/>
              </w:rPr>
            </w:pPr>
          </w:p>
        </w:tc>
        <w:tc>
          <w:tcPr>
            <w:tcW w:w="7736" w:type="dxa"/>
            <w:gridSpan w:val="6"/>
            <w:vAlign w:val="center"/>
          </w:tcPr>
          <w:p w14:paraId="26446DD6" w14:textId="77777777" w:rsidR="00956835" w:rsidRPr="00472ED3" w:rsidRDefault="00956835" w:rsidP="00F36268">
            <w:pPr>
              <w:rPr>
                <w:rFonts w:ascii="Arial Narrow" w:hAnsi="Arial Narrow"/>
                <w:sz w:val="20"/>
                <w:szCs w:val="20"/>
              </w:rPr>
            </w:pPr>
            <w:r w:rsidRPr="00472ED3">
              <w:rPr>
                <w:rFonts w:ascii="Arial Narrow" w:hAnsi="Arial Narrow"/>
                <w:b/>
                <w:bCs/>
                <w:sz w:val="20"/>
                <w:szCs w:val="20"/>
              </w:rPr>
              <w:t>Clinical criteria:</w:t>
            </w:r>
          </w:p>
        </w:tc>
      </w:tr>
      <w:tr w:rsidR="00956835" w:rsidRPr="00472ED3" w14:paraId="766FF9B2" w14:textId="77777777">
        <w:tblPrEx>
          <w:tblCellMar>
            <w:top w:w="15" w:type="dxa"/>
            <w:bottom w:w="15" w:type="dxa"/>
          </w:tblCellMar>
          <w:tblLook w:val="04A0" w:firstRow="1" w:lastRow="0" w:firstColumn="1" w:lastColumn="0" w:noHBand="0" w:noVBand="1"/>
        </w:tblPrEx>
        <w:trPr>
          <w:cantSplit/>
          <w:trHeight w:val="20"/>
        </w:trPr>
        <w:tc>
          <w:tcPr>
            <w:tcW w:w="1280" w:type="dxa"/>
            <w:gridSpan w:val="2"/>
            <w:vAlign w:val="center"/>
          </w:tcPr>
          <w:p w14:paraId="087D9A52" w14:textId="16A65A0F" w:rsidR="00956835" w:rsidRPr="00472ED3" w:rsidRDefault="00956835" w:rsidP="00F36268">
            <w:pPr>
              <w:jc w:val="center"/>
              <w:rPr>
                <w:rFonts w:ascii="Arial Narrow" w:hAnsi="Arial Narrow"/>
                <w:sz w:val="20"/>
                <w:szCs w:val="20"/>
              </w:rPr>
            </w:pPr>
          </w:p>
        </w:tc>
        <w:tc>
          <w:tcPr>
            <w:tcW w:w="7736" w:type="dxa"/>
            <w:gridSpan w:val="6"/>
            <w:vAlign w:val="center"/>
          </w:tcPr>
          <w:p w14:paraId="5595FF4C" w14:textId="77777777" w:rsidR="00956835" w:rsidRPr="00472ED3" w:rsidRDefault="00956835" w:rsidP="00F36268">
            <w:pPr>
              <w:rPr>
                <w:rFonts w:ascii="Arial Narrow" w:hAnsi="Arial Narrow"/>
                <w:sz w:val="20"/>
                <w:szCs w:val="20"/>
              </w:rPr>
            </w:pPr>
            <w:r w:rsidRPr="00472ED3">
              <w:rPr>
                <w:rFonts w:ascii="Arial Narrow" w:hAnsi="Arial Narrow"/>
                <w:sz w:val="20"/>
                <w:szCs w:val="20"/>
              </w:rPr>
              <w:t>Patient must not have developed disease progression while receiving treatment with this drug for this condition.</w:t>
            </w:r>
          </w:p>
        </w:tc>
      </w:tr>
      <w:tr w:rsidR="00956835" w:rsidRPr="00472ED3" w14:paraId="0CDABED5" w14:textId="77777777">
        <w:tblPrEx>
          <w:tblCellMar>
            <w:top w:w="15" w:type="dxa"/>
            <w:bottom w:w="15" w:type="dxa"/>
          </w:tblCellMar>
          <w:tblLook w:val="04A0" w:firstRow="1" w:lastRow="0" w:firstColumn="1" w:lastColumn="0" w:noHBand="0" w:noVBand="1"/>
        </w:tblPrEx>
        <w:trPr>
          <w:cantSplit/>
          <w:trHeight w:val="20"/>
        </w:trPr>
        <w:tc>
          <w:tcPr>
            <w:tcW w:w="1280" w:type="dxa"/>
            <w:gridSpan w:val="2"/>
            <w:vAlign w:val="center"/>
          </w:tcPr>
          <w:p w14:paraId="40CB21DE" w14:textId="5A335C64" w:rsidR="00956835" w:rsidRPr="00472ED3" w:rsidRDefault="00956835" w:rsidP="00F36268">
            <w:pPr>
              <w:contextualSpacing/>
              <w:jc w:val="center"/>
              <w:rPr>
                <w:rFonts w:ascii="Arial Narrow" w:hAnsi="Arial Narrow"/>
                <w:sz w:val="20"/>
                <w:szCs w:val="20"/>
              </w:rPr>
            </w:pPr>
          </w:p>
        </w:tc>
        <w:tc>
          <w:tcPr>
            <w:tcW w:w="7736" w:type="dxa"/>
            <w:gridSpan w:val="6"/>
            <w:vAlign w:val="center"/>
          </w:tcPr>
          <w:p w14:paraId="4BDF1365" w14:textId="77777777" w:rsidR="00956835" w:rsidRPr="00472ED3" w:rsidRDefault="00956835" w:rsidP="00F36268">
            <w:pPr>
              <w:contextualSpacing/>
              <w:rPr>
                <w:rFonts w:ascii="Arial Narrow" w:hAnsi="Arial Narrow"/>
                <w:b/>
                <w:bCs/>
                <w:sz w:val="20"/>
                <w:szCs w:val="20"/>
              </w:rPr>
            </w:pPr>
            <w:r w:rsidRPr="00472ED3">
              <w:rPr>
                <w:rFonts w:ascii="Arial Narrow" w:hAnsi="Arial Narrow"/>
                <w:b/>
                <w:bCs/>
                <w:sz w:val="20"/>
                <w:szCs w:val="20"/>
              </w:rPr>
              <w:t xml:space="preserve">Prescriber instructions: </w:t>
            </w:r>
          </w:p>
          <w:p w14:paraId="47F7EA0D" w14:textId="0B301A18" w:rsidR="00956835" w:rsidRPr="00472ED3" w:rsidRDefault="00956835" w:rsidP="00F36268">
            <w:pPr>
              <w:contextualSpacing/>
              <w:rPr>
                <w:rFonts w:ascii="Arial Narrow" w:hAnsi="Arial Narrow"/>
                <w:sz w:val="20"/>
                <w:szCs w:val="20"/>
              </w:rPr>
            </w:pPr>
            <w:r w:rsidRPr="00472ED3">
              <w:rPr>
                <w:rStyle w:val="normaltextrun"/>
                <w:rFonts w:ascii="Arial Narrow" w:hAnsi="Arial Narrow"/>
                <w:sz w:val="20"/>
                <w:szCs w:val="20"/>
                <w:shd w:val="clear" w:color="auto" w:fill="FFFFFF"/>
              </w:rPr>
              <w:t xml:space="preserve">Confirm that evidence of the presence of a </w:t>
            </w:r>
            <w:r w:rsidR="00567F42">
              <w:rPr>
                <w:rStyle w:val="normaltextrun"/>
                <w:rFonts w:ascii="Arial Narrow" w:hAnsi="Arial Narrow"/>
                <w:sz w:val="20"/>
                <w:szCs w:val="20"/>
                <w:shd w:val="clear" w:color="auto" w:fill="FFFFFF"/>
              </w:rPr>
              <w:t>susceptible</w:t>
            </w:r>
            <w:r w:rsidRPr="00472ED3">
              <w:rPr>
                <w:rStyle w:val="normaltextrun"/>
                <w:rFonts w:ascii="Arial Narrow" w:hAnsi="Arial Narrow"/>
                <w:sz w:val="20"/>
                <w:szCs w:val="20"/>
                <w:shd w:val="clear" w:color="auto" w:fill="FFFFFF"/>
              </w:rPr>
              <w:t xml:space="preserve"> IDH1 or IDH2 </w:t>
            </w:r>
            <w:r w:rsidR="00567F42">
              <w:rPr>
                <w:rStyle w:val="normaltextrun"/>
                <w:rFonts w:ascii="Arial Narrow" w:hAnsi="Arial Narrow"/>
                <w:sz w:val="20"/>
                <w:szCs w:val="20"/>
                <w:shd w:val="clear" w:color="auto" w:fill="FFFFFF"/>
              </w:rPr>
              <w:t>variant in the tumour tissue</w:t>
            </w:r>
            <w:r w:rsidR="00567F42" w:rsidRPr="00472ED3">
              <w:rPr>
                <w:rStyle w:val="normaltextrun"/>
                <w:rFonts w:ascii="Arial Narrow" w:hAnsi="Arial Narrow"/>
                <w:sz w:val="20"/>
                <w:szCs w:val="20"/>
                <w:shd w:val="clear" w:color="auto" w:fill="FFFFFF"/>
              </w:rPr>
              <w:t xml:space="preserve"> </w:t>
            </w:r>
            <w:r w:rsidRPr="00472ED3">
              <w:rPr>
                <w:rStyle w:val="normaltextrun"/>
                <w:rFonts w:ascii="Arial Narrow" w:hAnsi="Arial Narrow"/>
                <w:sz w:val="20"/>
                <w:szCs w:val="20"/>
                <w:shd w:val="clear" w:color="auto" w:fill="FFFFFF"/>
              </w:rPr>
              <w:t>is documented/retained in the patient's medical records once only with the first PBS prescription</w:t>
            </w:r>
            <w:r w:rsidRPr="00472ED3">
              <w:rPr>
                <w:rStyle w:val="normaltextrun"/>
                <w:rFonts w:ascii="Arial Narrow" w:hAnsi="Arial Narrow"/>
                <w:szCs w:val="20"/>
                <w:shd w:val="clear" w:color="auto" w:fill="FFFFFF"/>
              </w:rPr>
              <w:t>.</w:t>
            </w:r>
          </w:p>
        </w:tc>
      </w:tr>
      <w:tr w:rsidR="00956835" w:rsidRPr="00472ED3" w14:paraId="53E9F9D5" w14:textId="77777777">
        <w:tblPrEx>
          <w:tblCellMar>
            <w:top w:w="15" w:type="dxa"/>
            <w:bottom w:w="15" w:type="dxa"/>
          </w:tblCellMar>
          <w:tblLook w:val="04A0" w:firstRow="1" w:lastRow="0" w:firstColumn="1" w:lastColumn="0" w:noHBand="0" w:noVBand="1"/>
        </w:tblPrEx>
        <w:trPr>
          <w:cantSplit/>
          <w:trHeight w:val="20"/>
        </w:trPr>
        <w:tc>
          <w:tcPr>
            <w:tcW w:w="1280" w:type="dxa"/>
            <w:gridSpan w:val="2"/>
            <w:vAlign w:val="center"/>
          </w:tcPr>
          <w:p w14:paraId="3ED79725" w14:textId="2E74A4DE" w:rsidR="00956835" w:rsidRPr="00472ED3" w:rsidRDefault="00956835" w:rsidP="00F36268">
            <w:pPr>
              <w:jc w:val="center"/>
              <w:rPr>
                <w:rFonts w:ascii="Arial Narrow" w:hAnsi="Arial Narrow"/>
                <w:sz w:val="20"/>
                <w:szCs w:val="20"/>
              </w:rPr>
            </w:pPr>
          </w:p>
        </w:tc>
        <w:tc>
          <w:tcPr>
            <w:tcW w:w="7736" w:type="dxa"/>
            <w:gridSpan w:val="6"/>
            <w:vAlign w:val="center"/>
          </w:tcPr>
          <w:p w14:paraId="6FCE2EE5" w14:textId="77777777" w:rsidR="00956835" w:rsidRPr="00472ED3" w:rsidRDefault="00956835" w:rsidP="00F36268">
            <w:pPr>
              <w:rPr>
                <w:rFonts w:ascii="Arial Narrow" w:hAnsi="Arial Narrow"/>
                <w:sz w:val="20"/>
                <w:szCs w:val="20"/>
              </w:rPr>
            </w:pPr>
            <w:r w:rsidRPr="5594184A">
              <w:rPr>
                <w:rFonts w:ascii="Arial Narrow" w:hAnsi="Arial Narrow"/>
                <w:b/>
                <w:bCs/>
                <w:sz w:val="20"/>
                <w:szCs w:val="20"/>
              </w:rPr>
              <w:t>Administrative advice:</w:t>
            </w:r>
            <w:r w:rsidRPr="5594184A">
              <w:rPr>
                <w:rFonts w:ascii="Arial Narrow" w:hAnsi="Arial Narrow"/>
                <w:sz w:val="20"/>
                <w:szCs w:val="20"/>
              </w:rPr>
              <w:t xml:space="preserve"> This grandfather restriction will cease to operate from 12 months after the date specified in the clinical criteria.</w:t>
            </w:r>
          </w:p>
        </w:tc>
      </w:tr>
      <w:tr w:rsidR="00956835" w:rsidRPr="00472ED3" w14:paraId="2B5D67A8" w14:textId="77777777">
        <w:tblPrEx>
          <w:tblCellMar>
            <w:top w:w="15" w:type="dxa"/>
            <w:bottom w:w="15" w:type="dxa"/>
          </w:tblCellMar>
          <w:tblLook w:val="04A0" w:firstRow="1" w:lastRow="0" w:firstColumn="1" w:lastColumn="0" w:noHBand="0" w:noVBand="1"/>
        </w:tblPrEx>
        <w:trPr>
          <w:cantSplit/>
          <w:trHeight w:val="20"/>
        </w:trPr>
        <w:tc>
          <w:tcPr>
            <w:tcW w:w="1280" w:type="dxa"/>
            <w:gridSpan w:val="2"/>
            <w:vAlign w:val="center"/>
          </w:tcPr>
          <w:p w14:paraId="522236EC" w14:textId="79979860" w:rsidR="00956835" w:rsidRPr="00472ED3" w:rsidRDefault="00956835" w:rsidP="00F36268">
            <w:pPr>
              <w:jc w:val="center"/>
              <w:rPr>
                <w:rFonts w:ascii="Arial Narrow" w:hAnsi="Arial Narrow"/>
                <w:sz w:val="20"/>
                <w:szCs w:val="20"/>
              </w:rPr>
            </w:pPr>
          </w:p>
        </w:tc>
        <w:tc>
          <w:tcPr>
            <w:tcW w:w="7736" w:type="dxa"/>
            <w:gridSpan w:val="6"/>
            <w:vAlign w:val="center"/>
          </w:tcPr>
          <w:p w14:paraId="05A1CDB6" w14:textId="162CCD3E" w:rsidR="00956835" w:rsidRPr="00472ED3" w:rsidRDefault="00956835" w:rsidP="00F36268">
            <w:pPr>
              <w:rPr>
                <w:rFonts w:ascii="Arial Narrow" w:hAnsi="Arial Narrow"/>
                <w:sz w:val="20"/>
                <w:szCs w:val="20"/>
              </w:rPr>
            </w:pPr>
            <w:r w:rsidRPr="00472ED3">
              <w:rPr>
                <w:rFonts w:ascii="Arial Narrow" w:hAnsi="Arial Narrow"/>
                <w:b/>
                <w:bCs/>
                <w:sz w:val="20"/>
                <w:szCs w:val="20"/>
              </w:rPr>
              <w:t xml:space="preserve">Administrative advice: </w:t>
            </w:r>
            <w:r w:rsidRPr="00472ED3">
              <w:rPr>
                <w:rFonts w:ascii="Arial Narrow" w:hAnsi="Arial Narrow"/>
                <w:sz w:val="20"/>
                <w:szCs w:val="20"/>
              </w:rPr>
              <w:t>Patients may qualify for PBS</w:t>
            </w:r>
            <w:r w:rsidR="00B571FA">
              <w:rPr>
                <w:rFonts w:ascii="Arial Narrow" w:hAnsi="Arial Narrow"/>
                <w:sz w:val="20"/>
                <w:szCs w:val="20"/>
              </w:rPr>
              <w:noBreakHyphen/>
            </w:r>
            <w:r w:rsidRPr="00472ED3">
              <w:rPr>
                <w:rFonts w:ascii="Arial Narrow" w:hAnsi="Arial Narrow"/>
                <w:sz w:val="20"/>
                <w:szCs w:val="20"/>
              </w:rPr>
              <w:t>subsidised treatment under this restriction once only. For continuing PBS</w:t>
            </w:r>
            <w:r w:rsidR="00B571FA">
              <w:rPr>
                <w:rFonts w:ascii="Arial Narrow" w:hAnsi="Arial Narrow"/>
                <w:sz w:val="20"/>
                <w:szCs w:val="20"/>
              </w:rPr>
              <w:noBreakHyphen/>
            </w:r>
            <w:r w:rsidRPr="00472ED3">
              <w:rPr>
                <w:rFonts w:ascii="Arial Narrow" w:hAnsi="Arial Narrow"/>
                <w:sz w:val="20"/>
                <w:szCs w:val="20"/>
              </w:rPr>
              <w:t>subsidised treatment, a 'Grandfathered' patient must qualify under the 'Continuing treatment' criteria.</w:t>
            </w:r>
          </w:p>
        </w:tc>
      </w:tr>
      <w:tr w:rsidR="00956835" w:rsidRPr="00472ED3" w14:paraId="62497AF7" w14:textId="77777777">
        <w:tblPrEx>
          <w:tblCellMar>
            <w:top w:w="15" w:type="dxa"/>
            <w:bottom w:w="15" w:type="dxa"/>
          </w:tblCellMar>
          <w:tblLook w:val="04A0" w:firstRow="1" w:lastRow="0" w:firstColumn="1" w:lastColumn="0" w:noHBand="0" w:noVBand="1"/>
        </w:tblPrEx>
        <w:trPr>
          <w:cantSplit/>
          <w:trHeight w:val="20"/>
        </w:trPr>
        <w:tc>
          <w:tcPr>
            <w:tcW w:w="1280" w:type="dxa"/>
            <w:gridSpan w:val="2"/>
            <w:vAlign w:val="center"/>
          </w:tcPr>
          <w:p w14:paraId="395E55C6" w14:textId="77777777" w:rsidR="00956835" w:rsidRPr="00472ED3" w:rsidRDefault="00956835" w:rsidP="00F36268">
            <w:pPr>
              <w:jc w:val="center"/>
              <w:rPr>
                <w:rFonts w:ascii="Arial Narrow" w:hAnsi="Arial Narrow"/>
                <w:sz w:val="20"/>
                <w:szCs w:val="20"/>
              </w:rPr>
            </w:pPr>
          </w:p>
        </w:tc>
        <w:tc>
          <w:tcPr>
            <w:tcW w:w="7736" w:type="dxa"/>
            <w:gridSpan w:val="6"/>
            <w:vAlign w:val="center"/>
          </w:tcPr>
          <w:p w14:paraId="730D5A2E" w14:textId="77777777" w:rsidR="00956835" w:rsidRPr="00472ED3" w:rsidRDefault="00956835" w:rsidP="00F36268">
            <w:pPr>
              <w:rPr>
                <w:rFonts w:ascii="Arial Narrow" w:hAnsi="Arial Narrow"/>
                <w:sz w:val="20"/>
                <w:szCs w:val="20"/>
              </w:rPr>
            </w:pPr>
          </w:p>
        </w:tc>
      </w:tr>
    </w:tbl>
    <w:p w14:paraId="54C22A39" w14:textId="77777777" w:rsidR="00F57512" w:rsidRDefault="00F57512" w:rsidP="00F36268">
      <w:pPr>
        <w:spacing w:before="120"/>
        <w:rPr>
          <w:rFonts w:asciiTheme="minorHAnsi" w:hAnsiTheme="minorHAnsi" w:cs="Arial"/>
          <w:b/>
          <w:i/>
          <w:iCs/>
          <w:snapToGrid w:val="0"/>
          <w:lang w:val="en-GB"/>
        </w:rPr>
      </w:pPr>
      <w:r w:rsidRPr="00907671">
        <w:rPr>
          <w:rFonts w:asciiTheme="minorHAnsi" w:hAnsiTheme="minorHAnsi" w:cs="Arial"/>
          <w:b/>
          <w:i/>
          <w:iCs/>
          <w:snapToGrid w:val="0"/>
          <w:lang w:val="en-GB"/>
        </w:rPr>
        <w:t>These restrictions may be subject to further review. Should there be any changes made to the restriction the sponsor will be informed.</w:t>
      </w:r>
    </w:p>
    <w:p w14:paraId="03E027DD" w14:textId="069C519F" w:rsidR="005933B0" w:rsidRPr="005933B0" w:rsidRDefault="005933B0" w:rsidP="005933B0">
      <w:pPr>
        <w:keepNext/>
        <w:spacing w:before="240" w:after="120"/>
        <w:ind w:left="720" w:hanging="720"/>
        <w:jc w:val="left"/>
        <w:outlineLvl w:val="0"/>
        <w:rPr>
          <w:rFonts w:asciiTheme="minorHAnsi" w:hAnsiTheme="minorHAnsi" w:cs="Arial"/>
          <w:b/>
          <w:snapToGrid w:val="0"/>
          <w:sz w:val="32"/>
          <w:szCs w:val="32"/>
          <w:lang w:val="en-GB" w:eastAsia="en-US"/>
        </w:rPr>
      </w:pPr>
      <w:r>
        <w:rPr>
          <w:rFonts w:asciiTheme="minorHAnsi" w:hAnsiTheme="minorHAnsi" w:cs="Arial"/>
          <w:b/>
          <w:snapToGrid w:val="0"/>
          <w:sz w:val="32"/>
          <w:szCs w:val="32"/>
          <w:lang w:eastAsia="en-US"/>
        </w:rPr>
        <w:t>7</w:t>
      </w:r>
      <w:r w:rsidRPr="005933B0">
        <w:rPr>
          <w:rFonts w:asciiTheme="minorHAnsi" w:hAnsiTheme="minorHAnsi" w:cs="Arial"/>
          <w:b/>
          <w:snapToGrid w:val="0"/>
          <w:sz w:val="32"/>
          <w:szCs w:val="32"/>
          <w:lang w:eastAsia="en-US"/>
        </w:rPr>
        <w:tab/>
        <w:t>Context for Decision</w:t>
      </w:r>
    </w:p>
    <w:p w14:paraId="4965F03F" w14:textId="77777777" w:rsidR="005933B0" w:rsidRPr="005933B0" w:rsidRDefault="005933B0" w:rsidP="005933B0">
      <w:pPr>
        <w:spacing w:after="120"/>
        <w:ind w:left="720"/>
        <w:rPr>
          <w:rFonts w:cs="Calibri"/>
          <w:bCs/>
          <w:szCs w:val="22"/>
          <w:lang w:val="en-GB"/>
        </w:rPr>
      </w:pPr>
      <w:r w:rsidRPr="005933B0">
        <w:rPr>
          <w:rFonts w:cs="Calibri"/>
          <w:bCs/>
          <w:szCs w:val="22"/>
          <w:lang w:val="en-GB"/>
        </w:rPr>
        <w:t>The PBAC helps decide whether and, if so, how medicines should be subsidised through the Pharmaceutical Benefits Scheme (PBS) in Australia. It considers applications regarding the listing of medicines on the PBS and provides advice about other matters relating to the operation of the PBS in this context. A PBAC decision in relation to PBS listings does not necessarily represent a final PBAC view about the merits of the medicine or the circumstances in which it should be made available through the PBS. The PBAC welcomes applications containing new information at any time.</w:t>
      </w:r>
    </w:p>
    <w:p w14:paraId="66BE8C1B" w14:textId="6629B3A1" w:rsidR="005933B0" w:rsidRPr="005933B0" w:rsidRDefault="005933B0" w:rsidP="005933B0">
      <w:pPr>
        <w:keepNext/>
        <w:spacing w:before="240" w:after="120"/>
        <w:ind w:left="720" w:hanging="720"/>
        <w:jc w:val="left"/>
        <w:outlineLvl w:val="0"/>
        <w:rPr>
          <w:rFonts w:asciiTheme="minorHAnsi" w:hAnsiTheme="minorHAnsi" w:cs="Arial"/>
          <w:b/>
          <w:snapToGrid w:val="0"/>
          <w:sz w:val="32"/>
          <w:szCs w:val="32"/>
          <w:lang w:eastAsia="en-US"/>
        </w:rPr>
      </w:pPr>
      <w:r>
        <w:rPr>
          <w:rFonts w:asciiTheme="minorHAnsi" w:hAnsiTheme="minorHAnsi" w:cs="Arial"/>
          <w:b/>
          <w:snapToGrid w:val="0"/>
          <w:sz w:val="32"/>
          <w:szCs w:val="32"/>
          <w:lang w:eastAsia="en-US"/>
        </w:rPr>
        <w:t>8</w:t>
      </w:r>
      <w:r w:rsidRPr="005933B0">
        <w:rPr>
          <w:rFonts w:asciiTheme="minorHAnsi" w:hAnsiTheme="minorHAnsi" w:cs="Arial"/>
          <w:b/>
          <w:snapToGrid w:val="0"/>
          <w:sz w:val="32"/>
          <w:szCs w:val="32"/>
          <w:lang w:eastAsia="en-US"/>
        </w:rPr>
        <w:tab/>
        <w:t>Sponsor’s Comment</w:t>
      </w:r>
    </w:p>
    <w:p w14:paraId="012BE656" w14:textId="1A932839" w:rsidR="005933B0" w:rsidRPr="00907671" w:rsidRDefault="00092397" w:rsidP="00EC4DA6">
      <w:pPr>
        <w:spacing w:after="120"/>
        <w:ind w:left="720"/>
        <w:rPr>
          <w:rFonts w:asciiTheme="minorHAnsi" w:hAnsiTheme="minorHAnsi" w:cs="Arial"/>
          <w:b/>
          <w:i/>
          <w:iCs/>
          <w:snapToGrid w:val="0"/>
          <w:lang w:val="en-GB"/>
        </w:rPr>
      </w:pPr>
      <w:r w:rsidRPr="00092397">
        <w:rPr>
          <w:rFonts w:cs="Calibri"/>
          <w:bCs/>
          <w:szCs w:val="22"/>
          <w:lang w:val="en-GB" w:eastAsia="en-US"/>
        </w:rPr>
        <w:t xml:space="preserve">Servier welcomes the positive recommendation made by the PBAC to list vorasidenib on the PBS. Servier would like to thank the IDH-mutant astrocytoma and oligodendroglioma patient and clinical communities for their valuable input, which helped inform the PBAC's recommendation. Servier also wishes to acknowledge the work of the PBAC and Department of Health, Disability and Ageing and thank them for </w:t>
      </w:r>
      <w:r w:rsidRPr="00092397">
        <w:rPr>
          <w:rFonts w:cs="Calibri"/>
          <w:bCs/>
          <w:szCs w:val="22"/>
          <w:lang w:val="en-GB" w:eastAsia="en-US"/>
        </w:rPr>
        <w:lastRenderedPageBreak/>
        <w:t>their constructive engagement throughout the process. We look forward to continuing to work constructively with the Department to make vorasidenib available on the PBS at the earliest possible opportunity for the patients who need access to treatment</w:t>
      </w:r>
      <w:r>
        <w:rPr>
          <w:rFonts w:cs="Calibri"/>
          <w:bCs/>
          <w:szCs w:val="22"/>
          <w:lang w:val="en-GB" w:eastAsia="en-US"/>
        </w:rPr>
        <w:t>.</w:t>
      </w:r>
    </w:p>
    <w:p w14:paraId="1517FFEF" w14:textId="77777777" w:rsidR="00F57512" w:rsidRDefault="00F57512" w:rsidP="00F36268">
      <w:pPr>
        <w:jc w:val="left"/>
        <w:rPr>
          <w:rFonts w:asciiTheme="minorHAnsi" w:hAnsiTheme="minorHAnsi" w:cs="Arial"/>
          <w:b/>
          <w:i/>
          <w:iCs/>
          <w:snapToGrid w:val="0"/>
          <w:sz w:val="28"/>
          <w:szCs w:val="28"/>
        </w:rPr>
      </w:pPr>
    </w:p>
    <w:p w14:paraId="09A82BC4" w14:textId="77777777" w:rsidR="00B4727E" w:rsidRPr="00A82DBB" w:rsidRDefault="00B4727E" w:rsidP="00F36268">
      <w:pPr>
        <w:jc w:val="left"/>
        <w:rPr>
          <w:rFonts w:asciiTheme="minorHAnsi" w:hAnsiTheme="minorHAnsi" w:cs="Arial"/>
          <w:b/>
          <w:i/>
          <w:iCs/>
          <w:snapToGrid w:val="0"/>
          <w:sz w:val="28"/>
          <w:szCs w:val="28"/>
        </w:rPr>
      </w:pPr>
    </w:p>
    <w:sectPr w:rsidR="00B4727E" w:rsidRPr="00A82DBB" w:rsidSect="00C27B58">
      <w:headerReference w:type="even" r:id="rId16"/>
      <w:headerReference w:type="default" r:id="rId17"/>
      <w:footerReference w:type="even" r:id="rId18"/>
      <w:footerReference w:type="default" r:id="rId19"/>
      <w:headerReference w:type="first" r:id="rId20"/>
      <w:footerReference w:type="first" r:id="rId21"/>
      <w:pgSz w:w="11906" w:h="16838" w:code="9"/>
      <w:pgMar w:top="1440" w:right="1440" w:bottom="1440" w:left="1440" w:header="1440" w:footer="1440"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B68CF6" w14:textId="77777777" w:rsidR="00044CB0" w:rsidRDefault="00044CB0">
      <w:r>
        <w:separator/>
      </w:r>
    </w:p>
    <w:p w14:paraId="4D4A9B39" w14:textId="77777777" w:rsidR="00044CB0" w:rsidRDefault="00044CB0"/>
    <w:p w14:paraId="4231BC17" w14:textId="77777777" w:rsidR="00044CB0" w:rsidRDefault="00044CB0"/>
  </w:endnote>
  <w:endnote w:type="continuationSeparator" w:id="0">
    <w:p w14:paraId="4D380955" w14:textId="77777777" w:rsidR="00044CB0" w:rsidRDefault="00044CB0">
      <w:r>
        <w:continuationSeparator/>
      </w:r>
    </w:p>
    <w:p w14:paraId="79CAD472" w14:textId="77777777" w:rsidR="00044CB0" w:rsidRDefault="00044CB0"/>
    <w:p w14:paraId="7545200F" w14:textId="77777777" w:rsidR="00044CB0" w:rsidRDefault="00044CB0"/>
  </w:endnote>
  <w:endnote w:type="continuationNotice" w:id="1">
    <w:p w14:paraId="2B8BC279" w14:textId="77777777" w:rsidR="00044CB0" w:rsidRDefault="00044CB0"/>
    <w:p w14:paraId="2BB066F6" w14:textId="77777777" w:rsidR="00044CB0" w:rsidRDefault="00044CB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Aptos Narrow">
    <w:charset w:val="00"/>
    <w:family w:val="swiss"/>
    <w:pitch w:val="variable"/>
    <w:sig w:usb0="20000287" w:usb1="00000003" w:usb2="00000000" w:usb3="00000000" w:csb0="0000019F" w:csb1="00000000"/>
  </w:font>
  <w:font w:name="Cambria Math">
    <w:panose1 w:val="02040503050406030204"/>
    <w:charset w:val="00"/>
    <w:family w:val="roman"/>
    <w:pitch w:val="variable"/>
    <w:sig w:usb0="E00006FF" w:usb1="420024FF" w:usb2="02000000" w:usb3="00000000" w:csb0="0000019F" w:csb1="00000000"/>
  </w:font>
  <w:font w:name="Times">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leftFromText="187" w:rightFromText="187" w:bottomFromText="200" w:vertAnchor="text" w:tblpY="1"/>
      <w:tblW w:w="5000" w:type="pct"/>
      <w:tblLook w:val="04A0" w:firstRow="1" w:lastRow="0" w:firstColumn="1" w:lastColumn="0" w:noHBand="0" w:noVBand="1"/>
    </w:tblPr>
    <w:tblGrid>
      <w:gridCol w:w="3839"/>
      <w:gridCol w:w="1347"/>
      <w:gridCol w:w="3840"/>
    </w:tblGrid>
    <w:tr w:rsidR="00240165" w14:paraId="4075D3FE" w14:textId="77777777" w:rsidTr="005A3173">
      <w:trPr>
        <w:trHeight w:val="151"/>
      </w:trPr>
      <w:tc>
        <w:tcPr>
          <w:tcW w:w="2250" w:type="pct"/>
          <w:tcBorders>
            <w:top w:val="nil"/>
            <w:left w:val="nil"/>
            <w:bottom w:val="single" w:sz="4" w:space="0" w:color="4F81BD"/>
            <w:right w:val="nil"/>
          </w:tcBorders>
        </w:tcPr>
        <w:p w14:paraId="096D0DDE" w14:textId="368BAAEA" w:rsidR="00240165" w:rsidRPr="005A3173" w:rsidRDefault="000C7F11" w:rsidP="005A3173">
          <w:pPr>
            <w:spacing w:line="276" w:lineRule="auto"/>
            <w:rPr>
              <w:rFonts w:eastAsia="MS Gothic"/>
              <w:b/>
              <w:bCs/>
              <w:color w:val="4F81BD"/>
            </w:rPr>
          </w:pPr>
          <w:r>
            <w:rPr>
              <w:rFonts w:eastAsia="MS Gothic"/>
              <w:b/>
              <w:bCs/>
              <w:noProof/>
              <w:color w:val="4F81BD"/>
            </w:rPr>
            <mc:AlternateContent>
              <mc:Choice Requires="wps">
                <w:drawing>
                  <wp:anchor distT="0" distB="0" distL="0" distR="0" simplePos="0" relativeHeight="251658244" behindDoc="0" locked="0" layoutInCell="1" allowOverlap="1" wp14:anchorId="2728B0AC" wp14:editId="79784EE0">
                    <wp:simplePos x="635" y="635"/>
                    <wp:positionH relativeFrom="page">
                      <wp:align>center</wp:align>
                    </wp:positionH>
                    <wp:positionV relativeFrom="page">
                      <wp:align>bottom</wp:align>
                    </wp:positionV>
                    <wp:extent cx="622300" cy="376555"/>
                    <wp:effectExtent l="0" t="0" r="6350" b="0"/>
                    <wp:wrapNone/>
                    <wp:docPr id="1850112859" name="Text Box 5"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22300" cy="376555"/>
                            </a:xfrm>
                            <a:prstGeom prst="rect">
                              <a:avLst/>
                            </a:prstGeom>
                            <a:noFill/>
                            <a:ln>
                              <a:noFill/>
                            </a:ln>
                          </wps:spPr>
                          <wps:txbx>
                            <w:txbxContent>
                              <w:p w14:paraId="474E90AD" w14:textId="2C111E2E" w:rsidR="000C7F11" w:rsidRPr="000C7F11" w:rsidRDefault="000C7F11" w:rsidP="000C7F11">
                                <w:pPr>
                                  <w:rPr>
                                    <w:rFonts w:ascii="Aptos" w:eastAsia="Aptos" w:hAnsi="Aptos" w:cs="Aptos"/>
                                    <w:noProof/>
                                    <w:color w:val="FF0000"/>
                                  </w:rPr>
                                </w:pPr>
                                <w:r w:rsidRPr="000C7F11">
                                  <w:rPr>
                                    <w:rFonts w:ascii="Aptos" w:eastAsia="Aptos" w:hAnsi="Aptos" w:cs="Aptos"/>
                                    <w:noProof/>
                                    <w:color w:val="FF000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2728B0AC" id="_x0000_t202" coordsize="21600,21600" o:spt="202" path="m,l,21600r21600,l21600,xe">
                    <v:stroke joinstyle="miter"/>
                    <v:path gradientshapeok="t" o:connecttype="rect"/>
                  </v:shapetype>
                  <v:shape id="Text Box 5" o:spid="_x0000_s1028" type="#_x0000_t202" alt="OFFICIAL" style="position:absolute;left:0;text-align:left;margin-left:0;margin-top:0;width:49pt;height:29.65pt;z-index:25165824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" filled="f" stroked="f">
                    <v:textbox style="mso-fit-shape-to-text:t" inset="0,0,0,15pt">
                      <w:txbxContent>
                        <w:p w14:paraId="474E90AD" w14:textId="2C111E2E" w:rsidR="000C7F11" w:rsidRPr="000C7F11" w:rsidRDefault="000C7F11" w:rsidP="000C7F11">
                          <w:pPr>
                            <w:rPr>
                              <w:rFonts w:ascii="Aptos" w:eastAsia="Aptos" w:hAnsi="Aptos" w:cs="Aptos"/>
                              <w:noProof/>
                              <w:color w:val="FF0000"/>
                            </w:rPr>
                          </w:pPr>
                          <w:r w:rsidRPr="000C7F11">
                            <w:rPr>
                              <w:rFonts w:ascii="Aptos" w:eastAsia="Aptos" w:hAnsi="Aptos" w:cs="Aptos"/>
                              <w:noProof/>
                              <w:color w:val="FF0000"/>
                            </w:rPr>
                            <w:t>OFFICIAL</w:t>
                          </w:r>
                        </w:p>
                      </w:txbxContent>
                    </v:textbox>
                    <w10:wrap anchorx="page" anchory="page"/>
                  </v:shape>
                </w:pict>
              </mc:Fallback>
            </mc:AlternateContent>
          </w:r>
        </w:p>
      </w:tc>
      <w:tc>
        <w:tcPr>
          <w:tcW w:w="500" w:type="pct"/>
          <w:vMerge w:val="restart"/>
          <w:noWrap/>
          <w:vAlign w:val="center"/>
          <w:hideMark/>
        </w:tcPr>
        <w:p w14:paraId="37B9A2BD" w14:textId="77777777" w:rsidR="00240165" w:rsidRPr="005A3173" w:rsidRDefault="00240165" w:rsidP="005A3173">
          <w:pPr>
            <w:spacing w:line="276" w:lineRule="auto"/>
            <w:rPr>
              <w:color w:val="365F91"/>
            </w:rPr>
          </w:pPr>
          <w:r w:rsidRPr="005A3173">
            <w:rPr>
              <w:rFonts w:ascii="Cambria" w:hAnsi="Cambria"/>
              <w:color w:val="365F91"/>
            </w:rPr>
            <w:t>[Type text]</w:t>
          </w:r>
        </w:p>
      </w:tc>
      <w:tc>
        <w:tcPr>
          <w:tcW w:w="2250" w:type="pct"/>
          <w:tcBorders>
            <w:top w:val="nil"/>
            <w:left w:val="nil"/>
            <w:bottom w:val="single" w:sz="4" w:space="0" w:color="4F81BD"/>
            <w:right w:val="nil"/>
          </w:tcBorders>
        </w:tcPr>
        <w:p w14:paraId="67A50320" w14:textId="77777777" w:rsidR="00240165" w:rsidRPr="005A3173" w:rsidRDefault="00240165" w:rsidP="005A3173">
          <w:pPr>
            <w:spacing w:line="276" w:lineRule="auto"/>
            <w:rPr>
              <w:rFonts w:eastAsia="MS Gothic"/>
              <w:b/>
              <w:bCs/>
              <w:color w:val="4F81BD"/>
            </w:rPr>
          </w:pPr>
        </w:p>
      </w:tc>
    </w:tr>
    <w:tr w:rsidR="00240165" w14:paraId="32EF4DB8" w14:textId="77777777" w:rsidTr="005A3173">
      <w:trPr>
        <w:trHeight w:val="150"/>
      </w:trPr>
      <w:tc>
        <w:tcPr>
          <w:tcW w:w="2250" w:type="pct"/>
          <w:tcBorders>
            <w:top w:val="single" w:sz="4" w:space="0" w:color="4F81BD"/>
            <w:left w:val="nil"/>
            <w:bottom w:val="nil"/>
            <w:right w:val="nil"/>
          </w:tcBorders>
        </w:tcPr>
        <w:p w14:paraId="03528A4C" w14:textId="77777777" w:rsidR="00240165" w:rsidRPr="005A3173" w:rsidRDefault="00240165" w:rsidP="005A3173">
          <w:pPr>
            <w:spacing w:line="276" w:lineRule="auto"/>
            <w:rPr>
              <w:rFonts w:eastAsia="MS Gothic"/>
              <w:b/>
              <w:bCs/>
              <w:color w:val="4F81BD"/>
            </w:rPr>
          </w:pPr>
        </w:p>
      </w:tc>
      <w:tc>
        <w:tcPr>
          <w:tcW w:w="0" w:type="auto"/>
          <w:vMerge/>
          <w:vAlign w:val="center"/>
          <w:hideMark/>
        </w:tcPr>
        <w:p w14:paraId="109042FB" w14:textId="77777777" w:rsidR="00240165" w:rsidRPr="005A3173" w:rsidRDefault="00240165" w:rsidP="005A3173">
          <w:pPr>
            <w:rPr>
              <w:color w:val="365F91"/>
              <w:sz w:val="22"/>
              <w:szCs w:val="22"/>
            </w:rPr>
          </w:pPr>
        </w:p>
      </w:tc>
      <w:tc>
        <w:tcPr>
          <w:tcW w:w="2250" w:type="pct"/>
          <w:tcBorders>
            <w:top w:val="single" w:sz="4" w:space="0" w:color="4F81BD"/>
            <w:left w:val="nil"/>
            <w:bottom w:val="nil"/>
            <w:right w:val="nil"/>
          </w:tcBorders>
        </w:tcPr>
        <w:p w14:paraId="09664199" w14:textId="77777777" w:rsidR="00240165" w:rsidRPr="005A3173" w:rsidRDefault="00240165" w:rsidP="005A3173">
          <w:pPr>
            <w:spacing w:line="276" w:lineRule="auto"/>
            <w:rPr>
              <w:rFonts w:eastAsia="MS Gothic"/>
              <w:b/>
              <w:bCs/>
              <w:color w:val="4F81BD"/>
            </w:rPr>
          </w:pPr>
        </w:p>
      </w:tc>
    </w:tr>
  </w:tbl>
  <w:p w14:paraId="21855C18" w14:textId="77777777" w:rsidR="00240165" w:rsidRDefault="00240165" w:rsidP="00653D69">
    <w:pPr>
      <w:framePr w:wrap="around" w:vAnchor="text" w:hAnchor="margin" w:xAlign="center" w:y="1"/>
    </w:pPr>
    <w:r>
      <w:fldChar w:fldCharType="begin"/>
    </w:r>
    <w:r>
      <w:instrText xml:space="preserve">PAGE  </w:instrText>
    </w:r>
    <w:r>
      <w:fldChar w:fldCharType="end"/>
    </w:r>
  </w:p>
  <w:p w14:paraId="142ACCCE" w14:textId="77777777" w:rsidR="00240165" w:rsidRDefault="00240165"/>
  <w:p w14:paraId="48FFA445" w14:textId="77777777" w:rsidR="00240165" w:rsidRDefault="00240165"/>
  <w:p w14:paraId="49A45502" w14:textId="77777777" w:rsidR="00240165" w:rsidRDefault="00240165"/>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29A4EC" w14:textId="376FCE74" w:rsidR="00774465" w:rsidRDefault="000C7F11" w:rsidP="00774465">
    <w:pPr>
      <w:pStyle w:val="Footer"/>
    </w:pPr>
    <w:r>
      <w:rPr>
        <w:noProof/>
      </w:rPr>
      <mc:AlternateContent>
        <mc:Choice Requires="wps">
          <w:drawing>
            <wp:anchor distT="0" distB="0" distL="0" distR="0" simplePos="0" relativeHeight="251658245" behindDoc="0" locked="0" layoutInCell="1" allowOverlap="1" wp14:anchorId="075AC828" wp14:editId="60D73EB6">
              <wp:simplePos x="635" y="635"/>
              <wp:positionH relativeFrom="page">
                <wp:align>center</wp:align>
              </wp:positionH>
              <wp:positionV relativeFrom="page">
                <wp:align>bottom</wp:align>
              </wp:positionV>
              <wp:extent cx="622300" cy="376555"/>
              <wp:effectExtent l="0" t="0" r="6350" b="0"/>
              <wp:wrapNone/>
              <wp:docPr id="84692713" name="Text Box 6"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22300" cy="376555"/>
                      </a:xfrm>
                      <a:prstGeom prst="rect">
                        <a:avLst/>
                      </a:prstGeom>
                      <a:noFill/>
                      <a:ln>
                        <a:noFill/>
                      </a:ln>
                    </wps:spPr>
                    <wps:txbx>
                      <w:txbxContent>
                        <w:p w14:paraId="3E23EE84" w14:textId="038211CD" w:rsidR="000C7F11" w:rsidRPr="000C7F11" w:rsidRDefault="000C7F11" w:rsidP="000C7F11">
                          <w:pPr>
                            <w:rPr>
                              <w:rFonts w:ascii="Aptos" w:eastAsia="Aptos" w:hAnsi="Aptos" w:cs="Aptos"/>
                              <w:noProof/>
                              <w:color w:val="FF0000"/>
                            </w:rPr>
                          </w:pPr>
                          <w:r w:rsidRPr="000C7F11">
                            <w:rPr>
                              <w:rFonts w:ascii="Aptos" w:eastAsia="Aptos" w:hAnsi="Aptos" w:cs="Aptos"/>
                              <w:noProof/>
                              <w:color w:val="FF000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075AC828" id="_x0000_t202" coordsize="21600,21600" o:spt="202" path="m,l,21600r21600,l21600,xe">
              <v:stroke joinstyle="miter"/>
              <v:path gradientshapeok="t" o:connecttype="rect"/>
            </v:shapetype>
            <v:shape id="Text Box 6" o:spid="_x0000_s1029" type="#_x0000_t202" alt="OFFICIAL" style="position:absolute;left:0;text-align:left;margin-left:0;margin-top:0;width:49pt;height:29.65pt;z-index:251658245;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" filled="f" stroked="f">
              <v:textbox style="mso-fit-shape-to-text:t" inset="0,0,0,15pt">
                <w:txbxContent>
                  <w:p w14:paraId="3E23EE84" w14:textId="038211CD" w:rsidR="000C7F11" w:rsidRPr="000C7F11" w:rsidRDefault="000C7F11" w:rsidP="000C7F11">
                    <w:pPr>
                      <w:rPr>
                        <w:rFonts w:ascii="Aptos" w:eastAsia="Aptos" w:hAnsi="Aptos" w:cs="Aptos"/>
                        <w:noProof/>
                        <w:color w:val="FF0000"/>
                      </w:rPr>
                    </w:pPr>
                    <w:r w:rsidRPr="000C7F11">
                      <w:rPr>
                        <w:rFonts w:ascii="Aptos" w:eastAsia="Aptos" w:hAnsi="Aptos" w:cs="Aptos"/>
                        <w:noProof/>
                        <w:color w:val="FF0000"/>
                      </w:rPr>
                      <w:t>OFFICIAL</w:t>
                    </w:r>
                  </w:p>
                </w:txbxContent>
              </v:textbox>
              <w10:wrap anchorx="page" anchory="page"/>
            </v:shape>
          </w:pict>
        </mc:Fallback>
      </mc:AlternateContent>
    </w:r>
  </w:p>
  <w:sdt>
    <w:sdtPr>
      <w:id w:val="95759956"/>
      <w:docPartObj>
        <w:docPartGallery w:val="Page Numbers (Bottom of Page)"/>
        <w:docPartUnique/>
      </w:docPartObj>
    </w:sdtPr>
    <w:sdtEndPr>
      <w:rPr>
        <w:b/>
        <w:bCs/>
        <w:noProof/>
      </w:rPr>
    </w:sdtEndPr>
    <w:sdtContent>
      <w:p w14:paraId="07DAAF98" w14:textId="01A59AA0" w:rsidR="00CF066B" w:rsidRPr="00220FDB" w:rsidRDefault="00774465" w:rsidP="00774465">
        <w:pPr>
          <w:pStyle w:val="Footer"/>
          <w:rPr>
            <w:b/>
            <w:bCs/>
          </w:rPr>
        </w:pPr>
        <w:r w:rsidRPr="00220FDB">
          <w:rPr>
            <w:b/>
            <w:bCs/>
          </w:rPr>
          <w:fldChar w:fldCharType="begin"/>
        </w:r>
        <w:r w:rsidRPr="00230121">
          <w:rPr>
            <w:b/>
            <w:bCs/>
          </w:rPr>
          <w:instrText xml:space="preserve"> PAGE   \* MERGEFORMAT </w:instrText>
        </w:r>
        <w:r w:rsidRPr="00220FDB">
          <w:rPr>
            <w:b/>
            <w:bCs/>
          </w:rPr>
          <w:fldChar w:fldCharType="separate"/>
        </w:r>
        <w:r w:rsidRPr="00230121">
          <w:rPr>
            <w:b/>
            <w:bCs/>
            <w:noProof/>
          </w:rPr>
          <w:t>2</w:t>
        </w:r>
        <w:r w:rsidRPr="00220FDB">
          <w:rPr>
            <w:b/>
            <w:bCs/>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4A0" w:firstRow="1" w:lastRow="0" w:firstColumn="1" w:lastColumn="0" w:noHBand="0" w:noVBand="1"/>
    </w:tblPr>
    <w:tblGrid>
      <w:gridCol w:w="3839"/>
      <w:gridCol w:w="1347"/>
      <w:gridCol w:w="3840"/>
    </w:tblGrid>
    <w:tr w:rsidR="00240165" w14:paraId="1B1A9BFB" w14:textId="77777777" w:rsidTr="005A3173">
      <w:trPr>
        <w:trHeight w:val="151"/>
      </w:trPr>
      <w:tc>
        <w:tcPr>
          <w:tcW w:w="2250" w:type="pct"/>
          <w:tcBorders>
            <w:top w:val="nil"/>
            <w:left w:val="nil"/>
            <w:bottom w:val="single" w:sz="4" w:space="0" w:color="4F81BD"/>
            <w:right w:val="nil"/>
          </w:tcBorders>
        </w:tcPr>
        <w:p w14:paraId="1AEC0F9B" w14:textId="5BBD7526" w:rsidR="00240165" w:rsidRPr="005A3173" w:rsidRDefault="000C7F11" w:rsidP="005A3173">
          <w:pPr>
            <w:spacing w:line="276" w:lineRule="auto"/>
            <w:rPr>
              <w:rFonts w:eastAsia="MS Gothic"/>
              <w:b/>
              <w:bCs/>
              <w:color w:val="4F81BD"/>
            </w:rPr>
          </w:pPr>
          <w:r>
            <w:rPr>
              <w:rFonts w:eastAsia="MS Gothic"/>
              <w:b/>
              <w:bCs/>
              <w:noProof/>
              <w:color w:val="4F81BD"/>
            </w:rPr>
            <mc:AlternateContent>
              <mc:Choice Requires="wps">
                <w:drawing>
                  <wp:anchor distT="0" distB="0" distL="0" distR="0" simplePos="0" relativeHeight="251658243" behindDoc="0" locked="0" layoutInCell="1" allowOverlap="1" wp14:anchorId="0E442C6B" wp14:editId="795E3FDE">
                    <wp:simplePos x="635" y="635"/>
                    <wp:positionH relativeFrom="page">
                      <wp:align>center</wp:align>
                    </wp:positionH>
                    <wp:positionV relativeFrom="page">
                      <wp:align>bottom</wp:align>
                    </wp:positionV>
                    <wp:extent cx="622300" cy="376555"/>
                    <wp:effectExtent l="0" t="0" r="6350" b="0"/>
                    <wp:wrapNone/>
                    <wp:docPr id="1086920359" name="Text Box 4"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22300" cy="376555"/>
                            </a:xfrm>
                            <a:prstGeom prst="rect">
                              <a:avLst/>
                            </a:prstGeom>
                            <a:noFill/>
                            <a:ln>
                              <a:noFill/>
                            </a:ln>
                          </wps:spPr>
                          <wps:txbx>
                            <w:txbxContent>
                              <w:p w14:paraId="1352AD12" w14:textId="65C638CB" w:rsidR="000C7F11" w:rsidRPr="000C7F11" w:rsidRDefault="000C7F11" w:rsidP="000C7F11">
                                <w:pPr>
                                  <w:rPr>
                                    <w:rFonts w:ascii="Aptos" w:eastAsia="Aptos" w:hAnsi="Aptos" w:cs="Aptos"/>
                                    <w:noProof/>
                                    <w:color w:val="FF0000"/>
                                  </w:rPr>
                                </w:pPr>
                                <w:r w:rsidRPr="000C7F11">
                                  <w:rPr>
                                    <w:rFonts w:ascii="Aptos" w:eastAsia="Aptos" w:hAnsi="Aptos" w:cs="Aptos"/>
                                    <w:noProof/>
                                    <w:color w:val="FF000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0E442C6B" id="_x0000_t202" coordsize="21600,21600" o:spt="202" path="m,l,21600r21600,l21600,xe">
                    <v:stroke joinstyle="miter"/>
                    <v:path gradientshapeok="t" o:connecttype="rect"/>
                  </v:shapetype>
                  <v:shape id="Text Box 4" o:spid="_x0000_s1031" type="#_x0000_t202" alt="OFFICIAL" style="position:absolute;left:0;text-align:left;margin-left:0;margin-top:0;width:49pt;height:29.65pt;z-index:251658243;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" filled="f" stroked="f">
                    <v:textbox style="mso-fit-shape-to-text:t" inset="0,0,0,15pt">
                      <w:txbxContent>
                        <w:p w14:paraId="1352AD12" w14:textId="65C638CB" w:rsidR="000C7F11" w:rsidRPr="000C7F11" w:rsidRDefault="000C7F11" w:rsidP="000C7F11">
                          <w:pPr>
                            <w:rPr>
                              <w:rFonts w:ascii="Aptos" w:eastAsia="Aptos" w:hAnsi="Aptos" w:cs="Aptos"/>
                              <w:noProof/>
                              <w:color w:val="FF0000"/>
                            </w:rPr>
                          </w:pPr>
                          <w:r w:rsidRPr="000C7F11">
                            <w:rPr>
                              <w:rFonts w:ascii="Aptos" w:eastAsia="Aptos" w:hAnsi="Aptos" w:cs="Aptos"/>
                              <w:noProof/>
                              <w:color w:val="FF0000"/>
                            </w:rPr>
                            <w:t>OFFICIAL</w:t>
                          </w:r>
                        </w:p>
                      </w:txbxContent>
                    </v:textbox>
                    <w10:wrap anchorx="page" anchory="page"/>
                  </v:shape>
                </w:pict>
              </mc:Fallback>
            </mc:AlternateContent>
          </w:r>
        </w:p>
      </w:tc>
      <w:tc>
        <w:tcPr>
          <w:tcW w:w="500" w:type="pct"/>
          <w:vMerge w:val="restart"/>
          <w:noWrap/>
          <w:vAlign w:val="center"/>
          <w:hideMark/>
        </w:tcPr>
        <w:p w14:paraId="6D1F795C" w14:textId="77777777" w:rsidR="00240165" w:rsidRPr="005A3173" w:rsidRDefault="00240165" w:rsidP="005A3173">
          <w:pPr>
            <w:spacing w:line="276" w:lineRule="auto"/>
            <w:rPr>
              <w:color w:val="365F91"/>
            </w:rPr>
          </w:pPr>
          <w:r w:rsidRPr="005A3173">
            <w:rPr>
              <w:rFonts w:ascii="Cambria" w:hAnsi="Cambria"/>
              <w:color w:val="365F91"/>
            </w:rPr>
            <w:t>[Type text]</w:t>
          </w:r>
        </w:p>
      </w:tc>
      <w:tc>
        <w:tcPr>
          <w:tcW w:w="2250" w:type="pct"/>
          <w:tcBorders>
            <w:top w:val="nil"/>
            <w:left w:val="nil"/>
            <w:bottom w:val="single" w:sz="4" w:space="0" w:color="4F81BD"/>
            <w:right w:val="nil"/>
          </w:tcBorders>
        </w:tcPr>
        <w:p w14:paraId="6B7FA645" w14:textId="77777777" w:rsidR="00240165" w:rsidRPr="005A3173" w:rsidRDefault="00240165" w:rsidP="005A3173">
          <w:pPr>
            <w:spacing w:line="276" w:lineRule="auto"/>
            <w:rPr>
              <w:rFonts w:eastAsia="MS Gothic"/>
              <w:b/>
              <w:bCs/>
              <w:color w:val="4F81BD"/>
            </w:rPr>
          </w:pPr>
        </w:p>
      </w:tc>
    </w:tr>
    <w:tr w:rsidR="00240165" w14:paraId="0A17FD7B" w14:textId="77777777" w:rsidTr="005A3173">
      <w:trPr>
        <w:trHeight w:val="150"/>
      </w:trPr>
      <w:tc>
        <w:tcPr>
          <w:tcW w:w="2250" w:type="pct"/>
          <w:tcBorders>
            <w:top w:val="single" w:sz="4" w:space="0" w:color="4F81BD"/>
            <w:left w:val="nil"/>
            <w:bottom w:val="nil"/>
            <w:right w:val="nil"/>
          </w:tcBorders>
        </w:tcPr>
        <w:p w14:paraId="66DEA9D9" w14:textId="77777777" w:rsidR="00240165" w:rsidRPr="005A3173" w:rsidRDefault="00240165" w:rsidP="005A3173">
          <w:pPr>
            <w:spacing w:line="276" w:lineRule="auto"/>
            <w:rPr>
              <w:rFonts w:eastAsia="MS Gothic"/>
              <w:b/>
              <w:bCs/>
              <w:color w:val="4F81BD"/>
            </w:rPr>
          </w:pPr>
        </w:p>
      </w:tc>
      <w:tc>
        <w:tcPr>
          <w:tcW w:w="0" w:type="auto"/>
          <w:vMerge/>
          <w:vAlign w:val="center"/>
          <w:hideMark/>
        </w:tcPr>
        <w:p w14:paraId="0726D67B" w14:textId="77777777" w:rsidR="00240165" w:rsidRPr="005A3173" w:rsidRDefault="00240165" w:rsidP="005A3173">
          <w:pPr>
            <w:rPr>
              <w:color w:val="365F91"/>
              <w:sz w:val="22"/>
              <w:szCs w:val="22"/>
            </w:rPr>
          </w:pPr>
        </w:p>
      </w:tc>
      <w:tc>
        <w:tcPr>
          <w:tcW w:w="2250" w:type="pct"/>
          <w:tcBorders>
            <w:top w:val="single" w:sz="4" w:space="0" w:color="4F81BD"/>
            <w:left w:val="nil"/>
            <w:bottom w:val="nil"/>
            <w:right w:val="nil"/>
          </w:tcBorders>
        </w:tcPr>
        <w:p w14:paraId="77FEEEB1" w14:textId="77777777" w:rsidR="00240165" w:rsidRPr="005A3173" w:rsidRDefault="00240165" w:rsidP="005A3173">
          <w:pPr>
            <w:spacing w:line="276" w:lineRule="auto"/>
            <w:rPr>
              <w:rFonts w:eastAsia="MS Gothic"/>
              <w:b/>
              <w:bCs/>
              <w:color w:val="4F81BD"/>
            </w:rPr>
          </w:pPr>
        </w:p>
      </w:tc>
    </w:tr>
  </w:tbl>
  <w:tbl>
    <w:tblPr>
      <w:tblpPr w:leftFromText="187" w:rightFromText="187" w:bottomFromText="200" w:vertAnchor="text" w:tblpY="1"/>
      <w:tblW w:w="5000" w:type="pct"/>
      <w:tblLook w:val="04A0" w:firstRow="1" w:lastRow="0" w:firstColumn="1" w:lastColumn="0" w:noHBand="0" w:noVBand="1"/>
    </w:tblPr>
    <w:tblGrid>
      <w:gridCol w:w="3839"/>
      <w:gridCol w:w="1347"/>
      <w:gridCol w:w="3840"/>
    </w:tblGrid>
    <w:tr w:rsidR="00240165" w14:paraId="434C4AE3" w14:textId="77777777" w:rsidTr="005A3173">
      <w:trPr>
        <w:trHeight w:val="151"/>
      </w:trPr>
      <w:tc>
        <w:tcPr>
          <w:tcW w:w="2250" w:type="pct"/>
          <w:tcBorders>
            <w:top w:val="nil"/>
            <w:left w:val="nil"/>
            <w:bottom w:val="single" w:sz="4" w:space="0" w:color="4F81BD"/>
            <w:right w:val="nil"/>
          </w:tcBorders>
        </w:tcPr>
        <w:p w14:paraId="556410DA" w14:textId="77777777" w:rsidR="00240165" w:rsidRPr="005A3173" w:rsidRDefault="00240165" w:rsidP="005A3173">
          <w:pPr>
            <w:spacing w:line="276" w:lineRule="auto"/>
            <w:rPr>
              <w:rFonts w:eastAsia="MS Gothic"/>
              <w:b/>
              <w:bCs/>
              <w:color w:val="4F81BD"/>
            </w:rPr>
          </w:pPr>
        </w:p>
      </w:tc>
      <w:tc>
        <w:tcPr>
          <w:tcW w:w="500" w:type="pct"/>
          <w:vMerge w:val="restart"/>
          <w:noWrap/>
          <w:vAlign w:val="center"/>
          <w:hideMark/>
        </w:tcPr>
        <w:p w14:paraId="7AE76BBC" w14:textId="77777777" w:rsidR="00240165" w:rsidRPr="005A3173" w:rsidRDefault="00240165" w:rsidP="005A3173">
          <w:pPr>
            <w:spacing w:line="276" w:lineRule="auto"/>
            <w:rPr>
              <w:color w:val="365F91"/>
            </w:rPr>
          </w:pPr>
          <w:r w:rsidRPr="005A3173">
            <w:rPr>
              <w:rFonts w:ascii="Cambria" w:hAnsi="Cambria"/>
              <w:color w:val="365F91"/>
            </w:rPr>
            <w:t>[Type text]</w:t>
          </w:r>
        </w:p>
      </w:tc>
      <w:tc>
        <w:tcPr>
          <w:tcW w:w="2250" w:type="pct"/>
          <w:tcBorders>
            <w:top w:val="nil"/>
            <w:left w:val="nil"/>
            <w:bottom w:val="single" w:sz="4" w:space="0" w:color="4F81BD"/>
            <w:right w:val="nil"/>
          </w:tcBorders>
        </w:tcPr>
        <w:p w14:paraId="1B1D04C2" w14:textId="77777777" w:rsidR="00240165" w:rsidRPr="005A3173" w:rsidRDefault="00240165" w:rsidP="005A3173">
          <w:pPr>
            <w:spacing w:line="276" w:lineRule="auto"/>
            <w:rPr>
              <w:rFonts w:eastAsia="MS Gothic"/>
              <w:b/>
              <w:bCs/>
              <w:color w:val="4F81BD"/>
            </w:rPr>
          </w:pPr>
        </w:p>
      </w:tc>
    </w:tr>
    <w:tr w:rsidR="00240165" w14:paraId="2F5EEC4C" w14:textId="77777777" w:rsidTr="005A3173">
      <w:trPr>
        <w:trHeight w:val="150"/>
      </w:trPr>
      <w:tc>
        <w:tcPr>
          <w:tcW w:w="2250" w:type="pct"/>
          <w:tcBorders>
            <w:top w:val="single" w:sz="4" w:space="0" w:color="4F81BD"/>
            <w:left w:val="nil"/>
            <w:bottom w:val="nil"/>
            <w:right w:val="nil"/>
          </w:tcBorders>
        </w:tcPr>
        <w:p w14:paraId="60E1BA15" w14:textId="77777777" w:rsidR="00240165" w:rsidRPr="005A3173" w:rsidRDefault="00240165" w:rsidP="005A3173">
          <w:pPr>
            <w:spacing w:line="276" w:lineRule="auto"/>
            <w:rPr>
              <w:rFonts w:eastAsia="MS Gothic"/>
              <w:b/>
              <w:bCs/>
              <w:color w:val="4F81BD"/>
            </w:rPr>
          </w:pPr>
        </w:p>
      </w:tc>
      <w:tc>
        <w:tcPr>
          <w:tcW w:w="0" w:type="auto"/>
          <w:vMerge/>
          <w:vAlign w:val="center"/>
          <w:hideMark/>
        </w:tcPr>
        <w:p w14:paraId="4EACACBE" w14:textId="77777777" w:rsidR="00240165" w:rsidRPr="005A3173" w:rsidRDefault="00240165" w:rsidP="005A3173">
          <w:pPr>
            <w:rPr>
              <w:color w:val="365F91"/>
              <w:sz w:val="22"/>
              <w:szCs w:val="22"/>
            </w:rPr>
          </w:pPr>
        </w:p>
      </w:tc>
      <w:tc>
        <w:tcPr>
          <w:tcW w:w="2250" w:type="pct"/>
          <w:tcBorders>
            <w:top w:val="single" w:sz="4" w:space="0" w:color="4F81BD"/>
            <w:left w:val="nil"/>
            <w:bottom w:val="nil"/>
            <w:right w:val="nil"/>
          </w:tcBorders>
        </w:tcPr>
        <w:p w14:paraId="516BCB31" w14:textId="77777777" w:rsidR="00240165" w:rsidRPr="005A3173" w:rsidRDefault="00240165" w:rsidP="005A3173">
          <w:pPr>
            <w:spacing w:line="276" w:lineRule="auto"/>
            <w:rPr>
              <w:rFonts w:eastAsia="MS Gothic"/>
              <w:b/>
              <w:bCs/>
              <w:color w:val="4F81BD"/>
            </w:rPr>
          </w:pPr>
        </w:p>
      </w:tc>
    </w:tr>
  </w:tbl>
  <w:p w14:paraId="679BDCC0" w14:textId="77777777" w:rsidR="00240165" w:rsidRPr="007C0F57" w:rsidRDefault="00240165" w:rsidP="007C0F57">
    <w:pPr>
      <w:jc w:val="center"/>
      <w:rPr>
        <w:b/>
        <w:i/>
        <w:sz w:val="20"/>
        <w:szCs w:val="20"/>
      </w:rPr>
    </w:pPr>
    <w:r w:rsidRPr="007C0F57">
      <w:rPr>
        <w:b/>
        <w:i/>
        <w:sz w:val="20"/>
        <w:szCs w:val="20"/>
      </w:rPr>
      <w:t xml:space="preserve">Draft Minutes </w:t>
    </w:r>
    <w:r>
      <w:rPr>
        <w:b/>
        <w:i/>
        <w:sz w:val="20"/>
        <w:szCs w:val="20"/>
      </w:rPr>
      <w:t xml:space="preserve">November 2011 </w:t>
    </w:r>
    <w:r w:rsidRPr="007C0F57">
      <w:rPr>
        <w:b/>
        <w:i/>
        <w:sz w:val="20"/>
        <w:szCs w:val="20"/>
      </w:rPr>
      <w:t>P</w:t>
    </w:r>
    <w:r>
      <w:fldChar w:fldCharType="begin"/>
    </w:r>
    <w:r>
      <w:instrText xml:space="preserve"> PAGE </w:instrText>
    </w:r>
    <w:r>
      <w:fldChar w:fldCharType="separate"/>
    </w:r>
    <w:r>
      <w:rPr>
        <w:noProof/>
      </w:rPr>
      <w:t>1</w:t>
    </w:r>
    <w:r>
      <w:fldChar w:fldCharType="end"/>
    </w:r>
    <w:r w:rsidRPr="007C0F57">
      <w:rPr>
        <w:b/>
        <w:i/>
        <w:sz w:val="20"/>
        <w:szCs w:val="20"/>
      </w:rPr>
      <w:t>BAC Meeting</w:t>
    </w:r>
  </w:p>
  <w:p w14:paraId="617093FB" w14:textId="5B8395D8" w:rsidR="00240165" w:rsidRPr="007C0F57" w:rsidRDefault="00240165" w:rsidP="007C0F57">
    <w:pPr>
      <w:jc w:val="center"/>
      <w:rPr>
        <w:b/>
        <w:i/>
        <w:sz w:val="20"/>
        <w:szCs w:val="20"/>
      </w:rPr>
    </w:pPr>
    <w:r w:rsidRPr="007C0F57">
      <w:rPr>
        <w:b/>
        <w:i/>
        <w:sz w:val="20"/>
        <w:szCs w:val="20"/>
      </w:rPr>
      <w:t>Commercial</w:t>
    </w:r>
    <w:r w:rsidR="00B571FA">
      <w:rPr>
        <w:b/>
        <w:i/>
        <w:sz w:val="20"/>
        <w:szCs w:val="20"/>
      </w:rPr>
      <w:noBreakHyphen/>
    </w:r>
    <w:r w:rsidRPr="007C0F57">
      <w:rPr>
        <w:b/>
        <w:i/>
        <w:sz w:val="20"/>
        <w:szCs w:val="20"/>
      </w:rPr>
      <w:t>in</w:t>
    </w:r>
    <w:r w:rsidR="00B571FA">
      <w:rPr>
        <w:b/>
        <w:i/>
        <w:sz w:val="20"/>
        <w:szCs w:val="20"/>
      </w:rPr>
      <w:noBreakHyphen/>
    </w:r>
    <w:r w:rsidRPr="007C0F57">
      <w:rPr>
        <w:b/>
        <w:i/>
        <w:sz w:val="20"/>
        <w:szCs w:val="20"/>
      </w:rPr>
      <w:t>Confidence</w:t>
    </w:r>
  </w:p>
  <w:p w14:paraId="36E9E30B" w14:textId="77777777" w:rsidR="00240165" w:rsidRDefault="00240165"/>
  <w:p w14:paraId="419E5320" w14:textId="77777777" w:rsidR="00240165" w:rsidRDefault="00240165"/>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D3F187" w14:textId="77777777" w:rsidR="00044CB0" w:rsidRDefault="00044CB0">
      <w:r>
        <w:separator/>
      </w:r>
    </w:p>
    <w:p w14:paraId="4CE5A720" w14:textId="77777777" w:rsidR="00044CB0" w:rsidRDefault="00044CB0"/>
    <w:p w14:paraId="214963B9" w14:textId="77777777" w:rsidR="00044CB0" w:rsidRDefault="00044CB0"/>
  </w:footnote>
  <w:footnote w:type="continuationSeparator" w:id="0">
    <w:p w14:paraId="2945E336" w14:textId="77777777" w:rsidR="00044CB0" w:rsidRDefault="00044CB0">
      <w:r>
        <w:continuationSeparator/>
      </w:r>
    </w:p>
    <w:p w14:paraId="792A4A08" w14:textId="77777777" w:rsidR="00044CB0" w:rsidRDefault="00044CB0"/>
    <w:p w14:paraId="666716AE" w14:textId="77777777" w:rsidR="00044CB0" w:rsidRDefault="00044CB0"/>
  </w:footnote>
  <w:footnote w:type="continuationNotice" w:id="1">
    <w:p w14:paraId="2F047B90" w14:textId="77777777" w:rsidR="00044CB0" w:rsidRDefault="00044CB0"/>
    <w:p w14:paraId="5A051967" w14:textId="77777777" w:rsidR="00044CB0" w:rsidRDefault="00044CB0"/>
  </w:footnote>
  <w:footnote w:id="2">
    <w:p w14:paraId="40FDBF65" w14:textId="38511CAA" w:rsidR="00F24B17" w:rsidRDefault="00F24B17">
      <w:pPr>
        <w:pStyle w:val="FootnoteText"/>
      </w:pPr>
      <w:r>
        <w:rPr>
          <w:rStyle w:val="FootnoteReference"/>
        </w:rPr>
        <w:footnoteRef/>
      </w:r>
      <w:r>
        <w:t xml:space="preserve"> </w:t>
      </w:r>
      <w:hyperlink r:id="rId1" w:history="1">
        <w:r>
          <w:rPr>
            <w:rStyle w:val="Hyperlink"/>
          </w:rPr>
          <w:t>https://www.health.gov.au/sites/default/files/2024</w:t>
        </w:r>
        <w:r w:rsidR="00B571FA">
          <w:rPr>
            <w:rStyle w:val="Hyperlink"/>
          </w:rPr>
          <w:noBreakHyphen/>
        </w:r>
        <w:r>
          <w:rPr>
            <w:rStyle w:val="Hyperlink"/>
          </w:rPr>
          <w:t>12/first</w:t>
        </w:r>
        <w:r w:rsidR="00B571FA">
          <w:rPr>
            <w:rStyle w:val="Hyperlink"/>
          </w:rPr>
          <w:noBreakHyphen/>
        </w:r>
        <w:r>
          <w:rPr>
            <w:rStyle w:val="Hyperlink"/>
          </w:rPr>
          <w:t>pharmaceutical</w:t>
        </w:r>
        <w:r w:rsidR="00B571FA">
          <w:rPr>
            <w:rStyle w:val="Hyperlink"/>
          </w:rPr>
          <w:noBreakHyphen/>
        </w:r>
        <w:r>
          <w:rPr>
            <w:rStyle w:val="Hyperlink"/>
          </w:rPr>
          <w:t>wholesaler</w:t>
        </w:r>
        <w:r w:rsidR="00B571FA">
          <w:rPr>
            <w:rStyle w:val="Hyperlink"/>
          </w:rPr>
          <w:noBreakHyphen/>
        </w:r>
        <w:r>
          <w:rPr>
            <w:rStyle w:val="Hyperlink"/>
          </w:rPr>
          <w:t>agreement</w:t>
        </w:r>
        <w:r w:rsidR="00B571FA">
          <w:rPr>
            <w:rStyle w:val="Hyperlink"/>
          </w:rPr>
          <w:noBreakHyphen/>
        </w:r>
        <w:r>
          <w:rPr>
            <w:rStyle w:val="Hyperlink"/>
          </w:rPr>
          <w:t>1pwa.pdf</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leftFromText="187" w:rightFromText="187" w:bottomFromText="200" w:vertAnchor="text" w:tblpY="1"/>
      <w:tblW w:w="4937" w:type="pct"/>
      <w:tblLook w:val="04A0" w:firstRow="1" w:lastRow="0" w:firstColumn="1" w:lastColumn="0" w:noHBand="0" w:noVBand="1"/>
    </w:tblPr>
    <w:tblGrid>
      <w:gridCol w:w="3881"/>
      <w:gridCol w:w="1347"/>
      <w:gridCol w:w="3684"/>
    </w:tblGrid>
    <w:tr w:rsidR="00240165" w:rsidRPr="008E0D90" w14:paraId="263B07EE" w14:textId="77777777" w:rsidTr="00A06225">
      <w:trPr>
        <w:trHeight w:val="151"/>
      </w:trPr>
      <w:tc>
        <w:tcPr>
          <w:tcW w:w="2389" w:type="pct"/>
          <w:tcBorders>
            <w:top w:val="nil"/>
            <w:left w:val="nil"/>
            <w:bottom w:val="single" w:sz="4" w:space="0" w:color="4F81BD"/>
            <w:right w:val="nil"/>
          </w:tcBorders>
        </w:tcPr>
        <w:p w14:paraId="4C63CCAF" w14:textId="40273642" w:rsidR="00240165" w:rsidRPr="00A06225" w:rsidRDefault="000C7F11">
          <w:pPr>
            <w:spacing w:line="276" w:lineRule="auto"/>
            <w:rPr>
              <w:rFonts w:ascii="Cambria" w:eastAsia="MS Gothic" w:hAnsi="Cambria"/>
              <w:b/>
              <w:bCs/>
              <w:color w:val="4F81BD"/>
            </w:rPr>
          </w:pPr>
          <w:r>
            <w:rPr>
              <w:rFonts w:ascii="Cambria" w:eastAsia="MS Gothic" w:hAnsi="Cambria"/>
              <w:b/>
              <w:bCs/>
              <w:noProof/>
              <w:color w:val="4F81BD"/>
            </w:rPr>
            <mc:AlternateContent>
              <mc:Choice Requires="wps">
                <w:drawing>
                  <wp:anchor distT="0" distB="0" distL="0" distR="0" simplePos="0" relativeHeight="251658241" behindDoc="0" locked="0" layoutInCell="1" allowOverlap="1" wp14:anchorId="3B595333" wp14:editId="31D22A45">
                    <wp:simplePos x="635" y="635"/>
                    <wp:positionH relativeFrom="page">
                      <wp:align>center</wp:align>
                    </wp:positionH>
                    <wp:positionV relativeFrom="page">
                      <wp:align>top</wp:align>
                    </wp:positionV>
                    <wp:extent cx="622300" cy="376555"/>
                    <wp:effectExtent l="0" t="0" r="6350" b="4445"/>
                    <wp:wrapNone/>
                    <wp:docPr id="303590448"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22300" cy="376555"/>
                            </a:xfrm>
                            <a:prstGeom prst="rect">
                              <a:avLst/>
                            </a:prstGeom>
                            <a:noFill/>
                            <a:ln>
                              <a:noFill/>
                            </a:ln>
                          </wps:spPr>
                          <wps:txbx>
                            <w:txbxContent>
                              <w:p w14:paraId="74145F8B" w14:textId="4CA24783" w:rsidR="000C7F11" w:rsidRPr="000C7F11" w:rsidRDefault="000C7F11" w:rsidP="000C7F11">
                                <w:pPr>
                                  <w:rPr>
                                    <w:rFonts w:ascii="Aptos" w:eastAsia="Aptos" w:hAnsi="Aptos" w:cs="Aptos"/>
                                    <w:noProof/>
                                    <w:color w:val="FF0000"/>
                                  </w:rPr>
                                </w:pPr>
                                <w:r w:rsidRPr="000C7F11">
                                  <w:rPr>
                                    <w:rFonts w:ascii="Aptos" w:eastAsia="Aptos" w:hAnsi="Aptos" w:cs="Aptos"/>
                                    <w:noProof/>
                                    <w:color w:val="FF000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3B595333" id="_x0000_t202" coordsize="21600,21600" o:spt="202" path="m,l,21600r21600,l21600,xe">
                    <v:stroke joinstyle="miter"/>
                    <v:path gradientshapeok="t" o:connecttype="rect"/>
                  </v:shapetype>
                  <v:shape id="Text Box 2" o:spid="_x0000_s1026" type="#_x0000_t202" alt="OFFICIAL" style="position:absolute;left:0;text-align:left;margin-left:0;margin-top:0;width:49pt;height:29.65pt;z-index:251658241;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" filled="f" stroked="f">
                    <v:textbox style="mso-fit-shape-to-text:t" inset="0,15pt,0,0">
                      <w:txbxContent>
                        <w:p w14:paraId="74145F8B" w14:textId="4CA24783" w:rsidR="000C7F11" w:rsidRPr="000C7F11" w:rsidRDefault="000C7F11" w:rsidP="000C7F11">
                          <w:pPr>
                            <w:rPr>
                              <w:rFonts w:ascii="Aptos" w:eastAsia="Aptos" w:hAnsi="Aptos" w:cs="Aptos"/>
                              <w:noProof/>
                              <w:color w:val="FF0000"/>
                            </w:rPr>
                          </w:pPr>
                          <w:r w:rsidRPr="000C7F11">
                            <w:rPr>
                              <w:rFonts w:ascii="Aptos" w:eastAsia="Aptos" w:hAnsi="Aptos" w:cs="Aptos"/>
                              <w:noProof/>
                              <w:color w:val="FF0000"/>
                            </w:rPr>
                            <w:t>OFFICIAL</w:t>
                          </w:r>
                        </w:p>
                      </w:txbxContent>
                    </v:textbox>
                    <w10:wrap anchorx="page" anchory="page"/>
                  </v:shape>
                </w:pict>
              </mc:Fallback>
            </mc:AlternateContent>
          </w:r>
        </w:p>
      </w:tc>
      <w:tc>
        <w:tcPr>
          <w:tcW w:w="333" w:type="pct"/>
          <w:vMerge w:val="restart"/>
          <w:noWrap/>
          <w:vAlign w:val="center"/>
          <w:hideMark/>
        </w:tcPr>
        <w:p w14:paraId="2BB03196" w14:textId="77777777" w:rsidR="00240165" w:rsidRPr="00A06225" w:rsidRDefault="00240165" w:rsidP="00A06225">
          <w:pPr>
            <w:rPr>
              <w:rFonts w:ascii="Cambria" w:hAnsi="Cambria"/>
              <w:color w:val="4F81BD"/>
              <w:szCs w:val="20"/>
            </w:rPr>
          </w:pPr>
          <w:r w:rsidRPr="00A06225">
            <w:rPr>
              <w:rFonts w:ascii="Cambria" w:hAnsi="Cambria"/>
              <w:color w:val="4F81BD"/>
            </w:rPr>
            <w:t>[Type text]</w:t>
          </w:r>
        </w:p>
      </w:tc>
      <w:tc>
        <w:tcPr>
          <w:tcW w:w="2278" w:type="pct"/>
          <w:tcBorders>
            <w:top w:val="nil"/>
            <w:left w:val="nil"/>
            <w:bottom w:val="single" w:sz="4" w:space="0" w:color="4F81BD"/>
            <w:right w:val="nil"/>
          </w:tcBorders>
        </w:tcPr>
        <w:p w14:paraId="216B236E" w14:textId="77777777" w:rsidR="00240165" w:rsidRPr="00A06225" w:rsidRDefault="00240165">
          <w:pPr>
            <w:spacing w:line="276" w:lineRule="auto"/>
            <w:rPr>
              <w:rFonts w:ascii="Cambria" w:eastAsia="MS Gothic" w:hAnsi="Cambria"/>
              <w:b/>
              <w:bCs/>
              <w:color w:val="4F81BD"/>
            </w:rPr>
          </w:pPr>
        </w:p>
      </w:tc>
    </w:tr>
    <w:tr w:rsidR="00240165" w:rsidRPr="008E0D90" w14:paraId="21F98E14" w14:textId="77777777" w:rsidTr="00A06225">
      <w:trPr>
        <w:trHeight w:val="150"/>
      </w:trPr>
      <w:tc>
        <w:tcPr>
          <w:tcW w:w="2389" w:type="pct"/>
          <w:tcBorders>
            <w:top w:val="single" w:sz="4" w:space="0" w:color="4F81BD"/>
            <w:left w:val="nil"/>
            <w:bottom w:val="nil"/>
            <w:right w:val="nil"/>
          </w:tcBorders>
        </w:tcPr>
        <w:p w14:paraId="41AC0E8D" w14:textId="77777777" w:rsidR="00240165" w:rsidRPr="00A06225" w:rsidRDefault="00240165">
          <w:pPr>
            <w:spacing w:line="276" w:lineRule="auto"/>
            <w:rPr>
              <w:rFonts w:ascii="Cambria" w:eastAsia="MS Gothic" w:hAnsi="Cambria"/>
              <w:b/>
              <w:bCs/>
              <w:color w:val="4F81BD"/>
            </w:rPr>
          </w:pPr>
        </w:p>
      </w:tc>
      <w:tc>
        <w:tcPr>
          <w:tcW w:w="0" w:type="auto"/>
          <w:vMerge/>
          <w:vAlign w:val="center"/>
          <w:hideMark/>
        </w:tcPr>
        <w:p w14:paraId="00B70FF1" w14:textId="77777777" w:rsidR="00240165" w:rsidRPr="00A06225" w:rsidRDefault="00240165">
          <w:pPr>
            <w:rPr>
              <w:rFonts w:ascii="Cambria" w:hAnsi="Cambria"/>
              <w:color w:val="4F81BD"/>
              <w:sz w:val="22"/>
              <w:szCs w:val="22"/>
            </w:rPr>
          </w:pPr>
        </w:p>
      </w:tc>
      <w:tc>
        <w:tcPr>
          <w:tcW w:w="2278" w:type="pct"/>
          <w:tcBorders>
            <w:top w:val="single" w:sz="4" w:space="0" w:color="4F81BD"/>
            <w:left w:val="nil"/>
            <w:bottom w:val="nil"/>
            <w:right w:val="nil"/>
          </w:tcBorders>
        </w:tcPr>
        <w:p w14:paraId="09EB466E" w14:textId="77777777" w:rsidR="00240165" w:rsidRPr="00A06225" w:rsidRDefault="00240165">
          <w:pPr>
            <w:spacing w:line="276" w:lineRule="auto"/>
            <w:rPr>
              <w:rFonts w:ascii="Cambria" w:eastAsia="MS Gothic" w:hAnsi="Cambria"/>
              <w:b/>
              <w:bCs/>
              <w:color w:val="4F81BD"/>
            </w:rPr>
          </w:pPr>
        </w:p>
      </w:tc>
    </w:tr>
  </w:tbl>
  <w:p w14:paraId="7DCC695F" w14:textId="77777777" w:rsidR="00240165" w:rsidRDefault="00240165"/>
  <w:p w14:paraId="25F34A60" w14:textId="77777777" w:rsidR="00240165" w:rsidRDefault="00240165"/>
  <w:p w14:paraId="571F4956" w14:textId="77777777" w:rsidR="00240165" w:rsidRDefault="00240165"/>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4D45E5" w14:textId="4D669D4B" w:rsidR="00774465" w:rsidRPr="00C56D78" w:rsidRDefault="000C7F11" w:rsidP="00774465">
    <w:pPr>
      <w:keepNext/>
      <w:tabs>
        <w:tab w:val="center" w:pos="4513"/>
        <w:tab w:val="right" w:pos="9026"/>
      </w:tabs>
      <w:jc w:val="center"/>
      <w:rPr>
        <w:rFonts w:asciiTheme="minorHAnsi" w:eastAsiaTheme="minorEastAsia" w:hAnsiTheme="minorHAnsi" w:cstheme="minorHAnsi"/>
        <w:i/>
        <w:color w:val="808080"/>
      </w:rPr>
    </w:pPr>
    <w:r>
      <w:rPr>
        <w:rFonts w:asciiTheme="minorHAnsi" w:eastAsiaTheme="minorEastAsia" w:hAnsiTheme="minorHAnsi" w:cstheme="minorHAnsi"/>
        <w:i/>
        <w:noProof/>
        <w:color w:val="808080"/>
      </w:rPr>
      <mc:AlternateContent>
        <mc:Choice Requires="wps">
          <w:drawing>
            <wp:anchor distT="0" distB="0" distL="0" distR="0" simplePos="0" relativeHeight="251658242" behindDoc="0" locked="0" layoutInCell="1" allowOverlap="1" wp14:anchorId="3A4ECE30" wp14:editId="7F5A8869">
              <wp:simplePos x="635" y="635"/>
              <wp:positionH relativeFrom="page">
                <wp:align>center</wp:align>
              </wp:positionH>
              <wp:positionV relativeFrom="page">
                <wp:align>top</wp:align>
              </wp:positionV>
              <wp:extent cx="622300" cy="376555"/>
              <wp:effectExtent l="0" t="0" r="6350" b="4445"/>
              <wp:wrapNone/>
              <wp:docPr id="1823630220" name="Text Box 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22300" cy="376555"/>
                      </a:xfrm>
                      <a:prstGeom prst="rect">
                        <a:avLst/>
                      </a:prstGeom>
                      <a:noFill/>
                      <a:ln>
                        <a:noFill/>
                      </a:ln>
                    </wps:spPr>
                    <wps:txbx>
                      <w:txbxContent>
                        <w:p w14:paraId="12AF612A" w14:textId="6D2F4DB7" w:rsidR="000C7F11" w:rsidRPr="000C7F11" w:rsidRDefault="000C7F11" w:rsidP="000C7F11">
                          <w:pPr>
                            <w:rPr>
                              <w:rFonts w:ascii="Aptos" w:eastAsia="Aptos" w:hAnsi="Aptos" w:cs="Aptos"/>
                              <w:noProof/>
                              <w:color w:val="FF0000"/>
                            </w:rPr>
                          </w:pPr>
                          <w:r w:rsidRPr="000C7F11">
                            <w:rPr>
                              <w:rFonts w:ascii="Aptos" w:eastAsia="Aptos" w:hAnsi="Aptos" w:cs="Aptos"/>
                              <w:noProof/>
                              <w:color w:val="FF000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3A4ECE30" id="_x0000_t202" coordsize="21600,21600" o:spt="202" path="m,l,21600r21600,l21600,xe">
              <v:stroke joinstyle="miter"/>
              <v:path gradientshapeok="t" o:connecttype="rect"/>
            </v:shapetype>
            <v:shape id="Text Box 3" o:spid="_x0000_s1027" type="#_x0000_t202" alt="OFFICIAL" style="position:absolute;left:0;text-align:left;margin-left:0;margin-top:0;width:49pt;height:29.65pt;z-index:25165824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" filled="f" stroked="f">
              <v:textbox style="mso-fit-shape-to-text:t" inset="0,15pt,0,0">
                <w:txbxContent>
                  <w:p w14:paraId="12AF612A" w14:textId="6D2F4DB7" w:rsidR="000C7F11" w:rsidRPr="000C7F11" w:rsidRDefault="000C7F11" w:rsidP="000C7F11">
                    <w:pPr>
                      <w:rPr>
                        <w:rFonts w:ascii="Aptos" w:eastAsia="Aptos" w:hAnsi="Aptos" w:cs="Aptos"/>
                        <w:noProof/>
                        <w:color w:val="FF0000"/>
                      </w:rPr>
                    </w:pPr>
                    <w:r w:rsidRPr="000C7F11">
                      <w:rPr>
                        <w:rFonts w:ascii="Aptos" w:eastAsia="Aptos" w:hAnsi="Aptos" w:cs="Aptos"/>
                        <w:noProof/>
                        <w:color w:val="FF0000"/>
                      </w:rPr>
                      <w:t>OFFICIAL</w:t>
                    </w:r>
                  </w:p>
                </w:txbxContent>
              </v:textbox>
              <w10:wrap anchorx="page" anchory="page"/>
            </v:shape>
          </w:pict>
        </mc:Fallback>
      </mc:AlternateContent>
    </w:r>
    <w:r w:rsidR="00C8657E">
      <w:rPr>
        <w:rFonts w:asciiTheme="minorHAnsi" w:eastAsiaTheme="minorEastAsia" w:hAnsiTheme="minorHAnsi" w:cstheme="minorHAnsi"/>
        <w:i/>
        <w:color w:val="808080"/>
      </w:rPr>
      <w:t>Public Summary Document</w:t>
    </w:r>
    <w:r w:rsidR="00265ED8">
      <w:rPr>
        <w:rFonts w:asciiTheme="minorHAnsi" w:eastAsiaTheme="minorEastAsia" w:hAnsiTheme="minorHAnsi" w:cstheme="minorHAnsi"/>
        <w:i/>
        <w:color w:val="808080"/>
      </w:rPr>
      <w:t xml:space="preserve"> </w:t>
    </w:r>
    <w:r w:rsidR="00774465">
      <w:rPr>
        <w:rFonts w:asciiTheme="minorHAnsi" w:eastAsiaTheme="minorEastAsia" w:hAnsiTheme="minorHAnsi" w:cstheme="minorHAnsi"/>
        <w:i/>
        <w:color w:val="808080"/>
      </w:rPr>
      <w:t xml:space="preserve">– </w:t>
    </w:r>
    <w:r w:rsidR="00DC7F41">
      <w:rPr>
        <w:rFonts w:asciiTheme="minorHAnsi" w:eastAsiaTheme="minorEastAsia" w:hAnsiTheme="minorHAnsi" w:cstheme="minorHAnsi"/>
        <w:i/>
        <w:color w:val="808080"/>
      </w:rPr>
      <w:t xml:space="preserve">March </w:t>
    </w:r>
    <w:r w:rsidR="005A329B">
      <w:rPr>
        <w:rFonts w:asciiTheme="minorHAnsi" w:eastAsiaTheme="minorEastAsia" w:hAnsiTheme="minorHAnsi" w:cstheme="minorHAnsi"/>
        <w:i/>
        <w:color w:val="808080"/>
      </w:rPr>
      <w:t>2</w:t>
    </w:r>
    <w:r w:rsidR="00DC7F41">
      <w:rPr>
        <w:rFonts w:asciiTheme="minorHAnsi" w:eastAsiaTheme="minorEastAsia" w:hAnsiTheme="minorHAnsi" w:cstheme="minorHAnsi"/>
        <w:i/>
        <w:color w:val="808080"/>
      </w:rPr>
      <w:t>0</w:t>
    </w:r>
    <w:r w:rsidR="005A329B">
      <w:rPr>
        <w:rFonts w:asciiTheme="minorHAnsi" w:eastAsiaTheme="minorEastAsia" w:hAnsiTheme="minorHAnsi" w:cstheme="minorHAnsi"/>
        <w:i/>
        <w:color w:val="808080"/>
      </w:rPr>
      <w:t>26</w:t>
    </w:r>
    <w:r w:rsidR="00774465" w:rsidRPr="00C56D78">
      <w:rPr>
        <w:rFonts w:asciiTheme="minorHAnsi" w:eastAsiaTheme="minorEastAsia" w:hAnsiTheme="minorHAnsi" w:cstheme="minorHAnsi"/>
        <w:i/>
        <w:color w:val="808080"/>
      </w:rPr>
      <w:t xml:space="preserve"> PBAC Meeting</w:t>
    </w:r>
  </w:p>
  <w:p w14:paraId="74A766A4" w14:textId="77777777" w:rsidR="00240165" w:rsidRDefault="00240165" w:rsidP="0077446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729728" w14:textId="57501713" w:rsidR="00BE220D" w:rsidRDefault="000C7F11">
    <w:pPr>
      <w:pStyle w:val="Header"/>
    </w:pPr>
    <w:r>
      <w:rPr>
        <w:noProof/>
      </w:rPr>
      <mc:AlternateContent>
        <mc:Choice Requires="wps">
          <w:drawing>
            <wp:anchor distT="0" distB="0" distL="0" distR="0" simplePos="0" relativeHeight="251658240" behindDoc="0" locked="0" layoutInCell="1" allowOverlap="1" wp14:anchorId="5148AA76" wp14:editId="26BA81CC">
              <wp:simplePos x="635" y="635"/>
              <wp:positionH relativeFrom="page">
                <wp:align>center</wp:align>
              </wp:positionH>
              <wp:positionV relativeFrom="page">
                <wp:align>top</wp:align>
              </wp:positionV>
              <wp:extent cx="622300" cy="376555"/>
              <wp:effectExtent l="0" t="0" r="6350" b="4445"/>
              <wp:wrapNone/>
              <wp:docPr id="1076404529"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22300" cy="376555"/>
                      </a:xfrm>
                      <a:prstGeom prst="rect">
                        <a:avLst/>
                      </a:prstGeom>
                      <a:noFill/>
                      <a:ln>
                        <a:noFill/>
                      </a:ln>
                    </wps:spPr>
                    <wps:txbx>
                      <w:txbxContent>
                        <w:p w14:paraId="4DED11AC" w14:textId="1ACBCB87" w:rsidR="000C7F11" w:rsidRPr="000C7F11" w:rsidRDefault="000C7F11" w:rsidP="000C7F11">
                          <w:pPr>
                            <w:rPr>
                              <w:rFonts w:ascii="Aptos" w:eastAsia="Aptos" w:hAnsi="Aptos" w:cs="Aptos"/>
                              <w:noProof/>
                              <w:color w:val="FF0000"/>
                            </w:rPr>
                          </w:pPr>
                          <w:r w:rsidRPr="000C7F11">
                            <w:rPr>
                              <w:rFonts w:ascii="Aptos" w:eastAsia="Aptos" w:hAnsi="Aptos" w:cs="Aptos"/>
                              <w:noProof/>
                              <w:color w:val="FF000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5148AA76" id="_x0000_t202" coordsize="21600,21600" o:spt="202" path="m,l,21600r21600,l21600,xe">
              <v:stroke joinstyle="miter"/>
              <v:path gradientshapeok="t" o:connecttype="rect"/>
            </v:shapetype>
            <v:shape id="Text Box 1" o:spid="_x0000_s1030" type="#_x0000_t202" alt="OFFICIAL" style="position:absolute;left:0;text-align:left;margin-left:0;margin-top:0;width:49pt;height:29.65pt;z-index:2516582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" filled="f" stroked="f">
              <v:textbox style="mso-fit-shape-to-text:t" inset="0,15pt,0,0">
                <w:txbxContent>
                  <w:p w14:paraId="4DED11AC" w14:textId="1ACBCB87" w:rsidR="000C7F11" w:rsidRPr="000C7F11" w:rsidRDefault="000C7F11" w:rsidP="000C7F11">
                    <w:pPr>
                      <w:rPr>
                        <w:rFonts w:ascii="Aptos" w:eastAsia="Aptos" w:hAnsi="Aptos" w:cs="Aptos"/>
                        <w:noProof/>
                        <w:color w:val="FF0000"/>
                      </w:rPr>
                    </w:pPr>
                    <w:r w:rsidRPr="000C7F11">
                      <w:rPr>
                        <w:rFonts w:ascii="Aptos" w:eastAsia="Aptos" w:hAnsi="Aptos" w:cs="Aptos"/>
                        <w:noProof/>
                        <w:color w:val="FF0000"/>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D60B2"/>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08D4654B"/>
    <w:multiLevelType w:val="hybridMultilevel"/>
    <w:tmpl w:val="81F2B3E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AAF0EBA"/>
    <w:multiLevelType w:val="multilevel"/>
    <w:tmpl w:val="642C45D8"/>
    <w:lvl w:ilvl="0">
      <w:start w:val="1"/>
      <w:numFmt w:val="decimal"/>
      <w:lvlText w:val="%1"/>
      <w:lvlJc w:val="left"/>
      <w:pPr>
        <w:ind w:left="720" w:hanging="720"/>
      </w:pPr>
      <w:rPr>
        <w:rFonts w:hint="default"/>
        <w:b/>
      </w:rPr>
    </w:lvl>
    <w:lvl w:ilvl="1">
      <w:start w:val="1"/>
      <w:numFmt w:val="bullet"/>
      <w:lvlText w:val=""/>
      <w:lvlJc w:val="left"/>
      <w:pPr>
        <w:ind w:left="720" w:hanging="720"/>
      </w:pPr>
      <w:rPr>
        <w:rFonts w:ascii="Symbol" w:hAnsi="Symbol" w:hint="default"/>
        <w:b w:val="0"/>
        <w:i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F95032F"/>
    <w:multiLevelType w:val="hybridMultilevel"/>
    <w:tmpl w:val="BC406B56"/>
    <w:lvl w:ilvl="0" w:tplc="235024F2">
      <w:start w:val="1"/>
      <w:numFmt w:val="bullet"/>
      <w:lvlText w:val=""/>
      <w:lvlJc w:val="left"/>
      <w:pPr>
        <w:ind w:left="1080" w:hanging="360"/>
      </w:pPr>
      <w:rPr>
        <w:rFonts w:ascii="Symbol" w:hAnsi="Symbol"/>
      </w:rPr>
    </w:lvl>
    <w:lvl w:ilvl="1" w:tplc="C30A0234">
      <w:start w:val="1"/>
      <w:numFmt w:val="bullet"/>
      <w:lvlText w:val=""/>
      <w:lvlJc w:val="left"/>
      <w:pPr>
        <w:ind w:left="1080" w:hanging="360"/>
      </w:pPr>
      <w:rPr>
        <w:rFonts w:ascii="Symbol" w:hAnsi="Symbol"/>
      </w:rPr>
    </w:lvl>
    <w:lvl w:ilvl="2" w:tplc="F5AEBB9E">
      <w:start w:val="1"/>
      <w:numFmt w:val="bullet"/>
      <w:lvlText w:val=""/>
      <w:lvlJc w:val="left"/>
      <w:pPr>
        <w:ind w:left="1080" w:hanging="360"/>
      </w:pPr>
      <w:rPr>
        <w:rFonts w:ascii="Symbol" w:hAnsi="Symbol"/>
      </w:rPr>
    </w:lvl>
    <w:lvl w:ilvl="3" w:tplc="33546FFE">
      <w:start w:val="1"/>
      <w:numFmt w:val="bullet"/>
      <w:lvlText w:val=""/>
      <w:lvlJc w:val="left"/>
      <w:pPr>
        <w:ind w:left="1080" w:hanging="360"/>
      </w:pPr>
      <w:rPr>
        <w:rFonts w:ascii="Symbol" w:hAnsi="Symbol"/>
      </w:rPr>
    </w:lvl>
    <w:lvl w:ilvl="4" w:tplc="F8627380">
      <w:start w:val="1"/>
      <w:numFmt w:val="bullet"/>
      <w:lvlText w:val=""/>
      <w:lvlJc w:val="left"/>
      <w:pPr>
        <w:ind w:left="1080" w:hanging="360"/>
      </w:pPr>
      <w:rPr>
        <w:rFonts w:ascii="Symbol" w:hAnsi="Symbol"/>
      </w:rPr>
    </w:lvl>
    <w:lvl w:ilvl="5" w:tplc="82962228">
      <w:start w:val="1"/>
      <w:numFmt w:val="bullet"/>
      <w:lvlText w:val=""/>
      <w:lvlJc w:val="left"/>
      <w:pPr>
        <w:ind w:left="1080" w:hanging="360"/>
      </w:pPr>
      <w:rPr>
        <w:rFonts w:ascii="Symbol" w:hAnsi="Symbol"/>
      </w:rPr>
    </w:lvl>
    <w:lvl w:ilvl="6" w:tplc="BF0A81D8">
      <w:start w:val="1"/>
      <w:numFmt w:val="bullet"/>
      <w:lvlText w:val=""/>
      <w:lvlJc w:val="left"/>
      <w:pPr>
        <w:ind w:left="1080" w:hanging="360"/>
      </w:pPr>
      <w:rPr>
        <w:rFonts w:ascii="Symbol" w:hAnsi="Symbol"/>
      </w:rPr>
    </w:lvl>
    <w:lvl w:ilvl="7" w:tplc="D008380E">
      <w:start w:val="1"/>
      <w:numFmt w:val="bullet"/>
      <w:lvlText w:val=""/>
      <w:lvlJc w:val="left"/>
      <w:pPr>
        <w:ind w:left="1080" w:hanging="360"/>
      </w:pPr>
      <w:rPr>
        <w:rFonts w:ascii="Symbol" w:hAnsi="Symbol"/>
      </w:rPr>
    </w:lvl>
    <w:lvl w:ilvl="8" w:tplc="021C41C0">
      <w:start w:val="1"/>
      <w:numFmt w:val="bullet"/>
      <w:lvlText w:val=""/>
      <w:lvlJc w:val="left"/>
      <w:pPr>
        <w:ind w:left="1080" w:hanging="360"/>
      </w:pPr>
      <w:rPr>
        <w:rFonts w:ascii="Symbol" w:hAnsi="Symbol"/>
      </w:rPr>
    </w:lvl>
  </w:abstractNum>
  <w:abstractNum w:abstractNumId="4" w15:restartNumberingAfterBreak="0">
    <w:nsid w:val="14361BEA"/>
    <w:multiLevelType w:val="hybridMultilevel"/>
    <w:tmpl w:val="48FC656A"/>
    <w:lvl w:ilvl="0" w:tplc="F62EF1C6">
      <w:start w:val="1"/>
      <w:numFmt w:val="bullet"/>
      <w:lvlText w:val="•"/>
      <w:lvlJc w:val="left"/>
      <w:pPr>
        <w:tabs>
          <w:tab w:val="num" w:pos="720"/>
        </w:tabs>
        <w:ind w:left="720" w:hanging="360"/>
      </w:pPr>
      <w:rPr>
        <w:rFonts w:ascii="Arial" w:hAnsi="Arial" w:hint="default"/>
      </w:rPr>
    </w:lvl>
    <w:lvl w:ilvl="1" w:tplc="B8F06E02">
      <w:start w:val="1"/>
      <w:numFmt w:val="bullet"/>
      <w:lvlText w:val="•"/>
      <w:lvlJc w:val="left"/>
      <w:pPr>
        <w:tabs>
          <w:tab w:val="num" w:pos="1440"/>
        </w:tabs>
        <w:ind w:left="1440" w:hanging="360"/>
      </w:pPr>
      <w:rPr>
        <w:rFonts w:ascii="Arial" w:hAnsi="Arial" w:hint="default"/>
      </w:rPr>
    </w:lvl>
    <w:lvl w:ilvl="2" w:tplc="B966FAA8" w:tentative="1">
      <w:start w:val="1"/>
      <w:numFmt w:val="bullet"/>
      <w:lvlText w:val="•"/>
      <w:lvlJc w:val="left"/>
      <w:pPr>
        <w:tabs>
          <w:tab w:val="num" w:pos="2160"/>
        </w:tabs>
        <w:ind w:left="2160" w:hanging="360"/>
      </w:pPr>
      <w:rPr>
        <w:rFonts w:ascii="Arial" w:hAnsi="Arial" w:hint="default"/>
      </w:rPr>
    </w:lvl>
    <w:lvl w:ilvl="3" w:tplc="98E86AE4" w:tentative="1">
      <w:start w:val="1"/>
      <w:numFmt w:val="bullet"/>
      <w:lvlText w:val="•"/>
      <w:lvlJc w:val="left"/>
      <w:pPr>
        <w:tabs>
          <w:tab w:val="num" w:pos="2880"/>
        </w:tabs>
        <w:ind w:left="2880" w:hanging="360"/>
      </w:pPr>
      <w:rPr>
        <w:rFonts w:ascii="Arial" w:hAnsi="Arial" w:hint="default"/>
      </w:rPr>
    </w:lvl>
    <w:lvl w:ilvl="4" w:tplc="31FCD6C8" w:tentative="1">
      <w:start w:val="1"/>
      <w:numFmt w:val="bullet"/>
      <w:lvlText w:val="•"/>
      <w:lvlJc w:val="left"/>
      <w:pPr>
        <w:tabs>
          <w:tab w:val="num" w:pos="3600"/>
        </w:tabs>
        <w:ind w:left="3600" w:hanging="360"/>
      </w:pPr>
      <w:rPr>
        <w:rFonts w:ascii="Arial" w:hAnsi="Arial" w:hint="default"/>
      </w:rPr>
    </w:lvl>
    <w:lvl w:ilvl="5" w:tplc="3BA47E56" w:tentative="1">
      <w:start w:val="1"/>
      <w:numFmt w:val="bullet"/>
      <w:lvlText w:val="•"/>
      <w:lvlJc w:val="left"/>
      <w:pPr>
        <w:tabs>
          <w:tab w:val="num" w:pos="4320"/>
        </w:tabs>
        <w:ind w:left="4320" w:hanging="360"/>
      </w:pPr>
      <w:rPr>
        <w:rFonts w:ascii="Arial" w:hAnsi="Arial" w:hint="default"/>
      </w:rPr>
    </w:lvl>
    <w:lvl w:ilvl="6" w:tplc="093EFB04" w:tentative="1">
      <w:start w:val="1"/>
      <w:numFmt w:val="bullet"/>
      <w:lvlText w:val="•"/>
      <w:lvlJc w:val="left"/>
      <w:pPr>
        <w:tabs>
          <w:tab w:val="num" w:pos="5040"/>
        </w:tabs>
        <w:ind w:left="5040" w:hanging="360"/>
      </w:pPr>
      <w:rPr>
        <w:rFonts w:ascii="Arial" w:hAnsi="Arial" w:hint="default"/>
      </w:rPr>
    </w:lvl>
    <w:lvl w:ilvl="7" w:tplc="7374C184" w:tentative="1">
      <w:start w:val="1"/>
      <w:numFmt w:val="bullet"/>
      <w:lvlText w:val="•"/>
      <w:lvlJc w:val="left"/>
      <w:pPr>
        <w:tabs>
          <w:tab w:val="num" w:pos="5760"/>
        </w:tabs>
        <w:ind w:left="5760" w:hanging="360"/>
      </w:pPr>
      <w:rPr>
        <w:rFonts w:ascii="Arial" w:hAnsi="Arial" w:hint="default"/>
      </w:rPr>
    </w:lvl>
    <w:lvl w:ilvl="8" w:tplc="9E2C76B0" w:tentative="1">
      <w:start w:val="1"/>
      <w:numFmt w:val="bullet"/>
      <w:lvlText w:val="•"/>
      <w:lvlJc w:val="left"/>
      <w:pPr>
        <w:tabs>
          <w:tab w:val="num" w:pos="6480"/>
        </w:tabs>
        <w:ind w:left="6480" w:hanging="360"/>
      </w:pPr>
      <w:rPr>
        <w:rFonts w:ascii="Arial" w:hAnsi="Arial" w:hint="default"/>
      </w:rPr>
    </w:lvl>
  </w:abstractNum>
  <w:abstractNum w:abstractNumId="5" w15:restartNumberingAfterBreak="0">
    <w:nsid w:val="18FD5075"/>
    <w:multiLevelType w:val="hybridMultilevel"/>
    <w:tmpl w:val="9F2A76EE"/>
    <w:lvl w:ilvl="0" w:tplc="FE86F4FC">
      <w:start w:val="1"/>
      <w:numFmt w:val="bullet"/>
      <w:lvlText w:val=""/>
      <w:lvlJc w:val="left"/>
      <w:pPr>
        <w:ind w:left="1800" w:hanging="360"/>
      </w:pPr>
      <w:rPr>
        <w:rFonts w:ascii="Symbol" w:hAnsi="Symbol"/>
      </w:rPr>
    </w:lvl>
    <w:lvl w:ilvl="1" w:tplc="24AC20AE">
      <w:start w:val="1"/>
      <w:numFmt w:val="bullet"/>
      <w:lvlText w:val=""/>
      <w:lvlJc w:val="left"/>
      <w:pPr>
        <w:ind w:left="1800" w:hanging="360"/>
      </w:pPr>
      <w:rPr>
        <w:rFonts w:ascii="Symbol" w:hAnsi="Symbol"/>
      </w:rPr>
    </w:lvl>
    <w:lvl w:ilvl="2" w:tplc="19308E9A">
      <w:start w:val="1"/>
      <w:numFmt w:val="bullet"/>
      <w:lvlText w:val=""/>
      <w:lvlJc w:val="left"/>
      <w:pPr>
        <w:ind w:left="1800" w:hanging="360"/>
      </w:pPr>
      <w:rPr>
        <w:rFonts w:ascii="Symbol" w:hAnsi="Symbol"/>
      </w:rPr>
    </w:lvl>
    <w:lvl w:ilvl="3" w:tplc="3ABCC69A">
      <w:start w:val="1"/>
      <w:numFmt w:val="bullet"/>
      <w:lvlText w:val=""/>
      <w:lvlJc w:val="left"/>
      <w:pPr>
        <w:ind w:left="1800" w:hanging="360"/>
      </w:pPr>
      <w:rPr>
        <w:rFonts w:ascii="Symbol" w:hAnsi="Symbol"/>
      </w:rPr>
    </w:lvl>
    <w:lvl w:ilvl="4" w:tplc="877288B0">
      <w:start w:val="1"/>
      <w:numFmt w:val="bullet"/>
      <w:lvlText w:val=""/>
      <w:lvlJc w:val="left"/>
      <w:pPr>
        <w:ind w:left="1800" w:hanging="360"/>
      </w:pPr>
      <w:rPr>
        <w:rFonts w:ascii="Symbol" w:hAnsi="Symbol"/>
      </w:rPr>
    </w:lvl>
    <w:lvl w:ilvl="5" w:tplc="29AC1E24">
      <w:start w:val="1"/>
      <w:numFmt w:val="bullet"/>
      <w:lvlText w:val=""/>
      <w:lvlJc w:val="left"/>
      <w:pPr>
        <w:ind w:left="1800" w:hanging="360"/>
      </w:pPr>
      <w:rPr>
        <w:rFonts w:ascii="Symbol" w:hAnsi="Symbol"/>
      </w:rPr>
    </w:lvl>
    <w:lvl w:ilvl="6" w:tplc="B63E101E">
      <w:start w:val="1"/>
      <w:numFmt w:val="bullet"/>
      <w:lvlText w:val=""/>
      <w:lvlJc w:val="left"/>
      <w:pPr>
        <w:ind w:left="1800" w:hanging="360"/>
      </w:pPr>
      <w:rPr>
        <w:rFonts w:ascii="Symbol" w:hAnsi="Symbol"/>
      </w:rPr>
    </w:lvl>
    <w:lvl w:ilvl="7" w:tplc="CFC2E6C0">
      <w:start w:val="1"/>
      <w:numFmt w:val="bullet"/>
      <w:lvlText w:val=""/>
      <w:lvlJc w:val="left"/>
      <w:pPr>
        <w:ind w:left="1800" w:hanging="360"/>
      </w:pPr>
      <w:rPr>
        <w:rFonts w:ascii="Symbol" w:hAnsi="Symbol"/>
      </w:rPr>
    </w:lvl>
    <w:lvl w:ilvl="8" w:tplc="123CC4E2">
      <w:start w:val="1"/>
      <w:numFmt w:val="bullet"/>
      <w:lvlText w:val=""/>
      <w:lvlJc w:val="left"/>
      <w:pPr>
        <w:ind w:left="1800" w:hanging="360"/>
      </w:pPr>
      <w:rPr>
        <w:rFonts w:ascii="Symbol" w:hAnsi="Symbol"/>
      </w:rPr>
    </w:lvl>
  </w:abstractNum>
  <w:abstractNum w:abstractNumId="6" w15:restartNumberingAfterBreak="0">
    <w:nsid w:val="1D324599"/>
    <w:multiLevelType w:val="multilevel"/>
    <w:tmpl w:val="E4FC53F4"/>
    <w:lvl w:ilvl="0">
      <w:start w:val="1"/>
      <w:numFmt w:val="decimal"/>
      <w:lvlText w:val="%1"/>
      <w:lvlJc w:val="left"/>
      <w:pPr>
        <w:ind w:left="720" w:hanging="720"/>
      </w:pPr>
      <w:rPr>
        <w:rFonts w:hint="default"/>
      </w:rPr>
    </w:lvl>
    <w:lvl w:ilvl="1">
      <w:start w:val="1"/>
      <w:numFmt w:val="bullet"/>
      <w:lvlText w:val=""/>
      <w:lvlJc w:val="left"/>
      <w:pPr>
        <w:ind w:left="360" w:hanging="360"/>
      </w:pPr>
      <w:rPr>
        <w:rFonts w:ascii="Symbol" w:hAnsi="Symbol" w:hint="default"/>
      </w:rPr>
    </w:lvl>
    <w:lvl w:ilvl="2">
      <w:start w:val="1"/>
      <w:numFmt w:val="bullet"/>
      <w:lvlText w:val=""/>
      <w:lvlJc w:val="left"/>
      <w:pPr>
        <w:ind w:left="2700" w:hanging="360"/>
      </w:pPr>
      <w:rPr>
        <w:rFonts w:ascii="Symbol" w:hAnsi="Symbol" w:hint="default"/>
      </w:rPr>
    </w:lvl>
    <w:lvl w:ilvl="3">
      <w:start w:val="1"/>
      <w:numFmt w:val="decimal"/>
      <w:lvlText w:val="%4."/>
      <w:lvlJc w:val="left"/>
      <w:pPr>
        <w:ind w:left="3240" w:hanging="360"/>
      </w:pPr>
      <w:rPr>
        <w:rFonts w:hint="default"/>
      </w:rPr>
    </w:lvl>
    <w:lvl w:ilvl="4">
      <w:start w:val="1"/>
      <w:numFmt w:val="lowerLetter"/>
      <w:lvlText w:val="%5."/>
      <w:lvlJc w:val="left"/>
      <w:pPr>
        <w:ind w:left="3960" w:hanging="360"/>
      </w:pPr>
      <w:rPr>
        <w:rFonts w:hint="default"/>
      </w:rPr>
    </w:lvl>
    <w:lvl w:ilvl="5">
      <w:start w:val="1"/>
      <w:numFmt w:val="lowerRoman"/>
      <w:lvlText w:val="%6."/>
      <w:lvlJc w:val="right"/>
      <w:pPr>
        <w:ind w:left="4680" w:hanging="180"/>
      </w:pPr>
      <w:rPr>
        <w:rFonts w:hint="default"/>
      </w:rPr>
    </w:lvl>
    <w:lvl w:ilvl="6">
      <w:start w:val="1"/>
      <w:numFmt w:val="decimal"/>
      <w:lvlText w:val="%7."/>
      <w:lvlJc w:val="left"/>
      <w:pPr>
        <w:ind w:left="5400" w:hanging="360"/>
      </w:pPr>
      <w:rPr>
        <w:rFonts w:hint="default"/>
      </w:rPr>
    </w:lvl>
    <w:lvl w:ilvl="7">
      <w:start w:val="1"/>
      <w:numFmt w:val="lowerLetter"/>
      <w:lvlText w:val="%8."/>
      <w:lvlJc w:val="left"/>
      <w:pPr>
        <w:ind w:left="6120" w:hanging="360"/>
      </w:pPr>
      <w:rPr>
        <w:rFonts w:hint="default"/>
      </w:rPr>
    </w:lvl>
    <w:lvl w:ilvl="8">
      <w:start w:val="1"/>
      <w:numFmt w:val="lowerRoman"/>
      <w:lvlText w:val="%9."/>
      <w:lvlJc w:val="right"/>
      <w:pPr>
        <w:ind w:left="6840" w:hanging="180"/>
      </w:pPr>
      <w:rPr>
        <w:rFonts w:hint="default"/>
      </w:rPr>
    </w:lvl>
  </w:abstractNum>
  <w:abstractNum w:abstractNumId="7" w15:restartNumberingAfterBreak="0">
    <w:nsid w:val="1E584C15"/>
    <w:multiLevelType w:val="hybridMultilevel"/>
    <w:tmpl w:val="07E65762"/>
    <w:lvl w:ilvl="0" w:tplc="9CC225D6">
      <w:start w:val="1"/>
      <w:numFmt w:val="decimal"/>
      <w:lvlText w:val="%1."/>
      <w:lvlJc w:val="left"/>
      <w:pPr>
        <w:tabs>
          <w:tab w:val="num" w:pos="720"/>
        </w:tabs>
        <w:ind w:left="720" w:hanging="360"/>
      </w:pPr>
    </w:lvl>
    <w:lvl w:ilvl="1" w:tplc="0BBEB59A">
      <w:start w:val="1"/>
      <w:numFmt w:val="decimal"/>
      <w:lvlText w:val="%2."/>
      <w:lvlJc w:val="left"/>
      <w:pPr>
        <w:tabs>
          <w:tab w:val="num" w:pos="1440"/>
        </w:tabs>
        <w:ind w:left="1440" w:hanging="360"/>
      </w:pPr>
    </w:lvl>
    <w:lvl w:ilvl="2" w:tplc="6D7E06DA" w:tentative="1">
      <w:start w:val="1"/>
      <w:numFmt w:val="decimal"/>
      <w:lvlText w:val="%3."/>
      <w:lvlJc w:val="left"/>
      <w:pPr>
        <w:tabs>
          <w:tab w:val="num" w:pos="2160"/>
        </w:tabs>
        <w:ind w:left="2160" w:hanging="360"/>
      </w:pPr>
    </w:lvl>
    <w:lvl w:ilvl="3" w:tplc="387AF1E2" w:tentative="1">
      <w:start w:val="1"/>
      <w:numFmt w:val="decimal"/>
      <w:lvlText w:val="%4."/>
      <w:lvlJc w:val="left"/>
      <w:pPr>
        <w:tabs>
          <w:tab w:val="num" w:pos="2880"/>
        </w:tabs>
        <w:ind w:left="2880" w:hanging="360"/>
      </w:pPr>
    </w:lvl>
    <w:lvl w:ilvl="4" w:tplc="F9527BAE" w:tentative="1">
      <w:start w:val="1"/>
      <w:numFmt w:val="decimal"/>
      <w:lvlText w:val="%5."/>
      <w:lvlJc w:val="left"/>
      <w:pPr>
        <w:tabs>
          <w:tab w:val="num" w:pos="3600"/>
        </w:tabs>
        <w:ind w:left="3600" w:hanging="360"/>
      </w:pPr>
    </w:lvl>
    <w:lvl w:ilvl="5" w:tplc="2E6898D2" w:tentative="1">
      <w:start w:val="1"/>
      <w:numFmt w:val="decimal"/>
      <w:lvlText w:val="%6."/>
      <w:lvlJc w:val="left"/>
      <w:pPr>
        <w:tabs>
          <w:tab w:val="num" w:pos="4320"/>
        </w:tabs>
        <w:ind w:left="4320" w:hanging="360"/>
      </w:pPr>
    </w:lvl>
    <w:lvl w:ilvl="6" w:tplc="4A86504E" w:tentative="1">
      <w:start w:val="1"/>
      <w:numFmt w:val="decimal"/>
      <w:lvlText w:val="%7."/>
      <w:lvlJc w:val="left"/>
      <w:pPr>
        <w:tabs>
          <w:tab w:val="num" w:pos="5040"/>
        </w:tabs>
        <w:ind w:left="5040" w:hanging="360"/>
      </w:pPr>
    </w:lvl>
    <w:lvl w:ilvl="7" w:tplc="1B64526E" w:tentative="1">
      <w:start w:val="1"/>
      <w:numFmt w:val="decimal"/>
      <w:lvlText w:val="%8."/>
      <w:lvlJc w:val="left"/>
      <w:pPr>
        <w:tabs>
          <w:tab w:val="num" w:pos="5760"/>
        </w:tabs>
        <w:ind w:left="5760" w:hanging="360"/>
      </w:pPr>
    </w:lvl>
    <w:lvl w:ilvl="8" w:tplc="95986E6A" w:tentative="1">
      <w:start w:val="1"/>
      <w:numFmt w:val="decimal"/>
      <w:lvlText w:val="%9."/>
      <w:lvlJc w:val="left"/>
      <w:pPr>
        <w:tabs>
          <w:tab w:val="num" w:pos="6480"/>
        </w:tabs>
        <w:ind w:left="6480" w:hanging="360"/>
      </w:pPr>
    </w:lvl>
  </w:abstractNum>
  <w:abstractNum w:abstractNumId="8" w15:restartNumberingAfterBreak="0">
    <w:nsid w:val="23924B96"/>
    <w:multiLevelType w:val="hybridMultilevel"/>
    <w:tmpl w:val="FC18D9B0"/>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9" w15:restartNumberingAfterBreak="0">
    <w:nsid w:val="23FB11E2"/>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15:restartNumberingAfterBreak="0">
    <w:nsid w:val="25107DD2"/>
    <w:multiLevelType w:val="hybridMultilevel"/>
    <w:tmpl w:val="8962079A"/>
    <w:lvl w:ilvl="0" w:tplc="192C3156">
      <w:start w:val="1"/>
      <w:numFmt w:val="bullet"/>
      <w:lvlText w:val="•"/>
      <w:lvlJc w:val="left"/>
      <w:pPr>
        <w:tabs>
          <w:tab w:val="num" w:pos="720"/>
        </w:tabs>
        <w:ind w:left="720" w:hanging="360"/>
      </w:pPr>
      <w:rPr>
        <w:rFonts w:ascii="Arial" w:hAnsi="Arial" w:hint="default"/>
      </w:rPr>
    </w:lvl>
    <w:lvl w:ilvl="1" w:tplc="106A1670">
      <w:start w:val="1"/>
      <w:numFmt w:val="bullet"/>
      <w:lvlText w:val="•"/>
      <w:lvlJc w:val="left"/>
      <w:pPr>
        <w:tabs>
          <w:tab w:val="num" w:pos="1440"/>
        </w:tabs>
        <w:ind w:left="1440" w:hanging="360"/>
      </w:pPr>
      <w:rPr>
        <w:rFonts w:ascii="Arial" w:hAnsi="Arial" w:hint="default"/>
      </w:rPr>
    </w:lvl>
    <w:lvl w:ilvl="2" w:tplc="0DD4F0CA" w:tentative="1">
      <w:start w:val="1"/>
      <w:numFmt w:val="bullet"/>
      <w:lvlText w:val="•"/>
      <w:lvlJc w:val="left"/>
      <w:pPr>
        <w:tabs>
          <w:tab w:val="num" w:pos="2160"/>
        </w:tabs>
        <w:ind w:left="2160" w:hanging="360"/>
      </w:pPr>
      <w:rPr>
        <w:rFonts w:ascii="Arial" w:hAnsi="Arial" w:hint="default"/>
      </w:rPr>
    </w:lvl>
    <w:lvl w:ilvl="3" w:tplc="2FFC370A" w:tentative="1">
      <w:start w:val="1"/>
      <w:numFmt w:val="bullet"/>
      <w:lvlText w:val="•"/>
      <w:lvlJc w:val="left"/>
      <w:pPr>
        <w:tabs>
          <w:tab w:val="num" w:pos="2880"/>
        </w:tabs>
        <w:ind w:left="2880" w:hanging="360"/>
      </w:pPr>
      <w:rPr>
        <w:rFonts w:ascii="Arial" w:hAnsi="Arial" w:hint="default"/>
      </w:rPr>
    </w:lvl>
    <w:lvl w:ilvl="4" w:tplc="CFBE3B7A" w:tentative="1">
      <w:start w:val="1"/>
      <w:numFmt w:val="bullet"/>
      <w:lvlText w:val="•"/>
      <w:lvlJc w:val="left"/>
      <w:pPr>
        <w:tabs>
          <w:tab w:val="num" w:pos="3600"/>
        </w:tabs>
        <w:ind w:left="3600" w:hanging="360"/>
      </w:pPr>
      <w:rPr>
        <w:rFonts w:ascii="Arial" w:hAnsi="Arial" w:hint="default"/>
      </w:rPr>
    </w:lvl>
    <w:lvl w:ilvl="5" w:tplc="00CA8C42" w:tentative="1">
      <w:start w:val="1"/>
      <w:numFmt w:val="bullet"/>
      <w:lvlText w:val="•"/>
      <w:lvlJc w:val="left"/>
      <w:pPr>
        <w:tabs>
          <w:tab w:val="num" w:pos="4320"/>
        </w:tabs>
        <w:ind w:left="4320" w:hanging="360"/>
      </w:pPr>
      <w:rPr>
        <w:rFonts w:ascii="Arial" w:hAnsi="Arial" w:hint="default"/>
      </w:rPr>
    </w:lvl>
    <w:lvl w:ilvl="6" w:tplc="5F08156E" w:tentative="1">
      <w:start w:val="1"/>
      <w:numFmt w:val="bullet"/>
      <w:lvlText w:val="•"/>
      <w:lvlJc w:val="left"/>
      <w:pPr>
        <w:tabs>
          <w:tab w:val="num" w:pos="5040"/>
        </w:tabs>
        <w:ind w:left="5040" w:hanging="360"/>
      </w:pPr>
      <w:rPr>
        <w:rFonts w:ascii="Arial" w:hAnsi="Arial" w:hint="default"/>
      </w:rPr>
    </w:lvl>
    <w:lvl w:ilvl="7" w:tplc="6D3CF6D8" w:tentative="1">
      <w:start w:val="1"/>
      <w:numFmt w:val="bullet"/>
      <w:lvlText w:val="•"/>
      <w:lvlJc w:val="left"/>
      <w:pPr>
        <w:tabs>
          <w:tab w:val="num" w:pos="5760"/>
        </w:tabs>
        <w:ind w:left="5760" w:hanging="360"/>
      </w:pPr>
      <w:rPr>
        <w:rFonts w:ascii="Arial" w:hAnsi="Arial" w:hint="default"/>
      </w:rPr>
    </w:lvl>
    <w:lvl w:ilvl="8" w:tplc="88EC3DF2" w:tentative="1">
      <w:start w:val="1"/>
      <w:numFmt w:val="bullet"/>
      <w:lvlText w:val="•"/>
      <w:lvlJc w:val="left"/>
      <w:pPr>
        <w:tabs>
          <w:tab w:val="num" w:pos="6480"/>
        </w:tabs>
        <w:ind w:left="6480" w:hanging="360"/>
      </w:pPr>
      <w:rPr>
        <w:rFonts w:ascii="Arial" w:hAnsi="Arial" w:hint="default"/>
      </w:rPr>
    </w:lvl>
  </w:abstractNum>
  <w:abstractNum w:abstractNumId="11" w15:restartNumberingAfterBreak="0">
    <w:nsid w:val="2C975E3F"/>
    <w:multiLevelType w:val="hybridMultilevel"/>
    <w:tmpl w:val="E624A8C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317E6D2D"/>
    <w:multiLevelType w:val="hybridMultilevel"/>
    <w:tmpl w:val="70B07C60"/>
    <w:lvl w:ilvl="0" w:tplc="E5B63BD8">
      <w:start w:val="1"/>
      <w:numFmt w:val="bullet"/>
      <w:lvlText w:val=""/>
      <w:lvlJc w:val="left"/>
      <w:pPr>
        <w:ind w:left="2520" w:hanging="360"/>
      </w:pPr>
      <w:rPr>
        <w:rFonts w:ascii="Symbol" w:hAnsi="Symbol"/>
      </w:rPr>
    </w:lvl>
    <w:lvl w:ilvl="1" w:tplc="24BA6AA0">
      <w:start w:val="1"/>
      <w:numFmt w:val="bullet"/>
      <w:lvlText w:val=""/>
      <w:lvlJc w:val="left"/>
      <w:pPr>
        <w:ind w:left="2520" w:hanging="360"/>
      </w:pPr>
      <w:rPr>
        <w:rFonts w:ascii="Symbol" w:hAnsi="Symbol"/>
      </w:rPr>
    </w:lvl>
    <w:lvl w:ilvl="2" w:tplc="143C935C">
      <w:start w:val="1"/>
      <w:numFmt w:val="bullet"/>
      <w:lvlText w:val=""/>
      <w:lvlJc w:val="left"/>
      <w:pPr>
        <w:ind w:left="2520" w:hanging="360"/>
      </w:pPr>
      <w:rPr>
        <w:rFonts w:ascii="Symbol" w:hAnsi="Symbol"/>
      </w:rPr>
    </w:lvl>
    <w:lvl w:ilvl="3" w:tplc="D0AE2434">
      <w:start w:val="1"/>
      <w:numFmt w:val="bullet"/>
      <w:lvlText w:val=""/>
      <w:lvlJc w:val="left"/>
      <w:pPr>
        <w:ind w:left="2520" w:hanging="360"/>
      </w:pPr>
      <w:rPr>
        <w:rFonts w:ascii="Symbol" w:hAnsi="Symbol"/>
      </w:rPr>
    </w:lvl>
    <w:lvl w:ilvl="4" w:tplc="567C5F54">
      <w:start w:val="1"/>
      <w:numFmt w:val="bullet"/>
      <w:lvlText w:val=""/>
      <w:lvlJc w:val="left"/>
      <w:pPr>
        <w:ind w:left="2520" w:hanging="360"/>
      </w:pPr>
      <w:rPr>
        <w:rFonts w:ascii="Symbol" w:hAnsi="Symbol"/>
      </w:rPr>
    </w:lvl>
    <w:lvl w:ilvl="5" w:tplc="A840384A">
      <w:start w:val="1"/>
      <w:numFmt w:val="bullet"/>
      <w:lvlText w:val=""/>
      <w:lvlJc w:val="left"/>
      <w:pPr>
        <w:ind w:left="2520" w:hanging="360"/>
      </w:pPr>
      <w:rPr>
        <w:rFonts w:ascii="Symbol" w:hAnsi="Symbol"/>
      </w:rPr>
    </w:lvl>
    <w:lvl w:ilvl="6" w:tplc="B5E229D2">
      <w:start w:val="1"/>
      <w:numFmt w:val="bullet"/>
      <w:lvlText w:val=""/>
      <w:lvlJc w:val="left"/>
      <w:pPr>
        <w:ind w:left="2520" w:hanging="360"/>
      </w:pPr>
      <w:rPr>
        <w:rFonts w:ascii="Symbol" w:hAnsi="Symbol"/>
      </w:rPr>
    </w:lvl>
    <w:lvl w:ilvl="7" w:tplc="B0A66C00">
      <w:start w:val="1"/>
      <w:numFmt w:val="bullet"/>
      <w:lvlText w:val=""/>
      <w:lvlJc w:val="left"/>
      <w:pPr>
        <w:ind w:left="2520" w:hanging="360"/>
      </w:pPr>
      <w:rPr>
        <w:rFonts w:ascii="Symbol" w:hAnsi="Symbol"/>
      </w:rPr>
    </w:lvl>
    <w:lvl w:ilvl="8" w:tplc="D012C7B8">
      <w:start w:val="1"/>
      <w:numFmt w:val="bullet"/>
      <w:lvlText w:val=""/>
      <w:lvlJc w:val="left"/>
      <w:pPr>
        <w:ind w:left="2520" w:hanging="360"/>
      </w:pPr>
      <w:rPr>
        <w:rFonts w:ascii="Symbol" w:hAnsi="Symbol"/>
      </w:rPr>
    </w:lvl>
  </w:abstractNum>
  <w:abstractNum w:abstractNumId="13" w15:restartNumberingAfterBreak="0">
    <w:nsid w:val="32AE7C2C"/>
    <w:multiLevelType w:val="hybridMultilevel"/>
    <w:tmpl w:val="CE96D182"/>
    <w:lvl w:ilvl="0" w:tplc="20585BE8">
      <w:start w:val="1"/>
      <w:numFmt w:val="bullet"/>
      <w:lvlText w:val=""/>
      <w:lvlJc w:val="left"/>
      <w:pPr>
        <w:ind w:left="1080" w:hanging="360"/>
      </w:pPr>
      <w:rPr>
        <w:rFonts w:ascii="Symbol" w:hAnsi="Symbol"/>
      </w:rPr>
    </w:lvl>
    <w:lvl w:ilvl="1" w:tplc="6C903612">
      <w:start w:val="1"/>
      <w:numFmt w:val="bullet"/>
      <w:lvlText w:val=""/>
      <w:lvlJc w:val="left"/>
      <w:pPr>
        <w:ind w:left="1080" w:hanging="360"/>
      </w:pPr>
      <w:rPr>
        <w:rFonts w:ascii="Symbol" w:hAnsi="Symbol"/>
      </w:rPr>
    </w:lvl>
    <w:lvl w:ilvl="2" w:tplc="A5BA4746">
      <w:start w:val="1"/>
      <w:numFmt w:val="bullet"/>
      <w:lvlText w:val=""/>
      <w:lvlJc w:val="left"/>
      <w:pPr>
        <w:ind w:left="1080" w:hanging="360"/>
      </w:pPr>
      <w:rPr>
        <w:rFonts w:ascii="Symbol" w:hAnsi="Symbol"/>
      </w:rPr>
    </w:lvl>
    <w:lvl w:ilvl="3" w:tplc="A8AAEA78">
      <w:start w:val="1"/>
      <w:numFmt w:val="bullet"/>
      <w:lvlText w:val=""/>
      <w:lvlJc w:val="left"/>
      <w:pPr>
        <w:ind w:left="1080" w:hanging="360"/>
      </w:pPr>
      <w:rPr>
        <w:rFonts w:ascii="Symbol" w:hAnsi="Symbol"/>
      </w:rPr>
    </w:lvl>
    <w:lvl w:ilvl="4" w:tplc="84C02C98">
      <w:start w:val="1"/>
      <w:numFmt w:val="bullet"/>
      <w:lvlText w:val=""/>
      <w:lvlJc w:val="left"/>
      <w:pPr>
        <w:ind w:left="1080" w:hanging="360"/>
      </w:pPr>
      <w:rPr>
        <w:rFonts w:ascii="Symbol" w:hAnsi="Symbol"/>
      </w:rPr>
    </w:lvl>
    <w:lvl w:ilvl="5" w:tplc="2CC4AB88">
      <w:start w:val="1"/>
      <w:numFmt w:val="bullet"/>
      <w:lvlText w:val=""/>
      <w:lvlJc w:val="left"/>
      <w:pPr>
        <w:ind w:left="1080" w:hanging="360"/>
      </w:pPr>
      <w:rPr>
        <w:rFonts w:ascii="Symbol" w:hAnsi="Symbol"/>
      </w:rPr>
    </w:lvl>
    <w:lvl w:ilvl="6" w:tplc="272E523C">
      <w:start w:val="1"/>
      <w:numFmt w:val="bullet"/>
      <w:lvlText w:val=""/>
      <w:lvlJc w:val="left"/>
      <w:pPr>
        <w:ind w:left="1080" w:hanging="360"/>
      </w:pPr>
      <w:rPr>
        <w:rFonts w:ascii="Symbol" w:hAnsi="Symbol"/>
      </w:rPr>
    </w:lvl>
    <w:lvl w:ilvl="7" w:tplc="433E0EE4">
      <w:start w:val="1"/>
      <w:numFmt w:val="bullet"/>
      <w:lvlText w:val=""/>
      <w:lvlJc w:val="left"/>
      <w:pPr>
        <w:ind w:left="1080" w:hanging="360"/>
      </w:pPr>
      <w:rPr>
        <w:rFonts w:ascii="Symbol" w:hAnsi="Symbol"/>
      </w:rPr>
    </w:lvl>
    <w:lvl w:ilvl="8" w:tplc="7B8C0B8A">
      <w:start w:val="1"/>
      <w:numFmt w:val="bullet"/>
      <w:lvlText w:val=""/>
      <w:lvlJc w:val="left"/>
      <w:pPr>
        <w:ind w:left="1080" w:hanging="360"/>
      </w:pPr>
      <w:rPr>
        <w:rFonts w:ascii="Symbol" w:hAnsi="Symbol"/>
      </w:rPr>
    </w:lvl>
  </w:abstractNum>
  <w:abstractNum w:abstractNumId="14" w15:restartNumberingAfterBreak="0">
    <w:nsid w:val="378E009D"/>
    <w:multiLevelType w:val="hybridMultilevel"/>
    <w:tmpl w:val="5D363C1E"/>
    <w:lvl w:ilvl="0" w:tplc="AD9CC172">
      <w:start w:val="1"/>
      <w:numFmt w:val="bullet"/>
      <w:lvlText w:val=""/>
      <w:lvlJc w:val="left"/>
      <w:pPr>
        <w:ind w:left="1800" w:hanging="360"/>
      </w:pPr>
      <w:rPr>
        <w:rFonts w:ascii="Symbol" w:hAnsi="Symbol"/>
      </w:rPr>
    </w:lvl>
    <w:lvl w:ilvl="1" w:tplc="B784B9BE">
      <w:start w:val="1"/>
      <w:numFmt w:val="bullet"/>
      <w:lvlText w:val=""/>
      <w:lvlJc w:val="left"/>
      <w:pPr>
        <w:ind w:left="1800" w:hanging="360"/>
      </w:pPr>
      <w:rPr>
        <w:rFonts w:ascii="Symbol" w:hAnsi="Symbol"/>
      </w:rPr>
    </w:lvl>
    <w:lvl w:ilvl="2" w:tplc="4566C494">
      <w:start w:val="1"/>
      <w:numFmt w:val="bullet"/>
      <w:lvlText w:val=""/>
      <w:lvlJc w:val="left"/>
      <w:pPr>
        <w:ind w:left="1800" w:hanging="360"/>
      </w:pPr>
      <w:rPr>
        <w:rFonts w:ascii="Symbol" w:hAnsi="Symbol"/>
      </w:rPr>
    </w:lvl>
    <w:lvl w:ilvl="3" w:tplc="F3384B40">
      <w:start w:val="1"/>
      <w:numFmt w:val="bullet"/>
      <w:lvlText w:val=""/>
      <w:lvlJc w:val="left"/>
      <w:pPr>
        <w:ind w:left="1800" w:hanging="360"/>
      </w:pPr>
      <w:rPr>
        <w:rFonts w:ascii="Symbol" w:hAnsi="Symbol"/>
      </w:rPr>
    </w:lvl>
    <w:lvl w:ilvl="4" w:tplc="5C7A1CC2">
      <w:start w:val="1"/>
      <w:numFmt w:val="bullet"/>
      <w:lvlText w:val=""/>
      <w:lvlJc w:val="left"/>
      <w:pPr>
        <w:ind w:left="1800" w:hanging="360"/>
      </w:pPr>
      <w:rPr>
        <w:rFonts w:ascii="Symbol" w:hAnsi="Symbol"/>
      </w:rPr>
    </w:lvl>
    <w:lvl w:ilvl="5" w:tplc="81D0800C">
      <w:start w:val="1"/>
      <w:numFmt w:val="bullet"/>
      <w:lvlText w:val=""/>
      <w:lvlJc w:val="left"/>
      <w:pPr>
        <w:ind w:left="1800" w:hanging="360"/>
      </w:pPr>
      <w:rPr>
        <w:rFonts w:ascii="Symbol" w:hAnsi="Symbol"/>
      </w:rPr>
    </w:lvl>
    <w:lvl w:ilvl="6" w:tplc="AD1A74F2">
      <w:start w:val="1"/>
      <w:numFmt w:val="bullet"/>
      <w:lvlText w:val=""/>
      <w:lvlJc w:val="left"/>
      <w:pPr>
        <w:ind w:left="1800" w:hanging="360"/>
      </w:pPr>
      <w:rPr>
        <w:rFonts w:ascii="Symbol" w:hAnsi="Symbol"/>
      </w:rPr>
    </w:lvl>
    <w:lvl w:ilvl="7" w:tplc="FD4A9E6E">
      <w:start w:val="1"/>
      <w:numFmt w:val="bullet"/>
      <w:lvlText w:val=""/>
      <w:lvlJc w:val="left"/>
      <w:pPr>
        <w:ind w:left="1800" w:hanging="360"/>
      </w:pPr>
      <w:rPr>
        <w:rFonts w:ascii="Symbol" w:hAnsi="Symbol"/>
      </w:rPr>
    </w:lvl>
    <w:lvl w:ilvl="8" w:tplc="8B2A2BDE">
      <w:start w:val="1"/>
      <w:numFmt w:val="bullet"/>
      <w:lvlText w:val=""/>
      <w:lvlJc w:val="left"/>
      <w:pPr>
        <w:ind w:left="1800" w:hanging="360"/>
      </w:pPr>
      <w:rPr>
        <w:rFonts w:ascii="Symbol" w:hAnsi="Symbol"/>
      </w:rPr>
    </w:lvl>
  </w:abstractNum>
  <w:abstractNum w:abstractNumId="15" w15:restartNumberingAfterBreak="0">
    <w:nsid w:val="37A60F8E"/>
    <w:multiLevelType w:val="hybridMultilevel"/>
    <w:tmpl w:val="00BC9F5A"/>
    <w:lvl w:ilvl="0" w:tplc="ABCA0866">
      <w:start w:val="1"/>
      <w:numFmt w:val="bullet"/>
      <w:lvlText w:val="•"/>
      <w:lvlJc w:val="left"/>
      <w:pPr>
        <w:tabs>
          <w:tab w:val="num" w:pos="720"/>
        </w:tabs>
        <w:ind w:left="720" w:hanging="360"/>
      </w:pPr>
      <w:rPr>
        <w:rFonts w:ascii="Arial" w:hAnsi="Arial" w:hint="default"/>
      </w:rPr>
    </w:lvl>
    <w:lvl w:ilvl="1" w:tplc="9E3867B4" w:tentative="1">
      <w:start w:val="1"/>
      <w:numFmt w:val="bullet"/>
      <w:lvlText w:val="•"/>
      <w:lvlJc w:val="left"/>
      <w:pPr>
        <w:tabs>
          <w:tab w:val="num" w:pos="1440"/>
        </w:tabs>
        <w:ind w:left="1440" w:hanging="360"/>
      </w:pPr>
      <w:rPr>
        <w:rFonts w:ascii="Arial" w:hAnsi="Arial" w:hint="default"/>
      </w:rPr>
    </w:lvl>
    <w:lvl w:ilvl="2" w:tplc="EEE08900" w:tentative="1">
      <w:start w:val="1"/>
      <w:numFmt w:val="bullet"/>
      <w:lvlText w:val="•"/>
      <w:lvlJc w:val="left"/>
      <w:pPr>
        <w:tabs>
          <w:tab w:val="num" w:pos="2160"/>
        </w:tabs>
        <w:ind w:left="2160" w:hanging="360"/>
      </w:pPr>
      <w:rPr>
        <w:rFonts w:ascii="Arial" w:hAnsi="Arial" w:hint="default"/>
      </w:rPr>
    </w:lvl>
    <w:lvl w:ilvl="3" w:tplc="39828DA4" w:tentative="1">
      <w:start w:val="1"/>
      <w:numFmt w:val="bullet"/>
      <w:lvlText w:val="•"/>
      <w:lvlJc w:val="left"/>
      <w:pPr>
        <w:tabs>
          <w:tab w:val="num" w:pos="2880"/>
        </w:tabs>
        <w:ind w:left="2880" w:hanging="360"/>
      </w:pPr>
      <w:rPr>
        <w:rFonts w:ascii="Arial" w:hAnsi="Arial" w:hint="default"/>
      </w:rPr>
    </w:lvl>
    <w:lvl w:ilvl="4" w:tplc="740E97EE" w:tentative="1">
      <w:start w:val="1"/>
      <w:numFmt w:val="bullet"/>
      <w:lvlText w:val="•"/>
      <w:lvlJc w:val="left"/>
      <w:pPr>
        <w:tabs>
          <w:tab w:val="num" w:pos="3600"/>
        </w:tabs>
        <w:ind w:left="3600" w:hanging="360"/>
      </w:pPr>
      <w:rPr>
        <w:rFonts w:ascii="Arial" w:hAnsi="Arial" w:hint="default"/>
      </w:rPr>
    </w:lvl>
    <w:lvl w:ilvl="5" w:tplc="0004D69A" w:tentative="1">
      <w:start w:val="1"/>
      <w:numFmt w:val="bullet"/>
      <w:lvlText w:val="•"/>
      <w:lvlJc w:val="left"/>
      <w:pPr>
        <w:tabs>
          <w:tab w:val="num" w:pos="4320"/>
        </w:tabs>
        <w:ind w:left="4320" w:hanging="360"/>
      </w:pPr>
      <w:rPr>
        <w:rFonts w:ascii="Arial" w:hAnsi="Arial" w:hint="default"/>
      </w:rPr>
    </w:lvl>
    <w:lvl w:ilvl="6" w:tplc="90DA6FA2" w:tentative="1">
      <w:start w:val="1"/>
      <w:numFmt w:val="bullet"/>
      <w:lvlText w:val="•"/>
      <w:lvlJc w:val="left"/>
      <w:pPr>
        <w:tabs>
          <w:tab w:val="num" w:pos="5040"/>
        </w:tabs>
        <w:ind w:left="5040" w:hanging="360"/>
      </w:pPr>
      <w:rPr>
        <w:rFonts w:ascii="Arial" w:hAnsi="Arial" w:hint="default"/>
      </w:rPr>
    </w:lvl>
    <w:lvl w:ilvl="7" w:tplc="FECC885E" w:tentative="1">
      <w:start w:val="1"/>
      <w:numFmt w:val="bullet"/>
      <w:lvlText w:val="•"/>
      <w:lvlJc w:val="left"/>
      <w:pPr>
        <w:tabs>
          <w:tab w:val="num" w:pos="5760"/>
        </w:tabs>
        <w:ind w:left="5760" w:hanging="360"/>
      </w:pPr>
      <w:rPr>
        <w:rFonts w:ascii="Arial" w:hAnsi="Arial" w:hint="default"/>
      </w:rPr>
    </w:lvl>
    <w:lvl w:ilvl="8" w:tplc="0E286B74" w:tentative="1">
      <w:start w:val="1"/>
      <w:numFmt w:val="bullet"/>
      <w:lvlText w:val="•"/>
      <w:lvlJc w:val="left"/>
      <w:pPr>
        <w:tabs>
          <w:tab w:val="num" w:pos="6480"/>
        </w:tabs>
        <w:ind w:left="6480" w:hanging="360"/>
      </w:pPr>
      <w:rPr>
        <w:rFonts w:ascii="Arial" w:hAnsi="Arial" w:hint="default"/>
      </w:rPr>
    </w:lvl>
  </w:abstractNum>
  <w:abstractNum w:abstractNumId="16" w15:restartNumberingAfterBreak="0">
    <w:nsid w:val="43D57338"/>
    <w:multiLevelType w:val="hybridMultilevel"/>
    <w:tmpl w:val="10D407C6"/>
    <w:lvl w:ilvl="0" w:tplc="9940D4B0">
      <w:start w:val="1"/>
      <w:numFmt w:val="bullet"/>
      <w:lvlText w:val=""/>
      <w:lvlJc w:val="left"/>
      <w:pPr>
        <w:ind w:left="1800" w:hanging="360"/>
      </w:pPr>
      <w:rPr>
        <w:rFonts w:ascii="Symbol" w:hAnsi="Symbol"/>
      </w:rPr>
    </w:lvl>
    <w:lvl w:ilvl="1" w:tplc="E93AE39E">
      <w:start w:val="1"/>
      <w:numFmt w:val="bullet"/>
      <w:lvlText w:val=""/>
      <w:lvlJc w:val="left"/>
      <w:pPr>
        <w:ind w:left="1800" w:hanging="360"/>
      </w:pPr>
      <w:rPr>
        <w:rFonts w:ascii="Symbol" w:hAnsi="Symbol"/>
      </w:rPr>
    </w:lvl>
    <w:lvl w:ilvl="2" w:tplc="E70C57C6">
      <w:start w:val="1"/>
      <w:numFmt w:val="bullet"/>
      <w:lvlText w:val=""/>
      <w:lvlJc w:val="left"/>
      <w:pPr>
        <w:ind w:left="1800" w:hanging="360"/>
      </w:pPr>
      <w:rPr>
        <w:rFonts w:ascii="Symbol" w:hAnsi="Symbol"/>
      </w:rPr>
    </w:lvl>
    <w:lvl w:ilvl="3" w:tplc="CECABF28">
      <w:start w:val="1"/>
      <w:numFmt w:val="bullet"/>
      <w:lvlText w:val=""/>
      <w:lvlJc w:val="left"/>
      <w:pPr>
        <w:ind w:left="1800" w:hanging="360"/>
      </w:pPr>
      <w:rPr>
        <w:rFonts w:ascii="Symbol" w:hAnsi="Symbol"/>
      </w:rPr>
    </w:lvl>
    <w:lvl w:ilvl="4" w:tplc="EC60B96A">
      <w:start w:val="1"/>
      <w:numFmt w:val="bullet"/>
      <w:lvlText w:val=""/>
      <w:lvlJc w:val="left"/>
      <w:pPr>
        <w:ind w:left="1800" w:hanging="360"/>
      </w:pPr>
      <w:rPr>
        <w:rFonts w:ascii="Symbol" w:hAnsi="Symbol"/>
      </w:rPr>
    </w:lvl>
    <w:lvl w:ilvl="5" w:tplc="85C8BF4E">
      <w:start w:val="1"/>
      <w:numFmt w:val="bullet"/>
      <w:lvlText w:val=""/>
      <w:lvlJc w:val="left"/>
      <w:pPr>
        <w:ind w:left="1800" w:hanging="360"/>
      </w:pPr>
      <w:rPr>
        <w:rFonts w:ascii="Symbol" w:hAnsi="Symbol"/>
      </w:rPr>
    </w:lvl>
    <w:lvl w:ilvl="6" w:tplc="AB66DA9E">
      <w:start w:val="1"/>
      <w:numFmt w:val="bullet"/>
      <w:lvlText w:val=""/>
      <w:lvlJc w:val="left"/>
      <w:pPr>
        <w:ind w:left="1800" w:hanging="360"/>
      </w:pPr>
      <w:rPr>
        <w:rFonts w:ascii="Symbol" w:hAnsi="Symbol"/>
      </w:rPr>
    </w:lvl>
    <w:lvl w:ilvl="7" w:tplc="9B8CF29C">
      <w:start w:val="1"/>
      <w:numFmt w:val="bullet"/>
      <w:lvlText w:val=""/>
      <w:lvlJc w:val="left"/>
      <w:pPr>
        <w:ind w:left="1800" w:hanging="360"/>
      </w:pPr>
      <w:rPr>
        <w:rFonts w:ascii="Symbol" w:hAnsi="Symbol"/>
      </w:rPr>
    </w:lvl>
    <w:lvl w:ilvl="8" w:tplc="13061D7C">
      <w:start w:val="1"/>
      <w:numFmt w:val="bullet"/>
      <w:lvlText w:val=""/>
      <w:lvlJc w:val="left"/>
      <w:pPr>
        <w:ind w:left="1800" w:hanging="360"/>
      </w:pPr>
      <w:rPr>
        <w:rFonts w:ascii="Symbol" w:hAnsi="Symbol"/>
      </w:rPr>
    </w:lvl>
  </w:abstractNum>
  <w:abstractNum w:abstractNumId="17" w15:restartNumberingAfterBreak="0">
    <w:nsid w:val="49964247"/>
    <w:multiLevelType w:val="multilevel"/>
    <w:tmpl w:val="E4FC53F4"/>
    <w:lvl w:ilvl="0">
      <w:start w:val="1"/>
      <w:numFmt w:val="decimal"/>
      <w:lvlText w:val="%1"/>
      <w:lvlJc w:val="left"/>
      <w:pPr>
        <w:ind w:left="720" w:hanging="720"/>
      </w:pPr>
      <w:rPr>
        <w:rFonts w:hint="default"/>
      </w:rPr>
    </w:lvl>
    <w:lvl w:ilvl="1">
      <w:start w:val="1"/>
      <w:numFmt w:val="bullet"/>
      <w:lvlText w:val=""/>
      <w:lvlJc w:val="left"/>
      <w:pPr>
        <w:ind w:left="360" w:hanging="360"/>
      </w:pPr>
      <w:rPr>
        <w:rFonts w:ascii="Symbol" w:hAnsi="Symbol" w:hint="default"/>
      </w:rPr>
    </w:lvl>
    <w:lvl w:ilvl="2">
      <w:start w:val="1"/>
      <w:numFmt w:val="bullet"/>
      <w:lvlText w:val=""/>
      <w:lvlJc w:val="left"/>
      <w:pPr>
        <w:ind w:left="2700" w:hanging="360"/>
      </w:pPr>
      <w:rPr>
        <w:rFonts w:ascii="Symbol" w:hAnsi="Symbol" w:hint="default"/>
      </w:rPr>
    </w:lvl>
    <w:lvl w:ilvl="3">
      <w:start w:val="1"/>
      <w:numFmt w:val="decimal"/>
      <w:lvlText w:val="%4."/>
      <w:lvlJc w:val="left"/>
      <w:pPr>
        <w:ind w:left="3240" w:hanging="360"/>
      </w:pPr>
      <w:rPr>
        <w:rFonts w:hint="default"/>
      </w:rPr>
    </w:lvl>
    <w:lvl w:ilvl="4">
      <w:start w:val="1"/>
      <w:numFmt w:val="lowerLetter"/>
      <w:lvlText w:val="%5."/>
      <w:lvlJc w:val="left"/>
      <w:pPr>
        <w:ind w:left="3960" w:hanging="360"/>
      </w:pPr>
      <w:rPr>
        <w:rFonts w:hint="default"/>
      </w:rPr>
    </w:lvl>
    <w:lvl w:ilvl="5">
      <w:start w:val="1"/>
      <w:numFmt w:val="lowerRoman"/>
      <w:lvlText w:val="%6."/>
      <w:lvlJc w:val="right"/>
      <w:pPr>
        <w:ind w:left="4680" w:hanging="180"/>
      </w:pPr>
      <w:rPr>
        <w:rFonts w:hint="default"/>
      </w:rPr>
    </w:lvl>
    <w:lvl w:ilvl="6">
      <w:start w:val="1"/>
      <w:numFmt w:val="decimal"/>
      <w:lvlText w:val="%7."/>
      <w:lvlJc w:val="left"/>
      <w:pPr>
        <w:ind w:left="5400" w:hanging="360"/>
      </w:pPr>
      <w:rPr>
        <w:rFonts w:hint="default"/>
      </w:rPr>
    </w:lvl>
    <w:lvl w:ilvl="7">
      <w:start w:val="1"/>
      <w:numFmt w:val="lowerLetter"/>
      <w:lvlText w:val="%8."/>
      <w:lvlJc w:val="left"/>
      <w:pPr>
        <w:ind w:left="6120" w:hanging="360"/>
      </w:pPr>
      <w:rPr>
        <w:rFonts w:hint="default"/>
      </w:rPr>
    </w:lvl>
    <w:lvl w:ilvl="8">
      <w:start w:val="1"/>
      <w:numFmt w:val="lowerRoman"/>
      <w:lvlText w:val="%9."/>
      <w:lvlJc w:val="right"/>
      <w:pPr>
        <w:ind w:left="6840" w:hanging="180"/>
      </w:pPr>
      <w:rPr>
        <w:rFonts w:hint="default"/>
      </w:rPr>
    </w:lvl>
  </w:abstractNum>
  <w:abstractNum w:abstractNumId="18" w15:restartNumberingAfterBreak="0">
    <w:nsid w:val="4E4F0278"/>
    <w:multiLevelType w:val="hybridMultilevel"/>
    <w:tmpl w:val="B8B6918A"/>
    <w:lvl w:ilvl="0" w:tplc="C6E48B06">
      <w:start w:val="1"/>
      <w:numFmt w:val="decimal"/>
      <w:lvlText w:val="%1."/>
      <w:lvlJc w:val="left"/>
      <w:pPr>
        <w:ind w:left="720" w:hanging="360"/>
      </w:pPr>
    </w:lvl>
    <w:lvl w:ilvl="1" w:tplc="0E5E6F22">
      <w:start w:val="1"/>
      <w:numFmt w:val="decimal"/>
      <w:lvlText w:val="%2."/>
      <w:lvlJc w:val="left"/>
      <w:pPr>
        <w:ind w:left="720" w:hanging="360"/>
      </w:pPr>
    </w:lvl>
    <w:lvl w:ilvl="2" w:tplc="DFAA165E">
      <w:start w:val="1"/>
      <w:numFmt w:val="decimal"/>
      <w:lvlText w:val="%3."/>
      <w:lvlJc w:val="left"/>
      <w:pPr>
        <w:ind w:left="720" w:hanging="360"/>
      </w:pPr>
    </w:lvl>
    <w:lvl w:ilvl="3" w:tplc="55A85F4E">
      <w:start w:val="1"/>
      <w:numFmt w:val="decimal"/>
      <w:lvlText w:val="%4."/>
      <w:lvlJc w:val="left"/>
      <w:pPr>
        <w:ind w:left="720" w:hanging="360"/>
      </w:pPr>
    </w:lvl>
    <w:lvl w:ilvl="4" w:tplc="93825424">
      <w:start w:val="1"/>
      <w:numFmt w:val="decimal"/>
      <w:lvlText w:val="%5."/>
      <w:lvlJc w:val="left"/>
      <w:pPr>
        <w:ind w:left="720" w:hanging="360"/>
      </w:pPr>
    </w:lvl>
    <w:lvl w:ilvl="5" w:tplc="6E644DB2">
      <w:start w:val="1"/>
      <w:numFmt w:val="decimal"/>
      <w:lvlText w:val="%6."/>
      <w:lvlJc w:val="left"/>
      <w:pPr>
        <w:ind w:left="720" w:hanging="360"/>
      </w:pPr>
    </w:lvl>
    <w:lvl w:ilvl="6" w:tplc="216C95FA">
      <w:start w:val="1"/>
      <w:numFmt w:val="decimal"/>
      <w:lvlText w:val="%7."/>
      <w:lvlJc w:val="left"/>
      <w:pPr>
        <w:ind w:left="720" w:hanging="360"/>
      </w:pPr>
    </w:lvl>
    <w:lvl w:ilvl="7" w:tplc="2C0A01A4">
      <w:start w:val="1"/>
      <w:numFmt w:val="decimal"/>
      <w:lvlText w:val="%8."/>
      <w:lvlJc w:val="left"/>
      <w:pPr>
        <w:ind w:left="720" w:hanging="360"/>
      </w:pPr>
    </w:lvl>
    <w:lvl w:ilvl="8" w:tplc="39D63C46">
      <w:start w:val="1"/>
      <w:numFmt w:val="decimal"/>
      <w:lvlText w:val="%9."/>
      <w:lvlJc w:val="left"/>
      <w:pPr>
        <w:ind w:left="720" w:hanging="360"/>
      </w:pPr>
    </w:lvl>
  </w:abstractNum>
  <w:abstractNum w:abstractNumId="19" w15:restartNumberingAfterBreak="0">
    <w:nsid w:val="53DA194D"/>
    <w:multiLevelType w:val="hybridMultilevel"/>
    <w:tmpl w:val="BDE0CAC0"/>
    <w:lvl w:ilvl="0" w:tplc="24484E44">
      <w:numFmt w:val="bullet"/>
      <w:lvlText w:val="•"/>
      <w:lvlJc w:val="left"/>
      <w:pPr>
        <w:ind w:left="1288" w:hanging="720"/>
      </w:pPr>
      <w:rPr>
        <w:rFonts w:ascii="Aptos" w:eastAsiaTheme="minorHAnsi" w:hAnsi="Aptos" w:cstheme="minorBidi" w:hint="default"/>
      </w:rPr>
    </w:lvl>
    <w:lvl w:ilvl="1" w:tplc="0C090003" w:tentative="1">
      <w:start w:val="1"/>
      <w:numFmt w:val="bullet"/>
      <w:lvlText w:val="o"/>
      <w:lvlJc w:val="left"/>
      <w:pPr>
        <w:ind w:left="1648" w:hanging="360"/>
      </w:pPr>
      <w:rPr>
        <w:rFonts w:ascii="Courier New" w:hAnsi="Courier New" w:cs="Courier New" w:hint="default"/>
      </w:rPr>
    </w:lvl>
    <w:lvl w:ilvl="2" w:tplc="0C090005" w:tentative="1">
      <w:start w:val="1"/>
      <w:numFmt w:val="bullet"/>
      <w:lvlText w:val=""/>
      <w:lvlJc w:val="left"/>
      <w:pPr>
        <w:ind w:left="2368" w:hanging="360"/>
      </w:pPr>
      <w:rPr>
        <w:rFonts w:ascii="Wingdings" w:hAnsi="Wingdings" w:hint="default"/>
      </w:rPr>
    </w:lvl>
    <w:lvl w:ilvl="3" w:tplc="0C090001" w:tentative="1">
      <w:start w:val="1"/>
      <w:numFmt w:val="bullet"/>
      <w:lvlText w:val=""/>
      <w:lvlJc w:val="left"/>
      <w:pPr>
        <w:ind w:left="3088" w:hanging="360"/>
      </w:pPr>
      <w:rPr>
        <w:rFonts w:ascii="Symbol" w:hAnsi="Symbol" w:hint="default"/>
      </w:rPr>
    </w:lvl>
    <w:lvl w:ilvl="4" w:tplc="0C090003" w:tentative="1">
      <w:start w:val="1"/>
      <w:numFmt w:val="bullet"/>
      <w:lvlText w:val="o"/>
      <w:lvlJc w:val="left"/>
      <w:pPr>
        <w:ind w:left="3808" w:hanging="360"/>
      </w:pPr>
      <w:rPr>
        <w:rFonts w:ascii="Courier New" w:hAnsi="Courier New" w:cs="Courier New" w:hint="default"/>
      </w:rPr>
    </w:lvl>
    <w:lvl w:ilvl="5" w:tplc="0C090005" w:tentative="1">
      <w:start w:val="1"/>
      <w:numFmt w:val="bullet"/>
      <w:lvlText w:val=""/>
      <w:lvlJc w:val="left"/>
      <w:pPr>
        <w:ind w:left="4528" w:hanging="360"/>
      </w:pPr>
      <w:rPr>
        <w:rFonts w:ascii="Wingdings" w:hAnsi="Wingdings" w:hint="default"/>
      </w:rPr>
    </w:lvl>
    <w:lvl w:ilvl="6" w:tplc="0C090001" w:tentative="1">
      <w:start w:val="1"/>
      <w:numFmt w:val="bullet"/>
      <w:lvlText w:val=""/>
      <w:lvlJc w:val="left"/>
      <w:pPr>
        <w:ind w:left="5248" w:hanging="360"/>
      </w:pPr>
      <w:rPr>
        <w:rFonts w:ascii="Symbol" w:hAnsi="Symbol" w:hint="default"/>
      </w:rPr>
    </w:lvl>
    <w:lvl w:ilvl="7" w:tplc="0C090003" w:tentative="1">
      <w:start w:val="1"/>
      <w:numFmt w:val="bullet"/>
      <w:lvlText w:val="o"/>
      <w:lvlJc w:val="left"/>
      <w:pPr>
        <w:ind w:left="5968" w:hanging="360"/>
      </w:pPr>
      <w:rPr>
        <w:rFonts w:ascii="Courier New" w:hAnsi="Courier New" w:cs="Courier New" w:hint="default"/>
      </w:rPr>
    </w:lvl>
    <w:lvl w:ilvl="8" w:tplc="0C090005" w:tentative="1">
      <w:start w:val="1"/>
      <w:numFmt w:val="bullet"/>
      <w:lvlText w:val=""/>
      <w:lvlJc w:val="left"/>
      <w:pPr>
        <w:ind w:left="6688" w:hanging="360"/>
      </w:pPr>
      <w:rPr>
        <w:rFonts w:ascii="Wingdings" w:hAnsi="Wingdings" w:hint="default"/>
      </w:rPr>
    </w:lvl>
  </w:abstractNum>
  <w:abstractNum w:abstractNumId="20" w15:restartNumberingAfterBreak="0">
    <w:nsid w:val="55031277"/>
    <w:multiLevelType w:val="hybridMultilevel"/>
    <w:tmpl w:val="25882BD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58D23193"/>
    <w:multiLevelType w:val="hybridMultilevel"/>
    <w:tmpl w:val="3DC03CCC"/>
    <w:lvl w:ilvl="0" w:tplc="24484E44">
      <w:numFmt w:val="bullet"/>
      <w:lvlText w:val="•"/>
      <w:lvlJc w:val="left"/>
      <w:pPr>
        <w:ind w:left="720" w:hanging="720"/>
      </w:pPr>
      <w:rPr>
        <w:rFonts w:ascii="Aptos" w:eastAsiaTheme="minorHAnsi" w:hAnsi="Aptos"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5DAC5FFD"/>
    <w:multiLevelType w:val="multilevel"/>
    <w:tmpl w:val="79B8EDD0"/>
    <w:lvl w:ilvl="0">
      <w:start w:val="1"/>
      <w:numFmt w:val="decimal"/>
      <w:pStyle w:val="2-SectionHeading"/>
      <w:lvlText w:val="%1"/>
      <w:lvlJc w:val="left"/>
      <w:pPr>
        <w:ind w:left="720" w:hanging="720"/>
      </w:pPr>
      <w:rPr>
        <w:rFonts w:hint="default"/>
      </w:rPr>
    </w:lvl>
    <w:lvl w:ilvl="1">
      <w:start w:val="1"/>
      <w:numFmt w:val="decimal"/>
      <w:pStyle w:val="3-BodyText"/>
      <w:lvlText w:val="%1.%2"/>
      <w:lvlJc w:val="left"/>
      <w:pPr>
        <w:ind w:left="720" w:hanging="720"/>
      </w:pPr>
      <w:rPr>
        <w:rFonts w:hint="default"/>
        <w:b w:val="0"/>
        <w:bCs w:val="0"/>
        <w:i w:val="0"/>
        <w:iCs w:val="0"/>
        <w:color w:val="auto"/>
      </w:rPr>
    </w:lvl>
    <w:lvl w:ilvl="2">
      <w:start w:val="1"/>
      <w:numFmt w:val="bullet"/>
      <w:lvlText w:val=""/>
      <w:lvlJc w:val="left"/>
      <w:pPr>
        <w:ind w:left="2700" w:hanging="360"/>
      </w:pPr>
      <w:rPr>
        <w:rFonts w:ascii="Symbol" w:hAnsi="Symbol" w:hint="default"/>
      </w:rPr>
    </w:lvl>
    <w:lvl w:ilvl="3">
      <w:start w:val="1"/>
      <w:numFmt w:val="decimal"/>
      <w:lvlText w:val="%4."/>
      <w:lvlJc w:val="left"/>
      <w:pPr>
        <w:ind w:left="3240" w:hanging="360"/>
      </w:pPr>
      <w:rPr>
        <w:rFonts w:hint="default"/>
      </w:rPr>
    </w:lvl>
    <w:lvl w:ilvl="4">
      <w:start w:val="1"/>
      <w:numFmt w:val="lowerLetter"/>
      <w:lvlText w:val="%5."/>
      <w:lvlJc w:val="left"/>
      <w:pPr>
        <w:ind w:left="3960" w:hanging="360"/>
      </w:pPr>
      <w:rPr>
        <w:rFonts w:hint="default"/>
      </w:rPr>
    </w:lvl>
    <w:lvl w:ilvl="5">
      <w:start w:val="1"/>
      <w:numFmt w:val="lowerRoman"/>
      <w:lvlText w:val="%6."/>
      <w:lvlJc w:val="right"/>
      <w:pPr>
        <w:ind w:left="4680" w:hanging="180"/>
      </w:pPr>
      <w:rPr>
        <w:rFonts w:hint="default"/>
      </w:rPr>
    </w:lvl>
    <w:lvl w:ilvl="6">
      <w:start w:val="1"/>
      <w:numFmt w:val="decimal"/>
      <w:lvlText w:val="%7."/>
      <w:lvlJc w:val="left"/>
      <w:pPr>
        <w:ind w:left="5400" w:hanging="360"/>
      </w:pPr>
      <w:rPr>
        <w:rFonts w:hint="default"/>
      </w:rPr>
    </w:lvl>
    <w:lvl w:ilvl="7">
      <w:start w:val="1"/>
      <w:numFmt w:val="lowerLetter"/>
      <w:lvlText w:val="%8."/>
      <w:lvlJc w:val="left"/>
      <w:pPr>
        <w:ind w:left="6120" w:hanging="360"/>
      </w:pPr>
      <w:rPr>
        <w:rFonts w:hint="default"/>
      </w:rPr>
    </w:lvl>
    <w:lvl w:ilvl="8">
      <w:start w:val="1"/>
      <w:numFmt w:val="lowerRoman"/>
      <w:lvlText w:val="%9."/>
      <w:lvlJc w:val="right"/>
      <w:pPr>
        <w:ind w:left="6840" w:hanging="180"/>
      </w:pPr>
      <w:rPr>
        <w:rFonts w:hint="default"/>
      </w:rPr>
    </w:lvl>
  </w:abstractNum>
  <w:abstractNum w:abstractNumId="23" w15:restartNumberingAfterBreak="0">
    <w:nsid w:val="5FFA4976"/>
    <w:multiLevelType w:val="hybridMultilevel"/>
    <w:tmpl w:val="B32407CA"/>
    <w:lvl w:ilvl="0" w:tplc="0C090019">
      <w:start w:val="2"/>
      <w:numFmt w:val="lowerLetter"/>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24" w15:restartNumberingAfterBreak="0">
    <w:nsid w:val="6D5D538F"/>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5" w15:restartNumberingAfterBreak="0">
    <w:nsid w:val="6DF4725A"/>
    <w:multiLevelType w:val="hybridMultilevel"/>
    <w:tmpl w:val="602CDD90"/>
    <w:lvl w:ilvl="0" w:tplc="9E78D9C2">
      <w:start w:val="1"/>
      <w:numFmt w:val="decimal"/>
      <w:lvlText w:val="%1."/>
      <w:lvlJc w:val="left"/>
      <w:pPr>
        <w:tabs>
          <w:tab w:val="num" w:pos="720"/>
        </w:tabs>
        <w:ind w:left="720" w:hanging="360"/>
      </w:pPr>
    </w:lvl>
    <w:lvl w:ilvl="1" w:tplc="6B24BB82">
      <w:start w:val="1"/>
      <w:numFmt w:val="decimal"/>
      <w:lvlText w:val="%2."/>
      <w:lvlJc w:val="left"/>
      <w:pPr>
        <w:tabs>
          <w:tab w:val="num" w:pos="1440"/>
        </w:tabs>
        <w:ind w:left="1440" w:hanging="360"/>
      </w:pPr>
    </w:lvl>
    <w:lvl w:ilvl="2" w:tplc="F3BC19B0" w:tentative="1">
      <w:start w:val="1"/>
      <w:numFmt w:val="decimal"/>
      <w:lvlText w:val="%3."/>
      <w:lvlJc w:val="left"/>
      <w:pPr>
        <w:tabs>
          <w:tab w:val="num" w:pos="2160"/>
        </w:tabs>
        <w:ind w:left="2160" w:hanging="360"/>
      </w:pPr>
    </w:lvl>
    <w:lvl w:ilvl="3" w:tplc="D04ED9B6" w:tentative="1">
      <w:start w:val="1"/>
      <w:numFmt w:val="decimal"/>
      <w:lvlText w:val="%4."/>
      <w:lvlJc w:val="left"/>
      <w:pPr>
        <w:tabs>
          <w:tab w:val="num" w:pos="2880"/>
        </w:tabs>
        <w:ind w:left="2880" w:hanging="360"/>
      </w:pPr>
    </w:lvl>
    <w:lvl w:ilvl="4" w:tplc="A80E9578" w:tentative="1">
      <w:start w:val="1"/>
      <w:numFmt w:val="decimal"/>
      <w:lvlText w:val="%5."/>
      <w:lvlJc w:val="left"/>
      <w:pPr>
        <w:tabs>
          <w:tab w:val="num" w:pos="3600"/>
        </w:tabs>
        <w:ind w:left="3600" w:hanging="360"/>
      </w:pPr>
    </w:lvl>
    <w:lvl w:ilvl="5" w:tplc="B4709E94" w:tentative="1">
      <w:start w:val="1"/>
      <w:numFmt w:val="decimal"/>
      <w:lvlText w:val="%6."/>
      <w:lvlJc w:val="left"/>
      <w:pPr>
        <w:tabs>
          <w:tab w:val="num" w:pos="4320"/>
        </w:tabs>
        <w:ind w:left="4320" w:hanging="360"/>
      </w:pPr>
    </w:lvl>
    <w:lvl w:ilvl="6" w:tplc="13EEF9C6" w:tentative="1">
      <w:start w:val="1"/>
      <w:numFmt w:val="decimal"/>
      <w:lvlText w:val="%7."/>
      <w:lvlJc w:val="left"/>
      <w:pPr>
        <w:tabs>
          <w:tab w:val="num" w:pos="5040"/>
        </w:tabs>
        <w:ind w:left="5040" w:hanging="360"/>
      </w:pPr>
    </w:lvl>
    <w:lvl w:ilvl="7" w:tplc="C42A36B2" w:tentative="1">
      <w:start w:val="1"/>
      <w:numFmt w:val="decimal"/>
      <w:lvlText w:val="%8."/>
      <w:lvlJc w:val="left"/>
      <w:pPr>
        <w:tabs>
          <w:tab w:val="num" w:pos="5760"/>
        </w:tabs>
        <w:ind w:left="5760" w:hanging="360"/>
      </w:pPr>
    </w:lvl>
    <w:lvl w:ilvl="8" w:tplc="9F7A9376" w:tentative="1">
      <w:start w:val="1"/>
      <w:numFmt w:val="decimal"/>
      <w:lvlText w:val="%9."/>
      <w:lvlJc w:val="left"/>
      <w:pPr>
        <w:tabs>
          <w:tab w:val="num" w:pos="6480"/>
        </w:tabs>
        <w:ind w:left="6480" w:hanging="360"/>
      </w:pPr>
    </w:lvl>
  </w:abstractNum>
  <w:abstractNum w:abstractNumId="26" w15:restartNumberingAfterBreak="0">
    <w:nsid w:val="784D033C"/>
    <w:multiLevelType w:val="multilevel"/>
    <w:tmpl w:val="4A3660EC"/>
    <w:lvl w:ilvl="0">
      <w:start w:val="1"/>
      <w:numFmt w:val="decimal"/>
      <w:lvlText w:val="%1"/>
      <w:lvlJc w:val="left"/>
      <w:pPr>
        <w:ind w:left="720" w:hanging="720"/>
      </w:pPr>
      <w:rPr>
        <w:rFonts w:hint="default"/>
        <w:b/>
      </w:rPr>
    </w:lvl>
    <w:lvl w:ilvl="1">
      <w:start w:val="1"/>
      <w:numFmt w:val="decimal"/>
      <w:lvlText w:val="%1.%2"/>
      <w:lvlJc w:val="left"/>
      <w:pPr>
        <w:ind w:left="720" w:hanging="720"/>
      </w:pPr>
      <w:rPr>
        <w:rFonts w:hint="default"/>
        <w:i w:val="0"/>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num w:numId="1" w16cid:durableId="1180194493">
    <w:abstractNumId w:val="26"/>
  </w:num>
  <w:num w:numId="2" w16cid:durableId="1742173966">
    <w:abstractNumId w:val="22"/>
  </w:num>
  <w:num w:numId="3" w16cid:durableId="1289386481">
    <w:abstractNumId w:val="6"/>
  </w:num>
  <w:num w:numId="4" w16cid:durableId="1315062609">
    <w:abstractNumId w:val="17"/>
  </w:num>
  <w:num w:numId="5" w16cid:durableId="1942714778">
    <w:abstractNumId w:val="19"/>
  </w:num>
  <w:num w:numId="6" w16cid:durableId="1431776791">
    <w:abstractNumId w:val="21"/>
  </w:num>
  <w:num w:numId="7" w16cid:durableId="1660116426">
    <w:abstractNumId w:val="1"/>
  </w:num>
  <w:num w:numId="8" w16cid:durableId="408699874">
    <w:abstractNumId w:val="20"/>
  </w:num>
  <w:num w:numId="9" w16cid:durableId="1569418770">
    <w:abstractNumId w:val="2"/>
  </w:num>
  <w:num w:numId="10" w16cid:durableId="705176722">
    <w:abstractNumId w:val="0"/>
  </w:num>
  <w:num w:numId="11" w16cid:durableId="1926569401">
    <w:abstractNumId w:val="9"/>
  </w:num>
  <w:num w:numId="12" w16cid:durableId="1979457665">
    <w:abstractNumId w:val="11"/>
  </w:num>
  <w:num w:numId="13" w16cid:durableId="2038313566">
    <w:abstractNumId w:val="8"/>
  </w:num>
  <w:num w:numId="14" w16cid:durableId="1297443176">
    <w:abstractNumId w:val="23"/>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209997201">
    <w:abstractNumId w:val="24"/>
  </w:num>
  <w:num w:numId="16" w16cid:durableId="209540365">
    <w:abstractNumId w:val="22"/>
  </w:num>
  <w:num w:numId="17" w16cid:durableId="1013608550">
    <w:abstractNumId w:val="22"/>
  </w:num>
  <w:num w:numId="18" w16cid:durableId="1996761037">
    <w:abstractNumId w:val="22"/>
  </w:num>
  <w:num w:numId="19" w16cid:durableId="931667385">
    <w:abstractNumId w:val="22"/>
  </w:num>
  <w:num w:numId="20" w16cid:durableId="1318262562">
    <w:abstractNumId w:val="22"/>
  </w:num>
  <w:num w:numId="21" w16cid:durableId="1861158667">
    <w:abstractNumId w:val="22"/>
  </w:num>
  <w:num w:numId="22" w16cid:durableId="204487235">
    <w:abstractNumId w:val="22"/>
  </w:num>
  <w:num w:numId="23" w16cid:durableId="33115876">
    <w:abstractNumId w:val="22"/>
  </w:num>
  <w:num w:numId="24" w16cid:durableId="997655201">
    <w:abstractNumId w:val="22"/>
  </w:num>
  <w:num w:numId="25" w16cid:durableId="1577789691">
    <w:abstractNumId w:val="22"/>
  </w:num>
  <w:num w:numId="26" w16cid:durableId="1880167622">
    <w:abstractNumId w:val="22"/>
  </w:num>
  <w:num w:numId="27" w16cid:durableId="674576221">
    <w:abstractNumId w:val="22"/>
  </w:num>
  <w:num w:numId="28" w16cid:durableId="1617636434">
    <w:abstractNumId w:val="3"/>
  </w:num>
  <w:num w:numId="29" w16cid:durableId="1360087240">
    <w:abstractNumId w:val="16"/>
  </w:num>
  <w:num w:numId="30" w16cid:durableId="850880120">
    <w:abstractNumId w:val="12"/>
  </w:num>
  <w:num w:numId="31" w16cid:durableId="888569254">
    <w:abstractNumId w:val="14"/>
  </w:num>
  <w:num w:numId="32" w16cid:durableId="366374809">
    <w:abstractNumId w:val="13"/>
  </w:num>
  <w:num w:numId="33" w16cid:durableId="1333143542">
    <w:abstractNumId w:val="5"/>
  </w:num>
  <w:num w:numId="34" w16cid:durableId="1638879469">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670792008">
    <w:abstractNumId w:val="10"/>
  </w:num>
  <w:num w:numId="36" w16cid:durableId="1526943178">
    <w:abstractNumId w:val="4"/>
  </w:num>
  <w:num w:numId="37" w16cid:durableId="449709821">
    <w:abstractNumId w:val="7"/>
  </w:num>
  <w:num w:numId="38" w16cid:durableId="1605573341">
    <w:abstractNumId w:val="25"/>
  </w:num>
  <w:num w:numId="39" w16cid:durableId="1457528699">
    <w:abstractNumId w:val="22"/>
  </w:num>
  <w:num w:numId="40" w16cid:durableId="1259942583">
    <w:abstractNumId w:val="18"/>
  </w:num>
  <w:num w:numId="41" w16cid:durableId="93980399">
    <w:abstractNumId w:val="23"/>
  </w:num>
  <w:num w:numId="42" w16cid:durableId="1721247205">
    <w:abstractNumId w:val="15"/>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removePersonalInformation/>
  <w:removeDateAndTime/>
  <w:embedSystemFonts/>
  <w:proofState w:spelling="clean" w:grammar="clean"/>
  <w:stylePaneFormatFilter w:val="3E01" w:allStyles="1" w:customStyles="0" w:latentStyles="0" w:stylesInUse="0" w:headingStyles="0" w:numberingStyles="0" w:tableStyles="0" w:directFormattingOnRuns="0"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702BB"/>
    <w:rsid w:val="0000080A"/>
    <w:rsid w:val="00000ACD"/>
    <w:rsid w:val="00001663"/>
    <w:rsid w:val="000025AD"/>
    <w:rsid w:val="0000286C"/>
    <w:rsid w:val="0000335D"/>
    <w:rsid w:val="00003522"/>
    <w:rsid w:val="00006D6C"/>
    <w:rsid w:val="0000710D"/>
    <w:rsid w:val="000105FC"/>
    <w:rsid w:val="00010B70"/>
    <w:rsid w:val="00010F72"/>
    <w:rsid w:val="000113CA"/>
    <w:rsid w:val="00011A59"/>
    <w:rsid w:val="00012B59"/>
    <w:rsid w:val="000145C9"/>
    <w:rsid w:val="00014E50"/>
    <w:rsid w:val="00015283"/>
    <w:rsid w:val="00015307"/>
    <w:rsid w:val="00015BB7"/>
    <w:rsid w:val="00016A41"/>
    <w:rsid w:val="00016F11"/>
    <w:rsid w:val="00017862"/>
    <w:rsid w:val="00017CCF"/>
    <w:rsid w:val="00020CA3"/>
    <w:rsid w:val="000214D1"/>
    <w:rsid w:val="00023D88"/>
    <w:rsid w:val="0002464A"/>
    <w:rsid w:val="00024F82"/>
    <w:rsid w:val="00025822"/>
    <w:rsid w:val="00025A04"/>
    <w:rsid w:val="00025B04"/>
    <w:rsid w:val="00027363"/>
    <w:rsid w:val="00027990"/>
    <w:rsid w:val="0003050E"/>
    <w:rsid w:val="0003106B"/>
    <w:rsid w:val="0003109F"/>
    <w:rsid w:val="000313AE"/>
    <w:rsid w:val="0003206F"/>
    <w:rsid w:val="00033476"/>
    <w:rsid w:val="0003387A"/>
    <w:rsid w:val="00033C1D"/>
    <w:rsid w:val="00033DAF"/>
    <w:rsid w:val="00034905"/>
    <w:rsid w:val="0003522C"/>
    <w:rsid w:val="0003555F"/>
    <w:rsid w:val="00035759"/>
    <w:rsid w:val="00036738"/>
    <w:rsid w:val="00037053"/>
    <w:rsid w:val="00037BBA"/>
    <w:rsid w:val="000406AD"/>
    <w:rsid w:val="000414E8"/>
    <w:rsid w:val="000421A1"/>
    <w:rsid w:val="0004240E"/>
    <w:rsid w:val="00043F64"/>
    <w:rsid w:val="00044CB0"/>
    <w:rsid w:val="00044D18"/>
    <w:rsid w:val="00044EC4"/>
    <w:rsid w:val="00044F02"/>
    <w:rsid w:val="0004552F"/>
    <w:rsid w:val="0004587B"/>
    <w:rsid w:val="00045E26"/>
    <w:rsid w:val="000461B6"/>
    <w:rsid w:val="00046D43"/>
    <w:rsid w:val="0004705D"/>
    <w:rsid w:val="00047234"/>
    <w:rsid w:val="000476E0"/>
    <w:rsid w:val="00047930"/>
    <w:rsid w:val="00047C4C"/>
    <w:rsid w:val="000514B5"/>
    <w:rsid w:val="00052E1F"/>
    <w:rsid w:val="0005322E"/>
    <w:rsid w:val="0005368B"/>
    <w:rsid w:val="00053A41"/>
    <w:rsid w:val="00054CE6"/>
    <w:rsid w:val="00054E2B"/>
    <w:rsid w:val="0005683D"/>
    <w:rsid w:val="00057280"/>
    <w:rsid w:val="000577C0"/>
    <w:rsid w:val="000577DB"/>
    <w:rsid w:val="00060E64"/>
    <w:rsid w:val="00061557"/>
    <w:rsid w:val="00063268"/>
    <w:rsid w:val="000634AA"/>
    <w:rsid w:val="000638B1"/>
    <w:rsid w:val="00066193"/>
    <w:rsid w:val="00066755"/>
    <w:rsid w:val="000674A9"/>
    <w:rsid w:val="000675AC"/>
    <w:rsid w:val="00067A9A"/>
    <w:rsid w:val="00067B6B"/>
    <w:rsid w:val="000707F1"/>
    <w:rsid w:val="00070A2E"/>
    <w:rsid w:val="00070DC3"/>
    <w:rsid w:val="00071A5B"/>
    <w:rsid w:val="000729EA"/>
    <w:rsid w:val="0007337F"/>
    <w:rsid w:val="000734A1"/>
    <w:rsid w:val="00073FC5"/>
    <w:rsid w:val="00074FD1"/>
    <w:rsid w:val="000763D5"/>
    <w:rsid w:val="00076C38"/>
    <w:rsid w:val="00076C3E"/>
    <w:rsid w:val="00076D2D"/>
    <w:rsid w:val="00077143"/>
    <w:rsid w:val="00077DF7"/>
    <w:rsid w:val="0008050C"/>
    <w:rsid w:val="00080BBA"/>
    <w:rsid w:val="00081D2D"/>
    <w:rsid w:val="00082169"/>
    <w:rsid w:val="000834BE"/>
    <w:rsid w:val="00083941"/>
    <w:rsid w:val="00083F01"/>
    <w:rsid w:val="000844EC"/>
    <w:rsid w:val="000846BC"/>
    <w:rsid w:val="0008476A"/>
    <w:rsid w:val="00084791"/>
    <w:rsid w:val="0008556B"/>
    <w:rsid w:val="000857C3"/>
    <w:rsid w:val="00085A68"/>
    <w:rsid w:val="00085E51"/>
    <w:rsid w:val="0008616B"/>
    <w:rsid w:val="000861D8"/>
    <w:rsid w:val="000876D1"/>
    <w:rsid w:val="000879A1"/>
    <w:rsid w:val="00087C4C"/>
    <w:rsid w:val="000918CB"/>
    <w:rsid w:val="00091B06"/>
    <w:rsid w:val="00092397"/>
    <w:rsid w:val="00092AF0"/>
    <w:rsid w:val="000951C4"/>
    <w:rsid w:val="00095ADA"/>
    <w:rsid w:val="00095E4E"/>
    <w:rsid w:val="000969AD"/>
    <w:rsid w:val="00096DA9"/>
    <w:rsid w:val="000975FB"/>
    <w:rsid w:val="000978C5"/>
    <w:rsid w:val="000A3281"/>
    <w:rsid w:val="000A337D"/>
    <w:rsid w:val="000A3AA2"/>
    <w:rsid w:val="000A3DAD"/>
    <w:rsid w:val="000A44B2"/>
    <w:rsid w:val="000A463F"/>
    <w:rsid w:val="000A52F6"/>
    <w:rsid w:val="000A591B"/>
    <w:rsid w:val="000A6E98"/>
    <w:rsid w:val="000B15F1"/>
    <w:rsid w:val="000B268D"/>
    <w:rsid w:val="000B3BFC"/>
    <w:rsid w:val="000B44C3"/>
    <w:rsid w:val="000B558D"/>
    <w:rsid w:val="000B5A89"/>
    <w:rsid w:val="000B5E56"/>
    <w:rsid w:val="000B659A"/>
    <w:rsid w:val="000B65F6"/>
    <w:rsid w:val="000B7613"/>
    <w:rsid w:val="000B7614"/>
    <w:rsid w:val="000B7718"/>
    <w:rsid w:val="000B7767"/>
    <w:rsid w:val="000B7AE8"/>
    <w:rsid w:val="000C09FF"/>
    <w:rsid w:val="000C12E5"/>
    <w:rsid w:val="000C13B3"/>
    <w:rsid w:val="000C271C"/>
    <w:rsid w:val="000C40A1"/>
    <w:rsid w:val="000C4C1E"/>
    <w:rsid w:val="000C4F38"/>
    <w:rsid w:val="000C57EB"/>
    <w:rsid w:val="000C5A55"/>
    <w:rsid w:val="000C5F95"/>
    <w:rsid w:val="000C6996"/>
    <w:rsid w:val="000C6DB4"/>
    <w:rsid w:val="000C6F39"/>
    <w:rsid w:val="000C7691"/>
    <w:rsid w:val="000C7C46"/>
    <w:rsid w:val="000C7F11"/>
    <w:rsid w:val="000D09E9"/>
    <w:rsid w:val="000D113F"/>
    <w:rsid w:val="000D1708"/>
    <w:rsid w:val="000D23BA"/>
    <w:rsid w:val="000D473C"/>
    <w:rsid w:val="000D4D30"/>
    <w:rsid w:val="000D53CC"/>
    <w:rsid w:val="000D6107"/>
    <w:rsid w:val="000D7003"/>
    <w:rsid w:val="000D71AE"/>
    <w:rsid w:val="000D77D5"/>
    <w:rsid w:val="000D7D5B"/>
    <w:rsid w:val="000D7EA8"/>
    <w:rsid w:val="000E160D"/>
    <w:rsid w:val="000E19B7"/>
    <w:rsid w:val="000E1D63"/>
    <w:rsid w:val="000E20FC"/>
    <w:rsid w:val="000E271F"/>
    <w:rsid w:val="000E2726"/>
    <w:rsid w:val="000E3DFB"/>
    <w:rsid w:val="000E477D"/>
    <w:rsid w:val="000E4FF3"/>
    <w:rsid w:val="000E5EA1"/>
    <w:rsid w:val="000E681E"/>
    <w:rsid w:val="000E6CD4"/>
    <w:rsid w:val="000E7865"/>
    <w:rsid w:val="000E78C4"/>
    <w:rsid w:val="000E7E52"/>
    <w:rsid w:val="000F0003"/>
    <w:rsid w:val="000F0760"/>
    <w:rsid w:val="000F0AD4"/>
    <w:rsid w:val="000F1BAD"/>
    <w:rsid w:val="000F2656"/>
    <w:rsid w:val="000F2AFD"/>
    <w:rsid w:val="000F3384"/>
    <w:rsid w:val="000F4726"/>
    <w:rsid w:val="000F4E6A"/>
    <w:rsid w:val="000F5530"/>
    <w:rsid w:val="000F5DC1"/>
    <w:rsid w:val="000F65BE"/>
    <w:rsid w:val="000F7354"/>
    <w:rsid w:val="000F7FE6"/>
    <w:rsid w:val="001010A5"/>
    <w:rsid w:val="00101ABE"/>
    <w:rsid w:val="00101C5D"/>
    <w:rsid w:val="00101D61"/>
    <w:rsid w:val="00101E85"/>
    <w:rsid w:val="0010214E"/>
    <w:rsid w:val="00102202"/>
    <w:rsid w:val="00102230"/>
    <w:rsid w:val="0010238A"/>
    <w:rsid w:val="00102700"/>
    <w:rsid w:val="0010289B"/>
    <w:rsid w:val="00102A78"/>
    <w:rsid w:val="00102F28"/>
    <w:rsid w:val="00103118"/>
    <w:rsid w:val="00104227"/>
    <w:rsid w:val="00104499"/>
    <w:rsid w:val="001057E0"/>
    <w:rsid w:val="00106E7F"/>
    <w:rsid w:val="00107A2B"/>
    <w:rsid w:val="00107BB0"/>
    <w:rsid w:val="001104CA"/>
    <w:rsid w:val="001107BF"/>
    <w:rsid w:val="00110FD7"/>
    <w:rsid w:val="0011114B"/>
    <w:rsid w:val="0011117B"/>
    <w:rsid w:val="001132D9"/>
    <w:rsid w:val="00113649"/>
    <w:rsid w:val="00113683"/>
    <w:rsid w:val="001138B4"/>
    <w:rsid w:val="00113D5C"/>
    <w:rsid w:val="00113D86"/>
    <w:rsid w:val="0011585D"/>
    <w:rsid w:val="001158C9"/>
    <w:rsid w:val="00115DF2"/>
    <w:rsid w:val="001160A8"/>
    <w:rsid w:val="00116149"/>
    <w:rsid w:val="00116154"/>
    <w:rsid w:val="00116FAA"/>
    <w:rsid w:val="001170F0"/>
    <w:rsid w:val="001206C8"/>
    <w:rsid w:val="00120D12"/>
    <w:rsid w:val="001213B6"/>
    <w:rsid w:val="00122586"/>
    <w:rsid w:val="00122D50"/>
    <w:rsid w:val="001236CD"/>
    <w:rsid w:val="0012417C"/>
    <w:rsid w:val="00124BF2"/>
    <w:rsid w:val="001252F8"/>
    <w:rsid w:val="0012597F"/>
    <w:rsid w:val="001262E3"/>
    <w:rsid w:val="00126835"/>
    <w:rsid w:val="00126EF2"/>
    <w:rsid w:val="0012749D"/>
    <w:rsid w:val="00127994"/>
    <w:rsid w:val="001303DC"/>
    <w:rsid w:val="00130545"/>
    <w:rsid w:val="001306A5"/>
    <w:rsid w:val="001311AE"/>
    <w:rsid w:val="00131423"/>
    <w:rsid w:val="00131F97"/>
    <w:rsid w:val="00133030"/>
    <w:rsid w:val="00133471"/>
    <w:rsid w:val="00133C60"/>
    <w:rsid w:val="00134CBD"/>
    <w:rsid w:val="00134F4B"/>
    <w:rsid w:val="00135BF2"/>
    <w:rsid w:val="001364BB"/>
    <w:rsid w:val="0013655A"/>
    <w:rsid w:val="001369ED"/>
    <w:rsid w:val="00140B74"/>
    <w:rsid w:val="00140D94"/>
    <w:rsid w:val="0014103E"/>
    <w:rsid w:val="0014235D"/>
    <w:rsid w:val="00142395"/>
    <w:rsid w:val="00142714"/>
    <w:rsid w:val="001432EC"/>
    <w:rsid w:val="00143682"/>
    <w:rsid w:val="00144D09"/>
    <w:rsid w:val="001452ED"/>
    <w:rsid w:val="001462F6"/>
    <w:rsid w:val="00146B57"/>
    <w:rsid w:val="00146CB3"/>
    <w:rsid w:val="0014720F"/>
    <w:rsid w:val="00147566"/>
    <w:rsid w:val="00147D84"/>
    <w:rsid w:val="00150AC8"/>
    <w:rsid w:val="001527C9"/>
    <w:rsid w:val="00153288"/>
    <w:rsid w:val="001548DE"/>
    <w:rsid w:val="001549C1"/>
    <w:rsid w:val="00156C8D"/>
    <w:rsid w:val="00157919"/>
    <w:rsid w:val="00157C07"/>
    <w:rsid w:val="00160F4D"/>
    <w:rsid w:val="0016186C"/>
    <w:rsid w:val="00162BDD"/>
    <w:rsid w:val="00162D4E"/>
    <w:rsid w:val="00163162"/>
    <w:rsid w:val="00163329"/>
    <w:rsid w:val="001639C6"/>
    <w:rsid w:val="00164623"/>
    <w:rsid w:val="00164855"/>
    <w:rsid w:val="00164E37"/>
    <w:rsid w:val="001651D2"/>
    <w:rsid w:val="001652DE"/>
    <w:rsid w:val="00165B64"/>
    <w:rsid w:val="00166908"/>
    <w:rsid w:val="00166A99"/>
    <w:rsid w:val="001673EF"/>
    <w:rsid w:val="00170402"/>
    <w:rsid w:val="0017070C"/>
    <w:rsid w:val="00170835"/>
    <w:rsid w:val="00170B35"/>
    <w:rsid w:val="00170FE1"/>
    <w:rsid w:val="00171149"/>
    <w:rsid w:val="00172D42"/>
    <w:rsid w:val="00173759"/>
    <w:rsid w:val="00173915"/>
    <w:rsid w:val="0017572D"/>
    <w:rsid w:val="00175F6C"/>
    <w:rsid w:val="00176248"/>
    <w:rsid w:val="00176B9D"/>
    <w:rsid w:val="00176D6F"/>
    <w:rsid w:val="00177933"/>
    <w:rsid w:val="00180124"/>
    <w:rsid w:val="00180713"/>
    <w:rsid w:val="00180720"/>
    <w:rsid w:val="00180917"/>
    <w:rsid w:val="001817DD"/>
    <w:rsid w:val="00181BCF"/>
    <w:rsid w:val="001830BD"/>
    <w:rsid w:val="001830CE"/>
    <w:rsid w:val="00183345"/>
    <w:rsid w:val="001836E3"/>
    <w:rsid w:val="001838F2"/>
    <w:rsid w:val="00183F05"/>
    <w:rsid w:val="00184C39"/>
    <w:rsid w:val="001851A5"/>
    <w:rsid w:val="001854BB"/>
    <w:rsid w:val="0018643B"/>
    <w:rsid w:val="00190627"/>
    <w:rsid w:val="00190B91"/>
    <w:rsid w:val="00190FFF"/>
    <w:rsid w:val="00192397"/>
    <w:rsid w:val="001926D9"/>
    <w:rsid w:val="00192E96"/>
    <w:rsid w:val="001950F4"/>
    <w:rsid w:val="00196307"/>
    <w:rsid w:val="001970A1"/>
    <w:rsid w:val="001A0D10"/>
    <w:rsid w:val="001A33EA"/>
    <w:rsid w:val="001A4064"/>
    <w:rsid w:val="001A4413"/>
    <w:rsid w:val="001A4C4F"/>
    <w:rsid w:val="001A5A2B"/>
    <w:rsid w:val="001A623C"/>
    <w:rsid w:val="001A62C0"/>
    <w:rsid w:val="001A6C44"/>
    <w:rsid w:val="001A76FB"/>
    <w:rsid w:val="001A776D"/>
    <w:rsid w:val="001B012C"/>
    <w:rsid w:val="001B017F"/>
    <w:rsid w:val="001B04D6"/>
    <w:rsid w:val="001B0B79"/>
    <w:rsid w:val="001B284D"/>
    <w:rsid w:val="001B2AA2"/>
    <w:rsid w:val="001B2B79"/>
    <w:rsid w:val="001B2BBC"/>
    <w:rsid w:val="001B316B"/>
    <w:rsid w:val="001B3A40"/>
    <w:rsid w:val="001B3FFE"/>
    <w:rsid w:val="001B468F"/>
    <w:rsid w:val="001B484A"/>
    <w:rsid w:val="001B4EF8"/>
    <w:rsid w:val="001B5129"/>
    <w:rsid w:val="001B669F"/>
    <w:rsid w:val="001B706E"/>
    <w:rsid w:val="001C0B4C"/>
    <w:rsid w:val="001C0EC4"/>
    <w:rsid w:val="001C1195"/>
    <w:rsid w:val="001C12AE"/>
    <w:rsid w:val="001C1E84"/>
    <w:rsid w:val="001C2E42"/>
    <w:rsid w:val="001C2EB5"/>
    <w:rsid w:val="001C35A5"/>
    <w:rsid w:val="001C3F45"/>
    <w:rsid w:val="001C41FF"/>
    <w:rsid w:val="001C6307"/>
    <w:rsid w:val="001C6823"/>
    <w:rsid w:val="001C6888"/>
    <w:rsid w:val="001C6C5E"/>
    <w:rsid w:val="001C6E9B"/>
    <w:rsid w:val="001C758C"/>
    <w:rsid w:val="001D0EA7"/>
    <w:rsid w:val="001D125B"/>
    <w:rsid w:val="001D13E9"/>
    <w:rsid w:val="001D1F5F"/>
    <w:rsid w:val="001D2199"/>
    <w:rsid w:val="001D38AB"/>
    <w:rsid w:val="001D42BD"/>
    <w:rsid w:val="001D4689"/>
    <w:rsid w:val="001D4AD2"/>
    <w:rsid w:val="001D5DA8"/>
    <w:rsid w:val="001D7DFC"/>
    <w:rsid w:val="001E06D2"/>
    <w:rsid w:val="001E0AC2"/>
    <w:rsid w:val="001E1012"/>
    <w:rsid w:val="001E17C4"/>
    <w:rsid w:val="001E3648"/>
    <w:rsid w:val="001E3657"/>
    <w:rsid w:val="001E3785"/>
    <w:rsid w:val="001E3A65"/>
    <w:rsid w:val="001E4078"/>
    <w:rsid w:val="001E4124"/>
    <w:rsid w:val="001E438C"/>
    <w:rsid w:val="001E4C68"/>
    <w:rsid w:val="001E69FD"/>
    <w:rsid w:val="001E6E7B"/>
    <w:rsid w:val="001E77D1"/>
    <w:rsid w:val="001F005B"/>
    <w:rsid w:val="001F0D53"/>
    <w:rsid w:val="001F0F45"/>
    <w:rsid w:val="001F1086"/>
    <w:rsid w:val="001F11FB"/>
    <w:rsid w:val="001F1850"/>
    <w:rsid w:val="001F1D9C"/>
    <w:rsid w:val="001F1FBF"/>
    <w:rsid w:val="001F2BDB"/>
    <w:rsid w:val="001F2F1C"/>
    <w:rsid w:val="001F2F39"/>
    <w:rsid w:val="001F3189"/>
    <w:rsid w:val="001F3701"/>
    <w:rsid w:val="001F4FC1"/>
    <w:rsid w:val="001F6997"/>
    <w:rsid w:val="001F6ADC"/>
    <w:rsid w:val="001F7250"/>
    <w:rsid w:val="001F7494"/>
    <w:rsid w:val="001F7C8C"/>
    <w:rsid w:val="0020080D"/>
    <w:rsid w:val="002014E0"/>
    <w:rsid w:val="00201FB8"/>
    <w:rsid w:val="002025D2"/>
    <w:rsid w:val="00203FAC"/>
    <w:rsid w:val="00204230"/>
    <w:rsid w:val="0020448E"/>
    <w:rsid w:val="0020478B"/>
    <w:rsid w:val="00204907"/>
    <w:rsid w:val="00206982"/>
    <w:rsid w:val="002112AD"/>
    <w:rsid w:val="002122B2"/>
    <w:rsid w:val="00212B09"/>
    <w:rsid w:val="00212ED6"/>
    <w:rsid w:val="00213059"/>
    <w:rsid w:val="0021306B"/>
    <w:rsid w:val="00213CFB"/>
    <w:rsid w:val="00214121"/>
    <w:rsid w:val="00214CA1"/>
    <w:rsid w:val="0021553C"/>
    <w:rsid w:val="0021557B"/>
    <w:rsid w:val="00216CB8"/>
    <w:rsid w:val="002174FD"/>
    <w:rsid w:val="002176E8"/>
    <w:rsid w:val="00217BE1"/>
    <w:rsid w:val="00220197"/>
    <w:rsid w:val="00220FDB"/>
    <w:rsid w:val="00221342"/>
    <w:rsid w:val="002214B9"/>
    <w:rsid w:val="00222173"/>
    <w:rsid w:val="00224119"/>
    <w:rsid w:val="00224A07"/>
    <w:rsid w:val="00226706"/>
    <w:rsid w:val="00227595"/>
    <w:rsid w:val="00227E77"/>
    <w:rsid w:val="0023000B"/>
    <w:rsid w:val="00230121"/>
    <w:rsid w:val="00230CDA"/>
    <w:rsid w:val="00230F63"/>
    <w:rsid w:val="002328AD"/>
    <w:rsid w:val="00233539"/>
    <w:rsid w:val="00233972"/>
    <w:rsid w:val="00233F6F"/>
    <w:rsid w:val="00234252"/>
    <w:rsid w:val="0023466E"/>
    <w:rsid w:val="00235533"/>
    <w:rsid w:val="00235623"/>
    <w:rsid w:val="00235779"/>
    <w:rsid w:val="00236302"/>
    <w:rsid w:val="00237AC6"/>
    <w:rsid w:val="00240165"/>
    <w:rsid w:val="00241006"/>
    <w:rsid w:val="0024159D"/>
    <w:rsid w:val="002424AE"/>
    <w:rsid w:val="00243485"/>
    <w:rsid w:val="0024373D"/>
    <w:rsid w:val="00244139"/>
    <w:rsid w:val="00244490"/>
    <w:rsid w:val="002448F2"/>
    <w:rsid w:val="00245B9C"/>
    <w:rsid w:val="0024687C"/>
    <w:rsid w:val="00246AAF"/>
    <w:rsid w:val="002500DF"/>
    <w:rsid w:val="002508B3"/>
    <w:rsid w:val="00250F29"/>
    <w:rsid w:val="00252055"/>
    <w:rsid w:val="002531C6"/>
    <w:rsid w:val="00253499"/>
    <w:rsid w:val="00253E97"/>
    <w:rsid w:val="00254A5D"/>
    <w:rsid w:val="00254AB4"/>
    <w:rsid w:val="00254B34"/>
    <w:rsid w:val="002551A4"/>
    <w:rsid w:val="00256989"/>
    <w:rsid w:val="00257664"/>
    <w:rsid w:val="00257B96"/>
    <w:rsid w:val="00257E3B"/>
    <w:rsid w:val="002602DF"/>
    <w:rsid w:val="00260938"/>
    <w:rsid w:val="0026212C"/>
    <w:rsid w:val="002626AB"/>
    <w:rsid w:val="00262857"/>
    <w:rsid w:val="00264A01"/>
    <w:rsid w:val="00265151"/>
    <w:rsid w:val="0026559B"/>
    <w:rsid w:val="00265C2C"/>
    <w:rsid w:val="00265ED8"/>
    <w:rsid w:val="00266509"/>
    <w:rsid w:val="00266E78"/>
    <w:rsid w:val="00270832"/>
    <w:rsid w:val="00271BA1"/>
    <w:rsid w:val="00271D8B"/>
    <w:rsid w:val="00273AC5"/>
    <w:rsid w:val="00273C0A"/>
    <w:rsid w:val="00274455"/>
    <w:rsid w:val="00274B23"/>
    <w:rsid w:val="002762FA"/>
    <w:rsid w:val="00276E09"/>
    <w:rsid w:val="00277505"/>
    <w:rsid w:val="0028158C"/>
    <w:rsid w:val="002823B6"/>
    <w:rsid w:val="002830C2"/>
    <w:rsid w:val="0028359C"/>
    <w:rsid w:val="00283D8A"/>
    <w:rsid w:val="00286EED"/>
    <w:rsid w:val="00290C03"/>
    <w:rsid w:val="00290D34"/>
    <w:rsid w:val="00291EA6"/>
    <w:rsid w:val="002925CE"/>
    <w:rsid w:val="00292C29"/>
    <w:rsid w:val="00294274"/>
    <w:rsid w:val="0029458F"/>
    <w:rsid w:val="002946B1"/>
    <w:rsid w:val="0029476B"/>
    <w:rsid w:val="0029531C"/>
    <w:rsid w:val="002956DB"/>
    <w:rsid w:val="002A018F"/>
    <w:rsid w:val="002A093C"/>
    <w:rsid w:val="002A0E04"/>
    <w:rsid w:val="002A104C"/>
    <w:rsid w:val="002A1EF7"/>
    <w:rsid w:val="002A494D"/>
    <w:rsid w:val="002A4960"/>
    <w:rsid w:val="002A612F"/>
    <w:rsid w:val="002A636A"/>
    <w:rsid w:val="002A64F7"/>
    <w:rsid w:val="002A6C55"/>
    <w:rsid w:val="002A6ECF"/>
    <w:rsid w:val="002A7D17"/>
    <w:rsid w:val="002A7FB5"/>
    <w:rsid w:val="002B09C3"/>
    <w:rsid w:val="002B0AE0"/>
    <w:rsid w:val="002B0DC3"/>
    <w:rsid w:val="002B1AE6"/>
    <w:rsid w:val="002B1C7D"/>
    <w:rsid w:val="002B1D51"/>
    <w:rsid w:val="002B2DE8"/>
    <w:rsid w:val="002B30F8"/>
    <w:rsid w:val="002B313D"/>
    <w:rsid w:val="002B388A"/>
    <w:rsid w:val="002B4D88"/>
    <w:rsid w:val="002B540C"/>
    <w:rsid w:val="002B5596"/>
    <w:rsid w:val="002B5B3A"/>
    <w:rsid w:val="002B77D7"/>
    <w:rsid w:val="002C0247"/>
    <w:rsid w:val="002C212F"/>
    <w:rsid w:val="002C29F6"/>
    <w:rsid w:val="002C2F35"/>
    <w:rsid w:val="002C43CC"/>
    <w:rsid w:val="002C633F"/>
    <w:rsid w:val="002C6A0E"/>
    <w:rsid w:val="002C6AA9"/>
    <w:rsid w:val="002C7485"/>
    <w:rsid w:val="002C7A5B"/>
    <w:rsid w:val="002C7E0A"/>
    <w:rsid w:val="002D01B2"/>
    <w:rsid w:val="002D147F"/>
    <w:rsid w:val="002D234F"/>
    <w:rsid w:val="002D2641"/>
    <w:rsid w:val="002D283A"/>
    <w:rsid w:val="002D2980"/>
    <w:rsid w:val="002D31BE"/>
    <w:rsid w:val="002D3AAF"/>
    <w:rsid w:val="002D3B1C"/>
    <w:rsid w:val="002D3FC2"/>
    <w:rsid w:val="002D4543"/>
    <w:rsid w:val="002D4E3F"/>
    <w:rsid w:val="002D50AC"/>
    <w:rsid w:val="002D5CFA"/>
    <w:rsid w:val="002D6CE8"/>
    <w:rsid w:val="002D74E2"/>
    <w:rsid w:val="002E0605"/>
    <w:rsid w:val="002E1AD9"/>
    <w:rsid w:val="002E1C9B"/>
    <w:rsid w:val="002E2358"/>
    <w:rsid w:val="002E3153"/>
    <w:rsid w:val="002E3C6D"/>
    <w:rsid w:val="002E5292"/>
    <w:rsid w:val="002E5AA0"/>
    <w:rsid w:val="002E6141"/>
    <w:rsid w:val="002E619C"/>
    <w:rsid w:val="002E61D5"/>
    <w:rsid w:val="002E642B"/>
    <w:rsid w:val="002E648D"/>
    <w:rsid w:val="002E6A09"/>
    <w:rsid w:val="002E6FAC"/>
    <w:rsid w:val="002E72CA"/>
    <w:rsid w:val="002E7DEF"/>
    <w:rsid w:val="002F00AF"/>
    <w:rsid w:val="002F0FB0"/>
    <w:rsid w:val="002F1522"/>
    <w:rsid w:val="002F17B7"/>
    <w:rsid w:val="002F1D07"/>
    <w:rsid w:val="002F268C"/>
    <w:rsid w:val="002F280A"/>
    <w:rsid w:val="002F38B2"/>
    <w:rsid w:val="002F3F1C"/>
    <w:rsid w:val="002F40DE"/>
    <w:rsid w:val="002F4393"/>
    <w:rsid w:val="002F5AB6"/>
    <w:rsid w:val="002F600D"/>
    <w:rsid w:val="002F7258"/>
    <w:rsid w:val="002F7E47"/>
    <w:rsid w:val="003000DB"/>
    <w:rsid w:val="00300AD6"/>
    <w:rsid w:val="00300B1B"/>
    <w:rsid w:val="00300D9E"/>
    <w:rsid w:val="003019D0"/>
    <w:rsid w:val="00302071"/>
    <w:rsid w:val="003023C5"/>
    <w:rsid w:val="0030263B"/>
    <w:rsid w:val="00304705"/>
    <w:rsid w:val="00304ADA"/>
    <w:rsid w:val="00305278"/>
    <w:rsid w:val="003064AF"/>
    <w:rsid w:val="003068CF"/>
    <w:rsid w:val="00310461"/>
    <w:rsid w:val="003104CC"/>
    <w:rsid w:val="0031073D"/>
    <w:rsid w:val="00310A8B"/>
    <w:rsid w:val="00310B68"/>
    <w:rsid w:val="003113EC"/>
    <w:rsid w:val="0031236D"/>
    <w:rsid w:val="00312EFC"/>
    <w:rsid w:val="0031315F"/>
    <w:rsid w:val="00313989"/>
    <w:rsid w:val="00313C90"/>
    <w:rsid w:val="00314056"/>
    <w:rsid w:val="003144DC"/>
    <w:rsid w:val="00314FA6"/>
    <w:rsid w:val="003150FC"/>
    <w:rsid w:val="003152E1"/>
    <w:rsid w:val="00316021"/>
    <w:rsid w:val="00316046"/>
    <w:rsid w:val="003160D2"/>
    <w:rsid w:val="00316ABB"/>
    <w:rsid w:val="003173FC"/>
    <w:rsid w:val="00317C6C"/>
    <w:rsid w:val="00317D17"/>
    <w:rsid w:val="00320B80"/>
    <w:rsid w:val="00320C1E"/>
    <w:rsid w:val="00320CD3"/>
    <w:rsid w:val="00320D32"/>
    <w:rsid w:val="00321880"/>
    <w:rsid w:val="003250F6"/>
    <w:rsid w:val="003255D8"/>
    <w:rsid w:val="00325C7A"/>
    <w:rsid w:val="00326E79"/>
    <w:rsid w:val="00326FFC"/>
    <w:rsid w:val="0032748A"/>
    <w:rsid w:val="00327618"/>
    <w:rsid w:val="003301B1"/>
    <w:rsid w:val="0033047F"/>
    <w:rsid w:val="003304EF"/>
    <w:rsid w:val="00331189"/>
    <w:rsid w:val="0033194D"/>
    <w:rsid w:val="0033263D"/>
    <w:rsid w:val="00332C5C"/>
    <w:rsid w:val="00333328"/>
    <w:rsid w:val="00333461"/>
    <w:rsid w:val="0033428D"/>
    <w:rsid w:val="0033447A"/>
    <w:rsid w:val="0033518A"/>
    <w:rsid w:val="00335535"/>
    <w:rsid w:val="003367EF"/>
    <w:rsid w:val="00336823"/>
    <w:rsid w:val="00336EC4"/>
    <w:rsid w:val="0033785E"/>
    <w:rsid w:val="00337DAE"/>
    <w:rsid w:val="00340683"/>
    <w:rsid w:val="0034162D"/>
    <w:rsid w:val="00341AE4"/>
    <w:rsid w:val="00341CB8"/>
    <w:rsid w:val="00342118"/>
    <w:rsid w:val="003424E1"/>
    <w:rsid w:val="003435C6"/>
    <w:rsid w:val="003443F1"/>
    <w:rsid w:val="00344B4B"/>
    <w:rsid w:val="0034568A"/>
    <w:rsid w:val="00346AA7"/>
    <w:rsid w:val="003476EE"/>
    <w:rsid w:val="003508D1"/>
    <w:rsid w:val="00350B33"/>
    <w:rsid w:val="00351079"/>
    <w:rsid w:val="003512D5"/>
    <w:rsid w:val="00351859"/>
    <w:rsid w:val="003527C0"/>
    <w:rsid w:val="00352E40"/>
    <w:rsid w:val="003532AB"/>
    <w:rsid w:val="003541DD"/>
    <w:rsid w:val="00354987"/>
    <w:rsid w:val="00354A02"/>
    <w:rsid w:val="00355595"/>
    <w:rsid w:val="00355C69"/>
    <w:rsid w:val="00355ED1"/>
    <w:rsid w:val="00355F17"/>
    <w:rsid w:val="00356E5B"/>
    <w:rsid w:val="0035719D"/>
    <w:rsid w:val="00357391"/>
    <w:rsid w:val="003579A1"/>
    <w:rsid w:val="00361A46"/>
    <w:rsid w:val="00362548"/>
    <w:rsid w:val="00362D72"/>
    <w:rsid w:val="0036349F"/>
    <w:rsid w:val="00363605"/>
    <w:rsid w:val="00365854"/>
    <w:rsid w:val="0036691B"/>
    <w:rsid w:val="00367A95"/>
    <w:rsid w:val="00367EFD"/>
    <w:rsid w:val="00370B92"/>
    <w:rsid w:val="00370CBC"/>
    <w:rsid w:val="00371E99"/>
    <w:rsid w:val="003722E2"/>
    <w:rsid w:val="00372631"/>
    <w:rsid w:val="00372882"/>
    <w:rsid w:val="00372DE8"/>
    <w:rsid w:val="00372DEB"/>
    <w:rsid w:val="0037368D"/>
    <w:rsid w:val="003736C9"/>
    <w:rsid w:val="00373C17"/>
    <w:rsid w:val="00373F58"/>
    <w:rsid w:val="00374D20"/>
    <w:rsid w:val="003762B4"/>
    <w:rsid w:val="003766C6"/>
    <w:rsid w:val="00376B77"/>
    <w:rsid w:val="00376BD8"/>
    <w:rsid w:val="00376E55"/>
    <w:rsid w:val="0037726E"/>
    <w:rsid w:val="003805FA"/>
    <w:rsid w:val="00381101"/>
    <w:rsid w:val="00381D8D"/>
    <w:rsid w:val="0038345C"/>
    <w:rsid w:val="00383B77"/>
    <w:rsid w:val="00384644"/>
    <w:rsid w:val="00384988"/>
    <w:rsid w:val="00384B0E"/>
    <w:rsid w:val="00385157"/>
    <w:rsid w:val="00385558"/>
    <w:rsid w:val="00385D30"/>
    <w:rsid w:val="00385F8E"/>
    <w:rsid w:val="003872CF"/>
    <w:rsid w:val="00391DCD"/>
    <w:rsid w:val="00395837"/>
    <w:rsid w:val="00396AC9"/>
    <w:rsid w:val="0039763A"/>
    <w:rsid w:val="00397800"/>
    <w:rsid w:val="0039782C"/>
    <w:rsid w:val="003A02C7"/>
    <w:rsid w:val="003A07A1"/>
    <w:rsid w:val="003A10A8"/>
    <w:rsid w:val="003A13A6"/>
    <w:rsid w:val="003A2A4D"/>
    <w:rsid w:val="003A3917"/>
    <w:rsid w:val="003A3F61"/>
    <w:rsid w:val="003A58A5"/>
    <w:rsid w:val="003A5B4A"/>
    <w:rsid w:val="003A5D95"/>
    <w:rsid w:val="003B03ED"/>
    <w:rsid w:val="003B0D3A"/>
    <w:rsid w:val="003B1D4E"/>
    <w:rsid w:val="003B2025"/>
    <w:rsid w:val="003B2302"/>
    <w:rsid w:val="003B23C5"/>
    <w:rsid w:val="003B2670"/>
    <w:rsid w:val="003B27B9"/>
    <w:rsid w:val="003B2A75"/>
    <w:rsid w:val="003B49B2"/>
    <w:rsid w:val="003B5D86"/>
    <w:rsid w:val="003B6124"/>
    <w:rsid w:val="003B6D32"/>
    <w:rsid w:val="003B7960"/>
    <w:rsid w:val="003C052E"/>
    <w:rsid w:val="003C093A"/>
    <w:rsid w:val="003C1496"/>
    <w:rsid w:val="003C1ECF"/>
    <w:rsid w:val="003C22B5"/>
    <w:rsid w:val="003C2FB5"/>
    <w:rsid w:val="003C3233"/>
    <w:rsid w:val="003C3585"/>
    <w:rsid w:val="003C3697"/>
    <w:rsid w:val="003C3A67"/>
    <w:rsid w:val="003C3EBF"/>
    <w:rsid w:val="003C4160"/>
    <w:rsid w:val="003C5407"/>
    <w:rsid w:val="003C72F0"/>
    <w:rsid w:val="003D0AAA"/>
    <w:rsid w:val="003D2238"/>
    <w:rsid w:val="003D24C5"/>
    <w:rsid w:val="003D2E34"/>
    <w:rsid w:val="003D3093"/>
    <w:rsid w:val="003D3AC2"/>
    <w:rsid w:val="003D3E75"/>
    <w:rsid w:val="003D432B"/>
    <w:rsid w:val="003D4594"/>
    <w:rsid w:val="003D4AC4"/>
    <w:rsid w:val="003D4E85"/>
    <w:rsid w:val="003D53DF"/>
    <w:rsid w:val="003D56E2"/>
    <w:rsid w:val="003D5790"/>
    <w:rsid w:val="003D63B7"/>
    <w:rsid w:val="003D68C5"/>
    <w:rsid w:val="003D6CD3"/>
    <w:rsid w:val="003D741C"/>
    <w:rsid w:val="003D74C5"/>
    <w:rsid w:val="003E0DF4"/>
    <w:rsid w:val="003E1704"/>
    <w:rsid w:val="003E19E6"/>
    <w:rsid w:val="003E1E70"/>
    <w:rsid w:val="003E3C10"/>
    <w:rsid w:val="003E4374"/>
    <w:rsid w:val="003E468B"/>
    <w:rsid w:val="003E62BD"/>
    <w:rsid w:val="003E6A9E"/>
    <w:rsid w:val="003E6C12"/>
    <w:rsid w:val="003E6E32"/>
    <w:rsid w:val="003E7B4F"/>
    <w:rsid w:val="003F044F"/>
    <w:rsid w:val="003F0C3A"/>
    <w:rsid w:val="003F15F0"/>
    <w:rsid w:val="003F1630"/>
    <w:rsid w:val="003F3012"/>
    <w:rsid w:val="003F3228"/>
    <w:rsid w:val="003F3495"/>
    <w:rsid w:val="003F3BC3"/>
    <w:rsid w:val="003F59B9"/>
    <w:rsid w:val="003F5C8C"/>
    <w:rsid w:val="003F63CE"/>
    <w:rsid w:val="003F775A"/>
    <w:rsid w:val="0040033F"/>
    <w:rsid w:val="004003D8"/>
    <w:rsid w:val="00400E55"/>
    <w:rsid w:val="0040128E"/>
    <w:rsid w:val="0040216B"/>
    <w:rsid w:val="004037F7"/>
    <w:rsid w:val="00404C67"/>
    <w:rsid w:val="0040554F"/>
    <w:rsid w:val="0040636F"/>
    <w:rsid w:val="00406D8D"/>
    <w:rsid w:val="00407F3A"/>
    <w:rsid w:val="00410C7E"/>
    <w:rsid w:val="00410E4A"/>
    <w:rsid w:val="00411637"/>
    <w:rsid w:val="00411F83"/>
    <w:rsid w:val="00412DAA"/>
    <w:rsid w:val="00416408"/>
    <w:rsid w:val="00416818"/>
    <w:rsid w:val="00417FA3"/>
    <w:rsid w:val="00417FA8"/>
    <w:rsid w:val="00420400"/>
    <w:rsid w:val="00421BC4"/>
    <w:rsid w:val="00422132"/>
    <w:rsid w:val="004227BF"/>
    <w:rsid w:val="00422ECA"/>
    <w:rsid w:val="00422F9D"/>
    <w:rsid w:val="004252EC"/>
    <w:rsid w:val="00426FEB"/>
    <w:rsid w:val="00430452"/>
    <w:rsid w:val="00430B50"/>
    <w:rsid w:val="00430CA8"/>
    <w:rsid w:val="00430D39"/>
    <w:rsid w:val="00431767"/>
    <w:rsid w:val="004326CF"/>
    <w:rsid w:val="00432998"/>
    <w:rsid w:val="00433653"/>
    <w:rsid w:val="00433777"/>
    <w:rsid w:val="00433A91"/>
    <w:rsid w:val="00433F97"/>
    <w:rsid w:val="00434CE5"/>
    <w:rsid w:val="004353F2"/>
    <w:rsid w:val="00435E54"/>
    <w:rsid w:val="0043609B"/>
    <w:rsid w:val="004366CC"/>
    <w:rsid w:val="004367D0"/>
    <w:rsid w:val="00436E98"/>
    <w:rsid w:val="004375F6"/>
    <w:rsid w:val="00437682"/>
    <w:rsid w:val="00437E5C"/>
    <w:rsid w:val="0044000D"/>
    <w:rsid w:val="004401E0"/>
    <w:rsid w:val="0044117B"/>
    <w:rsid w:val="00441C21"/>
    <w:rsid w:val="00442A1F"/>
    <w:rsid w:val="00442A51"/>
    <w:rsid w:val="00442C91"/>
    <w:rsid w:val="004448CA"/>
    <w:rsid w:val="00444BCB"/>
    <w:rsid w:val="004450D2"/>
    <w:rsid w:val="004465BD"/>
    <w:rsid w:val="00446938"/>
    <w:rsid w:val="00450BD6"/>
    <w:rsid w:val="00451683"/>
    <w:rsid w:val="00451F36"/>
    <w:rsid w:val="004528FA"/>
    <w:rsid w:val="00453644"/>
    <w:rsid w:val="0045470F"/>
    <w:rsid w:val="00455AD1"/>
    <w:rsid w:val="00455FA6"/>
    <w:rsid w:val="004561E5"/>
    <w:rsid w:val="00461612"/>
    <w:rsid w:val="004619B3"/>
    <w:rsid w:val="00461A44"/>
    <w:rsid w:val="00461AC4"/>
    <w:rsid w:val="00462400"/>
    <w:rsid w:val="00462D26"/>
    <w:rsid w:val="0046385A"/>
    <w:rsid w:val="00463A63"/>
    <w:rsid w:val="00464396"/>
    <w:rsid w:val="004644BE"/>
    <w:rsid w:val="00464553"/>
    <w:rsid w:val="004646A4"/>
    <w:rsid w:val="00466ADA"/>
    <w:rsid w:val="00466D3F"/>
    <w:rsid w:val="004677F0"/>
    <w:rsid w:val="004700DA"/>
    <w:rsid w:val="0047028A"/>
    <w:rsid w:val="004702BB"/>
    <w:rsid w:val="004721F9"/>
    <w:rsid w:val="004727EB"/>
    <w:rsid w:val="00472CFF"/>
    <w:rsid w:val="00473489"/>
    <w:rsid w:val="004734CC"/>
    <w:rsid w:val="004736A2"/>
    <w:rsid w:val="0047494B"/>
    <w:rsid w:val="00474B32"/>
    <w:rsid w:val="00475A24"/>
    <w:rsid w:val="00476245"/>
    <w:rsid w:val="00476283"/>
    <w:rsid w:val="004769BB"/>
    <w:rsid w:val="00477A9B"/>
    <w:rsid w:val="004817FC"/>
    <w:rsid w:val="00481E1D"/>
    <w:rsid w:val="00481E62"/>
    <w:rsid w:val="00481EFF"/>
    <w:rsid w:val="00482A85"/>
    <w:rsid w:val="00482EB9"/>
    <w:rsid w:val="00483035"/>
    <w:rsid w:val="0048312D"/>
    <w:rsid w:val="004841F0"/>
    <w:rsid w:val="004842E6"/>
    <w:rsid w:val="00484A3A"/>
    <w:rsid w:val="00484D1C"/>
    <w:rsid w:val="00485219"/>
    <w:rsid w:val="00485940"/>
    <w:rsid w:val="00485C03"/>
    <w:rsid w:val="004866D3"/>
    <w:rsid w:val="00486919"/>
    <w:rsid w:val="00486C95"/>
    <w:rsid w:val="00486F65"/>
    <w:rsid w:val="004877C2"/>
    <w:rsid w:val="00490069"/>
    <w:rsid w:val="004900C2"/>
    <w:rsid w:val="004904B9"/>
    <w:rsid w:val="00490573"/>
    <w:rsid w:val="00491142"/>
    <w:rsid w:val="00491563"/>
    <w:rsid w:val="00492053"/>
    <w:rsid w:val="00492235"/>
    <w:rsid w:val="00493E43"/>
    <w:rsid w:val="00494F62"/>
    <w:rsid w:val="00495F61"/>
    <w:rsid w:val="00496326"/>
    <w:rsid w:val="00496662"/>
    <w:rsid w:val="004966BD"/>
    <w:rsid w:val="00497216"/>
    <w:rsid w:val="004973EF"/>
    <w:rsid w:val="004974D9"/>
    <w:rsid w:val="004A0598"/>
    <w:rsid w:val="004A0C06"/>
    <w:rsid w:val="004A10A9"/>
    <w:rsid w:val="004A2484"/>
    <w:rsid w:val="004A2C30"/>
    <w:rsid w:val="004A3ED8"/>
    <w:rsid w:val="004A43D9"/>
    <w:rsid w:val="004A5A85"/>
    <w:rsid w:val="004A5EC5"/>
    <w:rsid w:val="004A6067"/>
    <w:rsid w:val="004A61B1"/>
    <w:rsid w:val="004A71D1"/>
    <w:rsid w:val="004A736A"/>
    <w:rsid w:val="004A7C5B"/>
    <w:rsid w:val="004B0FE7"/>
    <w:rsid w:val="004B1845"/>
    <w:rsid w:val="004B2188"/>
    <w:rsid w:val="004B22CE"/>
    <w:rsid w:val="004B2348"/>
    <w:rsid w:val="004B2B6B"/>
    <w:rsid w:val="004B2E01"/>
    <w:rsid w:val="004B2E98"/>
    <w:rsid w:val="004B5640"/>
    <w:rsid w:val="004B5B01"/>
    <w:rsid w:val="004B6084"/>
    <w:rsid w:val="004B6990"/>
    <w:rsid w:val="004B69FE"/>
    <w:rsid w:val="004B6CC4"/>
    <w:rsid w:val="004B746B"/>
    <w:rsid w:val="004B7CE2"/>
    <w:rsid w:val="004BCF29"/>
    <w:rsid w:val="004C03D0"/>
    <w:rsid w:val="004C06A4"/>
    <w:rsid w:val="004C0B97"/>
    <w:rsid w:val="004C1BD7"/>
    <w:rsid w:val="004C1DCF"/>
    <w:rsid w:val="004C239C"/>
    <w:rsid w:val="004C2E84"/>
    <w:rsid w:val="004C31FE"/>
    <w:rsid w:val="004C4BA7"/>
    <w:rsid w:val="004C524C"/>
    <w:rsid w:val="004C5FFA"/>
    <w:rsid w:val="004C653A"/>
    <w:rsid w:val="004C691D"/>
    <w:rsid w:val="004C6C07"/>
    <w:rsid w:val="004C7E15"/>
    <w:rsid w:val="004D04C6"/>
    <w:rsid w:val="004D0D3B"/>
    <w:rsid w:val="004D0DE5"/>
    <w:rsid w:val="004D19E5"/>
    <w:rsid w:val="004D1C33"/>
    <w:rsid w:val="004D2945"/>
    <w:rsid w:val="004D2CD1"/>
    <w:rsid w:val="004D3562"/>
    <w:rsid w:val="004D3827"/>
    <w:rsid w:val="004D3F2E"/>
    <w:rsid w:val="004D442A"/>
    <w:rsid w:val="004D4C0A"/>
    <w:rsid w:val="004D4D8E"/>
    <w:rsid w:val="004D4FF6"/>
    <w:rsid w:val="004D53A1"/>
    <w:rsid w:val="004D54D9"/>
    <w:rsid w:val="004D5ADD"/>
    <w:rsid w:val="004D65A7"/>
    <w:rsid w:val="004D6A28"/>
    <w:rsid w:val="004D6A5D"/>
    <w:rsid w:val="004D6C38"/>
    <w:rsid w:val="004D7842"/>
    <w:rsid w:val="004D7A1B"/>
    <w:rsid w:val="004E0654"/>
    <w:rsid w:val="004E099A"/>
    <w:rsid w:val="004E0B69"/>
    <w:rsid w:val="004E11BE"/>
    <w:rsid w:val="004E1B22"/>
    <w:rsid w:val="004E20D4"/>
    <w:rsid w:val="004E51F8"/>
    <w:rsid w:val="004E612C"/>
    <w:rsid w:val="004E6602"/>
    <w:rsid w:val="004E692D"/>
    <w:rsid w:val="004E6C36"/>
    <w:rsid w:val="004E7230"/>
    <w:rsid w:val="004E739C"/>
    <w:rsid w:val="004E749E"/>
    <w:rsid w:val="004E75A5"/>
    <w:rsid w:val="004E7D87"/>
    <w:rsid w:val="004F14B2"/>
    <w:rsid w:val="004F1F6F"/>
    <w:rsid w:val="004F2553"/>
    <w:rsid w:val="004F306A"/>
    <w:rsid w:val="004F4A3D"/>
    <w:rsid w:val="004F5BE8"/>
    <w:rsid w:val="004F5C3B"/>
    <w:rsid w:val="004F6160"/>
    <w:rsid w:val="004F697A"/>
    <w:rsid w:val="00501554"/>
    <w:rsid w:val="00501B1E"/>
    <w:rsid w:val="00501C7F"/>
    <w:rsid w:val="005025DE"/>
    <w:rsid w:val="00502AFE"/>
    <w:rsid w:val="00502E64"/>
    <w:rsid w:val="00503688"/>
    <w:rsid w:val="0050395B"/>
    <w:rsid w:val="00503AD7"/>
    <w:rsid w:val="005049E1"/>
    <w:rsid w:val="00504E0C"/>
    <w:rsid w:val="00504E13"/>
    <w:rsid w:val="0050550F"/>
    <w:rsid w:val="00507D66"/>
    <w:rsid w:val="005105B2"/>
    <w:rsid w:val="005109D4"/>
    <w:rsid w:val="00510B63"/>
    <w:rsid w:val="00511B1C"/>
    <w:rsid w:val="00512298"/>
    <w:rsid w:val="00512D94"/>
    <w:rsid w:val="005138EE"/>
    <w:rsid w:val="00513A48"/>
    <w:rsid w:val="00514CD7"/>
    <w:rsid w:val="00515689"/>
    <w:rsid w:val="005162ED"/>
    <w:rsid w:val="005167EC"/>
    <w:rsid w:val="00516D5F"/>
    <w:rsid w:val="005170DA"/>
    <w:rsid w:val="005175FB"/>
    <w:rsid w:val="00517F69"/>
    <w:rsid w:val="0052021D"/>
    <w:rsid w:val="00520AE2"/>
    <w:rsid w:val="00520D6A"/>
    <w:rsid w:val="00521837"/>
    <w:rsid w:val="00522DB6"/>
    <w:rsid w:val="0052336F"/>
    <w:rsid w:val="005239BC"/>
    <w:rsid w:val="005241BC"/>
    <w:rsid w:val="005260B3"/>
    <w:rsid w:val="00526212"/>
    <w:rsid w:val="005264A7"/>
    <w:rsid w:val="00526720"/>
    <w:rsid w:val="0052744D"/>
    <w:rsid w:val="0052792D"/>
    <w:rsid w:val="005279D7"/>
    <w:rsid w:val="00527DC6"/>
    <w:rsid w:val="00530739"/>
    <w:rsid w:val="00530E4E"/>
    <w:rsid w:val="005319B2"/>
    <w:rsid w:val="00532272"/>
    <w:rsid w:val="00532402"/>
    <w:rsid w:val="00532B34"/>
    <w:rsid w:val="00532C74"/>
    <w:rsid w:val="00533679"/>
    <w:rsid w:val="00534E2E"/>
    <w:rsid w:val="00535985"/>
    <w:rsid w:val="0053616C"/>
    <w:rsid w:val="00536DFB"/>
    <w:rsid w:val="0054064C"/>
    <w:rsid w:val="00540D12"/>
    <w:rsid w:val="00541702"/>
    <w:rsid w:val="0054189F"/>
    <w:rsid w:val="00541DFC"/>
    <w:rsid w:val="00541E0A"/>
    <w:rsid w:val="00542087"/>
    <w:rsid w:val="00542360"/>
    <w:rsid w:val="0054279A"/>
    <w:rsid w:val="00543130"/>
    <w:rsid w:val="00543484"/>
    <w:rsid w:val="005439DC"/>
    <w:rsid w:val="00543FFD"/>
    <w:rsid w:val="005441C3"/>
    <w:rsid w:val="00544220"/>
    <w:rsid w:val="00544552"/>
    <w:rsid w:val="00545130"/>
    <w:rsid w:val="00545866"/>
    <w:rsid w:val="005472CC"/>
    <w:rsid w:val="0054731F"/>
    <w:rsid w:val="00551D2B"/>
    <w:rsid w:val="0055286A"/>
    <w:rsid w:val="00555745"/>
    <w:rsid w:val="00555E1A"/>
    <w:rsid w:val="00556338"/>
    <w:rsid w:val="00557D4F"/>
    <w:rsid w:val="005606F8"/>
    <w:rsid w:val="00560B82"/>
    <w:rsid w:val="0056122E"/>
    <w:rsid w:val="005635C1"/>
    <w:rsid w:val="00563B2B"/>
    <w:rsid w:val="0056484E"/>
    <w:rsid w:val="00565AC7"/>
    <w:rsid w:val="00565F86"/>
    <w:rsid w:val="00566077"/>
    <w:rsid w:val="005671D2"/>
    <w:rsid w:val="005678AF"/>
    <w:rsid w:val="00567D8A"/>
    <w:rsid w:val="00567F42"/>
    <w:rsid w:val="00572297"/>
    <w:rsid w:val="00573DF0"/>
    <w:rsid w:val="005750CE"/>
    <w:rsid w:val="0057595C"/>
    <w:rsid w:val="005759A2"/>
    <w:rsid w:val="005764CD"/>
    <w:rsid w:val="00577108"/>
    <w:rsid w:val="005774A4"/>
    <w:rsid w:val="00577C4D"/>
    <w:rsid w:val="00580532"/>
    <w:rsid w:val="00581932"/>
    <w:rsid w:val="00581E11"/>
    <w:rsid w:val="00582CF3"/>
    <w:rsid w:val="00583988"/>
    <w:rsid w:val="00584221"/>
    <w:rsid w:val="005845CB"/>
    <w:rsid w:val="005857B7"/>
    <w:rsid w:val="00585988"/>
    <w:rsid w:val="00585FF4"/>
    <w:rsid w:val="00586C67"/>
    <w:rsid w:val="00591E12"/>
    <w:rsid w:val="005921C8"/>
    <w:rsid w:val="005930DB"/>
    <w:rsid w:val="005932F4"/>
    <w:rsid w:val="005933B0"/>
    <w:rsid w:val="005935ED"/>
    <w:rsid w:val="005940E9"/>
    <w:rsid w:val="00594A56"/>
    <w:rsid w:val="00595188"/>
    <w:rsid w:val="00595D78"/>
    <w:rsid w:val="00595FAC"/>
    <w:rsid w:val="005963BB"/>
    <w:rsid w:val="0059752A"/>
    <w:rsid w:val="00597690"/>
    <w:rsid w:val="00597F5C"/>
    <w:rsid w:val="005A0FDC"/>
    <w:rsid w:val="005A1B5C"/>
    <w:rsid w:val="005A3173"/>
    <w:rsid w:val="005A31F4"/>
    <w:rsid w:val="005A3223"/>
    <w:rsid w:val="005A329B"/>
    <w:rsid w:val="005A3796"/>
    <w:rsid w:val="005A3DA3"/>
    <w:rsid w:val="005A44F9"/>
    <w:rsid w:val="005A46A4"/>
    <w:rsid w:val="005A4E6A"/>
    <w:rsid w:val="005A52C4"/>
    <w:rsid w:val="005A5BF7"/>
    <w:rsid w:val="005A6149"/>
    <w:rsid w:val="005A63A1"/>
    <w:rsid w:val="005A6940"/>
    <w:rsid w:val="005A6F2E"/>
    <w:rsid w:val="005A7E4D"/>
    <w:rsid w:val="005B00A6"/>
    <w:rsid w:val="005B0755"/>
    <w:rsid w:val="005B0930"/>
    <w:rsid w:val="005B18E2"/>
    <w:rsid w:val="005B2020"/>
    <w:rsid w:val="005B2757"/>
    <w:rsid w:val="005B2B73"/>
    <w:rsid w:val="005B3C73"/>
    <w:rsid w:val="005B5022"/>
    <w:rsid w:val="005B5364"/>
    <w:rsid w:val="005B5A50"/>
    <w:rsid w:val="005B5B2A"/>
    <w:rsid w:val="005B62E9"/>
    <w:rsid w:val="005B72A7"/>
    <w:rsid w:val="005C081A"/>
    <w:rsid w:val="005C0826"/>
    <w:rsid w:val="005C2208"/>
    <w:rsid w:val="005C2A7B"/>
    <w:rsid w:val="005C2B84"/>
    <w:rsid w:val="005C44ED"/>
    <w:rsid w:val="005C4637"/>
    <w:rsid w:val="005C4C05"/>
    <w:rsid w:val="005C4F73"/>
    <w:rsid w:val="005C570C"/>
    <w:rsid w:val="005C5D45"/>
    <w:rsid w:val="005C72CE"/>
    <w:rsid w:val="005C736D"/>
    <w:rsid w:val="005C757E"/>
    <w:rsid w:val="005D03AB"/>
    <w:rsid w:val="005D03F1"/>
    <w:rsid w:val="005D38BE"/>
    <w:rsid w:val="005D401D"/>
    <w:rsid w:val="005D41FF"/>
    <w:rsid w:val="005D48FB"/>
    <w:rsid w:val="005D5017"/>
    <w:rsid w:val="005D5CAF"/>
    <w:rsid w:val="005D63FA"/>
    <w:rsid w:val="005D73C7"/>
    <w:rsid w:val="005D7FC9"/>
    <w:rsid w:val="005D7FDE"/>
    <w:rsid w:val="005E0C2D"/>
    <w:rsid w:val="005E0D82"/>
    <w:rsid w:val="005E1333"/>
    <w:rsid w:val="005E18CC"/>
    <w:rsid w:val="005E1A95"/>
    <w:rsid w:val="005E2A0D"/>
    <w:rsid w:val="005E3136"/>
    <w:rsid w:val="005E3C4A"/>
    <w:rsid w:val="005E3CF2"/>
    <w:rsid w:val="005E4CBD"/>
    <w:rsid w:val="005E507D"/>
    <w:rsid w:val="005E5D00"/>
    <w:rsid w:val="005E6094"/>
    <w:rsid w:val="005E6A99"/>
    <w:rsid w:val="005F0178"/>
    <w:rsid w:val="005F0408"/>
    <w:rsid w:val="005F09E4"/>
    <w:rsid w:val="005F0AD0"/>
    <w:rsid w:val="005F16BF"/>
    <w:rsid w:val="005F3057"/>
    <w:rsid w:val="005F3B12"/>
    <w:rsid w:val="005F3CE1"/>
    <w:rsid w:val="005F4BA6"/>
    <w:rsid w:val="005F632F"/>
    <w:rsid w:val="005F69B8"/>
    <w:rsid w:val="005F74B6"/>
    <w:rsid w:val="006002C1"/>
    <w:rsid w:val="0060033B"/>
    <w:rsid w:val="00601A91"/>
    <w:rsid w:val="00602712"/>
    <w:rsid w:val="00602BA3"/>
    <w:rsid w:val="00602BCB"/>
    <w:rsid w:val="006036F8"/>
    <w:rsid w:val="00603A6C"/>
    <w:rsid w:val="00603F3D"/>
    <w:rsid w:val="0060480C"/>
    <w:rsid w:val="00605B63"/>
    <w:rsid w:val="00605F60"/>
    <w:rsid w:val="00605F9A"/>
    <w:rsid w:val="00606310"/>
    <w:rsid w:val="00606442"/>
    <w:rsid w:val="00606EED"/>
    <w:rsid w:val="00612290"/>
    <w:rsid w:val="0061238F"/>
    <w:rsid w:val="00612413"/>
    <w:rsid w:val="00612A95"/>
    <w:rsid w:val="00612E34"/>
    <w:rsid w:val="00613918"/>
    <w:rsid w:val="00613FA3"/>
    <w:rsid w:val="00614159"/>
    <w:rsid w:val="006143A2"/>
    <w:rsid w:val="0061495E"/>
    <w:rsid w:val="006155B1"/>
    <w:rsid w:val="006158A3"/>
    <w:rsid w:val="00616830"/>
    <w:rsid w:val="00616C5F"/>
    <w:rsid w:val="00616DAC"/>
    <w:rsid w:val="00616FA9"/>
    <w:rsid w:val="00617725"/>
    <w:rsid w:val="00617804"/>
    <w:rsid w:val="00617C00"/>
    <w:rsid w:val="006221BA"/>
    <w:rsid w:val="00622C97"/>
    <w:rsid w:val="00623F25"/>
    <w:rsid w:val="006243F0"/>
    <w:rsid w:val="00624CBF"/>
    <w:rsid w:val="00624CF0"/>
    <w:rsid w:val="0062515A"/>
    <w:rsid w:val="00625421"/>
    <w:rsid w:val="00625578"/>
    <w:rsid w:val="006263BF"/>
    <w:rsid w:val="0062655C"/>
    <w:rsid w:val="006265DE"/>
    <w:rsid w:val="00627365"/>
    <w:rsid w:val="0062748A"/>
    <w:rsid w:val="006274D1"/>
    <w:rsid w:val="00630292"/>
    <w:rsid w:val="00630380"/>
    <w:rsid w:val="00630A2C"/>
    <w:rsid w:val="006317CC"/>
    <w:rsid w:val="00633053"/>
    <w:rsid w:val="006333C1"/>
    <w:rsid w:val="00633FA1"/>
    <w:rsid w:val="006356FA"/>
    <w:rsid w:val="006357D3"/>
    <w:rsid w:val="0063682E"/>
    <w:rsid w:val="006371D3"/>
    <w:rsid w:val="006375E3"/>
    <w:rsid w:val="00640088"/>
    <w:rsid w:val="006401A4"/>
    <w:rsid w:val="006401B5"/>
    <w:rsid w:val="006413CF"/>
    <w:rsid w:val="006417B1"/>
    <w:rsid w:val="00642672"/>
    <w:rsid w:val="00642AAE"/>
    <w:rsid w:val="00642DA8"/>
    <w:rsid w:val="00642DAE"/>
    <w:rsid w:val="006436CD"/>
    <w:rsid w:val="00643DB7"/>
    <w:rsid w:val="006457F0"/>
    <w:rsid w:val="00645FB3"/>
    <w:rsid w:val="00646CC9"/>
    <w:rsid w:val="006505D9"/>
    <w:rsid w:val="00650EDE"/>
    <w:rsid w:val="00651169"/>
    <w:rsid w:val="00651972"/>
    <w:rsid w:val="00651B9C"/>
    <w:rsid w:val="006520BF"/>
    <w:rsid w:val="00652429"/>
    <w:rsid w:val="00652AF2"/>
    <w:rsid w:val="00653394"/>
    <w:rsid w:val="00653D69"/>
    <w:rsid w:val="00654997"/>
    <w:rsid w:val="00654F8A"/>
    <w:rsid w:val="0065525A"/>
    <w:rsid w:val="006552E6"/>
    <w:rsid w:val="0065568C"/>
    <w:rsid w:val="00655794"/>
    <w:rsid w:val="00655CA0"/>
    <w:rsid w:val="00657C63"/>
    <w:rsid w:val="006608F6"/>
    <w:rsid w:val="00661CBC"/>
    <w:rsid w:val="0066212F"/>
    <w:rsid w:val="00662A7E"/>
    <w:rsid w:val="00662B85"/>
    <w:rsid w:val="0066336D"/>
    <w:rsid w:val="00664A14"/>
    <w:rsid w:val="006665B6"/>
    <w:rsid w:val="00666A57"/>
    <w:rsid w:val="00666C49"/>
    <w:rsid w:val="006670BE"/>
    <w:rsid w:val="00667D91"/>
    <w:rsid w:val="006701B6"/>
    <w:rsid w:val="00670774"/>
    <w:rsid w:val="0067098B"/>
    <w:rsid w:val="00670A76"/>
    <w:rsid w:val="006711AA"/>
    <w:rsid w:val="00672659"/>
    <w:rsid w:val="00672B57"/>
    <w:rsid w:val="00673047"/>
    <w:rsid w:val="00673DB9"/>
    <w:rsid w:val="00673F1F"/>
    <w:rsid w:val="006741AF"/>
    <w:rsid w:val="006744F9"/>
    <w:rsid w:val="00675622"/>
    <w:rsid w:val="00675830"/>
    <w:rsid w:val="00676698"/>
    <w:rsid w:val="00676844"/>
    <w:rsid w:val="0067747D"/>
    <w:rsid w:val="00677BC4"/>
    <w:rsid w:val="006804BF"/>
    <w:rsid w:val="00680857"/>
    <w:rsid w:val="00680F75"/>
    <w:rsid w:val="006810CD"/>
    <w:rsid w:val="006818D5"/>
    <w:rsid w:val="00681CA4"/>
    <w:rsid w:val="00681DE5"/>
    <w:rsid w:val="00681EBE"/>
    <w:rsid w:val="00681FD4"/>
    <w:rsid w:val="00682CE7"/>
    <w:rsid w:val="00683541"/>
    <w:rsid w:val="00683D8E"/>
    <w:rsid w:val="00683E3F"/>
    <w:rsid w:val="00686727"/>
    <w:rsid w:val="00686D2B"/>
    <w:rsid w:val="0069039D"/>
    <w:rsid w:val="006906DB"/>
    <w:rsid w:val="00691900"/>
    <w:rsid w:val="00691E6C"/>
    <w:rsid w:val="0069229B"/>
    <w:rsid w:val="00692B2E"/>
    <w:rsid w:val="00692C03"/>
    <w:rsid w:val="0069342D"/>
    <w:rsid w:val="00693DFB"/>
    <w:rsid w:val="0069488E"/>
    <w:rsid w:val="00694F2B"/>
    <w:rsid w:val="0069501D"/>
    <w:rsid w:val="00695342"/>
    <w:rsid w:val="00695ED0"/>
    <w:rsid w:val="00696129"/>
    <w:rsid w:val="00696D1F"/>
    <w:rsid w:val="00697CF2"/>
    <w:rsid w:val="006A0BDE"/>
    <w:rsid w:val="006A12A5"/>
    <w:rsid w:val="006A16A5"/>
    <w:rsid w:val="006A1731"/>
    <w:rsid w:val="006A1DB8"/>
    <w:rsid w:val="006A2515"/>
    <w:rsid w:val="006A2765"/>
    <w:rsid w:val="006A2AA5"/>
    <w:rsid w:val="006A3672"/>
    <w:rsid w:val="006A4DC6"/>
    <w:rsid w:val="006A5039"/>
    <w:rsid w:val="006A5654"/>
    <w:rsid w:val="006A5B72"/>
    <w:rsid w:val="006A5E20"/>
    <w:rsid w:val="006A606E"/>
    <w:rsid w:val="006A702B"/>
    <w:rsid w:val="006A7CB6"/>
    <w:rsid w:val="006B0D94"/>
    <w:rsid w:val="006B1EE0"/>
    <w:rsid w:val="006B32A0"/>
    <w:rsid w:val="006B334E"/>
    <w:rsid w:val="006B3AC9"/>
    <w:rsid w:val="006B480F"/>
    <w:rsid w:val="006B485D"/>
    <w:rsid w:val="006B6528"/>
    <w:rsid w:val="006B6D57"/>
    <w:rsid w:val="006B7191"/>
    <w:rsid w:val="006B791F"/>
    <w:rsid w:val="006B7EF5"/>
    <w:rsid w:val="006B7FF8"/>
    <w:rsid w:val="006C00ED"/>
    <w:rsid w:val="006C04D8"/>
    <w:rsid w:val="006C0C45"/>
    <w:rsid w:val="006C0CF2"/>
    <w:rsid w:val="006C1063"/>
    <w:rsid w:val="006C2FBE"/>
    <w:rsid w:val="006C334C"/>
    <w:rsid w:val="006C39F2"/>
    <w:rsid w:val="006C4636"/>
    <w:rsid w:val="006C46C7"/>
    <w:rsid w:val="006C4FBC"/>
    <w:rsid w:val="006C5B33"/>
    <w:rsid w:val="006C5B41"/>
    <w:rsid w:val="006C66CB"/>
    <w:rsid w:val="006C6C10"/>
    <w:rsid w:val="006C6D81"/>
    <w:rsid w:val="006C6EAC"/>
    <w:rsid w:val="006C6FEF"/>
    <w:rsid w:val="006C708E"/>
    <w:rsid w:val="006C7B31"/>
    <w:rsid w:val="006D06C5"/>
    <w:rsid w:val="006D10F0"/>
    <w:rsid w:val="006D14E7"/>
    <w:rsid w:val="006D16A3"/>
    <w:rsid w:val="006D1CD8"/>
    <w:rsid w:val="006D216F"/>
    <w:rsid w:val="006D2F04"/>
    <w:rsid w:val="006D42C0"/>
    <w:rsid w:val="006D4444"/>
    <w:rsid w:val="006D6088"/>
    <w:rsid w:val="006D6493"/>
    <w:rsid w:val="006D6D89"/>
    <w:rsid w:val="006D6EC7"/>
    <w:rsid w:val="006D73E4"/>
    <w:rsid w:val="006E091E"/>
    <w:rsid w:val="006E1462"/>
    <w:rsid w:val="006E169B"/>
    <w:rsid w:val="006E1BCD"/>
    <w:rsid w:val="006E2732"/>
    <w:rsid w:val="006E3C62"/>
    <w:rsid w:val="006E4E08"/>
    <w:rsid w:val="006E59CD"/>
    <w:rsid w:val="006E5E62"/>
    <w:rsid w:val="006F0A71"/>
    <w:rsid w:val="006F148F"/>
    <w:rsid w:val="006F15B1"/>
    <w:rsid w:val="006F1C6D"/>
    <w:rsid w:val="006F2DD3"/>
    <w:rsid w:val="006F40C2"/>
    <w:rsid w:val="006F5125"/>
    <w:rsid w:val="006F56DB"/>
    <w:rsid w:val="006F5C39"/>
    <w:rsid w:val="006F5C54"/>
    <w:rsid w:val="006F6595"/>
    <w:rsid w:val="006F6882"/>
    <w:rsid w:val="006F6AF4"/>
    <w:rsid w:val="006F7198"/>
    <w:rsid w:val="006F733D"/>
    <w:rsid w:val="006F7C43"/>
    <w:rsid w:val="00700361"/>
    <w:rsid w:val="00701CE4"/>
    <w:rsid w:val="00702ACF"/>
    <w:rsid w:val="00702B6F"/>
    <w:rsid w:val="0070327C"/>
    <w:rsid w:val="00703367"/>
    <w:rsid w:val="00704069"/>
    <w:rsid w:val="00704627"/>
    <w:rsid w:val="00704867"/>
    <w:rsid w:val="00704F54"/>
    <w:rsid w:val="00706834"/>
    <w:rsid w:val="00706A2F"/>
    <w:rsid w:val="00707109"/>
    <w:rsid w:val="00707177"/>
    <w:rsid w:val="0070718E"/>
    <w:rsid w:val="00707E52"/>
    <w:rsid w:val="00710230"/>
    <w:rsid w:val="00710259"/>
    <w:rsid w:val="0071031F"/>
    <w:rsid w:val="007103F0"/>
    <w:rsid w:val="007103F9"/>
    <w:rsid w:val="0071043D"/>
    <w:rsid w:val="007105B2"/>
    <w:rsid w:val="00710BDF"/>
    <w:rsid w:val="007119BB"/>
    <w:rsid w:val="00711BC4"/>
    <w:rsid w:val="0071340B"/>
    <w:rsid w:val="00713570"/>
    <w:rsid w:val="0071436D"/>
    <w:rsid w:val="00715BBB"/>
    <w:rsid w:val="00716B04"/>
    <w:rsid w:val="007174BB"/>
    <w:rsid w:val="0071776C"/>
    <w:rsid w:val="0072025D"/>
    <w:rsid w:val="00720A90"/>
    <w:rsid w:val="00721A7A"/>
    <w:rsid w:val="00721D57"/>
    <w:rsid w:val="00721F8B"/>
    <w:rsid w:val="00723328"/>
    <w:rsid w:val="00724A01"/>
    <w:rsid w:val="00725628"/>
    <w:rsid w:val="00725864"/>
    <w:rsid w:val="00725F9B"/>
    <w:rsid w:val="007264F7"/>
    <w:rsid w:val="00727DC5"/>
    <w:rsid w:val="00727EE2"/>
    <w:rsid w:val="00730A65"/>
    <w:rsid w:val="0073137C"/>
    <w:rsid w:val="00731AD1"/>
    <w:rsid w:val="00731C58"/>
    <w:rsid w:val="007340B9"/>
    <w:rsid w:val="0073415C"/>
    <w:rsid w:val="0073447E"/>
    <w:rsid w:val="0073450A"/>
    <w:rsid w:val="00734BCE"/>
    <w:rsid w:val="007353D3"/>
    <w:rsid w:val="007358AE"/>
    <w:rsid w:val="0073653A"/>
    <w:rsid w:val="00737298"/>
    <w:rsid w:val="00737C4F"/>
    <w:rsid w:val="007411B2"/>
    <w:rsid w:val="0074156B"/>
    <w:rsid w:val="00741619"/>
    <w:rsid w:val="00741D9B"/>
    <w:rsid w:val="00742C60"/>
    <w:rsid w:val="00743563"/>
    <w:rsid w:val="007456FA"/>
    <w:rsid w:val="007459F3"/>
    <w:rsid w:val="00747092"/>
    <w:rsid w:val="00747CF2"/>
    <w:rsid w:val="00750CDE"/>
    <w:rsid w:val="00751356"/>
    <w:rsid w:val="007526E6"/>
    <w:rsid w:val="00752C1F"/>
    <w:rsid w:val="00752F6A"/>
    <w:rsid w:val="00753294"/>
    <w:rsid w:val="0075345E"/>
    <w:rsid w:val="0075402A"/>
    <w:rsid w:val="00754DF9"/>
    <w:rsid w:val="0075510F"/>
    <w:rsid w:val="007555E8"/>
    <w:rsid w:val="007557E8"/>
    <w:rsid w:val="00755AEE"/>
    <w:rsid w:val="00755CC5"/>
    <w:rsid w:val="00760C12"/>
    <w:rsid w:val="007610B0"/>
    <w:rsid w:val="007626B0"/>
    <w:rsid w:val="007636F0"/>
    <w:rsid w:val="00763DB5"/>
    <w:rsid w:val="0076420C"/>
    <w:rsid w:val="0076424A"/>
    <w:rsid w:val="0076484C"/>
    <w:rsid w:val="00764B56"/>
    <w:rsid w:val="007654A5"/>
    <w:rsid w:val="007658B8"/>
    <w:rsid w:val="00771D07"/>
    <w:rsid w:val="00772321"/>
    <w:rsid w:val="00773BE3"/>
    <w:rsid w:val="007741F6"/>
    <w:rsid w:val="007743DD"/>
    <w:rsid w:val="00774465"/>
    <w:rsid w:val="007744DA"/>
    <w:rsid w:val="00774E2C"/>
    <w:rsid w:val="0077518D"/>
    <w:rsid w:val="007751F8"/>
    <w:rsid w:val="007753C2"/>
    <w:rsid w:val="00776A32"/>
    <w:rsid w:val="00777BC3"/>
    <w:rsid w:val="0078174A"/>
    <w:rsid w:val="00781C01"/>
    <w:rsid w:val="00782403"/>
    <w:rsid w:val="00782F92"/>
    <w:rsid w:val="007835D7"/>
    <w:rsid w:val="007838B8"/>
    <w:rsid w:val="007852E0"/>
    <w:rsid w:val="00787B18"/>
    <w:rsid w:val="00790284"/>
    <w:rsid w:val="007913BF"/>
    <w:rsid w:val="007915BA"/>
    <w:rsid w:val="007917B4"/>
    <w:rsid w:val="00791844"/>
    <w:rsid w:val="00793E11"/>
    <w:rsid w:val="00793F73"/>
    <w:rsid w:val="0079451C"/>
    <w:rsid w:val="00794773"/>
    <w:rsid w:val="00795405"/>
    <w:rsid w:val="00795FA2"/>
    <w:rsid w:val="00796907"/>
    <w:rsid w:val="00797220"/>
    <w:rsid w:val="007978DF"/>
    <w:rsid w:val="007979BD"/>
    <w:rsid w:val="007A0A82"/>
    <w:rsid w:val="007A125F"/>
    <w:rsid w:val="007A1395"/>
    <w:rsid w:val="007A19C5"/>
    <w:rsid w:val="007A1C49"/>
    <w:rsid w:val="007A1ECC"/>
    <w:rsid w:val="007A2426"/>
    <w:rsid w:val="007A2501"/>
    <w:rsid w:val="007A417D"/>
    <w:rsid w:val="007A4A63"/>
    <w:rsid w:val="007A4BE8"/>
    <w:rsid w:val="007A68B2"/>
    <w:rsid w:val="007A6A2F"/>
    <w:rsid w:val="007A7B73"/>
    <w:rsid w:val="007B024E"/>
    <w:rsid w:val="007B0481"/>
    <w:rsid w:val="007B08FF"/>
    <w:rsid w:val="007B0D78"/>
    <w:rsid w:val="007B1963"/>
    <w:rsid w:val="007B1DC6"/>
    <w:rsid w:val="007B250C"/>
    <w:rsid w:val="007B28E3"/>
    <w:rsid w:val="007B2AD3"/>
    <w:rsid w:val="007B3046"/>
    <w:rsid w:val="007B3700"/>
    <w:rsid w:val="007B3DDC"/>
    <w:rsid w:val="007B5C4A"/>
    <w:rsid w:val="007B6375"/>
    <w:rsid w:val="007B72A6"/>
    <w:rsid w:val="007B7E25"/>
    <w:rsid w:val="007B7EF2"/>
    <w:rsid w:val="007C06D2"/>
    <w:rsid w:val="007C086E"/>
    <w:rsid w:val="007C08E0"/>
    <w:rsid w:val="007C0F57"/>
    <w:rsid w:val="007C1D47"/>
    <w:rsid w:val="007C2A60"/>
    <w:rsid w:val="007C3670"/>
    <w:rsid w:val="007C3E3B"/>
    <w:rsid w:val="007C40B6"/>
    <w:rsid w:val="007C53AD"/>
    <w:rsid w:val="007C729F"/>
    <w:rsid w:val="007C78B3"/>
    <w:rsid w:val="007D20FF"/>
    <w:rsid w:val="007D2352"/>
    <w:rsid w:val="007D2844"/>
    <w:rsid w:val="007D304E"/>
    <w:rsid w:val="007D392A"/>
    <w:rsid w:val="007D503D"/>
    <w:rsid w:val="007D56BA"/>
    <w:rsid w:val="007D59E7"/>
    <w:rsid w:val="007D5F2A"/>
    <w:rsid w:val="007D6AD0"/>
    <w:rsid w:val="007D6FB7"/>
    <w:rsid w:val="007D7442"/>
    <w:rsid w:val="007D7AE7"/>
    <w:rsid w:val="007D7E9B"/>
    <w:rsid w:val="007E0EDB"/>
    <w:rsid w:val="007E1142"/>
    <w:rsid w:val="007E1D28"/>
    <w:rsid w:val="007E23BD"/>
    <w:rsid w:val="007E31ED"/>
    <w:rsid w:val="007E3321"/>
    <w:rsid w:val="007E593B"/>
    <w:rsid w:val="007E70FD"/>
    <w:rsid w:val="007E7FFC"/>
    <w:rsid w:val="007F0021"/>
    <w:rsid w:val="007F2641"/>
    <w:rsid w:val="007F283B"/>
    <w:rsid w:val="007F299D"/>
    <w:rsid w:val="007F2D3A"/>
    <w:rsid w:val="007F3663"/>
    <w:rsid w:val="007F3B32"/>
    <w:rsid w:val="007F3FFA"/>
    <w:rsid w:val="007F452D"/>
    <w:rsid w:val="007F634F"/>
    <w:rsid w:val="007F7798"/>
    <w:rsid w:val="007F7C36"/>
    <w:rsid w:val="007F7C3B"/>
    <w:rsid w:val="008005AC"/>
    <w:rsid w:val="00801599"/>
    <w:rsid w:val="00803932"/>
    <w:rsid w:val="00803BF2"/>
    <w:rsid w:val="008047BF"/>
    <w:rsid w:val="00804D09"/>
    <w:rsid w:val="008055AF"/>
    <w:rsid w:val="008057CD"/>
    <w:rsid w:val="00805D5E"/>
    <w:rsid w:val="00806796"/>
    <w:rsid w:val="00810167"/>
    <w:rsid w:val="008115B4"/>
    <w:rsid w:val="00811CC0"/>
    <w:rsid w:val="008145F6"/>
    <w:rsid w:val="008147AE"/>
    <w:rsid w:val="00814B44"/>
    <w:rsid w:val="008151D6"/>
    <w:rsid w:val="008153C9"/>
    <w:rsid w:val="008165AE"/>
    <w:rsid w:val="0081681B"/>
    <w:rsid w:val="0081719C"/>
    <w:rsid w:val="00821527"/>
    <w:rsid w:val="00821EED"/>
    <w:rsid w:val="00822696"/>
    <w:rsid w:val="00823AF3"/>
    <w:rsid w:val="008240D3"/>
    <w:rsid w:val="0082445E"/>
    <w:rsid w:val="00824679"/>
    <w:rsid w:val="00824EAF"/>
    <w:rsid w:val="00825642"/>
    <w:rsid w:val="00825803"/>
    <w:rsid w:val="00825A6C"/>
    <w:rsid w:val="0082617E"/>
    <w:rsid w:val="008261CC"/>
    <w:rsid w:val="008268BB"/>
    <w:rsid w:val="00826F6D"/>
    <w:rsid w:val="00827830"/>
    <w:rsid w:val="008278FC"/>
    <w:rsid w:val="008306F3"/>
    <w:rsid w:val="00830E40"/>
    <w:rsid w:val="00830FFD"/>
    <w:rsid w:val="008312A3"/>
    <w:rsid w:val="008312CB"/>
    <w:rsid w:val="00832126"/>
    <w:rsid w:val="00832D9A"/>
    <w:rsid w:val="00834131"/>
    <w:rsid w:val="00834D9E"/>
    <w:rsid w:val="00835C62"/>
    <w:rsid w:val="008368A1"/>
    <w:rsid w:val="0083746F"/>
    <w:rsid w:val="00837DE3"/>
    <w:rsid w:val="00840EF7"/>
    <w:rsid w:val="008412CD"/>
    <w:rsid w:val="00842C0E"/>
    <w:rsid w:val="008434C1"/>
    <w:rsid w:val="008438E6"/>
    <w:rsid w:val="0084400E"/>
    <w:rsid w:val="00844C0A"/>
    <w:rsid w:val="008453B6"/>
    <w:rsid w:val="00846056"/>
    <w:rsid w:val="008466F1"/>
    <w:rsid w:val="0084681F"/>
    <w:rsid w:val="00847053"/>
    <w:rsid w:val="0084755D"/>
    <w:rsid w:val="008479D8"/>
    <w:rsid w:val="00847EC0"/>
    <w:rsid w:val="00850262"/>
    <w:rsid w:val="00850341"/>
    <w:rsid w:val="00851667"/>
    <w:rsid w:val="00851C7A"/>
    <w:rsid w:val="008524AD"/>
    <w:rsid w:val="0085307E"/>
    <w:rsid w:val="00854113"/>
    <w:rsid w:val="00855542"/>
    <w:rsid w:val="00855FD6"/>
    <w:rsid w:val="00856ACF"/>
    <w:rsid w:val="00856DDD"/>
    <w:rsid w:val="008574AB"/>
    <w:rsid w:val="0085790F"/>
    <w:rsid w:val="00860763"/>
    <w:rsid w:val="00860882"/>
    <w:rsid w:val="00860AF4"/>
    <w:rsid w:val="00862429"/>
    <w:rsid w:val="00862DB8"/>
    <w:rsid w:val="0086324C"/>
    <w:rsid w:val="00863E68"/>
    <w:rsid w:val="008647B5"/>
    <w:rsid w:val="00864907"/>
    <w:rsid w:val="00864C2E"/>
    <w:rsid w:val="00865180"/>
    <w:rsid w:val="008653BE"/>
    <w:rsid w:val="00865457"/>
    <w:rsid w:val="00865A8C"/>
    <w:rsid w:val="00866CE1"/>
    <w:rsid w:val="00867422"/>
    <w:rsid w:val="00867D64"/>
    <w:rsid w:val="00870DD3"/>
    <w:rsid w:val="00871B1F"/>
    <w:rsid w:val="00873F23"/>
    <w:rsid w:val="008750B4"/>
    <w:rsid w:val="00875DCB"/>
    <w:rsid w:val="008765A3"/>
    <w:rsid w:val="0087754A"/>
    <w:rsid w:val="0087755A"/>
    <w:rsid w:val="00880010"/>
    <w:rsid w:val="00882085"/>
    <w:rsid w:val="00883188"/>
    <w:rsid w:val="00884A0C"/>
    <w:rsid w:val="0088617F"/>
    <w:rsid w:val="00886AB5"/>
    <w:rsid w:val="00886ACA"/>
    <w:rsid w:val="0089031E"/>
    <w:rsid w:val="0089095A"/>
    <w:rsid w:val="008918CE"/>
    <w:rsid w:val="00892675"/>
    <w:rsid w:val="00892B3B"/>
    <w:rsid w:val="0089460B"/>
    <w:rsid w:val="0089566E"/>
    <w:rsid w:val="008958ED"/>
    <w:rsid w:val="00897394"/>
    <w:rsid w:val="00897409"/>
    <w:rsid w:val="00897C23"/>
    <w:rsid w:val="00897D58"/>
    <w:rsid w:val="00897F22"/>
    <w:rsid w:val="008A0684"/>
    <w:rsid w:val="008A0B39"/>
    <w:rsid w:val="008A17A3"/>
    <w:rsid w:val="008A1843"/>
    <w:rsid w:val="008A1956"/>
    <w:rsid w:val="008A1E85"/>
    <w:rsid w:val="008A2419"/>
    <w:rsid w:val="008A2892"/>
    <w:rsid w:val="008A4487"/>
    <w:rsid w:val="008A4937"/>
    <w:rsid w:val="008A50F1"/>
    <w:rsid w:val="008A5739"/>
    <w:rsid w:val="008A59D9"/>
    <w:rsid w:val="008A5F3D"/>
    <w:rsid w:val="008A5F6C"/>
    <w:rsid w:val="008A643E"/>
    <w:rsid w:val="008A6819"/>
    <w:rsid w:val="008A70FF"/>
    <w:rsid w:val="008B0AD3"/>
    <w:rsid w:val="008B1350"/>
    <w:rsid w:val="008B1649"/>
    <w:rsid w:val="008B2EC0"/>
    <w:rsid w:val="008B30DF"/>
    <w:rsid w:val="008B44AB"/>
    <w:rsid w:val="008B5707"/>
    <w:rsid w:val="008B6364"/>
    <w:rsid w:val="008B6DCF"/>
    <w:rsid w:val="008B6FC1"/>
    <w:rsid w:val="008B7A5E"/>
    <w:rsid w:val="008C393B"/>
    <w:rsid w:val="008C3F4F"/>
    <w:rsid w:val="008C4626"/>
    <w:rsid w:val="008C5B89"/>
    <w:rsid w:val="008C5FDE"/>
    <w:rsid w:val="008C6B72"/>
    <w:rsid w:val="008D00FC"/>
    <w:rsid w:val="008D0945"/>
    <w:rsid w:val="008D0A0F"/>
    <w:rsid w:val="008D1409"/>
    <w:rsid w:val="008D15CC"/>
    <w:rsid w:val="008D16C4"/>
    <w:rsid w:val="008D1729"/>
    <w:rsid w:val="008D1B5C"/>
    <w:rsid w:val="008D31F7"/>
    <w:rsid w:val="008D3635"/>
    <w:rsid w:val="008D3BB0"/>
    <w:rsid w:val="008D3C82"/>
    <w:rsid w:val="008D404D"/>
    <w:rsid w:val="008D447E"/>
    <w:rsid w:val="008D4FE1"/>
    <w:rsid w:val="008D57D7"/>
    <w:rsid w:val="008D63C1"/>
    <w:rsid w:val="008D6ACF"/>
    <w:rsid w:val="008D7A41"/>
    <w:rsid w:val="008E0570"/>
    <w:rsid w:val="008E0BEB"/>
    <w:rsid w:val="008E2619"/>
    <w:rsid w:val="008E2C72"/>
    <w:rsid w:val="008E2D63"/>
    <w:rsid w:val="008E3455"/>
    <w:rsid w:val="008E3680"/>
    <w:rsid w:val="008E45EC"/>
    <w:rsid w:val="008E46EC"/>
    <w:rsid w:val="008E5870"/>
    <w:rsid w:val="008E5B13"/>
    <w:rsid w:val="008E7157"/>
    <w:rsid w:val="008E7240"/>
    <w:rsid w:val="008E77E4"/>
    <w:rsid w:val="008F0213"/>
    <w:rsid w:val="008F07ED"/>
    <w:rsid w:val="008F11F8"/>
    <w:rsid w:val="008F1434"/>
    <w:rsid w:val="008F2BB9"/>
    <w:rsid w:val="008F3D6A"/>
    <w:rsid w:val="008F4312"/>
    <w:rsid w:val="008F4B08"/>
    <w:rsid w:val="008F54C3"/>
    <w:rsid w:val="008F6688"/>
    <w:rsid w:val="008F7355"/>
    <w:rsid w:val="008F758A"/>
    <w:rsid w:val="008F763B"/>
    <w:rsid w:val="008F77AD"/>
    <w:rsid w:val="008F79DE"/>
    <w:rsid w:val="008F7BCA"/>
    <w:rsid w:val="00900C36"/>
    <w:rsid w:val="00901539"/>
    <w:rsid w:val="00902138"/>
    <w:rsid w:val="009023DC"/>
    <w:rsid w:val="009027C5"/>
    <w:rsid w:val="00902FAA"/>
    <w:rsid w:val="009034BD"/>
    <w:rsid w:val="0090380D"/>
    <w:rsid w:val="00903945"/>
    <w:rsid w:val="00903E9B"/>
    <w:rsid w:val="00904076"/>
    <w:rsid w:val="00904413"/>
    <w:rsid w:val="00905BB7"/>
    <w:rsid w:val="009067B7"/>
    <w:rsid w:val="00906AF8"/>
    <w:rsid w:val="00907640"/>
    <w:rsid w:val="0090775A"/>
    <w:rsid w:val="00907DFD"/>
    <w:rsid w:val="00910F36"/>
    <w:rsid w:val="00912D0A"/>
    <w:rsid w:val="00912E45"/>
    <w:rsid w:val="0091320C"/>
    <w:rsid w:val="009136F3"/>
    <w:rsid w:val="00915276"/>
    <w:rsid w:val="00916681"/>
    <w:rsid w:val="00917D69"/>
    <w:rsid w:val="00920B6D"/>
    <w:rsid w:val="009211EB"/>
    <w:rsid w:val="0092167D"/>
    <w:rsid w:val="009218FC"/>
    <w:rsid w:val="00921BB2"/>
    <w:rsid w:val="00922593"/>
    <w:rsid w:val="009239A1"/>
    <w:rsid w:val="00926560"/>
    <w:rsid w:val="00926B15"/>
    <w:rsid w:val="00926EC8"/>
    <w:rsid w:val="00927BED"/>
    <w:rsid w:val="00930291"/>
    <w:rsid w:val="0093044A"/>
    <w:rsid w:val="00930937"/>
    <w:rsid w:val="00930DBF"/>
    <w:rsid w:val="009310AC"/>
    <w:rsid w:val="009324A6"/>
    <w:rsid w:val="00933A8E"/>
    <w:rsid w:val="00933E6C"/>
    <w:rsid w:val="0093403B"/>
    <w:rsid w:val="009341D1"/>
    <w:rsid w:val="009346BA"/>
    <w:rsid w:val="00935A6E"/>
    <w:rsid w:val="0093632B"/>
    <w:rsid w:val="009363BE"/>
    <w:rsid w:val="00937958"/>
    <w:rsid w:val="009406E5"/>
    <w:rsid w:val="0094103B"/>
    <w:rsid w:val="009415EC"/>
    <w:rsid w:val="00941602"/>
    <w:rsid w:val="00941DC5"/>
    <w:rsid w:val="00942160"/>
    <w:rsid w:val="009424B0"/>
    <w:rsid w:val="00943859"/>
    <w:rsid w:val="00943B61"/>
    <w:rsid w:val="00943C10"/>
    <w:rsid w:val="00943F3B"/>
    <w:rsid w:val="00944E9E"/>
    <w:rsid w:val="00945FC7"/>
    <w:rsid w:val="009467D4"/>
    <w:rsid w:val="00946921"/>
    <w:rsid w:val="00946F95"/>
    <w:rsid w:val="0095146F"/>
    <w:rsid w:val="00953AB3"/>
    <w:rsid w:val="009545F6"/>
    <w:rsid w:val="00955541"/>
    <w:rsid w:val="009556F3"/>
    <w:rsid w:val="00956835"/>
    <w:rsid w:val="00957394"/>
    <w:rsid w:val="00957629"/>
    <w:rsid w:val="00957944"/>
    <w:rsid w:val="00957CB3"/>
    <w:rsid w:val="009600B4"/>
    <w:rsid w:val="009602C5"/>
    <w:rsid w:val="009604E6"/>
    <w:rsid w:val="00962223"/>
    <w:rsid w:val="0096252B"/>
    <w:rsid w:val="00963258"/>
    <w:rsid w:val="009645E6"/>
    <w:rsid w:val="00965190"/>
    <w:rsid w:val="009654D3"/>
    <w:rsid w:val="00965D3D"/>
    <w:rsid w:val="00966D0D"/>
    <w:rsid w:val="00966F90"/>
    <w:rsid w:val="00967732"/>
    <w:rsid w:val="0096783C"/>
    <w:rsid w:val="0097012E"/>
    <w:rsid w:val="00971048"/>
    <w:rsid w:val="009722B3"/>
    <w:rsid w:val="009729D4"/>
    <w:rsid w:val="00973A78"/>
    <w:rsid w:val="00973E24"/>
    <w:rsid w:val="00974C21"/>
    <w:rsid w:val="00975194"/>
    <w:rsid w:val="00975412"/>
    <w:rsid w:val="00975948"/>
    <w:rsid w:val="009772FB"/>
    <w:rsid w:val="00977BF3"/>
    <w:rsid w:val="00977E07"/>
    <w:rsid w:val="009803E4"/>
    <w:rsid w:val="00980B0E"/>
    <w:rsid w:val="00980E5D"/>
    <w:rsid w:val="009836A3"/>
    <w:rsid w:val="00983780"/>
    <w:rsid w:val="00985392"/>
    <w:rsid w:val="0098544B"/>
    <w:rsid w:val="009855A8"/>
    <w:rsid w:val="00985733"/>
    <w:rsid w:val="00985D1A"/>
    <w:rsid w:val="00986DB3"/>
    <w:rsid w:val="009870AA"/>
    <w:rsid w:val="009870C5"/>
    <w:rsid w:val="00987609"/>
    <w:rsid w:val="00987E28"/>
    <w:rsid w:val="00990267"/>
    <w:rsid w:val="009913F4"/>
    <w:rsid w:val="00991782"/>
    <w:rsid w:val="0099266A"/>
    <w:rsid w:val="009928F2"/>
    <w:rsid w:val="009937F7"/>
    <w:rsid w:val="00993F0F"/>
    <w:rsid w:val="0099465B"/>
    <w:rsid w:val="00994854"/>
    <w:rsid w:val="009951A1"/>
    <w:rsid w:val="00997309"/>
    <w:rsid w:val="009975B5"/>
    <w:rsid w:val="00997746"/>
    <w:rsid w:val="00997A44"/>
    <w:rsid w:val="009A0309"/>
    <w:rsid w:val="009A0CDD"/>
    <w:rsid w:val="009A3168"/>
    <w:rsid w:val="009A4474"/>
    <w:rsid w:val="009A5334"/>
    <w:rsid w:val="009A53F9"/>
    <w:rsid w:val="009A5D04"/>
    <w:rsid w:val="009A61AC"/>
    <w:rsid w:val="009A61CA"/>
    <w:rsid w:val="009B0C4A"/>
    <w:rsid w:val="009B0C64"/>
    <w:rsid w:val="009B0EDB"/>
    <w:rsid w:val="009B0F67"/>
    <w:rsid w:val="009B12F3"/>
    <w:rsid w:val="009B24B2"/>
    <w:rsid w:val="009B358D"/>
    <w:rsid w:val="009B3F8C"/>
    <w:rsid w:val="009B4399"/>
    <w:rsid w:val="009B5653"/>
    <w:rsid w:val="009B56F8"/>
    <w:rsid w:val="009B5F02"/>
    <w:rsid w:val="009B6ABA"/>
    <w:rsid w:val="009B750F"/>
    <w:rsid w:val="009B7857"/>
    <w:rsid w:val="009C09B2"/>
    <w:rsid w:val="009C0F69"/>
    <w:rsid w:val="009C171A"/>
    <w:rsid w:val="009C1F49"/>
    <w:rsid w:val="009C2A0E"/>
    <w:rsid w:val="009C439B"/>
    <w:rsid w:val="009C5B72"/>
    <w:rsid w:val="009C5C52"/>
    <w:rsid w:val="009C6247"/>
    <w:rsid w:val="009C6295"/>
    <w:rsid w:val="009C649D"/>
    <w:rsid w:val="009C703C"/>
    <w:rsid w:val="009D0901"/>
    <w:rsid w:val="009D1712"/>
    <w:rsid w:val="009D206E"/>
    <w:rsid w:val="009D3681"/>
    <w:rsid w:val="009D394B"/>
    <w:rsid w:val="009D3CAA"/>
    <w:rsid w:val="009D467A"/>
    <w:rsid w:val="009D4A45"/>
    <w:rsid w:val="009D54FF"/>
    <w:rsid w:val="009D55E2"/>
    <w:rsid w:val="009D6532"/>
    <w:rsid w:val="009D71FD"/>
    <w:rsid w:val="009D770B"/>
    <w:rsid w:val="009E09E9"/>
    <w:rsid w:val="009E0ECA"/>
    <w:rsid w:val="009E176B"/>
    <w:rsid w:val="009E1B06"/>
    <w:rsid w:val="009E2588"/>
    <w:rsid w:val="009E2A66"/>
    <w:rsid w:val="009E2E8E"/>
    <w:rsid w:val="009E34EB"/>
    <w:rsid w:val="009E40E1"/>
    <w:rsid w:val="009E4291"/>
    <w:rsid w:val="009E545A"/>
    <w:rsid w:val="009E5524"/>
    <w:rsid w:val="009E55DB"/>
    <w:rsid w:val="009E690D"/>
    <w:rsid w:val="009E7599"/>
    <w:rsid w:val="009F03A8"/>
    <w:rsid w:val="009F05DF"/>
    <w:rsid w:val="009F0DD8"/>
    <w:rsid w:val="009F0EFA"/>
    <w:rsid w:val="009F1C27"/>
    <w:rsid w:val="009F2166"/>
    <w:rsid w:val="009F27A3"/>
    <w:rsid w:val="009F41F6"/>
    <w:rsid w:val="009F499A"/>
    <w:rsid w:val="009F4E46"/>
    <w:rsid w:val="009F5B65"/>
    <w:rsid w:val="009F5F2E"/>
    <w:rsid w:val="009F6F0A"/>
    <w:rsid w:val="00A0063A"/>
    <w:rsid w:val="00A01432"/>
    <w:rsid w:val="00A0210E"/>
    <w:rsid w:val="00A02AB8"/>
    <w:rsid w:val="00A03486"/>
    <w:rsid w:val="00A0462D"/>
    <w:rsid w:val="00A0523D"/>
    <w:rsid w:val="00A0528D"/>
    <w:rsid w:val="00A06225"/>
    <w:rsid w:val="00A0658C"/>
    <w:rsid w:val="00A06DF5"/>
    <w:rsid w:val="00A06EC3"/>
    <w:rsid w:val="00A0727B"/>
    <w:rsid w:val="00A074E9"/>
    <w:rsid w:val="00A07C4C"/>
    <w:rsid w:val="00A110D1"/>
    <w:rsid w:val="00A119AB"/>
    <w:rsid w:val="00A12587"/>
    <w:rsid w:val="00A128E6"/>
    <w:rsid w:val="00A1369B"/>
    <w:rsid w:val="00A14243"/>
    <w:rsid w:val="00A144D3"/>
    <w:rsid w:val="00A159E5"/>
    <w:rsid w:val="00A15EA7"/>
    <w:rsid w:val="00A16224"/>
    <w:rsid w:val="00A1700C"/>
    <w:rsid w:val="00A173EE"/>
    <w:rsid w:val="00A20EB2"/>
    <w:rsid w:val="00A21444"/>
    <w:rsid w:val="00A21D6C"/>
    <w:rsid w:val="00A21DC8"/>
    <w:rsid w:val="00A2244F"/>
    <w:rsid w:val="00A229DB"/>
    <w:rsid w:val="00A22AC3"/>
    <w:rsid w:val="00A22B39"/>
    <w:rsid w:val="00A2360B"/>
    <w:rsid w:val="00A2361C"/>
    <w:rsid w:val="00A23F3F"/>
    <w:rsid w:val="00A24067"/>
    <w:rsid w:val="00A243FA"/>
    <w:rsid w:val="00A2497B"/>
    <w:rsid w:val="00A24A4B"/>
    <w:rsid w:val="00A25B73"/>
    <w:rsid w:val="00A2672F"/>
    <w:rsid w:val="00A26B52"/>
    <w:rsid w:val="00A2736D"/>
    <w:rsid w:val="00A2744D"/>
    <w:rsid w:val="00A2799E"/>
    <w:rsid w:val="00A27CC6"/>
    <w:rsid w:val="00A3042A"/>
    <w:rsid w:val="00A30B2F"/>
    <w:rsid w:val="00A30D16"/>
    <w:rsid w:val="00A321CE"/>
    <w:rsid w:val="00A32594"/>
    <w:rsid w:val="00A33E3F"/>
    <w:rsid w:val="00A34017"/>
    <w:rsid w:val="00A34548"/>
    <w:rsid w:val="00A34E6C"/>
    <w:rsid w:val="00A34FD0"/>
    <w:rsid w:val="00A35A1D"/>
    <w:rsid w:val="00A36398"/>
    <w:rsid w:val="00A3773E"/>
    <w:rsid w:val="00A37C8D"/>
    <w:rsid w:val="00A4020E"/>
    <w:rsid w:val="00A406B3"/>
    <w:rsid w:val="00A40D65"/>
    <w:rsid w:val="00A40FB5"/>
    <w:rsid w:val="00A42826"/>
    <w:rsid w:val="00A429B3"/>
    <w:rsid w:val="00A42FB1"/>
    <w:rsid w:val="00A435C3"/>
    <w:rsid w:val="00A44D0C"/>
    <w:rsid w:val="00A44EC1"/>
    <w:rsid w:val="00A45382"/>
    <w:rsid w:val="00A4677A"/>
    <w:rsid w:val="00A47185"/>
    <w:rsid w:val="00A47212"/>
    <w:rsid w:val="00A47890"/>
    <w:rsid w:val="00A47F24"/>
    <w:rsid w:val="00A5073D"/>
    <w:rsid w:val="00A510E4"/>
    <w:rsid w:val="00A51ABD"/>
    <w:rsid w:val="00A51EBC"/>
    <w:rsid w:val="00A5249A"/>
    <w:rsid w:val="00A5273B"/>
    <w:rsid w:val="00A53A9D"/>
    <w:rsid w:val="00A54824"/>
    <w:rsid w:val="00A55FEE"/>
    <w:rsid w:val="00A564FF"/>
    <w:rsid w:val="00A56584"/>
    <w:rsid w:val="00A56CF5"/>
    <w:rsid w:val="00A57422"/>
    <w:rsid w:val="00A6002B"/>
    <w:rsid w:val="00A6213D"/>
    <w:rsid w:val="00A62333"/>
    <w:rsid w:val="00A62388"/>
    <w:rsid w:val="00A62BF5"/>
    <w:rsid w:val="00A62C1A"/>
    <w:rsid w:val="00A6426D"/>
    <w:rsid w:val="00A654F2"/>
    <w:rsid w:val="00A6570B"/>
    <w:rsid w:val="00A65E0E"/>
    <w:rsid w:val="00A665C1"/>
    <w:rsid w:val="00A6683C"/>
    <w:rsid w:val="00A6683E"/>
    <w:rsid w:val="00A673A4"/>
    <w:rsid w:val="00A7001A"/>
    <w:rsid w:val="00A70622"/>
    <w:rsid w:val="00A70977"/>
    <w:rsid w:val="00A70AEA"/>
    <w:rsid w:val="00A70D58"/>
    <w:rsid w:val="00A715C4"/>
    <w:rsid w:val="00A72F39"/>
    <w:rsid w:val="00A73549"/>
    <w:rsid w:val="00A7385A"/>
    <w:rsid w:val="00A744F9"/>
    <w:rsid w:val="00A749CF"/>
    <w:rsid w:val="00A74EDF"/>
    <w:rsid w:val="00A762F6"/>
    <w:rsid w:val="00A76339"/>
    <w:rsid w:val="00A76430"/>
    <w:rsid w:val="00A76CBB"/>
    <w:rsid w:val="00A77613"/>
    <w:rsid w:val="00A77713"/>
    <w:rsid w:val="00A7783F"/>
    <w:rsid w:val="00A77A46"/>
    <w:rsid w:val="00A77B87"/>
    <w:rsid w:val="00A80009"/>
    <w:rsid w:val="00A8009D"/>
    <w:rsid w:val="00A81851"/>
    <w:rsid w:val="00A82562"/>
    <w:rsid w:val="00A82DBB"/>
    <w:rsid w:val="00A834BA"/>
    <w:rsid w:val="00A8390C"/>
    <w:rsid w:val="00A8548B"/>
    <w:rsid w:val="00A8637E"/>
    <w:rsid w:val="00A864AB"/>
    <w:rsid w:val="00A86AE0"/>
    <w:rsid w:val="00A86BDD"/>
    <w:rsid w:val="00A87496"/>
    <w:rsid w:val="00A9080F"/>
    <w:rsid w:val="00A90F6A"/>
    <w:rsid w:val="00A91362"/>
    <w:rsid w:val="00A9151C"/>
    <w:rsid w:val="00A919C6"/>
    <w:rsid w:val="00A928BD"/>
    <w:rsid w:val="00A9299D"/>
    <w:rsid w:val="00A93922"/>
    <w:rsid w:val="00A959DE"/>
    <w:rsid w:val="00A966A1"/>
    <w:rsid w:val="00A971EB"/>
    <w:rsid w:val="00A974E9"/>
    <w:rsid w:val="00A97DE9"/>
    <w:rsid w:val="00AA12CD"/>
    <w:rsid w:val="00AA1D81"/>
    <w:rsid w:val="00AA1F1D"/>
    <w:rsid w:val="00AA2201"/>
    <w:rsid w:val="00AA284B"/>
    <w:rsid w:val="00AA4732"/>
    <w:rsid w:val="00AA4746"/>
    <w:rsid w:val="00AA481B"/>
    <w:rsid w:val="00AA4D1C"/>
    <w:rsid w:val="00AA51E8"/>
    <w:rsid w:val="00AA52FD"/>
    <w:rsid w:val="00AA7006"/>
    <w:rsid w:val="00AA72D0"/>
    <w:rsid w:val="00AB05C1"/>
    <w:rsid w:val="00AB0C3E"/>
    <w:rsid w:val="00AB2844"/>
    <w:rsid w:val="00AB31CD"/>
    <w:rsid w:val="00AB375D"/>
    <w:rsid w:val="00AB5856"/>
    <w:rsid w:val="00AB596C"/>
    <w:rsid w:val="00AB5F90"/>
    <w:rsid w:val="00AB6090"/>
    <w:rsid w:val="00AB713A"/>
    <w:rsid w:val="00AB7805"/>
    <w:rsid w:val="00AB7959"/>
    <w:rsid w:val="00AC0B24"/>
    <w:rsid w:val="00AC180A"/>
    <w:rsid w:val="00AC193C"/>
    <w:rsid w:val="00AC2F6A"/>
    <w:rsid w:val="00AC30C1"/>
    <w:rsid w:val="00AC319B"/>
    <w:rsid w:val="00AC329F"/>
    <w:rsid w:val="00AC3635"/>
    <w:rsid w:val="00AC376C"/>
    <w:rsid w:val="00AC4267"/>
    <w:rsid w:val="00AC49A0"/>
    <w:rsid w:val="00AC4BF1"/>
    <w:rsid w:val="00AC4DE5"/>
    <w:rsid w:val="00AC5206"/>
    <w:rsid w:val="00AC70AE"/>
    <w:rsid w:val="00AC70D8"/>
    <w:rsid w:val="00AD04F1"/>
    <w:rsid w:val="00AD3106"/>
    <w:rsid w:val="00AD3373"/>
    <w:rsid w:val="00AD3885"/>
    <w:rsid w:val="00AD4091"/>
    <w:rsid w:val="00AD4322"/>
    <w:rsid w:val="00AD45F8"/>
    <w:rsid w:val="00AD488E"/>
    <w:rsid w:val="00AD58B0"/>
    <w:rsid w:val="00AD5A49"/>
    <w:rsid w:val="00AD66B7"/>
    <w:rsid w:val="00AD70EB"/>
    <w:rsid w:val="00AD778E"/>
    <w:rsid w:val="00AE02B8"/>
    <w:rsid w:val="00AE11A5"/>
    <w:rsid w:val="00AE13E2"/>
    <w:rsid w:val="00AE22D3"/>
    <w:rsid w:val="00AE2B86"/>
    <w:rsid w:val="00AE397D"/>
    <w:rsid w:val="00AE3997"/>
    <w:rsid w:val="00AE3C94"/>
    <w:rsid w:val="00AE3DFD"/>
    <w:rsid w:val="00AE40EF"/>
    <w:rsid w:val="00AE4841"/>
    <w:rsid w:val="00AE5A49"/>
    <w:rsid w:val="00AE7A08"/>
    <w:rsid w:val="00AE7E42"/>
    <w:rsid w:val="00AE7FEC"/>
    <w:rsid w:val="00AF11D8"/>
    <w:rsid w:val="00AF18EE"/>
    <w:rsid w:val="00AF389A"/>
    <w:rsid w:val="00AF42C1"/>
    <w:rsid w:val="00AF5867"/>
    <w:rsid w:val="00AF58A3"/>
    <w:rsid w:val="00AF5D9B"/>
    <w:rsid w:val="00AF5EA9"/>
    <w:rsid w:val="00AF6007"/>
    <w:rsid w:val="00AF62DF"/>
    <w:rsid w:val="00AF6639"/>
    <w:rsid w:val="00AF68CC"/>
    <w:rsid w:val="00AF70D7"/>
    <w:rsid w:val="00B004AC"/>
    <w:rsid w:val="00B005A2"/>
    <w:rsid w:val="00B008CC"/>
    <w:rsid w:val="00B01F6C"/>
    <w:rsid w:val="00B01FF4"/>
    <w:rsid w:val="00B024A4"/>
    <w:rsid w:val="00B0274A"/>
    <w:rsid w:val="00B02DB6"/>
    <w:rsid w:val="00B0326D"/>
    <w:rsid w:val="00B039A9"/>
    <w:rsid w:val="00B04057"/>
    <w:rsid w:val="00B04560"/>
    <w:rsid w:val="00B04AB7"/>
    <w:rsid w:val="00B06344"/>
    <w:rsid w:val="00B06478"/>
    <w:rsid w:val="00B0718E"/>
    <w:rsid w:val="00B072D5"/>
    <w:rsid w:val="00B07533"/>
    <w:rsid w:val="00B07955"/>
    <w:rsid w:val="00B07CFB"/>
    <w:rsid w:val="00B1059E"/>
    <w:rsid w:val="00B10925"/>
    <w:rsid w:val="00B11526"/>
    <w:rsid w:val="00B11F25"/>
    <w:rsid w:val="00B12C83"/>
    <w:rsid w:val="00B14A36"/>
    <w:rsid w:val="00B14A90"/>
    <w:rsid w:val="00B14DB1"/>
    <w:rsid w:val="00B1611D"/>
    <w:rsid w:val="00B16273"/>
    <w:rsid w:val="00B162BF"/>
    <w:rsid w:val="00B17003"/>
    <w:rsid w:val="00B170A5"/>
    <w:rsid w:val="00B176C8"/>
    <w:rsid w:val="00B177BB"/>
    <w:rsid w:val="00B17C24"/>
    <w:rsid w:val="00B17C69"/>
    <w:rsid w:val="00B17EE5"/>
    <w:rsid w:val="00B2017E"/>
    <w:rsid w:val="00B20455"/>
    <w:rsid w:val="00B205AA"/>
    <w:rsid w:val="00B21BD0"/>
    <w:rsid w:val="00B22E84"/>
    <w:rsid w:val="00B233AD"/>
    <w:rsid w:val="00B239F0"/>
    <w:rsid w:val="00B23E25"/>
    <w:rsid w:val="00B244E1"/>
    <w:rsid w:val="00B2482D"/>
    <w:rsid w:val="00B25277"/>
    <w:rsid w:val="00B25283"/>
    <w:rsid w:val="00B254CA"/>
    <w:rsid w:val="00B2586E"/>
    <w:rsid w:val="00B25D6A"/>
    <w:rsid w:val="00B25F75"/>
    <w:rsid w:val="00B262FF"/>
    <w:rsid w:val="00B267AA"/>
    <w:rsid w:val="00B26939"/>
    <w:rsid w:val="00B26B3F"/>
    <w:rsid w:val="00B2712F"/>
    <w:rsid w:val="00B2778F"/>
    <w:rsid w:val="00B307D2"/>
    <w:rsid w:val="00B30C6B"/>
    <w:rsid w:val="00B30DE1"/>
    <w:rsid w:val="00B311B9"/>
    <w:rsid w:val="00B32784"/>
    <w:rsid w:val="00B327E2"/>
    <w:rsid w:val="00B33635"/>
    <w:rsid w:val="00B337CF"/>
    <w:rsid w:val="00B33BBA"/>
    <w:rsid w:val="00B33C22"/>
    <w:rsid w:val="00B3449F"/>
    <w:rsid w:val="00B34753"/>
    <w:rsid w:val="00B34970"/>
    <w:rsid w:val="00B35648"/>
    <w:rsid w:val="00B35F6B"/>
    <w:rsid w:val="00B36534"/>
    <w:rsid w:val="00B365B2"/>
    <w:rsid w:val="00B40412"/>
    <w:rsid w:val="00B40DA8"/>
    <w:rsid w:val="00B41BA1"/>
    <w:rsid w:val="00B424D8"/>
    <w:rsid w:val="00B42AF4"/>
    <w:rsid w:val="00B4397C"/>
    <w:rsid w:val="00B43E90"/>
    <w:rsid w:val="00B44811"/>
    <w:rsid w:val="00B45190"/>
    <w:rsid w:val="00B45687"/>
    <w:rsid w:val="00B45A6F"/>
    <w:rsid w:val="00B45E5D"/>
    <w:rsid w:val="00B4609E"/>
    <w:rsid w:val="00B460D0"/>
    <w:rsid w:val="00B46256"/>
    <w:rsid w:val="00B4665B"/>
    <w:rsid w:val="00B467DC"/>
    <w:rsid w:val="00B4727E"/>
    <w:rsid w:val="00B474F9"/>
    <w:rsid w:val="00B477FA"/>
    <w:rsid w:val="00B47C7F"/>
    <w:rsid w:val="00B47FFA"/>
    <w:rsid w:val="00B50849"/>
    <w:rsid w:val="00B5131A"/>
    <w:rsid w:val="00B5225F"/>
    <w:rsid w:val="00B524EF"/>
    <w:rsid w:val="00B53007"/>
    <w:rsid w:val="00B5339A"/>
    <w:rsid w:val="00B5392A"/>
    <w:rsid w:val="00B539EB"/>
    <w:rsid w:val="00B54172"/>
    <w:rsid w:val="00B54BD9"/>
    <w:rsid w:val="00B55EC8"/>
    <w:rsid w:val="00B56118"/>
    <w:rsid w:val="00B5640C"/>
    <w:rsid w:val="00B566E1"/>
    <w:rsid w:val="00B56C5F"/>
    <w:rsid w:val="00B56CA9"/>
    <w:rsid w:val="00B571FA"/>
    <w:rsid w:val="00B60AB6"/>
    <w:rsid w:val="00B62CD3"/>
    <w:rsid w:val="00B62E82"/>
    <w:rsid w:val="00B633D3"/>
    <w:rsid w:val="00B648C2"/>
    <w:rsid w:val="00B6515E"/>
    <w:rsid w:val="00B65708"/>
    <w:rsid w:val="00B6773F"/>
    <w:rsid w:val="00B67C19"/>
    <w:rsid w:val="00B67FFB"/>
    <w:rsid w:val="00B70425"/>
    <w:rsid w:val="00B70EB3"/>
    <w:rsid w:val="00B70FDF"/>
    <w:rsid w:val="00B7286D"/>
    <w:rsid w:val="00B72906"/>
    <w:rsid w:val="00B73231"/>
    <w:rsid w:val="00B74F09"/>
    <w:rsid w:val="00B74FDC"/>
    <w:rsid w:val="00B7525E"/>
    <w:rsid w:val="00B760FB"/>
    <w:rsid w:val="00B767AB"/>
    <w:rsid w:val="00B768C3"/>
    <w:rsid w:val="00B768E1"/>
    <w:rsid w:val="00B801BA"/>
    <w:rsid w:val="00B802D9"/>
    <w:rsid w:val="00B812D6"/>
    <w:rsid w:val="00B8142B"/>
    <w:rsid w:val="00B81468"/>
    <w:rsid w:val="00B82336"/>
    <w:rsid w:val="00B831A5"/>
    <w:rsid w:val="00B84D5C"/>
    <w:rsid w:val="00B85AF6"/>
    <w:rsid w:val="00B85D52"/>
    <w:rsid w:val="00B868B6"/>
    <w:rsid w:val="00B87E23"/>
    <w:rsid w:val="00B92A02"/>
    <w:rsid w:val="00B92CE5"/>
    <w:rsid w:val="00B938E2"/>
    <w:rsid w:val="00B94B81"/>
    <w:rsid w:val="00B956ED"/>
    <w:rsid w:val="00B95CAD"/>
    <w:rsid w:val="00B97366"/>
    <w:rsid w:val="00B978FC"/>
    <w:rsid w:val="00BA0B75"/>
    <w:rsid w:val="00BA103C"/>
    <w:rsid w:val="00BA121C"/>
    <w:rsid w:val="00BA2CE1"/>
    <w:rsid w:val="00BA2DA8"/>
    <w:rsid w:val="00BA347C"/>
    <w:rsid w:val="00BA39E9"/>
    <w:rsid w:val="00BA3C59"/>
    <w:rsid w:val="00BA41BD"/>
    <w:rsid w:val="00BB11B2"/>
    <w:rsid w:val="00BB2FAB"/>
    <w:rsid w:val="00BB3469"/>
    <w:rsid w:val="00BB3FFC"/>
    <w:rsid w:val="00BB49DF"/>
    <w:rsid w:val="00BB5096"/>
    <w:rsid w:val="00BB5431"/>
    <w:rsid w:val="00BB5C49"/>
    <w:rsid w:val="00BB622A"/>
    <w:rsid w:val="00BB6240"/>
    <w:rsid w:val="00BB6285"/>
    <w:rsid w:val="00BB65E9"/>
    <w:rsid w:val="00BB69F5"/>
    <w:rsid w:val="00BB73A1"/>
    <w:rsid w:val="00BB7EC3"/>
    <w:rsid w:val="00BC1585"/>
    <w:rsid w:val="00BC17AB"/>
    <w:rsid w:val="00BC2870"/>
    <w:rsid w:val="00BC470E"/>
    <w:rsid w:val="00BC4B9A"/>
    <w:rsid w:val="00BC4BC0"/>
    <w:rsid w:val="00BC4D8E"/>
    <w:rsid w:val="00BC55E1"/>
    <w:rsid w:val="00BC57A3"/>
    <w:rsid w:val="00BC5D1E"/>
    <w:rsid w:val="00BD02C3"/>
    <w:rsid w:val="00BD0368"/>
    <w:rsid w:val="00BD085D"/>
    <w:rsid w:val="00BD099A"/>
    <w:rsid w:val="00BD2FCB"/>
    <w:rsid w:val="00BD3E47"/>
    <w:rsid w:val="00BD3F6D"/>
    <w:rsid w:val="00BD57D1"/>
    <w:rsid w:val="00BD657E"/>
    <w:rsid w:val="00BD65EB"/>
    <w:rsid w:val="00BD6B7C"/>
    <w:rsid w:val="00BD7483"/>
    <w:rsid w:val="00BD7608"/>
    <w:rsid w:val="00BD784C"/>
    <w:rsid w:val="00BE020A"/>
    <w:rsid w:val="00BE0ABC"/>
    <w:rsid w:val="00BE13DF"/>
    <w:rsid w:val="00BE20E8"/>
    <w:rsid w:val="00BE21E4"/>
    <w:rsid w:val="00BE220D"/>
    <w:rsid w:val="00BE25D1"/>
    <w:rsid w:val="00BE25D7"/>
    <w:rsid w:val="00BE431D"/>
    <w:rsid w:val="00BE7678"/>
    <w:rsid w:val="00BE7B32"/>
    <w:rsid w:val="00BF0078"/>
    <w:rsid w:val="00BF0603"/>
    <w:rsid w:val="00BF092C"/>
    <w:rsid w:val="00BF1FE2"/>
    <w:rsid w:val="00BF23F4"/>
    <w:rsid w:val="00BF27A0"/>
    <w:rsid w:val="00BF330B"/>
    <w:rsid w:val="00BF3AD3"/>
    <w:rsid w:val="00BF3F5D"/>
    <w:rsid w:val="00BF3FB6"/>
    <w:rsid w:val="00BF4CB6"/>
    <w:rsid w:val="00BF73E5"/>
    <w:rsid w:val="00C003B2"/>
    <w:rsid w:val="00C00B27"/>
    <w:rsid w:val="00C00D6A"/>
    <w:rsid w:val="00C00DA7"/>
    <w:rsid w:val="00C01B75"/>
    <w:rsid w:val="00C03A75"/>
    <w:rsid w:val="00C04515"/>
    <w:rsid w:val="00C04CDE"/>
    <w:rsid w:val="00C04F28"/>
    <w:rsid w:val="00C04FD7"/>
    <w:rsid w:val="00C05CA5"/>
    <w:rsid w:val="00C068A6"/>
    <w:rsid w:val="00C06D1D"/>
    <w:rsid w:val="00C06D65"/>
    <w:rsid w:val="00C1029D"/>
    <w:rsid w:val="00C103A8"/>
    <w:rsid w:val="00C103C9"/>
    <w:rsid w:val="00C10F10"/>
    <w:rsid w:val="00C113FB"/>
    <w:rsid w:val="00C12768"/>
    <w:rsid w:val="00C12D70"/>
    <w:rsid w:val="00C13651"/>
    <w:rsid w:val="00C13DDC"/>
    <w:rsid w:val="00C14C43"/>
    <w:rsid w:val="00C15FF8"/>
    <w:rsid w:val="00C16724"/>
    <w:rsid w:val="00C16D17"/>
    <w:rsid w:val="00C175EB"/>
    <w:rsid w:val="00C17937"/>
    <w:rsid w:val="00C17B84"/>
    <w:rsid w:val="00C20DCB"/>
    <w:rsid w:val="00C2105D"/>
    <w:rsid w:val="00C21924"/>
    <w:rsid w:val="00C21B09"/>
    <w:rsid w:val="00C23514"/>
    <w:rsid w:val="00C23F92"/>
    <w:rsid w:val="00C2440D"/>
    <w:rsid w:val="00C24AF7"/>
    <w:rsid w:val="00C2579D"/>
    <w:rsid w:val="00C2673A"/>
    <w:rsid w:val="00C26A92"/>
    <w:rsid w:val="00C27B58"/>
    <w:rsid w:val="00C27D2D"/>
    <w:rsid w:val="00C31BA4"/>
    <w:rsid w:val="00C31ED1"/>
    <w:rsid w:val="00C33186"/>
    <w:rsid w:val="00C33AD4"/>
    <w:rsid w:val="00C34897"/>
    <w:rsid w:val="00C35726"/>
    <w:rsid w:val="00C35800"/>
    <w:rsid w:val="00C35996"/>
    <w:rsid w:val="00C3599F"/>
    <w:rsid w:val="00C3640F"/>
    <w:rsid w:val="00C375DB"/>
    <w:rsid w:val="00C377FA"/>
    <w:rsid w:val="00C37C48"/>
    <w:rsid w:val="00C40855"/>
    <w:rsid w:val="00C41BB5"/>
    <w:rsid w:val="00C41F5D"/>
    <w:rsid w:val="00C43569"/>
    <w:rsid w:val="00C443B0"/>
    <w:rsid w:val="00C451BD"/>
    <w:rsid w:val="00C452F8"/>
    <w:rsid w:val="00C45667"/>
    <w:rsid w:val="00C45C2B"/>
    <w:rsid w:val="00C4602F"/>
    <w:rsid w:val="00C4747E"/>
    <w:rsid w:val="00C47A7A"/>
    <w:rsid w:val="00C50085"/>
    <w:rsid w:val="00C50C56"/>
    <w:rsid w:val="00C510AD"/>
    <w:rsid w:val="00C513FB"/>
    <w:rsid w:val="00C514BB"/>
    <w:rsid w:val="00C5151E"/>
    <w:rsid w:val="00C52170"/>
    <w:rsid w:val="00C5342C"/>
    <w:rsid w:val="00C53486"/>
    <w:rsid w:val="00C53572"/>
    <w:rsid w:val="00C53AD3"/>
    <w:rsid w:val="00C53B2B"/>
    <w:rsid w:val="00C5496A"/>
    <w:rsid w:val="00C54DE5"/>
    <w:rsid w:val="00C5645D"/>
    <w:rsid w:val="00C57465"/>
    <w:rsid w:val="00C57744"/>
    <w:rsid w:val="00C60272"/>
    <w:rsid w:val="00C603D4"/>
    <w:rsid w:val="00C6055F"/>
    <w:rsid w:val="00C60810"/>
    <w:rsid w:val="00C60EE7"/>
    <w:rsid w:val="00C61962"/>
    <w:rsid w:val="00C6256A"/>
    <w:rsid w:val="00C62B38"/>
    <w:rsid w:val="00C640CC"/>
    <w:rsid w:val="00C64428"/>
    <w:rsid w:val="00C64665"/>
    <w:rsid w:val="00C647B7"/>
    <w:rsid w:val="00C64EBC"/>
    <w:rsid w:val="00C64F97"/>
    <w:rsid w:val="00C65EA8"/>
    <w:rsid w:val="00C66151"/>
    <w:rsid w:val="00C664D2"/>
    <w:rsid w:val="00C67300"/>
    <w:rsid w:val="00C67B15"/>
    <w:rsid w:val="00C7069E"/>
    <w:rsid w:val="00C710E2"/>
    <w:rsid w:val="00C71C3F"/>
    <w:rsid w:val="00C7218E"/>
    <w:rsid w:val="00C72CD1"/>
    <w:rsid w:val="00C7409E"/>
    <w:rsid w:val="00C741B3"/>
    <w:rsid w:val="00C74A74"/>
    <w:rsid w:val="00C74D6D"/>
    <w:rsid w:val="00C757D2"/>
    <w:rsid w:val="00C76657"/>
    <w:rsid w:val="00C769A9"/>
    <w:rsid w:val="00C76E76"/>
    <w:rsid w:val="00C77219"/>
    <w:rsid w:val="00C77891"/>
    <w:rsid w:val="00C77F53"/>
    <w:rsid w:val="00C806B7"/>
    <w:rsid w:val="00C8175D"/>
    <w:rsid w:val="00C8198C"/>
    <w:rsid w:val="00C81CC6"/>
    <w:rsid w:val="00C829A9"/>
    <w:rsid w:val="00C82E04"/>
    <w:rsid w:val="00C83AD3"/>
    <w:rsid w:val="00C84C16"/>
    <w:rsid w:val="00C85E21"/>
    <w:rsid w:val="00C8657E"/>
    <w:rsid w:val="00C86DFB"/>
    <w:rsid w:val="00C87735"/>
    <w:rsid w:val="00C87B80"/>
    <w:rsid w:val="00C87C8A"/>
    <w:rsid w:val="00C87FC6"/>
    <w:rsid w:val="00C90A53"/>
    <w:rsid w:val="00C91449"/>
    <w:rsid w:val="00C914FC"/>
    <w:rsid w:val="00C9182B"/>
    <w:rsid w:val="00C91C48"/>
    <w:rsid w:val="00C91C56"/>
    <w:rsid w:val="00C9220B"/>
    <w:rsid w:val="00C92938"/>
    <w:rsid w:val="00C92A22"/>
    <w:rsid w:val="00C92D10"/>
    <w:rsid w:val="00C949E4"/>
    <w:rsid w:val="00C9508B"/>
    <w:rsid w:val="00C95C09"/>
    <w:rsid w:val="00C96CA0"/>
    <w:rsid w:val="00C97A09"/>
    <w:rsid w:val="00CA1AD2"/>
    <w:rsid w:val="00CA1F95"/>
    <w:rsid w:val="00CA21CC"/>
    <w:rsid w:val="00CA38A4"/>
    <w:rsid w:val="00CA40A0"/>
    <w:rsid w:val="00CA48D9"/>
    <w:rsid w:val="00CA4D33"/>
    <w:rsid w:val="00CA623F"/>
    <w:rsid w:val="00CA6D20"/>
    <w:rsid w:val="00CA701D"/>
    <w:rsid w:val="00CA7C4C"/>
    <w:rsid w:val="00CB001D"/>
    <w:rsid w:val="00CB09D3"/>
    <w:rsid w:val="00CB1193"/>
    <w:rsid w:val="00CB2670"/>
    <w:rsid w:val="00CB36B6"/>
    <w:rsid w:val="00CB3997"/>
    <w:rsid w:val="00CB3E5D"/>
    <w:rsid w:val="00CB4767"/>
    <w:rsid w:val="00CB493D"/>
    <w:rsid w:val="00CB4DF5"/>
    <w:rsid w:val="00CB557E"/>
    <w:rsid w:val="00CB6402"/>
    <w:rsid w:val="00CC02FF"/>
    <w:rsid w:val="00CC035B"/>
    <w:rsid w:val="00CC0738"/>
    <w:rsid w:val="00CC0E5C"/>
    <w:rsid w:val="00CC14C9"/>
    <w:rsid w:val="00CC1E2C"/>
    <w:rsid w:val="00CC2886"/>
    <w:rsid w:val="00CC2945"/>
    <w:rsid w:val="00CC2E4F"/>
    <w:rsid w:val="00CC3B97"/>
    <w:rsid w:val="00CC3CA3"/>
    <w:rsid w:val="00CC4DCD"/>
    <w:rsid w:val="00CC553D"/>
    <w:rsid w:val="00CC5B7B"/>
    <w:rsid w:val="00CC76EF"/>
    <w:rsid w:val="00CD0AC7"/>
    <w:rsid w:val="00CD1F96"/>
    <w:rsid w:val="00CD206D"/>
    <w:rsid w:val="00CD2DD9"/>
    <w:rsid w:val="00CD33B9"/>
    <w:rsid w:val="00CD4BB9"/>
    <w:rsid w:val="00CD4BD1"/>
    <w:rsid w:val="00CD7C0B"/>
    <w:rsid w:val="00CD7EF9"/>
    <w:rsid w:val="00CE07C6"/>
    <w:rsid w:val="00CE10C4"/>
    <w:rsid w:val="00CE23CE"/>
    <w:rsid w:val="00CE2594"/>
    <w:rsid w:val="00CE27B5"/>
    <w:rsid w:val="00CE2905"/>
    <w:rsid w:val="00CE2C5B"/>
    <w:rsid w:val="00CE6DAF"/>
    <w:rsid w:val="00CF066B"/>
    <w:rsid w:val="00CF0E67"/>
    <w:rsid w:val="00CF1189"/>
    <w:rsid w:val="00CF410A"/>
    <w:rsid w:val="00CF6DD4"/>
    <w:rsid w:val="00CF7C68"/>
    <w:rsid w:val="00D00F7E"/>
    <w:rsid w:val="00D016B2"/>
    <w:rsid w:val="00D0321E"/>
    <w:rsid w:val="00D0346F"/>
    <w:rsid w:val="00D0417B"/>
    <w:rsid w:val="00D0493C"/>
    <w:rsid w:val="00D0550F"/>
    <w:rsid w:val="00D0654F"/>
    <w:rsid w:val="00D067B8"/>
    <w:rsid w:val="00D068C1"/>
    <w:rsid w:val="00D069EB"/>
    <w:rsid w:val="00D07219"/>
    <w:rsid w:val="00D07A8A"/>
    <w:rsid w:val="00D1025B"/>
    <w:rsid w:val="00D105FE"/>
    <w:rsid w:val="00D11117"/>
    <w:rsid w:val="00D11199"/>
    <w:rsid w:val="00D126B5"/>
    <w:rsid w:val="00D12C90"/>
    <w:rsid w:val="00D14313"/>
    <w:rsid w:val="00D1455A"/>
    <w:rsid w:val="00D14960"/>
    <w:rsid w:val="00D14A70"/>
    <w:rsid w:val="00D156E1"/>
    <w:rsid w:val="00D16E75"/>
    <w:rsid w:val="00D22093"/>
    <w:rsid w:val="00D22386"/>
    <w:rsid w:val="00D241F5"/>
    <w:rsid w:val="00D24FA7"/>
    <w:rsid w:val="00D25B98"/>
    <w:rsid w:val="00D25C6D"/>
    <w:rsid w:val="00D27AF6"/>
    <w:rsid w:val="00D30935"/>
    <w:rsid w:val="00D30A82"/>
    <w:rsid w:val="00D30F52"/>
    <w:rsid w:val="00D31150"/>
    <w:rsid w:val="00D3138B"/>
    <w:rsid w:val="00D3186D"/>
    <w:rsid w:val="00D31907"/>
    <w:rsid w:val="00D31FCE"/>
    <w:rsid w:val="00D3280C"/>
    <w:rsid w:val="00D3297F"/>
    <w:rsid w:val="00D333B6"/>
    <w:rsid w:val="00D34011"/>
    <w:rsid w:val="00D3406A"/>
    <w:rsid w:val="00D344E7"/>
    <w:rsid w:val="00D347CD"/>
    <w:rsid w:val="00D349CD"/>
    <w:rsid w:val="00D34DE9"/>
    <w:rsid w:val="00D353D7"/>
    <w:rsid w:val="00D355C4"/>
    <w:rsid w:val="00D36F73"/>
    <w:rsid w:val="00D40B11"/>
    <w:rsid w:val="00D40EF8"/>
    <w:rsid w:val="00D42959"/>
    <w:rsid w:val="00D429EC"/>
    <w:rsid w:val="00D42F7E"/>
    <w:rsid w:val="00D432AE"/>
    <w:rsid w:val="00D4343B"/>
    <w:rsid w:val="00D43F05"/>
    <w:rsid w:val="00D441F1"/>
    <w:rsid w:val="00D45083"/>
    <w:rsid w:val="00D4572C"/>
    <w:rsid w:val="00D469B2"/>
    <w:rsid w:val="00D502DE"/>
    <w:rsid w:val="00D5045A"/>
    <w:rsid w:val="00D5280D"/>
    <w:rsid w:val="00D54B09"/>
    <w:rsid w:val="00D560B0"/>
    <w:rsid w:val="00D56687"/>
    <w:rsid w:val="00D57614"/>
    <w:rsid w:val="00D60D11"/>
    <w:rsid w:val="00D60E83"/>
    <w:rsid w:val="00D6179D"/>
    <w:rsid w:val="00D6243E"/>
    <w:rsid w:val="00D62ECD"/>
    <w:rsid w:val="00D63011"/>
    <w:rsid w:val="00D64682"/>
    <w:rsid w:val="00D64911"/>
    <w:rsid w:val="00D64FA9"/>
    <w:rsid w:val="00D65009"/>
    <w:rsid w:val="00D650D5"/>
    <w:rsid w:val="00D65658"/>
    <w:rsid w:val="00D656FC"/>
    <w:rsid w:val="00D67B70"/>
    <w:rsid w:val="00D67EB2"/>
    <w:rsid w:val="00D701DD"/>
    <w:rsid w:val="00D70E77"/>
    <w:rsid w:val="00D71181"/>
    <w:rsid w:val="00D71F5A"/>
    <w:rsid w:val="00D72B6F"/>
    <w:rsid w:val="00D7339B"/>
    <w:rsid w:val="00D741EB"/>
    <w:rsid w:val="00D74F7D"/>
    <w:rsid w:val="00D75593"/>
    <w:rsid w:val="00D7679C"/>
    <w:rsid w:val="00D80048"/>
    <w:rsid w:val="00D80A62"/>
    <w:rsid w:val="00D80C6D"/>
    <w:rsid w:val="00D80E5E"/>
    <w:rsid w:val="00D81AAB"/>
    <w:rsid w:val="00D81E95"/>
    <w:rsid w:val="00D820F3"/>
    <w:rsid w:val="00D82939"/>
    <w:rsid w:val="00D82D29"/>
    <w:rsid w:val="00D83605"/>
    <w:rsid w:val="00D84934"/>
    <w:rsid w:val="00D857F4"/>
    <w:rsid w:val="00D866EB"/>
    <w:rsid w:val="00D87D1A"/>
    <w:rsid w:val="00D90746"/>
    <w:rsid w:val="00D90A93"/>
    <w:rsid w:val="00D91271"/>
    <w:rsid w:val="00D919F5"/>
    <w:rsid w:val="00D92C91"/>
    <w:rsid w:val="00D92DD7"/>
    <w:rsid w:val="00D939D2"/>
    <w:rsid w:val="00D941EC"/>
    <w:rsid w:val="00D945F6"/>
    <w:rsid w:val="00D94E8C"/>
    <w:rsid w:val="00D94F03"/>
    <w:rsid w:val="00D94F2F"/>
    <w:rsid w:val="00D95161"/>
    <w:rsid w:val="00D95A0C"/>
    <w:rsid w:val="00D97C28"/>
    <w:rsid w:val="00D97D61"/>
    <w:rsid w:val="00DA033F"/>
    <w:rsid w:val="00DA0A82"/>
    <w:rsid w:val="00DA0D14"/>
    <w:rsid w:val="00DA0E92"/>
    <w:rsid w:val="00DA19F2"/>
    <w:rsid w:val="00DA1DB6"/>
    <w:rsid w:val="00DA1FC9"/>
    <w:rsid w:val="00DA2B89"/>
    <w:rsid w:val="00DA2C0C"/>
    <w:rsid w:val="00DA2CB5"/>
    <w:rsid w:val="00DA36F0"/>
    <w:rsid w:val="00DA46CF"/>
    <w:rsid w:val="00DA4BAC"/>
    <w:rsid w:val="00DA6B9E"/>
    <w:rsid w:val="00DA6BA9"/>
    <w:rsid w:val="00DA7AAA"/>
    <w:rsid w:val="00DB0151"/>
    <w:rsid w:val="00DB0766"/>
    <w:rsid w:val="00DB0902"/>
    <w:rsid w:val="00DB11E3"/>
    <w:rsid w:val="00DB16BA"/>
    <w:rsid w:val="00DB29BB"/>
    <w:rsid w:val="00DB4ECF"/>
    <w:rsid w:val="00DB50E1"/>
    <w:rsid w:val="00DB65D8"/>
    <w:rsid w:val="00DB7034"/>
    <w:rsid w:val="00DC0566"/>
    <w:rsid w:val="00DC110F"/>
    <w:rsid w:val="00DC1400"/>
    <w:rsid w:val="00DC1499"/>
    <w:rsid w:val="00DC1F31"/>
    <w:rsid w:val="00DC24BC"/>
    <w:rsid w:val="00DC2B1B"/>
    <w:rsid w:val="00DC2C35"/>
    <w:rsid w:val="00DC2C3E"/>
    <w:rsid w:val="00DC3137"/>
    <w:rsid w:val="00DC3306"/>
    <w:rsid w:val="00DC363F"/>
    <w:rsid w:val="00DC3673"/>
    <w:rsid w:val="00DC39D9"/>
    <w:rsid w:val="00DC4357"/>
    <w:rsid w:val="00DC4880"/>
    <w:rsid w:val="00DC48F1"/>
    <w:rsid w:val="00DC604A"/>
    <w:rsid w:val="00DC70B7"/>
    <w:rsid w:val="00DC7318"/>
    <w:rsid w:val="00DC7F41"/>
    <w:rsid w:val="00DD0325"/>
    <w:rsid w:val="00DD115C"/>
    <w:rsid w:val="00DD1895"/>
    <w:rsid w:val="00DD2CCC"/>
    <w:rsid w:val="00DD31F9"/>
    <w:rsid w:val="00DD339A"/>
    <w:rsid w:val="00DD38A9"/>
    <w:rsid w:val="00DD42AB"/>
    <w:rsid w:val="00DD46CA"/>
    <w:rsid w:val="00DD47F8"/>
    <w:rsid w:val="00DD5BB9"/>
    <w:rsid w:val="00DD5FB3"/>
    <w:rsid w:val="00DD6746"/>
    <w:rsid w:val="00DD6C17"/>
    <w:rsid w:val="00DD776C"/>
    <w:rsid w:val="00DD78D4"/>
    <w:rsid w:val="00DE06AF"/>
    <w:rsid w:val="00DE0A28"/>
    <w:rsid w:val="00DE23D9"/>
    <w:rsid w:val="00DE3010"/>
    <w:rsid w:val="00DE3B78"/>
    <w:rsid w:val="00DE3F1A"/>
    <w:rsid w:val="00DE4B37"/>
    <w:rsid w:val="00DE50B8"/>
    <w:rsid w:val="00DE6900"/>
    <w:rsid w:val="00DE6D27"/>
    <w:rsid w:val="00DE7E00"/>
    <w:rsid w:val="00DF01F8"/>
    <w:rsid w:val="00DF021D"/>
    <w:rsid w:val="00DF0455"/>
    <w:rsid w:val="00DF1472"/>
    <w:rsid w:val="00DF217D"/>
    <w:rsid w:val="00DF249E"/>
    <w:rsid w:val="00DF263C"/>
    <w:rsid w:val="00DF26A7"/>
    <w:rsid w:val="00DF30E3"/>
    <w:rsid w:val="00DF3277"/>
    <w:rsid w:val="00DF37E2"/>
    <w:rsid w:val="00DF4821"/>
    <w:rsid w:val="00DF5000"/>
    <w:rsid w:val="00DF529E"/>
    <w:rsid w:val="00DF77A1"/>
    <w:rsid w:val="00DF78F4"/>
    <w:rsid w:val="00DF7919"/>
    <w:rsid w:val="00E00A65"/>
    <w:rsid w:val="00E0207E"/>
    <w:rsid w:val="00E02AE6"/>
    <w:rsid w:val="00E03912"/>
    <w:rsid w:val="00E04748"/>
    <w:rsid w:val="00E04BF3"/>
    <w:rsid w:val="00E04BFF"/>
    <w:rsid w:val="00E059E8"/>
    <w:rsid w:val="00E06FD6"/>
    <w:rsid w:val="00E078D9"/>
    <w:rsid w:val="00E10293"/>
    <w:rsid w:val="00E103A0"/>
    <w:rsid w:val="00E10841"/>
    <w:rsid w:val="00E10985"/>
    <w:rsid w:val="00E11CB0"/>
    <w:rsid w:val="00E11D2E"/>
    <w:rsid w:val="00E13DF6"/>
    <w:rsid w:val="00E13E60"/>
    <w:rsid w:val="00E145E4"/>
    <w:rsid w:val="00E14AF1"/>
    <w:rsid w:val="00E15627"/>
    <w:rsid w:val="00E1571B"/>
    <w:rsid w:val="00E15AF3"/>
    <w:rsid w:val="00E1622F"/>
    <w:rsid w:val="00E164B3"/>
    <w:rsid w:val="00E16910"/>
    <w:rsid w:val="00E16C00"/>
    <w:rsid w:val="00E1705A"/>
    <w:rsid w:val="00E172A6"/>
    <w:rsid w:val="00E21868"/>
    <w:rsid w:val="00E21E4B"/>
    <w:rsid w:val="00E21E50"/>
    <w:rsid w:val="00E222EA"/>
    <w:rsid w:val="00E22601"/>
    <w:rsid w:val="00E239E2"/>
    <w:rsid w:val="00E23CC2"/>
    <w:rsid w:val="00E244D7"/>
    <w:rsid w:val="00E24E09"/>
    <w:rsid w:val="00E256D3"/>
    <w:rsid w:val="00E258D0"/>
    <w:rsid w:val="00E27234"/>
    <w:rsid w:val="00E27796"/>
    <w:rsid w:val="00E30416"/>
    <w:rsid w:val="00E3261B"/>
    <w:rsid w:val="00E3416E"/>
    <w:rsid w:val="00E34355"/>
    <w:rsid w:val="00E34721"/>
    <w:rsid w:val="00E3495C"/>
    <w:rsid w:val="00E37D4E"/>
    <w:rsid w:val="00E40055"/>
    <w:rsid w:val="00E4084B"/>
    <w:rsid w:val="00E41F17"/>
    <w:rsid w:val="00E42257"/>
    <w:rsid w:val="00E42BDB"/>
    <w:rsid w:val="00E4326A"/>
    <w:rsid w:val="00E437B7"/>
    <w:rsid w:val="00E43C50"/>
    <w:rsid w:val="00E43FBC"/>
    <w:rsid w:val="00E44377"/>
    <w:rsid w:val="00E443CF"/>
    <w:rsid w:val="00E45F49"/>
    <w:rsid w:val="00E47CFA"/>
    <w:rsid w:val="00E51515"/>
    <w:rsid w:val="00E52102"/>
    <w:rsid w:val="00E54311"/>
    <w:rsid w:val="00E548E8"/>
    <w:rsid w:val="00E549E5"/>
    <w:rsid w:val="00E54D96"/>
    <w:rsid w:val="00E55708"/>
    <w:rsid w:val="00E5614A"/>
    <w:rsid w:val="00E571BB"/>
    <w:rsid w:val="00E5726D"/>
    <w:rsid w:val="00E57444"/>
    <w:rsid w:val="00E57BF6"/>
    <w:rsid w:val="00E57EEB"/>
    <w:rsid w:val="00E60B84"/>
    <w:rsid w:val="00E60BEC"/>
    <w:rsid w:val="00E62D94"/>
    <w:rsid w:val="00E643FF"/>
    <w:rsid w:val="00E64861"/>
    <w:rsid w:val="00E64E5B"/>
    <w:rsid w:val="00E64F37"/>
    <w:rsid w:val="00E65091"/>
    <w:rsid w:val="00E65E3D"/>
    <w:rsid w:val="00E65E54"/>
    <w:rsid w:val="00E661C7"/>
    <w:rsid w:val="00E66A09"/>
    <w:rsid w:val="00E67620"/>
    <w:rsid w:val="00E7034B"/>
    <w:rsid w:val="00E7082A"/>
    <w:rsid w:val="00E7196F"/>
    <w:rsid w:val="00E72BDF"/>
    <w:rsid w:val="00E72F6E"/>
    <w:rsid w:val="00E73369"/>
    <w:rsid w:val="00E73A38"/>
    <w:rsid w:val="00E73B31"/>
    <w:rsid w:val="00E74A63"/>
    <w:rsid w:val="00E74B1D"/>
    <w:rsid w:val="00E74E41"/>
    <w:rsid w:val="00E767D7"/>
    <w:rsid w:val="00E771EC"/>
    <w:rsid w:val="00E7783F"/>
    <w:rsid w:val="00E77C31"/>
    <w:rsid w:val="00E80155"/>
    <w:rsid w:val="00E8043B"/>
    <w:rsid w:val="00E812BD"/>
    <w:rsid w:val="00E8134B"/>
    <w:rsid w:val="00E8175D"/>
    <w:rsid w:val="00E818F5"/>
    <w:rsid w:val="00E81DB9"/>
    <w:rsid w:val="00E81E0D"/>
    <w:rsid w:val="00E81F28"/>
    <w:rsid w:val="00E82620"/>
    <w:rsid w:val="00E83615"/>
    <w:rsid w:val="00E8377A"/>
    <w:rsid w:val="00E84250"/>
    <w:rsid w:val="00E848C0"/>
    <w:rsid w:val="00E8585A"/>
    <w:rsid w:val="00E86D5E"/>
    <w:rsid w:val="00E87A8D"/>
    <w:rsid w:val="00E87EB2"/>
    <w:rsid w:val="00E9016C"/>
    <w:rsid w:val="00E90254"/>
    <w:rsid w:val="00E90709"/>
    <w:rsid w:val="00E91257"/>
    <w:rsid w:val="00E91B96"/>
    <w:rsid w:val="00E91F91"/>
    <w:rsid w:val="00E933AA"/>
    <w:rsid w:val="00E935DA"/>
    <w:rsid w:val="00E9365B"/>
    <w:rsid w:val="00E93D1E"/>
    <w:rsid w:val="00E941A1"/>
    <w:rsid w:val="00E944D0"/>
    <w:rsid w:val="00E95CE3"/>
    <w:rsid w:val="00E97E87"/>
    <w:rsid w:val="00EA0225"/>
    <w:rsid w:val="00EA04F8"/>
    <w:rsid w:val="00EA0647"/>
    <w:rsid w:val="00EA0856"/>
    <w:rsid w:val="00EA252F"/>
    <w:rsid w:val="00EA2825"/>
    <w:rsid w:val="00EA2C57"/>
    <w:rsid w:val="00EA4356"/>
    <w:rsid w:val="00EA4F67"/>
    <w:rsid w:val="00EA549D"/>
    <w:rsid w:val="00EA5D77"/>
    <w:rsid w:val="00EA5D9B"/>
    <w:rsid w:val="00EA6518"/>
    <w:rsid w:val="00EA69F8"/>
    <w:rsid w:val="00EA71A2"/>
    <w:rsid w:val="00EA7466"/>
    <w:rsid w:val="00EA767B"/>
    <w:rsid w:val="00EA7EDE"/>
    <w:rsid w:val="00EB0B63"/>
    <w:rsid w:val="00EB0DBF"/>
    <w:rsid w:val="00EB0FFF"/>
    <w:rsid w:val="00EB1539"/>
    <w:rsid w:val="00EB1936"/>
    <w:rsid w:val="00EB1DCB"/>
    <w:rsid w:val="00EB1EE9"/>
    <w:rsid w:val="00EB230F"/>
    <w:rsid w:val="00EB3545"/>
    <w:rsid w:val="00EB37BE"/>
    <w:rsid w:val="00EB395F"/>
    <w:rsid w:val="00EB45CE"/>
    <w:rsid w:val="00EB5088"/>
    <w:rsid w:val="00EB552B"/>
    <w:rsid w:val="00EB55F5"/>
    <w:rsid w:val="00EB65A1"/>
    <w:rsid w:val="00EB7104"/>
    <w:rsid w:val="00EB7141"/>
    <w:rsid w:val="00EB74E1"/>
    <w:rsid w:val="00EB79F1"/>
    <w:rsid w:val="00EB7BAC"/>
    <w:rsid w:val="00EB7C50"/>
    <w:rsid w:val="00EC0E5D"/>
    <w:rsid w:val="00EC1B5A"/>
    <w:rsid w:val="00EC2726"/>
    <w:rsid w:val="00EC3908"/>
    <w:rsid w:val="00EC3A76"/>
    <w:rsid w:val="00EC4DA6"/>
    <w:rsid w:val="00EC533F"/>
    <w:rsid w:val="00EC59B8"/>
    <w:rsid w:val="00EC6F42"/>
    <w:rsid w:val="00EC7F98"/>
    <w:rsid w:val="00ED044B"/>
    <w:rsid w:val="00ED0C86"/>
    <w:rsid w:val="00ED1644"/>
    <w:rsid w:val="00ED2593"/>
    <w:rsid w:val="00ED30C8"/>
    <w:rsid w:val="00ED3496"/>
    <w:rsid w:val="00ED4536"/>
    <w:rsid w:val="00ED4FA4"/>
    <w:rsid w:val="00ED551C"/>
    <w:rsid w:val="00ED7D55"/>
    <w:rsid w:val="00ED7D9C"/>
    <w:rsid w:val="00EE0A70"/>
    <w:rsid w:val="00EE1848"/>
    <w:rsid w:val="00EE31A2"/>
    <w:rsid w:val="00EE38F3"/>
    <w:rsid w:val="00EE60FF"/>
    <w:rsid w:val="00EE6832"/>
    <w:rsid w:val="00EE72A1"/>
    <w:rsid w:val="00EE753B"/>
    <w:rsid w:val="00EF0069"/>
    <w:rsid w:val="00EF0452"/>
    <w:rsid w:val="00EF0CC5"/>
    <w:rsid w:val="00EF352F"/>
    <w:rsid w:val="00EF3FEF"/>
    <w:rsid w:val="00EF44A0"/>
    <w:rsid w:val="00EF4580"/>
    <w:rsid w:val="00EF471F"/>
    <w:rsid w:val="00EF478C"/>
    <w:rsid w:val="00EF494E"/>
    <w:rsid w:val="00EF4FED"/>
    <w:rsid w:val="00EF5F45"/>
    <w:rsid w:val="00EF6843"/>
    <w:rsid w:val="00EF6915"/>
    <w:rsid w:val="00EF6FB3"/>
    <w:rsid w:val="00EF77E9"/>
    <w:rsid w:val="00F00127"/>
    <w:rsid w:val="00F00219"/>
    <w:rsid w:val="00F007C6"/>
    <w:rsid w:val="00F0172E"/>
    <w:rsid w:val="00F0191D"/>
    <w:rsid w:val="00F02784"/>
    <w:rsid w:val="00F02ED9"/>
    <w:rsid w:val="00F039DD"/>
    <w:rsid w:val="00F041B5"/>
    <w:rsid w:val="00F04483"/>
    <w:rsid w:val="00F050BD"/>
    <w:rsid w:val="00F05372"/>
    <w:rsid w:val="00F05657"/>
    <w:rsid w:val="00F05AB0"/>
    <w:rsid w:val="00F06942"/>
    <w:rsid w:val="00F06D36"/>
    <w:rsid w:val="00F100E6"/>
    <w:rsid w:val="00F11FAB"/>
    <w:rsid w:val="00F12ABF"/>
    <w:rsid w:val="00F1559A"/>
    <w:rsid w:val="00F15F0E"/>
    <w:rsid w:val="00F16DE5"/>
    <w:rsid w:val="00F16E97"/>
    <w:rsid w:val="00F17ED6"/>
    <w:rsid w:val="00F203B5"/>
    <w:rsid w:val="00F20676"/>
    <w:rsid w:val="00F209E2"/>
    <w:rsid w:val="00F22516"/>
    <w:rsid w:val="00F24B17"/>
    <w:rsid w:val="00F25578"/>
    <w:rsid w:val="00F255FD"/>
    <w:rsid w:val="00F258E5"/>
    <w:rsid w:val="00F25B9C"/>
    <w:rsid w:val="00F25E0A"/>
    <w:rsid w:val="00F2675A"/>
    <w:rsid w:val="00F26CC6"/>
    <w:rsid w:val="00F2764E"/>
    <w:rsid w:val="00F2771D"/>
    <w:rsid w:val="00F300BC"/>
    <w:rsid w:val="00F30832"/>
    <w:rsid w:val="00F30C9A"/>
    <w:rsid w:val="00F31460"/>
    <w:rsid w:val="00F32149"/>
    <w:rsid w:val="00F3263C"/>
    <w:rsid w:val="00F3334E"/>
    <w:rsid w:val="00F33FE2"/>
    <w:rsid w:val="00F36268"/>
    <w:rsid w:val="00F36CCB"/>
    <w:rsid w:val="00F3709E"/>
    <w:rsid w:val="00F374E5"/>
    <w:rsid w:val="00F37B93"/>
    <w:rsid w:val="00F37BAD"/>
    <w:rsid w:val="00F37ECA"/>
    <w:rsid w:val="00F40A1C"/>
    <w:rsid w:val="00F410A2"/>
    <w:rsid w:val="00F41991"/>
    <w:rsid w:val="00F41B8E"/>
    <w:rsid w:val="00F42159"/>
    <w:rsid w:val="00F4335E"/>
    <w:rsid w:val="00F43AF2"/>
    <w:rsid w:val="00F4454D"/>
    <w:rsid w:val="00F44692"/>
    <w:rsid w:val="00F44928"/>
    <w:rsid w:val="00F44DAA"/>
    <w:rsid w:val="00F45216"/>
    <w:rsid w:val="00F47334"/>
    <w:rsid w:val="00F5007E"/>
    <w:rsid w:val="00F501D9"/>
    <w:rsid w:val="00F505C0"/>
    <w:rsid w:val="00F50EC4"/>
    <w:rsid w:val="00F510F6"/>
    <w:rsid w:val="00F516A3"/>
    <w:rsid w:val="00F519D1"/>
    <w:rsid w:val="00F52232"/>
    <w:rsid w:val="00F52DC2"/>
    <w:rsid w:val="00F550CF"/>
    <w:rsid w:val="00F553D2"/>
    <w:rsid w:val="00F55AE5"/>
    <w:rsid w:val="00F57512"/>
    <w:rsid w:val="00F57A6D"/>
    <w:rsid w:val="00F612C7"/>
    <w:rsid w:val="00F61B82"/>
    <w:rsid w:val="00F61C79"/>
    <w:rsid w:val="00F62799"/>
    <w:rsid w:val="00F62AFE"/>
    <w:rsid w:val="00F62F19"/>
    <w:rsid w:val="00F638CC"/>
    <w:rsid w:val="00F64C9E"/>
    <w:rsid w:val="00F64CC1"/>
    <w:rsid w:val="00F64D72"/>
    <w:rsid w:val="00F64F89"/>
    <w:rsid w:val="00F64FF0"/>
    <w:rsid w:val="00F6504D"/>
    <w:rsid w:val="00F6682D"/>
    <w:rsid w:val="00F7081B"/>
    <w:rsid w:val="00F71CE0"/>
    <w:rsid w:val="00F722B4"/>
    <w:rsid w:val="00F72317"/>
    <w:rsid w:val="00F72774"/>
    <w:rsid w:val="00F72806"/>
    <w:rsid w:val="00F72AF1"/>
    <w:rsid w:val="00F736C0"/>
    <w:rsid w:val="00F73DC1"/>
    <w:rsid w:val="00F7499A"/>
    <w:rsid w:val="00F75048"/>
    <w:rsid w:val="00F7529B"/>
    <w:rsid w:val="00F75BB8"/>
    <w:rsid w:val="00F75C7E"/>
    <w:rsid w:val="00F75F69"/>
    <w:rsid w:val="00F76BF1"/>
    <w:rsid w:val="00F77D22"/>
    <w:rsid w:val="00F77F29"/>
    <w:rsid w:val="00F80475"/>
    <w:rsid w:val="00F8071C"/>
    <w:rsid w:val="00F80939"/>
    <w:rsid w:val="00F80C2D"/>
    <w:rsid w:val="00F81390"/>
    <w:rsid w:val="00F81F7A"/>
    <w:rsid w:val="00F8247A"/>
    <w:rsid w:val="00F82B2A"/>
    <w:rsid w:val="00F82D1B"/>
    <w:rsid w:val="00F82E5C"/>
    <w:rsid w:val="00F83953"/>
    <w:rsid w:val="00F83D5B"/>
    <w:rsid w:val="00F83F58"/>
    <w:rsid w:val="00F84AFC"/>
    <w:rsid w:val="00F85818"/>
    <w:rsid w:val="00F85B1A"/>
    <w:rsid w:val="00F86018"/>
    <w:rsid w:val="00F86D28"/>
    <w:rsid w:val="00F87CEA"/>
    <w:rsid w:val="00F90393"/>
    <w:rsid w:val="00F904CE"/>
    <w:rsid w:val="00F913E7"/>
    <w:rsid w:val="00F91720"/>
    <w:rsid w:val="00F92F97"/>
    <w:rsid w:val="00F93509"/>
    <w:rsid w:val="00F95661"/>
    <w:rsid w:val="00F958D9"/>
    <w:rsid w:val="00F9629A"/>
    <w:rsid w:val="00F962EA"/>
    <w:rsid w:val="00F972FB"/>
    <w:rsid w:val="00F9740A"/>
    <w:rsid w:val="00F97610"/>
    <w:rsid w:val="00F97A3F"/>
    <w:rsid w:val="00F97C59"/>
    <w:rsid w:val="00F97EFC"/>
    <w:rsid w:val="00FA007A"/>
    <w:rsid w:val="00FA0C7C"/>
    <w:rsid w:val="00FA1487"/>
    <w:rsid w:val="00FA1625"/>
    <w:rsid w:val="00FA1785"/>
    <w:rsid w:val="00FA1BDD"/>
    <w:rsid w:val="00FA2282"/>
    <w:rsid w:val="00FA28D6"/>
    <w:rsid w:val="00FA2BC7"/>
    <w:rsid w:val="00FA305C"/>
    <w:rsid w:val="00FA3791"/>
    <w:rsid w:val="00FA3C24"/>
    <w:rsid w:val="00FA462E"/>
    <w:rsid w:val="00FA4DD5"/>
    <w:rsid w:val="00FA5883"/>
    <w:rsid w:val="00FA5BDF"/>
    <w:rsid w:val="00FA6055"/>
    <w:rsid w:val="00FA6445"/>
    <w:rsid w:val="00FA6B82"/>
    <w:rsid w:val="00FB0646"/>
    <w:rsid w:val="00FB0676"/>
    <w:rsid w:val="00FB0AD7"/>
    <w:rsid w:val="00FB0B39"/>
    <w:rsid w:val="00FB1F59"/>
    <w:rsid w:val="00FB2176"/>
    <w:rsid w:val="00FB322F"/>
    <w:rsid w:val="00FB442F"/>
    <w:rsid w:val="00FB6DA8"/>
    <w:rsid w:val="00FB6F6C"/>
    <w:rsid w:val="00FC118C"/>
    <w:rsid w:val="00FC1929"/>
    <w:rsid w:val="00FC1F8F"/>
    <w:rsid w:val="00FC21D2"/>
    <w:rsid w:val="00FC2836"/>
    <w:rsid w:val="00FC3EDF"/>
    <w:rsid w:val="00FC5B46"/>
    <w:rsid w:val="00FC6611"/>
    <w:rsid w:val="00FC6BB1"/>
    <w:rsid w:val="00FD0281"/>
    <w:rsid w:val="00FD1D4F"/>
    <w:rsid w:val="00FD231C"/>
    <w:rsid w:val="00FD24BF"/>
    <w:rsid w:val="00FD3285"/>
    <w:rsid w:val="00FD3B6E"/>
    <w:rsid w:val="00FD46CA"/>
    <w:rsid w:val="00FD49B7"/>
    <w:rsid w:val="00FD4FA8"/>
    <w:rsid w:val="00FD57EB"/>
    <w:rsid w:val="00FD6D8E"/>
    <w:rsid w:val="00FD7089"/>
    <w:rsid w:val="00FD7AB7"/>
    <w:rsid w:val="00FE0663"/>
    <w:rsid w:val="00FE0E94"/>
    <w:rsid w:val="00FE1F0B"/>
    <w:rsid w:val="00FE2968"/>
    <w:rsid w:val="00FE369C"/>
    <w:rsid w:val="00FE3B31"/>
    <w:rsid w:val="00FE3CD9"/>
    <w:rsid w:val="00FE44B9"/>
    <w:rsid w:val="00FE4C1D"/>
    <w:rsid w:val="00FE526A"/>
    <w:rsid w:val="00FE563E"/>
    <w:rsid w:val="00FE6327"/>
    <w:rsid w:val="00FE6CF0"/>
    <w:rsid w:val="00FE709D"/>
    <w:rsid w:val="00FE79FC"/>
    <w:rsid w:val="00FF00BD"/>
    <w:rsid w:val="00FF098E"/>
    <w:rsid w:val="00FF0B13"/>
    <w:rsid w:val="00FF16AF"/>
    <w:rsid w:val="00FF17A6"/>
    <w:rsid w:val="00FF1ED4"/>
    <w:rsid w:val="00FF2374"/>
    <w:rsid w:val="00FF2801"/>
    <w:rsid w:val="00FF2C48"/>
    <w:rsid w:val="00FF3EA1"/>
    <w:rsid w:val="00FF5144"/>
    <w:rsid w:val="00FF5EFD"/>
    <w:rsid w:val="00FF691F"/>
    <w:rsid w:val="00FF73DA"/>
    <w:rsid w:val="012A7082"/>
    <w:rsid w:val="0143FC8B"/>
    <w:rsid w:val="019A69A2"/>
    <w:rsid w:val="01BAC867"/>
    <w:rsid w:val="0254441C"/>
    <w:rsid w:val="02E816C3"/>
    <w:rsid w:val="032394EB"/>
    <w:rsid w:val="033B2F40"/>
    <w:rsid w:val="04A12F4E"/>
    <w:rsid w:val="04DBE9EA"/>
    <w:rsid w:val="05182518"/>
    <w:rsid w:val="051D99F9"/>
    <w:rsid w:val="05B612E3"/>
    <w:rsid w:val="0605216C"/>
    <w:rsid w:val="063EE9F7"/>
    <w:rsid w:val="069F379E"/>
    <w:rsid w:val="08185FB9"/>
    <w:rsid w:val="082A09EB"/>
    <w:rsid w:val="0A0C7AE1"/>
    <w:rsid w:val="0A663D94"/>
    <w:rsid w:val="0B1BF5E7"/>
    <w:rsid w:val="0CF130DF"/>
    <w:rsid w:val="0CFE1DFD"/>
    <w:rsid w:val="0D4FC7CF"/>
    <w:rsid w:val="0DC4E36E"/>
    <w:rsid w:val="0E5E506F"/>
    <w:rsid w:val="0F5CF529"/>
    <w:rsid w:val="0FC31246"/>
    <w:rsid w:val="1023E0F9"/>
    <w:rsid w:val="1272477B"/>
    <w:rsid w:val="12903725"/>
    <w:rsid w:val="12B95C68"/>
    <w:rsid w:val="14DBB340"/>
    <w:rsid w:val="15107A79"/>
    <w:rsid w:val="1559BAC6"/>
    <w:rsid w:val="162998A6"/>
    <w:rsid w:val="17FD5F39"/>
    <w:rsid w:val="18657CF4"/>
    <w:rsid w:val="19B44400"/>
    <w:rsid w:val="19F2311B"/>
    <w:rsid w:val="1A0D3C6A"/>
    <w:rsid w:val="1A2D1BE7"/>
    <w:rsid w:val="1A8A0C43"/>
    <w:rsid w:val="1B0BFFE7"/>
    <w:rsid w:val="1B4DABE9"/>
    <w:rsid w:val="1D4E7C25"/>
    <w:rsid w:val="1D6033D6"/>
    <w:rsid w:val="1DDBDA0D"/>
    <w:rsid w:val="1E382E8C"/>
    <w:rsid w:val="1E938E64"/>
    <w:rsid w:val="1F3EECBD"/>
    <w:rsid w:val="1F4691D2"/>
    <w:rsid w:val="1FB6E350"/>
    <w:rsid w:val="1FF3162D"/>
    <w:rsid w:val="2009EB8A"/>
    <w:rsid w:val="210F5AF1"/>
    <w:rsid w:val="212CBC64"/>
    <w:rsid w:val="231C3354"/>
    <w:rsid w:val="238CC620"/>
    <w:rsid w:val="244B8CF8"/>
    <w:rsid w:val="24C0A041"/>
    <w:rsid w:val="24CA5046"/>
    <w:rsid w:val="24F49182"/>
    <w:rsid w:val="26615FE7"/>
    <w:rsid w:val="2678B15D"/>
    <w:rsid w:val="27394882"/>
    <w:rsid w:val="29365BD7"/>
    <w:rsid w:val="29882150"/>
    <w:rsid w:val="29E0E709"/>
    <w:rsid w:val="2AA490C3"/>
    <w:rsid w:val="2BA86401"/>
    <w:rsid w:val="2C4C1D68"/>
    <w:rsid w:val="2C7C3DFB"/>
    <w:rsid w:val="2D470254"/>
    <w:rsid w:val="2E4579D6"/>
    <w:rsid w:val="2EF0545B"/>
    <w:rsid w:val="2FC97F8A"/>
    <w:rsid w:val="300EDF22"/>
    <w:rsid w:val="3079EB0D"/>
    <w:rsid w:val="307D714D"/>
    <w:rsid w:val="3093AC95"/>
    <w:rsid w:val="31C1265F"/>
    <w:rsid w:val="321F658F"/>
    <w:rsid w:val="32FFC29C"/>
    <w:rsid w:val="3320F36F"/>
    <w:rsid w:val="340D0A3D"/>
    <w:rsid w:val="343A4F58"/>
    <w:rsid w:val="34E7EA92"/>
    <w:rsid w:val="363425FC"/>
    <w:rsid w:val="373C6128"/>
    <w:rsid w:val="37C1F8E8"/>
    <w:rsid w:val="3805C0E7"/>
    <w:rsid w:val="38168071"/>
    <w:rsid w:val="393376D2"/>
    <w:rsid w:val="395463D1"/>
    <w:rsid w:val="398863F1"/>
    <w:rsid w:val="3A20C143"/>
    <w:rsid w:val="3BA095AD"/>
    <w:rsid w:val="40771079"/>
    <w:rsid w:val="40930EF5"/>
    <w:rsid w:val="4110CDB4"/>
    <w:rsid w:val="42691D0F"/>
    <w:rsid w:val="4372D6C2"/>
    <w:rsid w:val="443448FB"/>
    <w:rsid w:val="44505BFC"/>
    <w:rsid w:val="450F5A46"/>
    <w:rsid w:val="456C4AA2"/>
    <w:rsid w:val="4641A0D0"/>
    <w:rsid w:val="46D4D420"/>
    <w:rsid w:val="4873567A"/>
    <w:rsid w:val="48F582C0"/>
    <w:rsid w:val="49B7B512"/>
    <w:rsid w:val="4AE86C22"/>
    <w:rsid w:val="4D21EA56"/>
    <w:rsid w:val="4DA14906"/>
    <w:rsid w:val="4DD74500"/>
    <w:rsid w:val="4EE3854C"/>
    <w:rsid w:val="4F28A562"/>
    <w:rsid w:val="5057B658"/>
    <w:rsid w:val="517C50E5"/>
    <w:rsid w:val="51A107A9"/>
    <w:rsid w:val="53229BC9"/>
    <w:rsid w:val="535B51E0"/>
    <w:rsid w:val="53B39A2E"/>
    <w:rsid w:val="54C17BA2"/>
    <w:rsid w:val="553311EF"/>
    <w:rsid w:val="55ACD1A0"/>
    <w:rsid w:val="56AFA43F"/>
    <w:rsid w:val="58963761"/>
    <w:rsid w:val="593F501C"/>
    <w:rsid w:val="5A05D725"/>
    <w:rsid w:val="5B9D8C93"/>
    <w:rsid w:val="5CB076C8"/>
    <w:rsid w:val="5D5832E9"/>
    <w:rsid w:val="5D80A09E"/>
    <w:rsid w:val="5DF2A876"/>
    <w:rsid w:val="5EBDDC85"/>
    <w:rsid w:val="5F8C18FC"/>
    <w:rsid w:val="600E03FD"/>
    <w:rsid w:val="62AD93BA"/>
    <w:rsid w:val="63555756"/>
    <w:rsid w:val="643CD186"/>
    <w:rsid w:val="644E444D"/>
    <w:rsid w:val="65573E26"/>
    <w:rsid w:val="65AD35BA"/>
    <w:rsid w:val="65C2D45A"/>
    <w:rsid w:val="6657D135"/>
    <w:rsid w:val="66D9E62A"/>
    <w:rsid w:val="6728F4B3"/>
    <w:rsid w:val="673BE400"/>
    <w:rsid w:val="67B6BAF7"/>
    <w:rsid w:val="68286B1D"/>
    <w:rsid w:val="68E0347C"/>
    <w:rsid w:val="699B3EBB"/>
    <w:rsid w:val="6A2AAF49"/>
    <w:rsid w:val="6B975501"/>
    <w:rsid w:val="6BAD574D"/>
    <w:rsid w:val="6CA77350"/>
    <w:rsid w:val="709A626A"/>
    <w:rsid w:val="716D6D8F"/>
    <w:rsid w:val="731BA24E"/>
    <w:rsid w:val="73E7CF48"/>
    <w:rsid w:val="764DA178"/>
    <w:rsid w:val="769CABC8"/>
    <w:rsid w:val="77B642A1"/>
    <w:rsid w:val="78063D85"/>
    <w:rsid w:val="78168F3E"/>
    <w:rsid w:val="78E271BD"/>
    <w:rsid w:val="78E93C4E"/>
    <w:rsid w:val="79E941EA"/>
    <w:rsid w:val="7A3DE86F"/>
    <w:rsid w:val="7AD6838E"/>
    <w:rsid w:val="7B180F93"/>
    <w:rsid w:val="7B1B6DA9"/>
    <w:rsid w:val="7B349606"/>
    <w:rsid w:val="7C0BE9F6"/>
    <w:rsid w:val="7C63B7C1"/>
    <w:rsid w:val="7C73E7A8"/>
    <w:rsid w:val="7C7878ED"/>
    <w:rsid w:val="7C8C43F7"/>
    <w:rsid w:val="7CDEBC17"/>
    <w:rsid w:val="7D61AEBC"/>
    <w:rsid w:val="7D98DA3E"/>
    <w:rsid w:val="7DAC400C"/>
    <w:rsid w:val="7E3EF267"/>
    <w:rsid w:val="7E77EEEF"/>
    <w:rsid w:val="7E784689"/>
    <w:rsid w:val="7E9A54A9"/>
    <w:rsid w:val="7F47C472"/>
    <w:rsid w:val="7FA82C29"/>
    <w:rsid w:val="7FC1548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24BD7F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uiPriority="9"/>
    <w:lsdException w:name="heading 2" w:uiPriority="9"/>
    <w:lsdException w:name="heading 3" w:semiHidden="1" w:uiPriority="9" w:unhideWhenUsed="1"/>
    <w:lsdException w:name="heading 4" w:semiHidden="1" w:uiPriority="9" w:unhideWhenUsed="1"/>
    <w:lsdException w:name="heading 5" w:uiPriority="9"/>
    <w:lsdException w:name="heading 6" w:uiPriority="9"/>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qFormat="1"/>
    <w:lsdException w:name="annotation text" w:semiHidden="1" w:unhideWhenUsed="1"/>
    <w:lsdException w:name="header" w:semiHidden="1" w:unhideWhenUsed="1" w:qFormat="1"/>
    <w:lsdException w:name="footer" w:semiHidden="1" w:uiPriority="99"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unhideWhenUsed="1"/>
    <w:lsdException w:name="No Spacing" w:uiPriority="1"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34" w:qFormat="1"/>
    <w:lsdException w:name="Quote" w:uiPriority="73"/>
    <w:lsdException w:name="Intense Quote" w:uiPriority="3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lsdException w:name="Intense Emphasis" w:uiPriority="66"/>
    <w:lsdException w:name="Subtle Reference" w:uiPriority="67"/>
    <w:lsdException w:name="Intense Reference" w:uiPriority="68"/>
    <w:lsdException w:name="Book Title" w:uiPriority="69"/>
    <w:lsdException w:name="Bibliography" w:semiHidden="1" w:uiPriority="70" w:unhideWhenUsed="1"/>
    <w:lsdException w:name="TOC Heading" w:semiHidden="1" w:uiPriority="7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95F61"/>
    <w:pPr>
      <w:jc w:val="both"/>
    </w:pPr>
    <w:rPr>
      <w:rFonts w:ascii="Calibri" w:hAnsi="Calibri"/>
      <w:sz w:val="24"/>
      <w:szCs w:val="24"/>
    </w:rPr>
  </w:style>
  <w:style w:type="paragraph" w:styleId="Heading1">
    <w:name w:val="heading 1"/>
    <w:next w:val="Normal"/>
    <w:link w:val="Heading1Char"/>
    <w:uiPriority w:val="9"/>
    <w:unhideWhenUsed/>
    <w:rsid w:val="00240165"/>
    <w:pPr>
      <w:keepNext/>
      <w:keepLines/>
      <w:spacing w:before="400" w:after="40"/>
      <w:outlineLvl w:val="0"/>
    </w:pPr>
    <w:rPr>
      <w:rFonts w:asciiTheme="majorHAnsi" w:eastAsiaTheme="majorEastAsia" w:hAnsiTheme="majorHAnsi" w:cstheme="majorBidi"/>
      <w:color w:val="244061" w:themeColor="accent1" w:themeShade="80"/>
      <w:sz w:val="36"/>
      <w:szCs w:val="36"/>
      <w:lang w:eastAsia="en-US"/>
    </w:rPr>
  </w:style>
  <w:style w:type="paragraph" w:styleId="Heading2">
    <w:name w:val="heading 2"/>
    <w:basedOn w:val="Normal"/>
    <w:next w:val="Normal"/>
    <w:link w:val="Heading2Char"/>
    <w:uiPriority w:val="9"/>
    <w:unhideWhenUsed/>
    <w:rsid w:val="00240165"/>
    <w:pPr>
      <w:keepNext/>
      <w:keepLines/>
      <w:spacing w:before="40"/>
      <w:jc w:val="left"/>
      <w:outlineLvl w:val="1"/>
    </w:pPr>
    <w:rPr>
      <w:rFonts w:asciiTheme="majorHAnsi" w:eastAsiaTheme="majorEastAsia" w:hAnsiTheme="majorHAnsi" w:cstheme="majorBidi"/>
      <w:color w:val="365F91" w:themeColor="accent1" w:themeShade="BF"/>
      <w:sz w:val="32"/>
      <w:szCs w:val="32"/>
      <w:lang w:eastAsia="en-US"/>
    </w:rPr>
  </w:style>
  <w:style w:type="paragraph" w:styleId="Heading3">
    <w:name w:val="heading 3"/>
    <w:basedOn w:val="Normal"/>
    <w:next w:val="Normal"/>
    <w:link w:val="Heading3Char"/>
    <w:uiPriority w:val="9"/>
    <w:unhideWhenUsed/>
    <w:rsid w:val="00240165"/>
    <w:pPr>
      <w:keepNext/>
      <w:keepLines/>
      <w:spacing w:before="40"/>
      <w:jc w:val="left"/>
      <w:outlineLvl w:val="2"/>
    </w:pPr>
    <w:rPr>
      <w:rFonts w:asciiTheme="majorHAnsi" w:eastAsiaTheme="majorEastAsia" w:hAnsiTheme="majorHAnsi" w:cstheme="majorBidi"/>
      <w:color w:val="365F91" w:themeColor="accent1" w:themeShade="BF"/>
      <w:sz w:val="28"/>
      <w:szCs w:val="28"/>
      <w:lang w:eastAsia="en-US"/>
    </w:rPr>
  </w:style>
  <w:style w:type="paragraph" w:styleId="Heading5">
    <w:name w:val="heading 5"/>
    <w:basedOn w:val="Normal"/>
    <w:next w:val="Normal"/>
    <w:link w:val="Heading5Char"/>
    <w:uiPriority w:val="9"/>
    <w:unhideWhenUsed/>
    <w:rsid w:val="00240165"/>
    <w:pPr>
      <w:keepNext/>
      <w:keepLines/>
      <w:spacing w:before="40" w:line="259" w:lineRule="auto"/>
      <w:jc w:val="left"/>
      <w:outlineLvl w:val="4"/>
    </w:pPr>
    <w:rPr>
      <w:rFonts w:asciiTheme="majorHAnsi" w:eastAsiaTheme="majorEastAsia" w:hAnsiTheme="majorHAnsi" w:cstheme="majorBidi"/>
      <w:caps/>
      <w:color w:val="365F91" w:themeColor="accent1" w:themeShade="BF"/>
      <w:sz w:val="22"/>
      <w:szCs w:val="22"/>
      <w:lang w:eastAsia="en-US"/>
    </w:rPr>
  </w:style>
  <w:style w:type="paragraph" w:styleId="Heading6">
    <w:name w:val="heading 6"/>
    <w:basedOn w:val="Normal"/>
    <w:next w:val="Normal"/>
    <w:link w:val="Heading6Char"/>
    <w:uiPriority w:val="9"/>
    <w:unhideWhenUsed/>
    <w:rsid w:val="00240165"/>
    <w:pPr>
      <w:keepNext/>
      <w:keepLines/>
      <w:spacing w:before="40" w:line="259" w:lineRule="auto"/>
      <w:jc w:val="left"/>
      <w:outlineLvl w:val="5"/>
    </w:pPr>
    <w:rPr>
      <w:rFonts w:asciiTheme="majorHAnsi" w:eastAsiaTheme="majorEastAsia" w:hAnsiTheme="majorHAnsi" w:cstheme="majorBidi"/>
      <w:i/>
      <w:iCs/>
      <w:caps/>
      <w:color w:val="244061" w:themeColor="accent1" w:themeShade="80"/>
      <w:sz w:val="22"/>
      <w:szCs w:val="22"/>
      <w:lang w:eastAsia="en-US"/>
    </w:rPr>
  </w:style>
  <w:style w:type="paragraph" w:styleId="Heading8">
    <w:name w:val="heading 8"/>
    <w:basedOn w:val="Normal"/>
    <w:next w:val="Normal"/>
    <w:link w:val="Heading8Char"/>
    <w:uiPriority w:val="9"/>
    <w:semiHidden/>
    <w:unhideWhenUsed/>
    <w:rsid w:val="00F62799"/>
    <w:pPr>
      <w:keepNext/>
      <w:keepLines/>
      <w:spacing w:before="40"/>
      <w:outlineLvl w:val="7"/>
    </w:pPr>
    <w:rPr>
      <w:rFonts w:asciiTheme="majorHAnsi" w:eastAsiaTheme="majorEastAsia" w:hAnsiTheme="majorHAnsi" w:cstheme="majorBidi"/>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ody Text Bullet Points,BulletPoints,Numbered para,List Paragraph1,Bullet point,List Paragraph11,Recommendation,Section heading,Footnote,ES Paragraph,PBAC ES Paragraph,PBAC normal points,Bullet List,Figure_name,Numbered Indented Text,lp1"/>
    <w:next w:val="Normal"/>
    <w:link w:val="ListParagraphChar"/>
    <w:uiPriority w:val="34"/>
    <w:qFormat/>
    <w:rsid w:val="006C5B33"/>
    <w:pPr>
      <w:spacing w:after="120"/>
    </w:pPr>
    <w:rPr>
      <w:rFonts w:asciiTheme="minorHAnsi" w:hAnsiTheme="minorHAnsi" w:cs="Arial"/>
      <w:snapToGrid w:val="0"/>
      <w:sz w:val="24"/>
      <w:szCs w:val="24"/>
    </w:rPr>
  </w:style>
  <w:style w:type="character" w:customStyle="1" w:styleId="ListParagraphChar">
    <w:name w:val="List Paragraph Char"/>
    <w:aliases w:val="Body Text Bullet Points Char,BulletPoints Char,Numbered para Char,List Paragraph1 Char,Bullet point Char,List Paragraph11 Char,Recommendation Char,Section heading Char,Footnote Char,ES Paragraph Char,PBAC ES Paragraph Char,lp1 Char"/>
    <w:basedOn w:val="DefaultParagraphFont"/>
    <w:link w:val="ListParagraph"/>
    <w:uiPriority w:val="34"/>
    <w:qFormat/>
    <w:rsid w:val="00C87FC6"/>
    <w:rPr>
      <w:rFonts w:asciiTheme="minorHAnsi" w:hAnsiTheme="minorHAnsi" w:cs="Arial"/>
      <w:snapToGrid w:val="0"/>
      <w:sz w:val="24"/>
      <w:szCs w:val="24"/>
    </w:rPr>
  </w:style>
  <w:style w:type="character" w:customStyle="1" w:styleId="Heading1Char">
    <w:name w:val="Heading 1 Char"/>
    <w:basedOn w:val="DefaultParagraphFont"/>
    <w:link w:val="Heading1"/>
    <w:uiPriority w:val="9"/>
    <w:rsid w:val="00240165"/>
    <w:rPr>
      <w:rFonts w:asciiTheme="majorHAnsi" w:eastAsiaTheme="majorEastAsia" w:hAnsiTheme="majorHAnsi" w:cstheme="majorBidi"/>
      <w:color w:val="244061" w:themeColor="accent1" w:themeShade="80"/>
      <w:sz w:val="36"/>
      <w:szCs w:val="36"/>
      <w:lang w:eastAsia="en-US"/>
    </w:rPr>
  </w:style>
  <w:style w:type="character" w:customStyle="1" w:styleId="Heading2Char">
    <w:name w:val="Heading 2 Char"/>
    <w:basedOn w:val="DefaultParagraphFont"/>
    <w:link w:val="Heading2"/>
    <w:uiPriority w:val="9"/>
    <w:rsid w:val="00240165"/>
    <w:rPr>
      <w:rFonts w:asciiTheme="majorHAnsi" w:eastAsiaTheme="majorEastAsia" w:hAnsiTheme="majorHAnsi" w:cstheme="majorBidi"/>
      <w:color w:val="365F91" w:themeColor="accent1" w:themeShade="BF"/>
      <w:sz w:val="32"/>
      <w:szCs w:val="32"/>
      <w:lang w:eastAsia="en-US"/>
    </w:rPr>
  </w:style>
  <w:style w:type="character" w:customStyle="1" w:styleId="Heading3Char">
    <w:name w:val="Heading 3 Char"/>
    <w:basedOn w:val="DefaultParagraphFont"/>
    <w:link w:val="Heading3"/>
    <w:uiPriority w:val="9"/>
    <w:rsid w:val="00240165"/>
    <w:rPr>
      <w:rFonts w:asciiTheme="majorHAnsi" w:eastAsiaTheme="majorEastAsia" w:hAnsiTheme="majorHAnsi" w:cstheme="majorBidi"/>
      <w:color w:val="365F91" w:themeColor="accent1" w:themeShade="BF"/>
      <w:sz w:val="28"/>
      <w:szCs w:val="28"/>
      <w:lang w:eastAsia="en-US"/>
    </w:rPr>
  </w:style>
  <w:style w:type="paragraph" w:styleId="BalloonText">
    <w:name w:val="Balloon Text"/>
    <w:basedOn w:val="Normal"/>
    <w:semiHidden/>
    <w:rPr>
      <w:rFonts w:ascii="Tahoma" w:hAnsi="Tahoma" w:cs="Tahoma"/>
      <w:sz w:val="16"/>
      <w:szCs w:val="16"/>
    </w:rPr>
  </w:style>
  <w:style w:type="table" w:styleId="TableGrid">
    <w:name w:val="Table Grid"/>
    <w:aliases w:val="Table Gridbeth,Summary box,RTI AMCP Table,new style,ASD Table,HTAtableplain,CMA Table Template,MSD Table Grid,PBAC table,Legemiddelverket 3,Table Grid nm,Dossier table,Summary Table,HealthConsult,Conclusion box,PHE Table Grid,Lash Style Table"/>
    <w:basedOn w:val="TableNormal"/>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Text">
    <w:name w:val="Table Text"/>
    <w:link w:val="TableTextChar"/>
    <w:qFormat/>
    <w:rsid w:val="00D3297F"/>
    <w:pPr>
      <w:keepNext/>
    </w:pPr>
    <w:rPr>
      <w:rFonts w:ascii="Arial Narrow" w:eastAsiaTheme="majorEastAsia" w:hAnsi="Arial Narrow" w:cstheme="majorBidi"/>
      <w:bCs/>
      <w:szCs w:val="24"/>
    </w:rPr>
  </w:style>
  <w:style w:type="character" w:customStyle="1" w:styleId="TableTextChar">
    <w:name w:val="Table Text Char"/>
    <w:basedOn w:val="DefaultParagraphFont"/>
    <w:link w:val="TableText"/>
    <w:rsid w:val="00D3297F"/>
    <w:rPr>
      <w:rFonts w:ascii="Arial Narrow" w:eastAsiaTheme="majorEastAsia" w:hAnsi="Arial Narrow" w:cstheme="majorBidi"/>
      <w:bCs/>
      <w:szCs w:val="24"/>
    </w:rPr>
  </w:style>
  <w:style w:type="character" w:styleId="FollowedHyperlink">
    <w:name w:val="FollowedHyperlink"/>
    <w:basedOn w:val="DefaultParagraphFont"/>
    <w:semiHidden/>
    <w:unhideWhenUsed/>
    <w:rsid w:val="00FA4DD5"/>
    <w:rPr>
      <w:color w:val="800080" w:themeColor="followedHyperlink"/>
      <w:u w:val="single"/>
    </w:rPr>
  </w:style>
  <w:style w:type="paragraph" w:styleId="BodyText">
    <w:name w:val="Body Text"/>
    <w:basedOn w:val="Normal"/>
    <w:link w:val="BodyTextChar"/>
    <w:semiHidden/>
    <w:unhideWhenUsed/>
    <w:rsid w:val="00E03912"/>
    <w:pPr>
      <w:spacing w:after="120"/>
    </w:pPr>
  </w:style>
  <w:style w:type="character" w:customStyle="1" w:styleId="BodyTextChar">
    <w:name w:val="Body Text Char"/>
    <w:basedOn w:val="DefaultParagraphFont"/>
    <w:link w:val="BodyText"/>
    <w:semiHidden/>
    <w:rsid w:val="00E03912"/>
    <w:rPr>
      <w:sz w:val="24"/>
      <w:szCs w:val="24"/>
    </w:rPr>
  </w:style>
  <w:style w:type="paragraph" w:customStyle="1" w:styleId="In-tableHeading">
    <w:name w:val="In-table Heading"/>
    <w:qFormat/>
    <w:rsid w:val="006C5B33"/>
    <w:pPr>
      <w:keepNext/>
    </w:pPr>
    <w:rPr>
      <w:rFonts w:ascii="Arial Narrow" w:eastAsiaTheme="majorEastAsia" w:hAnsi="Arial Narrow"/>
      <w:b/>
      <w:szCs w:val="24"/>
      <w:lang w:val="en-US"/>
    </w:rPr>
  </w:style>
  <w:style w:type="paragraph" w:customStyle="1" w:styleId="2-SectionHeading">
    <w:name w:val="2-Section Heading"/>
    <w:qFormat/>
    <w:rsid w:val="006C5B33"/>
    <w:pPr>
      <w:keepNext/>
      <w:numPr>
        <w:numId w:val="2"/>
      </w:numPr>
      <w:spacing w:before="240" w:after="120"/>
      <w:outlineLvl w:val="0"/>
    </w:pPr>
    <w:rPr>
      <w:rFonts w:asciiTheme="minorHAnsi" w:hAnsiTheme="minorHAnsi" w:cs="Arial"/>
      <w:b/>
      <w:snapToGrid w:val="0"/>
      <w:sz w:val="32"/>
      <w:szCs w:val="32"/>
    </w:rPr>
  </w:style>
  <w:style w:type="paragraph" w:customStyle="1" w:styleId="1-MainHeading">
    <w:name w:val="1-Main Heading"/>
    <w:link w:val="1-MainHeadingChar"/>
    <w:qFormat/>
    <w:rsid w:val="006C5B33"/>
    <w:pPr>
      <w:keepNext/>
      <w:spacing w:before="120" w:after="160"/>
      <w:ind w:left="720" w:hanging="720"/>
      <w:outlineLvl w:val="0"/>
    </w:pPr>
    <w:rPr>
      <w:rFonts w:asciiTheme="minorHAnsi" w:eastAsiaTheme="majorEastAsia" w:hAnsiTheme="minorHAnsi" w:cstheme="majorBidi"/>
      <w:b/>
      <w:spacing w:val="5"/>
      <w:kern w:val="28"/>
      <w:sz w:val="36"/>
      <w:szCs w:val="36"/>
    </w:rPr>
  </w:style>
  <w:style w:type="character" w:customStyle="1" w:styleId="1-MainHeadingChar">
    <w:name w:val="1-Main Heading Char"/>
    <w:basedOn w:val="DefaultParagraphFont"/>
    <w:link w:val="1-MainHeading"/>
    <w:rsid w:val="006C5B33"/>
    <w:rPr>
      <w:rFonts w:asciiTheme="minorHAnsi" w:eastAsiaTheme="majorEastAsia" w:hAnsiTheme="minorHAnsi" w:cstheme="majorBidi"/>
      <w:b/>
      <w:spacing w:val="5"/>
      <w:kern w:val="28"/>
      <w:sz w:val="36"/>
      <w:szCs w:val="36"/>
    </w:rPr>
  </w:style>
  <w:style w:type="paragraph" w:customStyle="1" w:styleId="TableFigureHeading">
    <w:name w:val="Table/Figure Heading"/>
    <w:link w:val="TableFigureHeadingChar"/>
    <w:qFormat/>
    <w:rsid w:val="006C5B33"/>
    <w:pPr>
      <w:keepNext/>
    </w:pPr>
    <w:rPr>
      <w:rFonts w:ascii="Arial Narrow" w:eastAsiaTheme="majorEastAsia" w:hAnsi="Arial Narrow" w:cstheme="majorBidi"/>
      <w:b/>
      <w:bCs/>
      <w:szCs w:val="24"/>
    </w:rPr>
  </w:style>
  <w:style w:type="character" w:customStyle="1" w:styleId="TableFigureHeadingChar">
    <w:name w:val="Table/Figure Heading Char"/>
    <w:basedOn w:val="DefaultParagraphFont"/>
    <w:link w:val="TableFigureHeading"/>
    <w:rsid w:val="006C5B33"/>
    <w:rPr>
      <w:rFonts w:ascii="Arial Narrow" w:eastAsiaTheme="majorEastAsia" w:hAnsi="Arial Narrow" w:cstheme="majorBidi"/>
      <w:b/>
      <w:bCs/>
      <w:szCs w:val="24"/>
    </w:rPr>
  </w:style>
  <w:style w:type="paragraph" w:customStyle="1" w:styleId="3-BodyText">
    <w:name w:val="3-Body Text"/>
    <w:link w:val="3-BodyTextChar"/>
    <w:qFormat/>
    <w:rsid w:val="006C5B33"/>
    <w:pPr>
      <w:numPr>
        <w:ilvl w:val="1"/>
        <w:numId w:val="2"/>
      </w:numPr>
      <w:spacing w:after="120"/>
      <w:jc w:val="both"/>
    </w:pPr>
    <w:rPr>
      <w:rFonts w:asciiTheme="minorHAnsi" w:eastAsiaTheme="minorHAnsi" w:hAnsiTheme="minorHAnsi" w:cstheme="minorBidi"/>
      <w:sz w:val="24"/>
      <w:szCs w:val="22"/>
    </w:rPr>
  </w:style>
  <w:style w:type="character" w:customStyle="1" w:styleId="3-BodyTextChar">
    <w:name w:val="3-Body Text Char"/>
    <w:basedOn w:val="ListParagraphChar"/>
    <w:link w:val="3-BodyText"/>
    <w:rsid w:val="006C5B33"/>
    <w:rPr>
      <w:rFonts w:asciiTheme="minorHAnsi" w:eastAsiaTheme="minorHAnsi" w:hAnsiTheme="minorHAnsi" w:cstheme="minorBidi"/>
      <w:snapToGrid/>
      <w:sz w:val="24"/>
      <w:szCs w:val="22"/>
    </w:rPr>
  </w:style>
  <w:style w:type="paragraph" w:customStyle="1" w:styleId="TableFigureFooter">
    <w:name w:val="Table/Figure Footer"/>
    <w:basedOn w:val="Normal"/>
    <w:link w:val="TableFigureFooterChar"/>
    <w:qFormat/>
    <w:rsid w:val="00067B6B"/>
    <w:pPr>
      <w:spacing w:after="120"/>
      <w:contextualSpacing/>
    </w:pPr>
    <w:rPr>
      <w:rFonts w:ascii="Arial Narrow" w:hAnsi="Arial Narrow" w:cs="Arial"/>
      <w:snapToGrid w:val="0"/>
      <w:sz w:val="18"/>
      <w:szCs w:val="22"/>
    </w:rPr>
  </w:style>
  <w:style w:type="character" w:customStyle="1" w:styleId="TableFigureFooterChar">
    <w:name w:val="Table/Figure Footer Char"/>
    <w:link w:val="TableFigureFooter"/>
    <w:rsid w:val="00067B6B"/>
    <w:rPr>
      <w:rFonts w:ascii="Arial Narrow" w:hAnsi="Arial Narrow" w:cs="Arial"/>
      <w:snapToGrid w:val="0"/>
      <w:sz w:val="18"/>
      <w:szCs w:val="22"/>
    </w:rPr>
  </w:style>
  <w:style w:type="paragraph" w:customStyle="1" w:styleId="5-SubsectionSubheading">
    <w:name w:val="5-Subsection Subheading"/>
    <w:next w:val="3-BodyText"/>
    <w:link w:val="5-SubsectionSubheadingChar"/>
    <w:qFormat/>
    <w:rsid w:val="00F7499A"/>
    <w:pPr>
      <w:spacing w:before="40"/>
      <w:outlineLvl w:val="2"/>
    </w:pPr>
    <w:rPr>
      <w:rFonts w:asciiTheme="minorHAnsi" w:eastAsiaTheme="majorEastAsia" w:hAnsiTheme="minorHAnsi" w:cstheme="majorBidi"/>
      <w:b/>
      <w:color w:val="000000" w:themeColor="text1"/>
      <w:sz w:val="24"/>
      <w:szCs w:val="24"/>
    </w:rPr>
  </w:style>
  <w:style w:type="character" w:customStyle="1" w:styleId="5-SubsectionSubheadingChar">
    <w:name w:val="5-Subsection Subheading Char"/>
    <w:basedOn w:val="Heading3Char"/>
    <w:link w:val="5-SubsectionSubheading"/>
    <w:rsid w:val="00F7499A"/>
    <w:rPr>
      <w:rFonts w:asciiTheme="minorHAnsi" w:eastAsiaTheme="majorEastAsia" w:hAnsiTheme="minorHAnsi" w:cstheme="majorBidi"/>
      <w:bCs/>
      <w:color w:val="000000" w:themeColor="text1"/>
      <w:sz w:val="28"/>
      <w:szCs w:val="28"/>
      <w:lang w:eastAsia="en-US"/>
    </w:rPr>
  </w:style>
  <w:style w:type="paragraph" w:styleId="Revision">
    <w:name w:val="Revision"/>
    <w:hidden/>
    <w:uiPriority w:val="71"/>
    <w:semiHidden/>
    <w:rsid w:val="00DF021D"/>
    <w:rPr>
      <w:rFonts w:ascii="Calibri" w:hAnsi="Calibri"/>
      <w:sz w:val="24"/>
      <w:szCs w:val="24"/>
    </w:rPr>
  </w:style>
  <w:style w:type="paragraph" w:customStyle="1" w:styleId="4-SubsectionHeading">
    <w:name w:val="4-Subsection Heading"/>
    <w:next w:val="3-BodyText"/>
    <w:link w:val="4-SubsectionHeadingChar"/>
    <w:qFormat/>
    <w:rsid w:val="00F7499A"/>
    <w:pPr>
      <w:spacing w:before="120" w:after="120"/>
      <w:outlineLvl w:val="1"/>
    </w:pPr>
    <w:rPr>
      <w:rFonts w:asciiTheme="minorHAnsi" w:eastAsiaTheme="majorEastAsia" w:hAnsiTheme="minorHAnsi" w:cstheme="majorBidi"/>
      <w:b/>
      <w:i/>
      <w:spacing w:val="5"/>
      <w:kern w:val="28"/>
      <w:sz w:val="28"/>
      <w:szCs w:val="36"/>
      <w:lang w:eastAsia="en-US"/>
    </w:rPr>
  </w:style>
  <w:style w:type="character" w:customStyle="1" w:styleId="4-SubsectionHeadingChar">
    <w:name w:val="4-Subsection Heading Char"/>
    <w:basedOn w:val="Heading2Char"/>
    <w:link w:val="4-SubsectionHeading"/>
    <w:rsid w:val="00F7499A"/>
    <w:rPr>
      <w:rFonts w:asciiTheme="minorHAnsi" w:eastAsiaTheme="majorEastAsia" w:hAnsiTheme="minorHAnsi" w:cstheme="majorBidi"/>
      <w:color w:val="365F91" w:themeColor="accent1" w:themeShade="BF"/>
      <w:spacing w:val="5"/>
      <w:kern w:val="28"/>
      <w:sz w:val="28"/>
      <w:szCs w:val="36"/>
      <w:lang w:eastAsia="en-US"/>
    </w:rPr>
  </w:style>
  <w:style w:type="character" w:customStyle="1" w:styleId="Heading5Char">
    <w:name w:val="Heading 5 Char"/>
    <w:basedOn w:val="DefaultParagraphFont"/>
    <w:link w:val="Heading5"/>
    <w:uiPriority w:val="9"/>
    <w:rsid w:val="00240165"/>
    <w:rPr>
      <w:rFonts w:asciiTheme="majorHAnsi" w:eastAsiaTheme="majorEastAsia" w:hAnsiTheme="majorHAnsi" w:cstheme="majorBidi"/>
      <w:caps/>
      <w:color w:val="365F91" w:themeColor="accent1" w:themeShade="BF"/>
      <w:sz w:val="22"/>
      <w:szCs w:val="22"/>
      <w:lang w:eastAsia="en-US"/>
    </w:rPr>
  </w:style>
  <w:style w:type="character" w:customStyle="1" w:styleId="Heading6Char">
    <w:name w:val="Heading 6 Char"/>
    <w:basedOn w:val="DefaultParagraphFont"/>
    <w:link w:val="Heading6"/>
    <w:uiPriority w:val="9"/>
    <w:rsid w:val="00240165"/>
    <w:rPr>
      <w:rFonts w:asciiTheme="majorHAnsi" w:eastAsiaTheme="majorEastAsia" w:hAnsiTheme="majorHAnsi" w:cstheme="majorBidi"/>
      <w:i/>
      <w:iCs/>
      <w:caps/>
      <w:color w:val="244061" w:themeColor="accent1" w:themeShade="80"/>
      <w:sz w:val="22"/>
      <w:szCs w:val="22"/>
      <w:lang w:eastAsia="en-US"/>
    </w:rPr>
  </w:style>
  <w:style w:type="paragraph" w:styleId="Header">
    <w:name w:val="header"/>
    <w:basedOn w:val="Normal"/>
    <w:link w:val="HeaderChar"/>
    <w:unhideWhenUsed/>
    <w:qFormat/>
    <w:rsid w:val="00CF066B"/>
    <w:pPr>
      <w:jc w:val="right"/>
    </w:pPr>
  </w:style>
  <w:style w:type="character" w:customStyle="1" w:styleId="HeaderChar">
    <w:name w:val="Header Char"/>
    <w:basedOn w:val="DefaultParagraphFont"/>
    <w:link w:val="Header"/>
    <w:rsid w:val="00CF066B"/>
    <w:rPr>
      <w:rFonts w:ascii="Calibri" w:hAnsi="Calibri"/>
      <w:sz w:val="24"/>
      <w:szCs w:val="24"/>
    </w:rPr>
  </w:style>
  <w:style w:type="paragraph" w:styleId="Footer">
    <w:name w:val="footer"/>
    <w:basedOn w:val="Normal"/>
    <w:link w:val="FooterChar"/>
    <w:uiPriority w:val="99"/>
    <w:unhideWhenUsed/>
    <w:rsid w:val="00CF066B"/>
    <w:pPr>
      <w:tabs>
        <w:tab w:val="center" w:pos="4513"/>
        <w:tab w:val="right" w:pos="9026"/>
      </w:tabs>
      <w:jc w:val="center"/>
    </w:pPr>
  </w:style>
  <w:style w:type="character" w:customStyle="1" w:styleId="FooterChar">
    <w:name w:val="Footer Char"/>
    <w:basedOn w:val="DefaultParagraphFont"/>
    <w:link w:val="Footer"/>
    <w:uiPriority w:val="99"/>
    <w:rsid w:val="00CF066B"/>
    <w:rPr>
      <w:rFonts w:ascii="Calibri" w:hAnsi="Calibri"/>
      <w:sz w:val="24"/>
      <w:szCs w:val="24"/>
    </w:rPr>
  </w:style>
  <w:style w:type="character" w:styleId="CommentReference">
    <w:name w:val="annotation reference"/>
    <w:aliases w:val="Table Title"/>
    <w:basedOn w:val="DefaultParagraphFont"/>
    <w:uiPriority w:val="99"/>
    <w:unhideWhenUsed/>
    <w:qFormat/>
    <w:rsid w:val="008147AE"/>
    <w:rPr>
      <w:sz w:val="16"/>
      <w:szCs w:val="16"/>
    </w:rPr>
  </w:style>
  <w:style w:type="paragraph" w:styleId="CommentText">
    <w:name w:val="annotation text"/>
    <w:basedOn w:val="Normal"/>
    <w:link w:val="CommentTextChar"/>
    <w:unhideWhenUsed/>
    <w:rsid w:val="008147AE"/>
    <w:rPr>
      <w:sz w:val="20"/>
      <w:szCs w:val="20"/>
    </w:rPr>
  </w:style>
  <w:style w:type="character" w:customStyle="1" w:styleId="CommentTextChar">
    <w:name w:val="Comment Text Char"/>
    <w:basedOn w:val="DefaultParagraphFont"/>
    <w:link w:val="CommentText"/>
    <w:rsid w:val="008147AE"/>
    <w:rPr>
      <w:rFonts w:ascii="Calibri" w:hAnsi="Calibri"/>
    </w:rPr>
  </w:style>
  <w:style w:type="paragraph" w:styleId="CommentSubject">
    <w:name w:val="annotation subject"/>
    <w:basedOn w:val="CommentText"/>
    <w:next w:val="CommentText"/>
    <w:link w:val="CommentSubjectChar"/>
    <w:semiHidden/>
    <w:unhideWhenUsed/>
    <w:rsid w:val="008147AE"/>
    <w:rPr>
      <w:b/>
      <w:bCs/>
    </w:rPr>
  </w:style>
  <w:style w:type="character" w:customStyle="1" w:styleId="CommentSubjectChar">
    <w:name w:val="Comment Subject Char"/>
    <w:basedOn w:val="CommentTextChar"/>
    <w:link w:val="CommentSubject"/>
    <w:semiHidden/>
    <w:rsid w:val="008147AE"/>
    <w:rPr>
      <w:rFonts w:ascii="Calibri" w:hAnsi="Calibri"/>
      <w:b/>
      <w:bCs/>
    </w:rPr>
  </w:style>
  <w:style w:type="character" w:styleId="Hyperlink">
    <w:name w:val="Hyperlink"/>
    <w:basedOn w:val="DefaultParagraphFont"/>
    <w:uiPriority w:val="99"/>
    <w:unhideWhenUsed/>
    <w:rsid w:val="008147AE"/>
    <w:rPr>
      <w:color w:val="0000FF" w:themeColor="hyperlink"/>
      <w:u w:val="single"/>
    </w:rPr>
  </w:style>
  <w:style w:type="paragraph" w:styleId="NoSpacing">
    <w:name w:val="No Spacing"/>
    <w:basedOn w:val="Normal"/>
    <w:link w:val="NoSpacingChar"/>
    <w:uiPriority w:val="1"/>
    <w:qFormat/>
    <w:rsid w:val="00774465"/>
    <w:rPr>
      <w:rFonts w:ascii="Arial" w:hAnsi="Arial"/>
      <w:sz w:val="22"/>
      <w:szCs w:val="22"/>
    </w:rPr>
  </w:style>
  <w:style w:type="character" w:customStyle="1" w:styleId="NoSpacingChar">
    <w:name w:val="No Spacing Char"/>
    <w:basedOn w:val="DefaultParagraphFont"/>
    <w:link w:val="NoSpacing"/>
    <w:uiPriority w:val="1"/>
    <w:rsid w:val="00774465"/>
    <w:rPr>
      <w:rFonts w:ascii="Arial" w:hAnsi="Arial"/>
      <w:sz w:val="22"/>
      <w:szCs w:val="22"/>
    </w:rPr>
  </w:style>
  <w:style w:type="character" w:styleId="UnresolvedMention">
    <w:name w:val="Unresolved Mention"/>
    <w:basedOn w:val="DefaultParagraphFont"/>
    <w:uiPriority w:val="99"/>
    <w:semiHidden/>
    <w:unhideWhenUsed/>
    <w:rsid w:val="00E82620"/>
    <w:rPr>
      <w:color w:val="605E5C"/>
      <w:shd w:val="clear" w:color="auto" w:fill="E1DFDD"/>
    </w:rPr>
  </w:style>
  <w:style w:type="character" w:customStyle="1" w:styleId="Heading8Char">
    <w:name w:val="Heading 8 Char"/>
    <w:basedOn w:val="DefaultParagraphFont"/>
    <w:link w:val="Heading8"/>
    <w:uiPriority w:val="9"/>
    <w:rsid w:val="00F62799"/>
    <w:rPr>
      <w:rFonts w:asciiTheme="majorHAnsi" w:eastAsiaTheme="majorEastAsia" w:hAnsiTheme="majorHAnsi" w:cstheme="majorBidi"/>
      <w:color w:val="272727" w:themeColor="text1" w:themeTint="D8"/>
      <w:sz w:val="21"/>
      <w:szCs w:val="21"/>
    </w:rPr>
  </w:style>
  <w:style w:type="paragraph" w:customStyle="1" w:styleId="Tableheading">
    <w:name w:val="Table heading"/>
    <w:basedOn w:val="Normal"/>
    <w:link w:val="TableheadingChar"/>
    <w:qFormat/>
    <w:rsid w:val="00D82D29"/>
    <w:pPr>
      <w:jc w:val="left"/>
    </w:pPr>
    <w:rPr>
      <w:rFonts w:ascii="Aptos Narrow" w:eastAsiaTheme="minorHAnsi" w:hAnsi="Aptos Narrow" w:cstheme="minorBidi"/>
      <w:b/>
      <w:bCs/>
      <w:kern w:val="2"/>
      <w:sz w:val="20"/>
      <w:szCs w:val="20"/>
      <w:lang w:eastAsia="en-US"/>
      <w14:ligatures w14:val="standardContextual"/>
    </w:rPr>
  </w:style>
  <w:style w:type="character" w:customStyle="1" w:styleId="TableheadingChar">
    <w:name w:val="Table heading Char"/>
    <w:basedOn w:val="DefaultParagraphFont"/>
    <w:link w:val="Tableheading"/>
    <w:rsid w:val="00D82D29"/>
    <w:rPr>
      <w:rFonts w:ascii="Aptos Narrow" w:eastAsiaTheme="minorHAnsi" w:hAnsi="Aptos Narrow" w:cstheme="minorBidi"/>
      <w:b/>
      <w:bCs/>
      <w:kern w:val="2"/>
      <w:lang w:eastAsia="en-US"/>
      <w14:ligatures w14:val="standardContextual"/>
    </w:rPr>
  </w:style>
  <w:style w:type="paragraph" w:customStyle="1" w:styleId="COMH1-numbered">
    <w:name w:val="COM H1 - numbered"/>
    <w:next w:val="COMexecsummnumbered"/>
    <w:qFormat/>
    <w:rsid w:val="000707F1"/>
    <w:pPr>
      <w:keepNext/>
      <w:spacing w:before="240" w:after="120"/>
      <w:ind w:left="720" w:hanging="720"/>
      <w:outlineLvl w:val="0"/>
    </w:pPr>
    <w:rPr>
      <w:rFonts w:asciiTheme="minorHAnsi" w:hAnsiTheme="minorHAnsi" w:cs="Arial"/>
      <w:b/>
      <w:snapToGrid w:val="0"/>
      <w:sz w:val="32"/>
      <w:szCs w:val="32"/>
    </w:rPr>
  </w:style>
  <w:style w:type="paragraph" w:customStyle="1" w:styleId="COMexecsummnumbered">
    <w:name w:val="COM exec summ numbered"/>
    <w:link w:val="COMexecsummnumberedChar"/>
    <w:qFormat/>
    <w:rsid w:val="000707F1"/>
    <w:pPr>
      <w:spacing w:before="60" w:after="60"/>
      <w:ind w:left="720" w:hanging="720"/>
      <w:jc w:val="both"/>
    </w:pPr>
    <w:rPr>
      <w:rFonts w:asciiTheme="minorHAnsi" w:eastAsiaTheme="minorHAnsi" w:hAnsiTheme="minorHAnsi" w:cstheme="minorBidi"/>
      <w:sz w:val="24"/>
      <w:szCs w:val="22"/>
    </w:rPr>
  </w:style>
  <w:style w:type="character" w:customStyle="1" w:styleId="COMexecsummnumberedChar">
    <w:name w:val="COM exec summ numbered Char"/>
    <w:basedOn w:val="DefaultParagraphFont"/>
    <w:link w:val="COMexecsummnumbered"/>
    <w:rsid w:val="000707F1"/>
    <w:rPr>
      <w:rFonts w:asciiTheme="minorHAnsi" w:eastAsiaTheme="minorHAnsi" w:hAnsiTheme="minorHAnsi" w:cstheme="minorBidi"/>
      <w:sz w:val="24"/>
      <w:szCs w:val="22"/>
    </w:rPr>
  </w:style>
  <w:style w:type="paragraph" w:customStyle="1" w:styleId="COMTablefooter">
    <w:name w:val="COM Table footer"/>
    <w:basedOn w:val="Normal"/>
    <w:next w:val="Normal"/>
    <w:link w:val="COMTablefooterChar"/>
    <w:qFormat/>
    <w:rsid w:val="0073447E"/>
    <w:pPr>
      <w:spacing w:after="120"/>
      <w:contextualSpacing/>
    </w:pPr>
    <w:rPr>
      <w:rFonts w:ascii="Arial Narrow" w:hAnsi="Arial Narrow" w:cs="Arial"/>
      <w:snapToGrid w:val="0"/>
      <w:sz w:val="18"/>
      <w:szCs w:val="22"/>
    </w:rPr>
  </w:style>
  <w:style w:type="character" w:customStyle="1" w:styleId="COMTablefooterChar">
    <w:name w:val="COM Table footer Char"/>
    <w:link w:val="COMTablefooter"/>
    <w:rsid w:val="0073447E"/>
    <w:rPr>
      <w:rFonts w:ascii="Arial Narrow" w:hAnsi="Arial Narrow" w:cs="Arial"/>
      <w:snapToGrid w:val="0"/>
      <w:sz w:val="18"/>
      <w:szCs w:val="22"/>
    </w:rPr>
  </w:style>
  <w:style w:type="paragraph" w:customStyle="1" w:styleId="COMTableheadingrow">
    <w:name w:val="COM Table heading row"/>
    <w:qFormat/>
    <w:rsid w:val="0073447E"/>
    <w:pPr>
      <w:keepNext/>
    </w:pPr>
    <w:rPr>
      <w:rFonts w:ascii="Arial Narrow" w:eastAsiaTheme="majorEastAsia" w:hAnsi="Arial Narrow"/>
      <w:b/>
      <w:szCs w:val="24"/>
      <w:lang w:val="en-US"/>
    </w:rPr>
  </w:style>
  <w:style w:type="paragraph" w:customStyle="1" w:styleId="COMTabletext">
    <w:name w:val="COM Table text"/>
    <w:link w:val="COMTabletextChar"/>
    <w:qFormat/>
    <w:rsid w:val="0073447E"/>
    <w:pPr>
      <w:keepNext/>
    </w:pPr>
    <w:rPr>
      <w:rFonts w:ascii="Arial Narrow" w:eastAsiaTheme="majorEastAsia" w:hAnsi="Arial Narrow" w:cstheme="majorBidi"/>
      <w:bCs/>
      <w:szCs w:val="24"/>
    </w:rPr>
  </w:style>
  <w:style w:type="character" w:customStyle="1" w:styleId="COMTabletextChar">
    <w:name w:val="COM Table text Char"/>
    <w:basedOn w:val="DefaultParagraphFont"/>
    <w:link w:val="COMTabletext"/>
    <w:rsid w:val="0073447E"/>
    <w:rPr>
      <w:rFonts w:ascii="Arial Narrow" w:eastAsiaTheme="majorEastAsia" w:hAnsi="Arial Narrow" w:cstheme="majorBidi"/>
      <w:bCs/>
      <w:szCs w:val="24"/>
    </w:rPr>
  </w:style>
  <w:style w:type="paragraph" w:customStyle="1" w:styleId="COMtablefigcaption">
    <w:name w:val="COM table/fig caption"/>
    <w:next w:val="COMTableheadingrow"/>
    <w:link w:val="COMtablefigcaptionChar"/>
    <w:qFormat/>
    <w:rsid w:val="0073447E"/>
    <w:pPr>
      <w:keepNext/>
    </w:pPr>
    <w:rPr>
      <w:rFonts w:ascii="Arial Narrow" w:eastAsiaTheme="majorEastAsia" w:hAnsi="Arial Narrow" w:cstheme="majorBidi"/>
      <w:b/>
      <w:bCs/>
      <w:szCs w:val="24"/>
    </w:rPr>
  </w:style>
  <w:style w:type="character" w:customStyle="1" w:styleId="COMtablefigcaptionChar">
    <w:name w:val="COM table/fig caption Char"/>
    <w:basedOn w:val="DefaultParagraphFont"/>
    <w:link w:val="COMtablefigcaption"/>
    <w:rsid w:val="0073447E"/>
    <w:rPr>
      <w:rFonts w:ascii="Arial Narrow" w:eastAsiaTheme="majorEastAsia" w:hAnsi="Arial Narrow" w:cstheme="majorBidi"/>
      <w:b/>
      <w:bCs/>
      <w:szCs w:val="24"/>
    </w:rPr>
  </w:style>
  <w:style w:type="character" w:customStyle="1" w:styleId="normaltextrun">
    <w:name w:val="normaltextrun"/>
    <w:basedOn w:val="DefaultParagraphFont"/>
    <w:rsid w:val="009C5C52"/>
  </w:style>
  <w:style w:type="paragraph" w:styleId="Caption">
    <w:name w:val="caption"/>
    <w:aliases w:val="IB Caption,Medical Caption,Caption Char1 Char Char,Caption Char Char Char Char,Caption Char1 Char,Caption Char Char Char Char Char,Caption Char Char,Caption Char Char Char Char1,Caption Char1 Char1,Caption Char Char Char,Bayer Capti"/>
    <w:basedOn w:val="Normal"/>
    <w:next w:val="Normal"/>
    <w:link w:val="CaptionChar"/>
    <w:uiPriority w:val="35"/>
    <w:unhideWhenUsed/>
    <w:qFormat/>
    <w:rsid w:val="006804BF"/>
    <w:pPr>
      <w:spacing w:after="200"/>
    </w:pPr>
    <w:rPr>
      <w:i/>
      <w:iCs/>
      <w:color w:val="1F497D" w:themeColor="text2"/>
      <w:sz w:val="18"/>
      <w:szCs w:val="18"/>
    </w:rPr>
  </w:style>
  <w:style w:type="character" w:customStyle="1" w:styleId="CaptionChar">
    <w:name w:val="Caption Char"/>
    <w:aliases w:val="IB Caption Char,Medical Caption Char,Caption Char1 Char Char Char,Caption Char Char Char Char Char1,Caption Char1 Char Char1,Caption Char Char Char Char Char Char,Caption Char Char Char1,Caption Char Char Char Char1 Char,Bayer Capti Char"/>
    <w:basedOn w:val="DefaultParagraphFont"/>
    <w:link w:val="Caption"/>
    <w:uiPriority w:val="35"/>
    <w:rsid w:val="005A31F4"/>
    <w:rPr>
      <w:rFonts w:ascii="Calibri" w:hAnsi="Calibri"/>
      <w:i/>
      <w:iCs/>
      <w:color w:val="1F497D" w:themeColor="text2"/>
      <w:sz w:val="18"/>
      <w:szCs w:val="18"/>
    </w:rPr>
  </w:style>
  <w:style w:type="character" w:styleId="FootnoteReference">
    <w:name w:val="footnote reference"/>
    <w:basedOn w:val="DefaultParagraphFont"/>
    <w:uiPriority w:val="99"/>
    <w:unhideWhenUsed/>
    <w:rsid w:val="006F148F"/>
    <w:rPr>
      <w:vertAlign w:val="superscript"/>
    </w:rPr>
  </w:style>
  <w:style w:type="paragraph" w:styleId="FootnoteText">
    <w:name w:val="footnote text"/>
    <w:basedOn w:val="Normal"/>
    <w:link w:val="FootnoteTextChar"/>
    <w:uiPriority w:val="99"/>
    <w:unhideWhenUsed/>
    <w:qFormat/>
    <w:rsid w:val="00F24B17"/>
    <w:rPr>
      <w:sz w:val="20"/>
      <w:szCs w:val="20"/>
    </w:rPr>
  </w:style>
  <w:style w:type="character" w:customStyle="1" w:styleId="FootnoteTextChar">
    <w:name w:val="Footnote Text Char"/>
    <w:basedOn w:val="DefaultParagraphFont"/>
    <w:link w:val="FootnoteText"/>
    <w:uiPriority w:val="99"/>
    <w:rsid w:val="00F24B17"/>
    <w:rPr>
      <w:rFonts w:ascii="Calibri" w:hAnsi="Calibri"/>
    </w:rPr>
  </w:style>
  <w:style w:type="paragraph" w:customStyle="1" w:styleId="Tabletext0">
    <w:name w:val="Table text"/>
    <w:basedOn w:val="Normal"/>
    <w:link w:val="TabletextChar0"/>
    <w:qFormat/>
    <w:rsid w:val="007358AE"/>
    <w:pPr>
      <w:jc w:val="left"/>
    </w:pPr>
    <w:rPr>
      <w:rFonts w:ascii="Aptos Narrow" w:eastAsiaTheme="minorHAnsi" w:hAnsi="Aptos Narrow" w:cstheme="minorBidi"/>
      <w:kern w:val="2"/>
      <w:sz w:val="20"/>
      <w:szCs w:val="20"/>
      <w:lang w:eastAsia="en-US"/>
      <w14:ligatures w14:val="standardContextual"/>
    </w:rPr>
  </w:style>
  <w:style w:type="paragraph" w:customStyle="1" w:styleId="Tableheading-centred">
    <w:name w:val="Table heading - centred"/>
    <w:basedOn w:val="Normal"/>
    <w:link w:val="Tableheading-centredChar"/>
    <w:qFormat/>
    <w:rsid w:val="007358AE"/>
    <w:pPr>
      <w:jc w:val="center"/>
      <w:textAlignment w:val="baseline"/>
    </w:pPr>
    <w:rPr>
      <w:rFonts w:ascii="Aptos Narrow" w:eastAsiaTheme="minorHAnsi" w:hAnsi="Aptos Narrow"/>
      <w:b/>
      <w:bCs/>
      <w:kern w:val="2"/>
      <w:sz w:val="20"/>
      <w:szCs w:val="20"/>
    </w:rPr>
  </w:style>
  <w:style w:type="character" w:customStyle="1" w:styleId="Tableheading-centredChar">
    <w:name w:val="Table heading - centred Char"/>
    <w:basedOn w:val="DefaultParagraphFont"/>
    <w:link w:val="Tableheading-centred"/>
    <w:rsid w:val="007358AE"/>
    <w:rPr>
      <w:rFonts w:ascii="Aptos Narrow" w:eastAsiaTheme="minorHAnsi" w:hAnsi="Aptos Narrow"/>
      <w:b/>
      <w:bCs/>
      <w:kern w:val="2"/>
    </w:rPr>
  </w:style>
  <w:style w:type="character" w:customStyle="1" w:styleId="TabletextChar0">
    <w:name w:val="Table text Char"/>
    <w:basedOn w:val="DefaultParagraphFont"/>
    <w:link w:val="Tabletext0"/>
    <w:rsid w:val="007358AE"/>
    <w:rPr>
      <w:rFonts w:ascii="Aptos Narrow" w:eastAsiaTheme="minorHAnsi" w:hAnsi="Aptos Narrow" w:cstheme="minorBidi"/>
      <w:kern w:val="2"/>
      <w:lang w:eastAsia="en-US"/>
      <w14:ligatures w14:val="standardContextual"/>
    </w:rPr>
  </w:style>
  <w:style w:type="paragraph" w:customStyle="1" w:styleId="Tablefootnote">
    <w:name w:val="Table footnote"/>
    <w:basedOn w:val="Tabletext0"/>
    <w:link w:val="TablefootnoteChar"/>
    <w:qFormat/>
    <w:rsid w:val="007358AE"/>
    <w:pPr>
      <w:spacing w:after="160"/>
      <w:contextualSpacing/>
    </w:pPr>
    <w:rPr>
      <w:sz w:val="18"/>
      <w:szCs w:val="18"/>
    </w:rPr>
  </w:style>
  <w:style w:type="character" w:customStyle="1" w:styleId="TablefootnoteChar">
    <w:name w:val="Table footnote Char"/>
    <w:basedOn w:val="TabletextChar0"/>
    <w:link w:val="Tablefootnote"/>
    <w:rsid w:val="007358AE"/>
    <w:rPr>
      <w:rFonts w:ascii="Aptos Narrow" w:eastAsiaTheme="minorHAnsi" w:hAnsi="Aptos Narrow" w:cstheme="minorBidi"/>
      <w:kern w:val="2"/>
      <w:sz w:val="18"/>
      <w:szCs w:val="18"/>
      <w:lang w:eastAsia="en-US"/>
      <w14:ligatures w14:val="standardContextual"/>
    </w:rPr>
  </w:style>
  <w:style w:type="character" w:styleId="Mention">
    <w:name w:val="Mention"/>
    <w:basedOn w:val="DefaultParagraphFont"/>
    <w:uiPriority w:val="99"/>
    <w:unhideWhenUsed/>
    <w:rsid w:val="00EB7141"/>
    <w:rPr>
      <w:color w:val="2B579A"/>
      <w:shd w:val="clear" w:color="auto" w:fill="E1DFDD"/>
    </w:rPr>
  </w:style>
  <w:style w:type="paragraph" w:customStyle="1" w:styleId="3-SubsectionHeading">
    <w:name w:val="3-Subsection Heading"/>
    <w:basedOn w:val="Heading2"/>
    <w:next w:val="Normal"/>
    <w:link w:val="3-SubsectionHeadingChar"/>
    <w:qFormat/>
    <w:rsid w:val="00906AF8"/>
    <w:pPr>
      <w:keepLines w:val="0"/>
      <w:spacing w:before="120" w:after="120"/>
      <w:jc w:val="both"/>
      <w:outlineLvl w:val="9"/>
    </w:pPr>
    <w:rPr>
      <w:rFonts w:asciiTheme="minorHAnsi" w:hAnsiTheme="minorHAnsi"/>
      <w:b/>
      <w:i/>
      <w:spacing w:val="5"/>
      <w:kern w:val="28"/>
      <w:sz w:val="28"/>
      <w:szCs w:val="36"/>
    </w:rPr>
  </w:style>
  <w:style w:type="character" w:customStyle="1" w:styleId="3-SubsectionHeadingChar">
    <w:name w:val="3-Subsection Heading Char"/>
    <w:basedOn w:val="Heading2Char"/>
    <w:link w:val="3-SubsectionHeading"/>
    <w:rsid w:val="00906AF8"/>
    <w:rPr>
      <w:rFonts w:asciiTheme="minorHAnsi" w:eastAsiaTheme="majorEastAsia" w:hAnsiTheme="minorHAnsi" w:cstheme="majorBidi"/>
      <w:b/>
      <w:i/>
      <w:color w:val="365F91" w:themeColor="accent1" w:themeShade="BF"/>
      <w:spacing w:val="5"/>
      <w:kern w:val="28"/>
      <w:sz w:val="28"/>
      <w:szCs w:val="36"/>
      <w:lang w:eastAsia="en-US"/>
    </w:rPr>
  </w:style>
  <w:style w:type="paragraph" w:styleId="IntenseQuote">
    <w:name w:val="Intense Quote"/>
    <w:basedOn w:val="Normal"/>
    <w:next w:val="Normal"/>
    <w:link w:val="IntenseQuoteChar"/>
    <w:uiPriority w:val="30"/>
    <w:qFormat/>
    <w:rsid w:val="00370B92"/>
    <w:pPr>
      <w:pBdr>
        <w:top w:val="single" w:sz="4" w:space="10" w:color="365F91" w:themeColor="accent1" w:themeShade="BF"/>
        <w:bottom w:val="single" w:sz="4" w:space="10" w:color="365F91" w:themeColor="accent1" w:themeShade="BF"/>
      </w:pBdr>
      <w:spacing w:before="360" w:after="360" w:line="259" w:lineRule="auto"/>
      <w:ind w:left="864" w:right="864"/>
      <w:jc w:val="center"/>
    </w:pPr>
    <w:rPr>
      <w:rFonts w:ascii="Arial" w:eastAsiaTheme="minorHAnsi" w:hAnsi="Arial"/>
      <w:i/>
      <w:iCs/>
      <w:color w:val="365F91" w:themeColor="accent1" w:themeShade="BF"/>
      <w:kern w:val="2"/>
      <w:sz w:val="20"/>
      <w:lang w:eastAsia="en-US"/>
      <w14:ligatures w14:val="standardContextual"/>
    </w:rPr>
  </w:style>
  <w:style w:type="character" w:customStyle="1" w:styleId="IntenseQuoteChar">
    <w:name w:val="Intense Quote Char"/>
    <w:basedOn w:val="DefaultParagraphFont"/>
    <w:link w:val="IntenseQuote"/>
    <w:uiPriority w:val="30"/>
    <w:rsid w:val="00370B92"/>
    <w:rPr>
      <w:rFonts w:ascii="Arial" w:eastAsiaTheme="minorHAnsi" w:hAnsi="Arial"/>
      <w:i/>
      <w:iCs/>
      <w:color w:val="365F91" w:themeColor="accent1" w:themeShade="BF"/>
      <w:kern w:val="2"/>
      <w:szCs w:val="24"/>
      <w:lang w:eastAsia="en-US"/>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947954">
      <w:bodyDiv w:val="1"/>
      <w:marLeft w:val="0"/>
      <w:marRight w:val="0"/>
      <w:marTop w:val="0"/>
      <w:marBottom w:val="0"/>
      <w:divBdr>
        <w:top w:val="none" w:sz="0" w:space="0" w:color="auto"/>
        <w:left w:val="none" w:sz="0" w:space="0" w:color="auto"/>
        <w:bottom w:val="none" w:sz="0" w:space="0" w:color="auto"/>
        <w:right w:val="none" w:sz="0" w:space="0" w:color="auto"/>
      </w:divBdr>
    </w:div>
    <w:div w:id="37902015">
      <w:bodyDiv w:val="1"/>
      <w:marLeft w:val="0"/>
      <w:marRight w:val="0"/>
      <w:marTop w:val="0"/>
      <w:marBottom w:val="0"/>
      <w:divBdr>
        <w:top w:val="none" w:sz="0" w:space="0" w:color="auto"/>
        <w:left w:val="none" w:sz="0" w:space="0" w:color="auto"/>
        <w:bottom w:val="none" w:sz="0" w:space="0" w:color="auto"/>
        <w:right w:val="none" w:sz="0" w:space="0" w:color="auto"/>
      </w:divBdr>
    </w:div>
    <w:div w:id="417101693">
      <w:bodyDiv w:val="1"/>
      <w:marLeft w:val="0"/>
      <w:marRight w:val="0"/>
      <w:marTop w:val="0"/>
      <w:marBottom w:val="0"/>
      <w:divBdr>
        <w:top w:val="none" w:sz="0" w:space="0" w:color="auto"/>
        <w:left w:val="none" w:sz="0" w:space="0" w:color="auto"/>
        <w:bottom w:val="none" w:sz="0" w:space="0" w:color="auto"/>
        <w:right w:val="none" w:sz="0" w:space="0" w:color="auto"/>
      </w:divBdr>
    </w:div>
    <w:div w:id="446462919">
      <w:bodyDiv w:val="1"/>
      <w:marLeft w:val="0"/>
      <w:marRight w:val="0"/>
      <w:marTop w:val="0"/>
      <w:marBottom w:val="0"/>
      <w:divBdr>
        <w:top w:val="none" w:sz="0" w:space="0" w:color="auto"/>
        <w:left w:val="none" w:sz="0" w:space="0" w:color="auto"/>
        <w:bottom w:val="none" w:sz="0" w:space="0" w:color="auto"/>
        <w:right w:val="none" w:sz="0" w:space="0" w:color="auto"/>
      </w:divBdr>
    </w:div>
    <w:div w:id="753667543">
      <w:bodyDiv w:val="1"/>
      <w:marLeft w:val="0"/>
      <w:marRight w:val="0"/>
      <w:marTop w:val="0"/>
      <w:marBottom w:val="0"/>
      <w:divBdr>
        <w:top w:val="none" w:sz="0" w:space="0" w:color="auto"/>
        <w:left w:val="none" w:sz="0" w:space="0" w:color="auto"/>
        <w:bottom w:val="none" w:sz="0" w:space="0" w:color="auto"/>
        <w:right w:val="none" w:sz="0" w:space="0" w:color="auto"/>
      </w:divBdr>
    </w:div>
    <w:div w:id="801387817">
      <w:bodyDiv w:val="1"/>
      <w:marLeft w:val="0"/>
      <w:marRight w:val="0"/>
      <w:marTop w:val="0"/>
      <w:marBottom w:val="0"/>
      <w:divBdr>
        <w:top w:val="none" w:sz="0" w:space="0" w:color="auto"/>
        <w:left w:val="none" w:sz="0" w:space="0" w:color="auto"/>
        <w:bottom w:val="none" w:sz="0" w:space="0" w:color="auto"/>
        <w:right w:val="none" w:sz="0" w:space="0" w:color="auto"/>
      </w:divBdr>
    </w:div>
    <w:div w:id="804812052">
      <w:bodyDiv w:val="1"/>
      <w:marLeft w:val="0"/>
      <w:marRight w:val="0"/>
      <w:marTop w:val="0"/>
      <w:marBottom w:val="0"/>
      <w:divBdr>
        <w:top w:val="none" w:sz="0" w:space="0" w:color="auto"/>
        <w:left w:val="none" w:sz="0" w:space="0" w:color="auto"/>
        <w:bottom w:val="none" w:sz="0" w:space="0" w:color="auto"/>
        <w:right w:val="none" w:sz="0" w:space="0" w:color="auto"/>
      </w:divBdr>
      <w:divsChild>
        <w:div w:id="1533179380">
          <w:marLeft w:val="0"/>
          <w:marRight w:val="0"/>
          <w:marTop w:val="0"/>
          <w:marBottom w:val="0"/>
          <w:divBdr>
            <w:top w:val="none" w:sz="0" w:space="0" w:color="auto"/>
            <w:left w:val="none" w:sz="0" w:space="0" w:color="auto"/>
            <w:bottom w:val="none" w:sz="0" w:space="0" w:color="auto"/>
            <w:right w:val="none" w:sz="0" w:space="0" w:color="auto"/>
          </w:divBdr>
        </w:div>
      </w:divsChild>
    </w:div>
    <w:div w:id="962998671">
      <w:bodyDiv w:val="1"/>
      <w:marLeft w:val="0"/>
      <w:marRight w:val="0"/>
      <w:marTop w:val="0"/>
      <w:marBottom w:val="0"/>
      <w:divBdr>
        <w:top w:val="none" w:sz="0" w:space="0" w:color="auto"/>
        <w:left w:val="none" w:sz="0" w:space="0" w:color="auto"/>
        <w:bottom w:val="none" w:sz="0" w:space="0" w:color="auto"/>
        <w:right w:val="none" w:sz="0" w:space="0" w:color="auto"/>
      </w:divBdr>
    </w:div>
    <w:div w:id="1183588103">
      <w:bodyDiv w:val="1"/>
      <w:marLeft w:val="0"/>
      <w:marRight w:val="0"/>
      <w:marTop w:val="0"/>
      <w:marBottom w:val="0"/>
      <w:divBdr>
        <w:top w:val="none" w:sz="0" w:space="0" w:color="auto"/>
        <w:left w:val="none" w:sz="0" w:space="0" w:color="auto"/>
        <w:bottom w:val="none" w:sz="0" w:space="0" w:color="auto"/>
        <w:right w:val="none" w:sz="0" w:space="0" w:color="auto"/>
      </w:divBdr>
    </w:div>
    <w:div w:id="1306548319">
      <w:bodyDiv w:val="1"/>
      <w:marLeft w:val="0"/>
      <w:marRight w:val="0"/>
      <w:marTop w:val="0"/>
      <w:marBottom w:val="0"/>
      <w:divBdr>
        <w:top w:val="none" w:sz="0" w:space="0" w:color="auto"/>
        <w:left w:val="none" w:sz="0" w:space="0" w:color="auto"/>
        <w:bottom w:val="none" w:sz="0" w:space="0" w:color="auto"/>
        <w:right w:val="none" w:sz="0" w:space="0" w:color="auto"/>
      </w:divBdr>
    </w:div>
    <w:div w:id="1548684218">
      <w:bodyDiv w:val="1"/>
      <w:marLeft w:val="0"/>
      <w:marRight w:val="0"/>
      <w:marTop w:val="0"/>
      <w:marBottom w:val="0"/>
      <w:divBdr>
        <w:top w:val="none" w:sz="0" w:space="0" w:color="auto"/>
        <w:left w:val="none" w:sz="0" w:space="0" w:color="auto"/>
        <w:bottom w:val="none" w:sz="0" w:space="0" w:color="auto"/>
        <w:right w:val="none" w:sz="0" w:space="0" w:color="auto"/>
      </w:divBdr>
    </w:div>
    <w:div w:id="1696230981">
      <w:bodyDiv w:val="1"/>
      <w:marLeft w:val="0"/>
      <w:marRight w:val="0"/>
      <w:marTop w:val="0"/>
      <w:marBottom w:val="0"/>
      <w:divBdr>
        <w:top w:val="none" w:sz="0" w:space="0" w:color="auto"/>
        <w:left w:val="none" w:sz="0" w:space="0" w:color="auto"/>
        <w:bottom w:val="none" w:sz="0" w:space="0" w:color="auto"/>
        <w:right w:val="none" w:sz="0" w:space="0" w:color="auto"/>
      </w:divBdr>
      <w:divsChild>
        <w:div w:id="748698824">
          <w:marLeft w:val="0"/>
          <w:marRight w:val="0"/>
          <w:marTop w:val="0"/>
          <w:marBottom w:val="0"/>
          <w:divBdr>
            <w:top w:val="none" w:sz="0" w:space="0" w:color="auto"/>
            <w:left w:val="none" w:sz="0" w:space="0" w:color="auto"/>
            <w:bottom w:val="none" w:sz="0" w:space="0" w:color="auto"/>
            <w:right w:val="none" w:sz="0" w:space="0" w:color="auto"/>
          </w:divBdr>
        </w:div>
      </w:divsChild>
    </w:div>
    <w:div w:id="1742676564">
      <w:bodyDiv w:val="1"/>
      <w:marLeft w:val="0"/>
      <w:marRight w:val="0"/>
      <w:marTop w:val="0"/>
      <w:marBottom w:val="0"/>
      <w:divBdr>
        <w:top w:val="none" w:sz="0" w:space="0" w:color="auto"/>
        <w:left w:val="none" w:sz="0" w:space="0" w:color="auto"/>
        <w:bottom w:val="none" w:sz="0" w:space="0" w:color="auto"/>
        <w:right w:val="none" w:sz="0" w:space="0" w:color="auto"/>
      </w:divBdr>
    </w:div>
    <w:div w:id="1899511604">
      <w:bodyDiv w:val="1"/>
      <w:marLeft w:val="0"/>
      <w:marRight w:val="0"/>
      <w:marTop w:val="0"/>
      <w:marBottom w:val="0"/>
      <w:divBdr>
        <w:top w:val="none" w:sz="0" w:space="0" w:color="auto"/>
        <w:left w:val="none" w:sz="0" w:space="0" w:color="auto"/>
        <w:bottom w:val="none" w:sz="0" w:space="0" w:color="auto"/>
        <w:right w:val="none" w:sz="0" w:space="0" w:color="auto"/>
      </w:divBdr>
    </w:div>
    <w:div w:id="19780297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5" Type="http://schemas.openxmlformats.org/officeDocument/2006/relationships/numbering" Target="numbering.xml"/><Relationship Id="rId15" Type="http://schemas.openxmlformats.org/officeDocument/2006/relationships/image" Target="media/image5.png"/><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png"/><Relationship Id="rId22"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www.health.gov.au/sites/default/files/2024-12/first-pharmaceutical-wholesaler-agreement-1pwa.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7f856f8d-13b3-495a-9a4b-41f8182eda4c">
      <Terms xmlns="http://schemas.microsoft.com/office/infopath/2007/PartnerControls"/>
    </lcf76f155ced4ddcb4097134ff3c332f>
    <TaxCatchAll xmlns="72f95629-adac-4ec1-8738-e1cec852b92b" xsi:nil="true"/>
    <Datecreated xmlns="7f856f8d-13b3-495a-9a4b-41f8182eda4c"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7FED174C5281F747A8037A05221D6DBD" ma:contentTypeVersion="15" ma:contentTypeDescription="Create a new document." ma:contentTypeScope="" ma:versionID="800ebfdfa1bbf1ff6c9cf58b3ab635a0">
  <xsd:schema xmlns:xsd="http://www.w3.org/2001/XMLSchema" xmlns:xs="http://www.w3.org/2001/XMLSchema" xmlns:p="http://schemas.microsoft.com/office/2006/metadata/properties" xmlns:ns2="7f856f8d-13b3-495a-9a4b-41f8182eda4c" xmlns:ns3="72f95629-adac-4ec1-8738-e1cec852b92b" targetNamespace="http://schemas.microsoft.com/office/2006/metadata/properties" ma:root="true" ma:fieldsID="cd488804b94607c00d160a5d5b6e66e9" ns2:_="" ns3:_="">
    <xsd:import namespace="7f856f8d-13b3-495a-9a4b-41f8182eda4c"/>
    <xsd:import namespace="72f95629-adac-4ec1-8738-e1cec852b92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element ref="ns2:MediaServiceBillingMetadata" minOccurs="0"/>
                <xsd:element ref="ns2:Datecreat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f856f8d-13b3-495a-9a4b-41f8182eda4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89927c38-8944-418e-ac9b-4d6e75543028"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description="" ma:indexed="true" ma:internalName="MediaServiceLocation" ma:readOnly="true">
      <xsd:simpleType>
        <xsd:restriction base="dms:Text"/>
      </xsd:simpleType>
    </xsd:element>
    <xsd:element name="MediaServiceBillingMetadata" ma:index="21" nillable="true" ma:displayName="MediaServiceBillingMetadata" ma:hidden="true" ma:internalName="MediaServiceBillingMetadata" ma:readOnly="true">
      <xsd:simpleType>
        <xsd:restriction base="dms:Note"/>
      </xsd:simpleType>
    </xsd:element>
    <xsd:element name="Datecreated" ma:index="22" nillable="true" ma:displayName="Date created" ma:description="date created" ma:format="DateOnly" ma:internalName="Datecreated">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72f95629-adac-4ec1-8738-e1cec852b92b"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69ae0e28-eb5b-45a0-b45a-3f44301ba7c5}" ma:internalName="TaxCatchAll" ma:showField="CatchAllData" ma:web="72f95629-adac-4ec1-8738-e1cec852b92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85F5E44-4281-4203-A353-D3E8F3B3C3AA}">
  <ds:schemaRefs>
    <ds:schemaRef ds:uri="http://schemas.microsoft.com/sharepoint/v3/contenttype/forms"/>
  </ds:schemaRefs>
</ds:datastoreItem>
</file>

<file path=customXml/itemProps2.xml><?xml version="1.0" encoding="utf-8"?>
<ds:datastoreItem xmlns:ds="http://schemas.openxmlformats.org/officeDocument/2006/customXml" ds:itemID="{4462057D-F74C-4C47-A101-556807F39DB5}">
  <ds:schemaRefs>
    <ds:schemaRef ds:uri="http://schemas.openxmlformats.org/officeDocument/2006/bibliography"/>
  </ds:schemaRefs>
</ds:datastoreItem>
</file>

<file path=customXml/itemProps3.xml><?xml version="1.0" encoding="utf-8"?>
<ds:datastoreItem xmlns:ds="http://schemas.openxmlformats.org/officeDocument/2006/customXml" ds:itemID="{862093DE-7CCA-42FA-8A19-C7BF49A5BB65}">
  <ds:schemaRefs>
    <ds:schemaRef ds:uri="http://schemas.microsoft.com/office/2006/metadata/properties"/>
    <ds:schemaRef ds:uri="http://schemas.microsoft.com/office/infopath/2007/PartnerControls"/>
    <ds:schemaRef ds:uri="7f856f8d-13b3-495a-9a4b-41f8182eda4c"/>
    <ds:schemaRef ds:uri="72f95629-adac-4ec1-8738-e1cec852b92b"/>
  </ds:schemaRefs>
</ds:datastoreItem>
</file>

<file path=customXml/itemProps4.xml><?xml version="1.0" encoding="utf-8"?>
<ds:datastoreItem xmlns:ds="http://schemas.openxmlformats.org/officeDocument/2006/customXml" ds:itemID="{0DB0E029-16F0-4379-97AB-017D70A91E5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f856f8d-13b3-495a-9a4b-41f8182eda4c"/>
    <ds:schemaRef ds:uri="72f95629-adac-4ec1-8738-e1cec852b92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30</Pages>
  <Words>11050</Words>
  <Characters>63544</Characters>
  <Application>Microsoft Office Word</Application>
  <DocSecurity>0</DocSecurity>
  <Lines>1672</Lines>
  <Paragraphs>932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73662</CharactersWithSpaces>
  <SharedDoc>false</SharedDoc>
  <HLinks>
    <vt:vector size="6" baseType="variant">
      <vt:variant>
        <vt:i4>393243</vt:i4>
      </vt:variant>
      <vt:variant>
        <vt:i4>0</vt:i4>
      </vt:variant>
      <vt:variant>
        <vt:i4>0</vt:i4>
      </vt:variant>
      <vt:variant>
        <vt:i4>5</vt:i4>
      </vt:variant>
      <vt:variant>
        <vt:lpwstr>https://www.health.gov.au/sites/default/files/2024-12/first-pharmaceutical-wholesaler-agreement-1pwa.pdf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2026-07-08T01:26:00Z</dcterms:created>
  <dcterms:modified xsi:type="dcterms:W3CDTF">2026-07-08T01:26:00Z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FontProps">
    <vt:lpwstr>#ff0000,12,Aptos</vt:lpwstr>
  </property>
  <property fmtid="{D5CDD505-2E9C-101B-9397-08002B2CF9AE}" pid="3" name="ClassificationContentMarkingHeaderText">
    <vt:lpwstr>OFFICIAL</vt:lpwstr>
  </property>
  <property fmtid="{D5CDD505-2E9C-101B-9397-08002B2CF9AE}" pid="4" name="ClassificationContentMarkingFooterFontProps">
    <vt:lpwstr>#ff0000,12,Aptos</vt:lpwstr>
  </property>
  <property fmtid="{D5CDD505-2E9C-101B-9397-08002B2CF9AE}" pid="5" name="ClassificationContentMarkingFooterText">
    <vt:lpwstr>OFFICIAL</vt:lpwstr>
  </property>
  <property fmtid="{D5CDD505-2E9C-101B-9397-08002B2CF9AE}" pid="6" name="MSIP_Label_7cd3e8b9-ffed-43a8-b7f4-cc2fa0382d36_Enabled">
    <vt:lpwstr>true</vt:lpwstr>
  </property>
  <property fmtid="{D5CDD505-2E9C-101B-9397-08002B2CF9AE}" pid="7" name="MSIP_Label_7cd3e8b9-ffed-43a8-b7f4-cc2fa0382d36_Method">
    <vt:lpwstr>Privileged</vt:lpwstr>
  </property>
  <property fmtid="{D5CDD505-2E9C-101B-9397-08002B2CF9AE}" pid="8" name="MSIP_Label_7cd3e8b9-ffed-43a8-b7f4-cc2fa0382d36_Name">
    <vt:lpwstr>O</vt:lpwstr>
  </property>
  <property fmtid="{D5CDD505-2E9C-101B-9397-08002B2CF9AE}" pid="9" name="MSIP_Label_7cd3e8b9-ffed-43a8-b7f4-cc2fa0382d36_SiteId">
    <vt:lpwstr>34a3929c-73cf-4954-abfe-147dc3517892</vt:lpwstr>
  </property>
  <property fmtid="{D5CDD505-2E9C-101B-9397-08002B2CF9AE}" pid="10" name="MSIP_Label_7cd3e8b9-ffed-43a8-b7f4-cc2fa0382d36_ContentBits">
    <vt:lpwstr>3</vt:lpwstr>
  </property>
  <property fmtid="{D5CDD505-2E9C-101B-9397-08002B2CF9AE}" pid="11" name="MSIP_Label_7cd3e8b9-ffed-43a8-b7f4-cc2fa0382d36_Tag">
    <vt:lpwstr>10, 0, 1, 1</vt:lpwstr>
  </property>
  <property fmtid="{D5CDD505-2E9C-101B-9397-08002B2CF9AE}" pid="12" name="MSIP_Label_7cd3e8b9-ffed-43a8-b7f4-cc2fa0382d36_Removed">
    <vt:lpwstr>False</vt:lpwstr>
  </property>
  <property fmtid="{D5CDD505-2E9C-101B-9397-08002B2CF9AE}" pid="13" name="MediaServiceImageTags">
    <vt:lpwstr/>
  </property>
  <property fmtid="{D5CDD505-2E9C-101B-9397-08002B2CF9AE}" pid="14" name="ContentTypeId">
    <vt:lpwstr>0x0101007FED174C5281F747A8037A05221D6DBD</vt:lpwstr>
  </property>
  <property fmtid="{D5CDD505-2E9C-101B-9397-08002B2CF9AE}" pid="15" name="docLang">
    <vt:lpwstr>en</vt:lpwstr>
  </property>
  <property fmtid="{D5CDD505-2E9C-101B-9397-08002B2CF9AE}" pid="16" name="MSIP_Label_7cd3e8b9-ffed-43a8-b7f4-cc2fa0382d36_Extended_MSFT_Method">
    <vt:lpwstr>Standard</vt:lpwstr>
  </property>
  <property fmtid="{D5CDD505-2E9C-101B-9397-08002B2CF9AE}" pid="17" name="Sensitivity">
    <vt:lpwstr>OFFICIAL</vt:lpwstr>
  </property>
  <property fmtid="{D5CDD505-2E9C-101B-9397-08002B2CF9AE}" pid="18" name="ClassificationContentMarkingHeaderShapeIds">
    <vt:lpwstr>4028a131,12186c30,6cb2638c</vt:lpwstr>
  </property>
  <property fmtid="{D5CDD505-2E9C-101B-9397-08002B2CF9AE}" pid="19" name="ClassificationContentMarkingFooterShapeIds">
    <vt:lpwstr>40c916a7,6e467b5b,50c4ee9</vt:lpwstr>
  </property>
  <property fmtid="{D5CDD505-2E9C-101B-9397-08002B2CF9AE}" pid="20" name="MSIP_Label_7cd3e8b9-ffed-43a8-b7f4-cc2fa0382d36_SetDate">
    <vt:lpwstr>2026-04-01T23:42:32Z</vt:lpwstr>
  </property>
  <property fmtid="{D5CDD505-2E9C-101B-9397-08002B2CF9AE}" pid="21" name="MSIP_Label_7cd3e8b9-ffed-43a8-b7f4-cc2fa0382d36_ActionId">
    <vt:lpwstr>2e71bd7f-5971-49e0-a0eb-fffed8642f1f</vt:lpwstr>
  </property>
  <property fmtid="{D5CDD505-2E9C-101B-9397-08002B2CF9AE}" pid="22" name="Order">
    <vt:r8>59892900</vt:r8>
  </property>
  <property fmtid="{D5CDD505-2E9C-101B-9397-08002B2CF9AE}" pid="23" name="xd_Signature">
    <vt:bool>false</vt:bool>
  </property>
  <property fmtid="{D5CDD505-2E9C-101B-9397-08002B2CF9AE}" pid="24" name="xd_ProgID">
    <vt:lpwstr/>
  </property>
  <property fmtid="{D5CDD505-2E9C-101B-9397-08002B2CF9AE}" pid="25" name="ComplianceAssetId">
    <vt:lpwstr/>
  </property>
  <property fmtid="{D5CDD505-2E9C-101B-9397-08002B2CF9AE}" pid="26" name="TemplateUrl">
    <vt:lpwstr/>
  </property>
  <property fmtid="{D5CDD505-2E9C-101B-9397-08002B2CF9AE}" pid="27" name="_ExtendedDescription">
    <vt:lpwstr/>
  </property>
  <property fmtid="{D5CDD505-2E9C-101B-9397-08002B2CF9AE}" pid="28" name="TriggerFlowInfo">
    <vt:lpwstr/>
  </property>
</Properties>
</file>