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4F4F9" w14:textId="77777777" w:rsidR="00AB48DB" w:rsidRPr="00AB48DB" w:rsidRDefault="00AB48DB" w:rsidP="00AB48DB">
      <w:pPr>
        <w:rPr>
          <w:color w:val="FF0000"/>
        </w:rPr>
      </w:pPr>
      <w:r w:rsidRPr="00AB48DB">
        <w:rPr>
          <w:color w:val="FF0000"/>
        </w:rPr>
        <w:t xml:space="preserve">An addendum to this </w:t>
      </w:r>
      <w:r w:rsidRPr="00AB48DB">
        <w:rPr>
          <w:iCs/>
          <w:color w:val="FF0000"/>
        </w:rPr>
        <w:t>Public Summary Document</w:t>
      </w:r>
      <w:r w:rsidRPr="00AB48DB">
        <w:rPr>
          <w:color w:val="FF0000"/>
        </w:rPr>
        <w:t xml:space="preserve"> has been included at the end of the document.</w:t>
      </w:r>
    </w:p>
    <w:p w14:paraId="15F4F2B4" w14:textId="77777777" w:rsidR="00DF1C7A" w:rsidRPr="00DF1C7A" w:rsidRDefault="00DF1C7A" w:rsidP="00DF1C7A">
      <w:pPr>
        <w:keepNext/>
        <w:spacing w:before="120" w:after="160"/>
        <w:ind w:left="720" w:hanging="720"/>
        <w:jc w:val="left"/>
        <w:outlineLvl w:val="0"/>
        <w:rPr>
          <w:rFonts w:asciiTheme="minorHAnsi" w:eastAsiaTheme="majorEastAsia" w:hAnsiTheme="minorHAnsi" w:cstheme="majorBidi"/>
          <w:b/>
          <w:spacing w:val="5"/>
          <w:kern w:val="28"/>
          <w:sz w:val="36"/>
          <w:szCs w:val="36"/>
        </w:rPr>
      </w:pPr>
      <w:r w:rsidRPr="00DF1C7A">
        <w:rPr>
          <w:rFonts w:asciiTheme="minorHAnsi" w:eastAsiaTheme="majorEastAsia" w:hAnsiTheme="minorHAnsi" w:cstheme="majorBidi"/>
          <w:b/>
          <w:spacing w:val="5"/>
          <w:kern w:val="28"/>
          <w:sz w:val="36"/>
          <w:szCs w:val="36"/>
        </w:rPr>
        <w:t>5.13</w:t>
      </w:r>
      <w:r w:rsidRPr="00DF1C7A">
        <w:rPr>
          <w:rFonts w:asciiTheme="minorHAnsi" w:eastAsiaTheme="majorEastAsia" w:hAnsiTheme="minorHAnsi" w:cstheme="majorBidi"/>
          <w:b/>
          <w:spacing w:val="5"/>
          <w:kern w:val="28"/>
          <w:sz w:val="36"/>
          <w:szCs w:val="36"/>
        </w:rPr>
        <w:tab/>
        <w:t>RANIBIZUMAB,</w:t>
      </w:r>
      <w:r w:rsidRPr="00DF1C7A">
        <w:rPr>
          <w:rFonts w:asciiTheme="minorHAnsi" w:eastAsiaTheme="majorEastAsia" w:hAnsiTheme="minorHAnsi" w:cstheme="majorBidi"/>
          <w:b/>
          <w:spacing w:val="5"/>
          <w:kern w:val="28"/>
          <w:sz w:val="36"/>
          <w:szCs w:val="36"/>
        </w:rPr>
        <w:br/>
        <w:t>Solution for ocular implant 39.5 mg in 0.395 mL,</w:t>
      </w:r>
      <w:r w:rsidRPr="00DF1C7A">
        <w:rPr>
          <w:rFonts w:asciiTheme="minorHAnsi" w:eastAsiaTheme="majorEastAsia" w:hAnsiTheme="minorHAnsi" w:cstheme="majorBidi"/>
          <w:b/>
          <w:spacing w:val="5"/>
          <w:kern w:val="28"/>
          <w:sz w:val="36"/>
          <w:szCs w:val="36"/>
        </w:rPr>
        <w:br/>
      </w:r>
      <w:proofErr w:type="spellStart"/>
      <w:r w:rsidRPr="00DF1C7A">
        <w:rPr>
          <w:rFonts w:asciiTheme="minorHAnsi" w:eastAsiaTheme="majorEastAsia" w:hAnsiTheme="minorHAnsi" w:cstheme="majorBidi"/>
          <w:b/>
          <w:spacing w:val="5"/>
          <w:kern w:val="28"/>
          <w:sz w:val="36"/>
          <w:szCs w:val="36"/>
        </w:rPr>
        <w:t>Susvimo</w:t>
      </w:r>
      <w:proofErr w:type="spellEnd"/>
      <w:r w:rsidRPr="00DF1C7A">
        <w:rPr>
          <w:rFonts w:asciiTheme="minorHAnsi" w:eastAsiaTheme="majorEastAsia" w:hAnsiTheme="minorHAnsi" w:cstheme="majorBidi"/>
          <w:b/>
          <w:spacing w:val="5"/>
          <w:kern w:val="28"/>
          <w:sz w:val="36"/>
          <w:szCs w:val="36"/>
          <w:vertAlign w:val="superscript"/>
        </w:rPr>
        <w:t>®</w:t>
      </w:r>
      <w:r w:rsidRPr="00DF1C7A">
        <w:rPr>
          <w:rFonts w:asciiTheme="minorHAnsi" w:eastAsiaTheme="majorEastAsia" w:hAnsiTheme="minorHAnsi" w:cstheme="majorBidi"/>
          <w:b/>
          <w:spacing w:val="5"/>
          <w:kern w:val="28"/>
          <w:sz w:val="36"/>
          <w:szCs w:val="36"/>
        </w:rPr>
        <w:t>,</w:t>
      </w:r>
      <w:r w:rsidRPr="00DF1C7A">
        <w:rPr>
          <w:rFonts w:asciiTheme="minorHAnsi" w:eastAsiaTheme="majorEastAsia" w:hAnsiTheme="minorHAnsi" w:cstheme="majorBidi"/>
          <w:b/>
          <w:spacing w:val="5"/>
          <w:kern w:val="28"/>
          <w:sz w:val="36"/>
          <w:szCs w:val="36"/>
        </w:rPr>
        <w:br/>
        <w:t>Roche Products Pty Ltd.</w:t>
      </w:r>
    </w:p>
    <w:p w14:paraId="710F90F2" w14:textId="77777777" w:rsidR="00DF1C7A" w:rsidRPr="00DF1C7A" w:rsidRDefault="00DF1C7A" w:rsidP="00DF1C7A">
      <w:pPr>
        <w:keepNext/>
        <w:numPr>
          <w:ilvl w:val="0"/>
          <w:numId w:val="1"/>
        </w:numPr>
        <w:spacing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Purpose of submission</w:t>
      </w:r>
    </w:p>
    <w:p w14:paraId="7D387E89" w14:textId="77777777" w:rsidR="00DF1C7A" w:rsidRPr="00DF1C7A" w:rsidRDefault="00DF1C7A" w:rsidP="00E81CE0">
      <w:pPr>
        <w:pStyle w:val="3Bodytext"/>
        <w:numPr>
          <w:ilvl w:val="1"/>
          <w:numId w:val="1"/>
        </w:numPr>
        <w:jc w:val="both"/>
        <w:rPr>
          <w:snapToGrid w:val="0"/>
        </w:rPr>
      </w:pPr>
      <w:r w:rsidRPr="00DF1C7A">
        <w:rPr>
          <w:snapToGrid w:val="0"/>
        </w:rPr>
        <w:t>The Category 2 submission requested an Authority Required listing for ranibizumab delivered via port delivery system (herein identified as ranibizumab PDS), for the treatment of neovascular age-related macular degeneration (</w:t>
      </w:r>
      <w:proofErr w:type="spellStart"/>
      <w:r w:rsidRPr="00DF1C7A">
        <w:rPr>
          <w:snapToGrid w:val="0"/>
        </w:rPr>
        <w:t>nAMD</w:t>
      </w:r>
      <w:proofErr w:type="spellEnd"/>
      <w:r w:rsidRPr="00DF1C7A">
        <w:rPr>
          <w:snapToGrid w:val="0"/>
        </w:rPr>
        <w:t>) in patients who have previously demonstrated a response to intravitreal anti-vascular endothelial growth factor (anti-VEGF) treatment.</w:t>
      </w:r>
    </w:p>
    <w:p w14:paraId="7B5B39E3" w14:textId="77777777" w:rsidR="00DF1C7A" w:rsidRPr="00DF1C7A" w:rsidRDefault="00DF1C7A" w:rsidP="00E81CE0">
      <w:pPr>
        <w:pStyle w:val="3Bodytext"/>
        <w:numPr>
          <w:ilvl w:val="1"/>
          <w:numId w:val="1"/>
        </w:numPr>
        <w:jc w:val="both"/>
        <w:rPr>
          <w:snapToGrid w:val="0"/>
        </w:rPr>
      </w:pPr>
      <w:r w:rsidRPr="00DF1C7A">
        <w:rPr>
          <w:snapToGrid w:val="0"/>
        </w:rPr>
        <w:t>Concurrent submissions were lodged to the Prostheses List Advisory Committee (PLAC) and the Medicare Services Advisory Committee (MSAC), seeking listing on the Prostheses List for the ocular implant and MBS reimbursement for clinicians performing the procedures associated with the port delivery system.</w:t>
      </w:r>
    </w:p>
    <w:p w14:paraId="75C8BDDC" w14:textId="77777777" w:rsidR="00DF1C7A" w:rsidRPr="00DF1C7A" w:rsidRDefault="00DF1C7A" w:rsidP="00E81CE0">
      <w:pPr>
        <w:pStyle w:val="3Bodytext"/>
        <w:numPr>
          <w:ilvl w:val="1"/>
          <w:numId w:val="1"/>
        </w:numPr>
        <w:jc w:val="both"/>
        <w:rPr>
          <w:snapToGrid w:val="0"/>
        </w:rPr>
      </w:pPr>
      <w:r w:rsidRPr="00DF1C7A">
        <w:rPr>
          <w:snapToGrid w:val="0"/>
        </w:rPr>
        <w:t>Listing was requested on the basis of a cost-minimisation approach versus intravitreal ranibizumab injection (herein identified as intravitreal ranibizumab).</w:t>
      </w:r>
    </w:p>
    <w:p w14:paraId="31289FA0"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1</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DF1C7A" w:rsidRPr="00DF1C7A" w14:paraId="03898737" w14:textId="77777777" w:rsidTr="00ED4BBD">
        <w:tc>
          <w:tcPr>
            <w:tcW w:w="705" w:type="pct"/>
            <w:vAlign w:val="center"/>
          </w:tcPr>
          <w:p w14:paraId="7E809CF4" w14:textId="77777777" w:rsidR="00DF1C7A" w:rsidRPr="00DF1C7A" w:rsidRDefault="00DF1C7A" w:rsidP="00DF1C7A">
            <w:pPr>
              <w:keepNext/>
              <w:jc w:val="left"/>
              <w:rPr>
                <w:rFonts w:ascii="Arial Narrow" w:eastAsiaTheme="majorEastAsia" w:hAnsi="Arial Narrow" w:cs="Times New Roman"/>
                <w:b/>
                <w:sz w:val="20"/>
              </w:rPr>
            </w:pPr>
            <w:r w:rsidRPr="00DF1C7A">
              <w:rPr>
                <w:rFonts w:ascii="Arial Narrow" w:eastAsiaTheme="majorEastAsia" w:hAnsi="Arial Narrow" w:cs="Times New Roman"/>
                <w:b/>
                <w:sz w:val="20"/>
              </w:rPr>
              <w:t>Component</w:t>
            </w:r>
          </w:p>
        </w:tc>
        <w:tc>
          <w:tcPr>
            <w:tcW w:w="4295" w:type="pct"/>
            <w:vAlign w:val="center"/>
          </w:tcPr>
          <w:p w14:paraId="2712490F" w14:textId="77777777" w:rsidR="00DF1C7A" w:rsidRPr="00DF1C7A" w:rsidRDefault="00DF1C7A" w:rsidP="00DF1C7A">
            <w:pPr>
              <w:keepNext/>
              <w:jc w:val="left"/>
              <w:rPr>
                <w:rFonts w:ascii="Arial Narrow" w:eastAsiaTheme="majorEastAsia" w:hAnsi="Arial Narrow" w:cs="Times New Roman"/>
                <w:b/>
                <w:sz w:val="20"/>
              </w:rPr>
            </w:pPr>
            <w:r w:rsidRPr="00DF1C7A">
              <w:rPr>
                <w:rFonts w:ascii="Arial Narrow" w:eastAsiaTheme="majorEastAsia" w:hAnsi="Arial Narrow" w:cs="Times New Roman"/>
                <w:b/>
                <w:sz w:val="20"/>
              </w:rPr>
              <w:t>Description</w:t>
            </w:r>
          </w:p>
        </w:tc>
      </w:tr>
      <w:tr w:rsidR="00DF1C7A" w:rsidRPr="00DF1C7A" w14:paraId="62B4A497" w14:textId="77777777" w:rsidTr="00ED4BBD">
        <w:tc>
          <w:tcPr>
            <w:tcW w:w="705" w:type="pct"/>
            <w:vAlign w:val="center"/>
          </w:tcPr>
          <w:p w14:paraId="4E14F663"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Population</w:t>
            </w:r>
          </w:p>
        </w:tc>
        <w:tc>
          <w:tcPr>
            <w:tcW w:w="4295" w:type="pct"/>
          </w:tcPr>
          <w:p w14:paraId="153D10A7"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Patients with </w:t>
            </w:r>
            <w:proofErr w:type="spellStart"/>
            <w:r w:rsidRPr="00DF1C7A">
              <w:rPr>
                <w:rFonts w:ascii="Arial Narrow" w:eastAsiaTheme="majorEastAsia" w:hAnsi="Arial Narrow" w:cstheme="majorBidi"/>
                <w:bCs/>
                <w:sz w:val="20"/>
              </w:rPr>
              <w:t>nAMD</w:t>
            </w:r>
            <w:proofErr w:type="spellEnd"/>
            <w:r w:rsidRPr="00DF1C7A">
              <w:rPr>
                <w:rFonts w:ascii="Arial Narrow" w:eastAsiaTheme="majorEastAsia" w:hAnsi="Arial Narrow" w:cstheme="majorBidi"/>
                <w:bCs/>
                <w:sz w:val="20"/>
              </w:rPr>
              <w:t xml:space="preserve"> previously responsive to prior anti-VEGF treatment.</w:t>
            </w:r>
          </w:p>
        </w:tc>
      </w:tr>
      <w:tr w:rsidR="00DF1C7A" w:rsidRPr="00DF1C7A" w14:paraId="745A6DE5" w14:textId="77777777" w:rsidTr="00ED4BBD">
        <w:tc>
          <w:tcPr>
            <w:tcW w:w="705" w:type="pct"/>
            <w:vAlign w:val="center"/>
          </w:tcPr>
          <w:p w14:paraId="471B3176"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Intervention</w:t>
            </w:r>
          </w:p>
        </w:tc>
        <w:tc>
          <w:tcPr>
            <w:tcW w:w="4295" w:type="pct"/>
          </w:tcPr>
          <w:p w14:paraId="79455853"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Ranibizumab 100 mg/mL</w:t>
            </w:r>
            <w:r w:rsidRPr="00DF1C7A">
              <w:rPr>
                <w:rFonts w:ascii="Arial Narrow" w:eastAsiaTheme="majorEastAsia" w:hAnsi="Arial Narrow" w:cstheme="majorBidi"/>
                <w:bCs/>
                <w:sz w:val="20"/>
                <w:vertAlign w:val="superscript"/>
              </w:rPr>
              <w:t xml:space="preserve"> a</w:t>
            </w:r>
            <w:r w:rsidRPr="00DF1C7A">
              <w:rPr>
                <w:rFonts w:ascii="Arial Narrow" w:eastAsiaTheme="majorEastAsia" w:hAnsi="Arial Narrow" w:cstheme="majorBidi"/>
                <w:bCs/>
                <w:sz w:val="20"/>
              </w:rPr>
              <w:t xml:space="preserve"> (via the port delivery system); refill and exchange procedure occurring every 24 weeks.</w:t>
            </w:r>
          </w:p>
        </w:tc>
      </w:tr>
      <w:tr w:rsidR="00DF1C7A" w:rsidRPr="00DF1C7A" w14:paraId="66D1D624" w14:textId="77777777" w:rsidTr="00ED4BBD">
        <w:tc>
          <w:tcPr>
            <w:tcW w:w="705" w:type="pct"/>
            <w:vAlign w:val="center"/>
          </w:tcPr>
          <w:p w14:paraId="4C36F33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Comparator</w:t>
            </w:r>
          </w:p>
        </w:tc>
        <w:tc>
          <w:tcPr>
            <w:tcW w:w="4295" w:type="pct"/>
          </w:tcPr>
          <w:p w14:paraId="731E272D"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Ranibizumab 10 mg/</w:t>
            </w:r>
            <w:proofErr w:type="spellStart"/>
            <w:r w:rsidRPr="00DF1C7A">
              <w:rPr>
                <w:rFonts w:ascii="Arial Narrow" w:eastAsiaTheme="majorEastAsia" w:hAnsi="Arial Narrow" w:cstheme="majorBidi"/>
                <w:bCs/>
                <w:sz w:val="20"/>
              </w:rPr>
              <w:t>mL</w:t>
            </w:r>
            <w:r w:rsidRPr="00DF1C7A">
              <w:rPr>
                <w:rFonts w:ascii="Arial Narrow" w:eastAsiaTheme="majorEastAsia" w:hAnsi="Arial Narrow" w:cstheme="majorBidi"/>
                <w:bCs/>
                <w:sz w:val="20"/>
                <w:vertAlign w:val="superscript"/>
              </w:rPr>
              <w:t>b</w:t>
            </w:r>
            <w:proofErr w:type="spellEnd"/>
            <w:r w:rsidRPr="00DF1C7A">
              <w:rPr>
                <w:rFonts w:ascii="Arial Narrow" w:eastAsiaTheme="majorEastAsia" w:hAnsi="Arial Narrow" w:cstheme="majorBidi"/>
                <w:bCs/>
                <w:sz w:val="20"/>
                <w:vertAlign w:val="superscript"/>
              </w:rPr>
              <w:t xml:space="preserve"> </w:t>
            </w:r>
            <w:r w:rsidRPr="00DF1C7A">
              <w:rPr>
                <w:rFonts w:ascii="Arial Narrow" w:eastAsiaTheme="majorEastAsia" w:hAnsi="Arial Narrow" w:cstheme="majorBidi"/>
                <w:bCs/>
                <w:sz w:val="20"/>
              </w:rPr>
              <w:t>(via intravitreal injection), as a proxy for standard of care. Current algorithms suggest initiating treatment with a 4-weekly interval, and then attempting to treat and extend the treatment interval once response has been achieved.</w:t>
            </w:r>
          </w:p>
        </w:tc>
      </w:tr>
      <w:tr w:rsidR="00DF1C7A" w:rsidRPr="00DF1C7A" w14:paraId="1BBECED7" w14:textId="77777777" w:rsidTr="00ED4BBD">
        <w:tc>
          <w:tcPr>
            <w:tcW w:w="705" w:type="pct"/>
            <w:vAlign w:val="center"/>
          </w:tcPr>
          <w:p w14:paraId="1B11196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Outcomes</w:t>
            </w:r>
          </w:p>
        </w:tc>
        <w:tc>
          <w:tcPr>
            <w:tcW w:w="4295" w:type="pct"/>
          </w:tcPr>
          <w:p w14:paraId="7A07E3E5"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BCVA; adverse events.</w:t>
            </w:r>
          </w:p>
        </w:tc>
      </w:tr>
      <w:tr w:rsidR="00DF1C7A" w:rsidRPr="00DF1C7A" w14:paraId="5E9E68E7" w14:textId="77777777" w:rsidTr="00ED4BBD">
        <w:tc>
          <w:tcPr>
            <w:tcW w:w="705" w:type="pct"/>
            <w:vAlign w:val="center"/>
          </w:tcPr>
          <w:p w14:paraId="0211D152"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Clinical claim</w:t>
            </w:r>
          </w:p>
        </w:tc>
        <w:tc>
          <w:tcPr>
            <w:tcW w:w="4295" w:type="pct"/>
          </w:tcPr>
          <w:p w14:paraId="0097E7A6"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Ranibizumab 100 mg/mL</w:t>
            </w:r>
            <w:r w:rsidRPr="00DF1C7A">
              <w:rPr>
                <w:rFonts w:ascii="Arial Narrow" w:eastAsiaTheme="majorEastAsia" w:hAnsi="Arial Narrow" w:cstheme="majorBidi"/>
                <w:bCs/>
                <w:sz w:val="20"/>
                <w:vertAlign w:val="superscript"/>
              </w:rPr>
              <w:t xml:space="preserve"> a</w:t>
            </w:r>
            <w:r w:rsidRPr="00DF1C7A">
              <w:rPr>
                <w:rFonts w:ascii="Arial Narrow" w:eastAsiaTheme="majorEastAsia" w:hAnsi="Arial Narrow" w:cstheme="majorBidi"/>
                <w:bCs/>
                <w:sz w:val="20"/>
              </w:rPr>
              <w:t xml:space="preserve"> via the port delivery system is noninferior in terms of maintaining BCVA (with a reduction in frequency visits for treatment administration), has manageable short-term safety related to the ocular implant procedure, and is noninferior in terms of long-term safety compared to ranibizumab 10 mg/</w:t>
            </w:r>
            <w:proofErr w:type="spellStart"/>
            <w:r w:rsidRPr="00DF1C7A">
              <w:rPr>
                <w:rFonts w:ascii="Arial Narrow" w:eastAsiaTheme="majorEastAsia" w:hAnsi="Arial Narrow" w:cstheme="majorBidi"/>
                <w:bCs/>
                <w:sz w:val="20"/>
              </w:rPr>
              <w:t>mL</w:t>
            </w:r>
            <w:r w:rsidRPr="00DF1C7A">
              <w:rPr>
                <w:rFonts w:ascii="Arial Narrow" w:eastAsiaTheme="majorEastAsia" w:hAnsi="Arial Narrow" w:cstheme="majorBidi"/>
                <w:bCs/>
                <w:sz w:val="20"/>
                <w:vertAlign w:val="superscript"/>
              </w:rPr>
              <w:t>b</w:t>
            </w:r>
            <w:proofErr w:type="spellEnd"/>
            <w:r w:rsidRPr="00DF1C7A">
              <w:rPr>
                <w:rFonts w:ascii="Arial Narrow" w:eastAsiaTheme="majorEastAsia" w:hAnsi="Arial Narrow" w:cstheme="majorBidi"/>
                <w:bCs/>
                <w:sz w:val="20"/>
              </w:rPr>
              <w:t xml:space="preserve"> via intravitreal injections.</w:t>
            </w:r>
          </w:p>
        </w:tc>
      </w:tr>
    </w:tbl>
    <w:p w14:paraId="7E2B4D16"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 xml:space="preserve">BCVA = best corrected visual acuity; </w:t>
      </w:r>
      <w:proofErr w:type="spellStart"/>
      <w:r w:rsidRPr="00DF1C7A">
        <w:rPr>
          <w:rFonts w:ascii="Arial Narrow" w:hAnsi="Arial Narrow"/>
          <w:snapToGrid w:val="0"/>
          <w:sz w:val="18"/>
          <w:szCs w:val="22"/>
        </w:rPr>
        <w:t>nAMD</w:t>
      </w:r>
      <w:proofErr w:type="spellEnd"/>
      <w:r w:rsidRPr="00DF1C7A">
        <w:rPr>
          <w:rFonts w:ascii="Arial Narrow" w:hAnsi="Arial Narrow"/>
          <w:snapToGrid w:val="0"/>
          <w:sz w:val="18"/>
          <w:szCs w:val="22"/>
        </w:rPr>
        <w:t xml:space="preserve"> = neovascular age-related macular degeneration; VEGF = vascular endothelial growth factor.</w:t>
      </w:r>
    </w:p>
    <w:p w14:paraId="5E3936A8"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Source: Table 1.1, p.3 of the submission.</w:t>
      </w:r>
    </w:p>
    <w:p w14:paraId="53F2BA00" w14:textId="77777777" w:rsidR="00DF1C7A" w:rsidRPr="00DF1C7A" w:rsidRDefault="00DF1C7A" w:rsidP="00DF1C7A">
      <w:pPr>
        <w:keepNext/>
        <w:spacing w:after="120"/>
        <w:contextualSpacing/>
        <w:rPr>
          <w:rFonts w:ascii="Arial Narrow" w:hAnsi="Arial Narrow"/>
          <w:iCs/>
          <w:snapToGrid w:val="0"/>
          <w:sz w:val="18"/>
          <w:szCs w:val="22"/>
        </w:rPr>
      </w:pPr>
      <w:r w:rsidRPr="00DF1C7A">
        <w:rPr>
          <w:rFonts w:ascii="Arial Narrow" w:hAnsi="Arial Narrow"/>
          <w:iCs/>
          <w:snapToGrid w:val="0"/>
          <w:sz w:val="18"/>
          <w:szCs w:val="22"/>
          <w:vertAlign w:val="superscript"/>
        </w:rPr>
        <w:t xml:space="preserve">a </w:t>
      </w:r>
      <w:r w:rsidRPr="00DF1C7A">
        <w:rPr>
          <w:rFonts w:ascii="Arial Narrow" w:hAnsi="Arial Narrow"/>
          <w:iCs/>
          <w:snapToGrid w:val="0"/>
          <w:sz w:val="18"/>
          <w:szCs w:val="22"/>
        </w:rPr>
        <w:t>39.5 mg/0.395 mL injection, 0.395 mL vial.</w:t>
      </w:r>
    </w:p>
    <w:p w14:paraId="21D66C37" w14:textId="77777777" w:rsidR="00DF1C7A" w:rsidRPr="00DF1C7A" w:rsidRDefault="00DF1C7A" w:rsidP="00DF1C7A">
      <w:pPr>
        <w:spacing w:after="120"/>
        <w:contextualSpacing/>
        <w:rPr>
          <w:rFonts w:ascii="Arial Narrow" w:hAnsi="Arial Narrow"/>
          <w:iCs/>
          <w:snapToGrid w:val="0"/>
          <w:sz w:val="18"/>
          <w:szCs w:val="22"/>
        </w:rPr>
      </w:pPr>
      <w:r w:rsidRPr="00DF1C7A">
        <w:rPr>
          <w:rFonts w:ascii="Arial Narrow" w:hAnsi="Arial Narrow"/>
          <w:iCs/>
          <w:snapToGrid w:val="0"/>
          <w:sz w:val="18"/>
          <w:szCs w:val="22"/>
          <w:vertAlign w:val="superscript"/>
        </w:rPr>
        <w:t xml:space="preserve">b </w:t>
      </w:r>
      <w:r w:rsidRPr="00DF1C7A">
        <w:rPr>
          <w:rFonts w:ascii="Arial Narrow" w:hAnsi="Arial Narrow"/>
          <w:iCs/>
          <w:snapToGrid w:val="0"/>
          <w:sz w:val="18"/>
          <w:szCs w:val="22"/>
        </w:rPr>
        <w:t>2.3 mg/0.23 mL injection, 0.23 mL vial, and 1.65 mg/0.165 mL injection, 0.165 mL syringe are currently PBS-listed.</w:t>
      </w:r>
    </w:p>
    <w:p w14:paraId="3A024822"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Background</w:t>
      </w:r>
    </w:p>
    <w:p w14:paraId="04960524"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Registration status</w:t>
      </w:r>
    </w:p>
    <w:p w14:paraId="0A4FDFD1" w14:textId="77777777" w:rsidR="00DF1C7A" w:rsidRPr="00DF1C7A" w:rsidRDefault="00DF1C7A" w:rsidP="00E81CE0">
      <w:pPr>
        <w:pStyle w:val="3Bodytext"/>
        <w:numPr>
          <w:ilvl w:val="1"/>
          <w:numId w:val="1"/>
        </w:numPr>
        <w:jc w:val="both"/>
        <w:rPr>
          <w:iCs/>
          <w:snapToGrid w:val="0"/>
        </w:rPr>
      </w:pPr>
      <w:r w:rsidRPr="00DF1C7A">
        <w:rPr>
          <w:rFonts w:eastAsia="Calibri"/>
          <w:b/>
          <w:bCs/>
          <w:snapToGrid w:val="0"/>
        </w:rPr>
        <w:t xml:space="preserve">TGA status at the time of PBAC consideration: </w:t>
      </w:r>
      <w:r w:rsidRPr="00DF1C7A">
        <w:rPr>
          <w:rFonts w:eastAsia="Calibri"/>
          <w:snapToGrid w:val="0"/>
        </w:rPr>
        <w:t xml:space="preserve">The submission was made </w:t>
      </w:r>
      <w:r w:rsidRPr="00DF1C7A">
        <w:rPr>
          <w:snapToGrid w:val="0"/>
        </w:rPr>
        <w:t>under the TGA/PBAC Parallel Process. At the time of the PBAC</w:t>
      </w:r>
      <w:r w:rsidRPr="00DF1C7A">
        <w:rPr>
          <w:iCs/>
          <w:snapToGrid w:val="0"/>
        </w:rPr>
        <w:t xml:space="preserve"> meeting, </w:t>
      </w:r>
      <w:r w:rsidRPr="00DF1C7A">
        <w:rPr>
          <w:snapToGrid w:val="0"/>
        </w:rPr>
        <w:t xml:space="preserve">the Round 1 Clinical Evaluation Report was available, but the Delegate’s Overview was not available. The </w:t>
      </w:r>
      <w:r w:rsidRPr="00DF1C7A">
        <w:rPr>
          <w:snapToGrid w:val="0"/>
        </w:rPr>
        <w:lastRenderedPageBreak/>
        <w:t>PBAC considered that the Delegate’s Overview would be informative for its decision, particularly with respect to the safety profile of the drug.</w:t>
      </w:r>
    </w:p>
    <w:p w14:paraId="354A0F12" w14:textId="77777777" w:rsidR="00DF1C7A" w:rsidRPr="00DF1C7A" w:rsidRDefault="00DF1C7A" w:rsidP="00E81CE0">
      <w:pPr>
        <w:pStyle w:val="3Bodytext"/>
        <w:numPr>
          <w:ilvl w:val="1"/>
          <w:numId w:val="1"/>
        </w:numPr>
        <w:jc w:val="both"/>
        <w:rPr>
          <w:snapToGrid w:val="0"/>
        </w:rPr>
      </w:pPr>
      <w:r w:rsidRPr="00DF1C7A">
        <w:rPr>
          <w:snapToGrid w:val="0"/>
        </w:rPr>
        <w:t xml:space="preserve">The initial proposed TGA indication for ranibizumab PDS was for the treatment of adult patients with neovascular (wet) AMD. This was consistent with the TGA indication for the main comparator, intravitreal ranibizumab, and other intravitreal anti-VEGF therapies. </w:t>
      </w:r>
      <w:r w:rsidRPr="00DF1C7A">
        <w:rPr>
          <w:iCs/>
          <w:snapToGrid w:val="0"/>
        </w:rPr>
        <w:t xml:space="preserve">The TGA Clinical Evaluation Report Round 1 recommended that the indication </w:t>
      </w:r>
      <w:r w:rsidRPr="00DF1C7A">
        <w:rPr>
          <w:snapToGrid w:val="0"/>
        </w:rPr>
        <w:t>should</w:t>
      </w:r>
      <w:r w:rsidRPr="00DF1C7A">
        <w:rPr>
          <w:iCs/>
          <w:snapToGrid w:val="0"/>
        </w:rPr>
        <w:t xml:space="preserve"> be treatment of adult patients with neovascular (wet) AMD who have previously responded to VEGF inhibitors. The TGA Clinical Evaluation Report also recommended the inclusion of a black box warning regarding device-related adverse events.</w:t>
      </w:r>
    </w:p>
    <w:p w14:paraId="7530FD94" w14:textId="77777777" w:rsidR="00DF1C7A" w:rsidRPr="00DF1C7A" w:rsidRDefault="00DF1C7A" w:rsidP="00DF1C7A">
      <w:pPr>
        <w:spacing w:after="120"/>
        <w:ind w:left="720"/>
        <w:rPr>
          <w:rFonts w:asciiTheme="minorHAnsi" w:hAnsiTheme="minorHAnsi"/>
          <w:snapToGrid w:val="0"/>
        </w:rPr>
      </w:pPr>
      <w:r w:rsidRPr="00DF1C7A">
        <w:rPr>
          <w:rFonts w:asciiTheme="minorHAnsi" w:hAnsiTheme="minorHAnsi"/>
          <w:i/>
          <w:snapToGrid w:val="0"/>
        </w:rPr>
        <w:t>For more detail on PBAC’s view, see section 7 PBAC outcome.</w:t>
      </w:r>
    </w:p>
    <w:p w14:paraId="737D0103"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Requested listing</w:t>
      </w:r>
    </w:p>
    <w:p w14:paraId="1D9CBFCF" w14:textId="77777777" w:rsidR="00DF1C7A" w:rsidRPr="00DF1C7A" w:rsidRDefault="00DF1C7A" w:rsidP="00DF1C7A">
      <w:pPr>
        <w:numPr>
          <w:ilvl w:val="1"/>
          <w:numId w:val="1"/>
        </w:numPr>
        <w:spacing w:after="240"/>
        <w:rPr>
          <w:rFonts w:cs="Calibri"/>
          <w:bCs/>
          <w:i/>
        </w:rPr>
      </w:pPr>
      <w:r w:rsidRPr="00DF1C7A">
        <w:rPr>
          <w:rFonts w:cstheme="minorHAnsi"/>
          <w:iCs/>
        </w:rPr>
        <w:t>Suggestions and additions proposed by the Secretariat are added in italics and suggested deletions are crossed out with strikethrough. The PBAC noted that these were not finalised restrictions, and would require further revisions.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327"/>
        <w:gridCol w:w="1389"/>
        <w:gridCol w:w="1389"/>
        <w:gridCol w:w="1261"/>
        <w:gridCol w:w="1109"/>
        <w:gridCol w:w="1555"/>
      </w:tblGrid>
      <w:tr w:rsidR="00DF1C7A" w:rsidRPr="00DF1C7A" w14:paraId="3E57145D" w14:textId="77777777" w:rsidTr="00ED4BBD">
        <w:tc>
          <w:tcPr>
            <w:tcW w:w="1284" w:type="pct"/>
            <w:gridSpan w:val="2"/>
          </w:tcPr>
          <w:p w14:paraId="21773B72" w14:textId="77777777" w:rsidR="00DF1C7A" w:rsidRPr="00DF1C7A" w:rsidRDefault="00DF1C7A" w:rsidP="00DF1C7A">
            <w:pPr>
              <w:keepNext/>
              <w:keepLines/>
              <w:rPr>
                <w:rFonts w:ascii="Arial Narrow" w:hAnsi="Arial Narrow"/>
                <w:b/>
                <w:bCs/>
                <w:sz w:val="20"/>
              </w:rPr>
            </w:pPr>
            <w:r w:rsidRPr="00DF1C7A">
              <w:rPr>
                <w:rFonts w:ascii="Arial Narrow" w:hAnsi="Arial Narrow"/>
                <w:b/>
                <w:bCs/>
                <w:sz w:val="20"/>
              </w:rPr>
              <w:t>MEDICINAL PRODUCT</w:t>
            </w:r>
          </w:p>
          <w:p w14:paraId="763056AF" w14:textId="77777777" w:rsidR="00DF1C7A" w:rsidRPr="00DF1C7A" w:rsidRDefault="00DF1C7A" w:rsidP="00DF1C7A">
            <w:pPr>
              <w:keepNext/>
              <w:keepLines/>
              <w:jc w:val="left"/>
              <w:rPr>
                <w:rFonts w:ascii="Arial Narrow" w:eastAsiaTheme="minorHAnsi" w:hAnsi="Arial Narrow"/>
                <w:b/>
                <w:sz w:val="20"/>
                <w:szCs w:val="20"/>
                <w:lang w:eastAsia="en-US"/>
              </w:rPr>
            </w:pPr>
            <w:r w:rsidRPr="00DF1C7A">
              <w:rPr>
                <w:rFonts w:ascii="Arial Narrow" w:eastAsiaTheme="minorHAnsi" w:hAnsi="Arial Narrow"/>
                <w:b/>
                <w:bCs/>
                <w:sz w:val="20"/>
                <w:szCs w:val="20"/>
                <w:lang w:eastAsia="en-US"/>
              </w:rPr>
              <w:t>medicinal product pack</w:t>
            </w:r>
          </w:p>
        </w:tc>
        <w:tc>
          <w:tcPr>
            <w:tcW w:w="770" w:type="pct"/>
          </w:tcPr>
          <w:p w14:paraId="377A6259" w14:textId="77777777" w:rsidR="00DF1C7A" w:rsidRPr="00DF1C7A" w:rsidRDefault="00DF1C7A" w:rsidP="00DF1C7A">
            <w:pPr>
              <w:keepNext/>
              <w:keepLines/>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PBS item code</w:t>
            </w:r>
          </w:p>
        </w:tc>
        <w:tc>
          <w:tcPr>
            <w:tcW w:w="770" w:type="pct"/>
          </w:tcPr>
          <w:p w14:paraId="6D1BC406" w14:textId="77777777" w:rsidR="00DF1C7A" w:rsidRPr="00DF1C7A" w:rsidRDefault="00DF1C7A" w:rsidP="00DF1C7A">
            <w:pPr>
              <w:keepNext/>
              <w:keepLines/>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Max. qty (packs)</w:t>
            </w:r>
          </w:p>
        </w:tc>
        <w:tc>
          <w:tcPr>
            <w:tcW w:w="699" w:type="pct"/>
          </w:tcPr>
          <w:p w14:paraId="5D3C1642" w14:textId="77777777" w:rsidR="00DF1C7A" w:rsidRPr="00DF1C7A" w:rsidRDefault="00DF1C7A" w:rsidP="00DF1C7A">
            <w:pPr>
              <w:keepNext/>
              <w:keepLines/>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Max. qty (units)</w:t>
            </w:r>
          </w:p>
        </w:tc>
        <w:tc>
          <w:tcPr>
            <w:tcW w:w="615" w:type="pct"/>
          </w:tcPr>
          <w:p w14:paraId="652EDA62" w14:textId="77777777" w:rsidR="00DF1C7A" w:rsidRPr="00DF1C7A" w:rsidRDefault="00DF1C7A" w:rsidP="00DF1C7A">
            <w:pPr>
              <w:keepNext/>
              <w:keepLines/>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 of repeats</w:t>
            </w:r>
          </w:p>
        </w:tc>
        <w:tc>
          <w:tcPr>
            <w:tcW w:w="862" w:type="pct"/>
          </w:tcPr>
          <w:p w14:paraId="517CDDD5" w14:textId="77777777" w:rsidR="00DF1C7A" w:rsidRPr="00DF1C7A" w:rsidRDefault="00DF1C7A" w:rsidP="00DF1C7A">
            <w:pPr>
              <w:keepNext/>
              <w:keepLines/>
              <w:jc w:val="left"/>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Proprietary name and manufacturer</w:t>
            </w:r>
          </w:p>
        </w:tc>
      </w:tr>
      <w:tr w:rsidR="00DF1C7A" w:rsidRPr="00DF1C7A" w14:paraId="214FE158" w14:textId="77777777" w:rsidTr="00ED4BBD">
        <w:tc>
          <w:tcPr>
            <w:tcW w:w="1284" w:type="pct"/>
            <w:gridSpan w:val="2"/>
          </w:tcPr>
          <w:p w14:paraId="2DB5016A" w14:textId="77777777" w:rsidR="00DF1C7A" w:rsidRPr="00DF1C7A" w:rsidRDefault="00DF1C7A" w:rsidP="00DF1C7A">
            <w:pPr>
              <w:keepNext/>
              <w:keepLines/>
              <w:jc w:val="left"/>
              <w:rPr>
                <w:rFonts w:ascii="Arial Narrow" w:hAnsi="Arial Narrow" w:cs="Times New Roman"/>
                <w:sz w:val="20"/>
                <w:szCs w:val="20"/>
                <w:lang w:eastAsia="en-US"/>
              </w:rPr>
            </w:pPr>
            <w:r w:rsidRPr="00DF1C7A">
              <w:rPr>
                <w:rFonts w:ascii="Arial Narrow" w:hAnsi="Arial Narrow" w:cs="Times New Roman"/>
                <w:sz w:val="20"/>
                <w:szCs w:val="20"/>
                <w:lang w:eastAsia="en-US"/>
              </w:rPr>
              <w:t xml:space="preserve">RANIBIZUMAB </w:t>
            </w:r>
          </w:p>
          <w:p w14:paraId="1403F9E1" w14:textId="77777777" w:rsidR="00DF1C7A" w:rsidRPr="00DF1C7A" w:rsidRDefault="00DF1C7A" w:rsidP="00DF1C7A">
            <w:pPr>
              <w:keepNext/>
              <w:keepLines/>
              <w:jc w:val="left"/>
              <w:rPr>
                <w:rFonts w:ascii="Arial Narrow" w:hAnsi="Arial Narrow" w:cs="Times New Roman"/>
                <w:sz w:val="20"/>
                <w:szCs w:val="20"/>
                <w:lang w:eastAsia="en-US"/>
              </w:rPr>
            </w:pPr>
            <w:r w:rsidRPr="00DF1C7A">
              <w:rPr>
                <w:rFonts w:ascii="Arial Narrow" w:hAnsi="Arial Narrow" w:cs="Times New Roman"/>
                <w:sz w:val="20"/>
                <w:szCs w:val="20"/>
                <w:lang w:eastAsia="en-US"/>
              </w:rPr>
              <w:t>39.5 mg/0.395 mL solution for ocular implant, 0.395 mL vial</w:t>
            </w:r>
          </w:p>
        </w:tc>
        <w:tc>
          <w:tcPr>
            <w:tcW w:w="770" w:type="pct"/>
          </w:tcPr>
          <w:p w14:paraId="7795F351" w14:textId="77777777" w:rsidR="00DF1C7A" w:rsidRPr="00DF1C7A" w:rsidRDefault="00DF1C7A" w:rsidP="00DF1C7A">
            <w:pPr>
              <w:keepNext/>
              <w:keepLines/>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NEW</w:t>
            </w:r>
          </w:p>
        </w:tc>
        <w:tc>
          <w:tcPr>
            <w:tcW w:w="770" w:type="pct"/>
          </w:tcPr>
          <w:p w14:paraId="4EA46EAC" w14:textId="77777777" w:rsidR="00DF1C7A" w:rsidRPr="00DF1C7A" w:rsidRDefault="00DF1C7A" w:rsidP="00DF1C7A">
            <w:pPr>
              <w:keepNext/>
              <w:keepLines/>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1</w:t>
            </w:r>
          </w:p>
        </w:tc>
        <w:tc>
          <w:tcPr>
            <w:tcW w:w="699" w:type="pct"/>
          </w:tcPr>
          <w:p w14:paraId="1536AD41" w14:textId="77777777" w:rsidR="00DF1C7A" w:rsidRPr="00DF1C7A" w:rsidRDefault="00DF1C7A" w:rsidP="00DF1C7A">
            <w:pPr>
              <w:keepNext/>
              <w:keepLines/>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1</w:t>
            </w:r>
          </w:p>
        </w:tc>
        <w:tc>
          <w:tcPr>
            <w:tcW w:w="615" w:type="pct"/>
          </w:tcPr>
          <w:p w14:paraId="6DA1583F" w14:textId="77777777" w:rsidR="00DF1C7A" w:rsidRPr="00DF1C7A" w:rsidRDefault="00DF1C7A" w:rsidP="00DF1C7A">
            <w:pPr>
              <w:keepNext/>
              <w:keepLines/>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0</w:t>
            </w:r>
          </w:p>
        </w:tc>
        <w:tc>
          <w:tcPr>
            <w:tcW w:w="862" w:type="pct"/>
          </w:tcPr>
          <w:p w14:paraId="61C36D95" w14:textId="77777777" w:rsidR="00DF1C7A" w:rsidRPr="00DF1C7A" w:rsidRDefault="00DF1C7A" w:rsidP="00DF1C7A">
            <w:pPr>
              <w:keepNext/>
              <w:keepLines/>
              <w:jc w:val="left"/>
              <w:rPr>
                <w:rFonts w:ascii="Arial Narrow" w:hAnsi="Arial Narrow" w:cs="Times New Roman"/>
                <w:sz w:val="20"/>
                <w:szCs w:val="20"/>
                <w:lang w:eastAsia="en-US"/>
              </w:rPr>
            </w:pPr>
            <w:proofErr w:type="spellStart"/>
            <w:r w:rsidRPr="00DF1C7A">
              <w:rPr>
                <w:rFonts w:ascii="Arial Narrow" w:hAnsi="Arial Narrow" w:cs="Times New Roman"/>
                <w:sz w:val="20"/>
                <w:szCs w:val="20"/>
                <w:lang w:eastAsia="en-US"/>
              </w:rPr>
              <w:t>Susvimo</w:t>
            </w:r>
            <w:proofErr w:type="spellEnd"/>
            <w:r w:rsidRPr="00DF1C7A">
              <w:rPr>
                <w:rFonts w:ascii="Arial Narrow" w:hAnsi="Arial Narrow" w:cs="Times New Roman"/>
                <w:sz w:val="20"/>
                <w:szCs w:val="20"/>
                <w:lang w:eastAsia="en-US"/>
              </w:rPr>
              <w:br/>
              <w:t>Roche Products Pty Ltd</w:t>
            </w:r>
          </w:p>
        </w:tc>
      </w:tr>
      <w:tr w:rsidR="00DF1C7A" w:rsidRPr="00DF1C7A" w14:paraId="778425D1" w14:textId="77777777" w:rsidTr="00ED4BBD">
        <w:tblPrEx>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tcPr>
          <w:p w14:paraId="1084BC3F" w14:textId="77777777" w:rsidR="00DF1C7A" w:rsidRPr="00DF1C7A" w:rsidRDefault="00DF1C7A" w:rsidP="00DF1C7A">
            <w:pPr>
              <w:jc w:val="center"/>
              <w:rPr>
                <w:rFonts w:ascii="Arial Narrow" w:hAnsi="Arial Narrow"/>
                <w:b/>
                <w:sz w:val="20"/>
              </w:rPr>
            </w:pPr>
          </w:p>
        </w:tc>
        <w:tc>
          <w:tcPr>
            <w:tcW w:w="4452" w:type="pct"/>
            <w:gridSpan w:val="6"/>
            <w:tcBorders>
              <w:top w:val="single" w:sz="4" w:space="0" w:color="auto"/>
              <w:left w:val="single" w:sz="4" w:space="0" w:color="auto"/>
              <w:bottom w:val="single" w:sz="4" w:space="0" w:color="auto"/>
              <w:right w:val="single" w:sz="4" w:space="0" w:color="auto"/>
            </w:tcBorders>
          </w:tcPr>
          <w:p w14:paraId="4F36771B" w14:textId="77777777" w:rsidR="00DF1C7A" w:rsidRPr="00DF1C7A" w:rsidRDefault="00DF1C7A" w:rsidP="00DF1C7A">
            <w:pPr>
              <w:rPr>
                <w:rFonts w:ascii="Arial Narrow" w:hAnsi="Arial Narrow"/>
                <w:sz w:val="20"/>
              </w:rPr>
            </w:pPr>
            <w:r w:rsidRPr="00DF1C7A">
              <w:rPr>
                <w:rFonts w:ascii="Arial Narrow" w:hAnsi="Arial Narrow"/>
                <w:b/>
                <w:sz w:val="20"/>
              </w:rPr>
              <w:t xml:space="preserve">Category / Program:  </w:t>
            </w:r>
            <w:r w:rsidRPr="00DF1C7A">
              <w:rPr>
                <w:rFonts w:ascii="Arial Narrow" w:hAnsi="Arial Narrow"/>
                <w:sz w:val="20"/>
              </w:rPr>
              <w:t>GENERAL – General Schedule (Code GE)</w:t>
            </w:r>
          </w:p>
        </w:tc>
      </w:tr>
      <w:tr w:rsidR="00DF1C7A" w:rsidRPr="00DF1C7A" w14:paraId="79AA0CB3" w14:textId="77777777" w:rsidTr="00ED4BBD">
        <w:tblPrEx>
          <w:tblCellMar>
            <w:top w:w="15" w:type="dxa"/>
            <w:left w:w="15" w:type="dxa"/>
            <w:bottom w:w="15" w:type="dxa"/>
            <w:right w:w="15" w:type="dxa"/>
          </w:tblCellMar>
        </w:tblPrEx>
        <w:trPr>
          <w:trHeight w:val="240"/>
        </w:trPr>
        <w:tc>
          <w:tcPr>
            <w:tcW w:w="548" w:type="pct"/>
            <w:tcBorders>
              <w:top w:val="single" w:sz="4" w:space="0" w:color="auto"/>
              <w:left w:val="single" w:sz="4" w:space="0" w:color="auto"/>
              <w:bottom w:val="single" w:sz="4" w:space="0" w:color="auto"/>
              <w:right w:val="single" w:sz="4" w:space="0" w:color="auto"/>
            </w:tcBorders>
          </w:tcPr>
          <w:p w14:paraId="23ABA90E"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tcPr>
          <w:p w14:paraId="0B8147BE" w14:textId="77777777" w:rsidR="00DF1C7A" w:rsidRPr="00DF1C7A" w:rsidRDefault="00DF1C7A" w:rsidP="00DF1C7A">
            <w:pPr>
              <w:rPr>
                <w:rFonts w:ascii="Arial Narrow" w:hAnsi="Arial Narrow"/>
                <w:b/>
                <w:sz w:val="20"/>
              </w:rPr>
            </w:pPr>
            <w:r w:rsidRPr="00DF1C7A">
              <w:rPr>
                <w:rFonts w:ascii="Arial Narrow" w:hAnsi="Arial Narrow"/>
                <w:b/>
                <w:sz w:val="20"/>
              </w:rPr>
              <w:t xml:space="preserve">Prescriber type:  </w:t>
            </w:r>
            <w:r w:rsidRPr="00DF1C7A">
              <w:rPr>
                <w:rFonts w:ascii="Arial Narrow" w:hAnsi="Arial Narrow"/>
                <w:sz w:val="20"/>
              </w:rPr>
              <w:fldChar w:fldCharType="begin" w:fldLock="1">
                <w:ffData>
                  <w:name w:val=""/>
                  <w:enabled/>
                  <w:calcOnExit w:val="0"/>
                  <w:checkBox>
                    <w:sizeAuto/>
                    <w:default w:val="1"/>
                  </w:checkBox>
                </w:ffData>
              </w:fldChar>
            </w:r>
            <w:r w:rsidRPr="00DF1C7A">
              <w:rPr>
                <w:rFonts w:ascii="Arial Narrow" w:hAnsi="Arial Narrow"/>
                <w:sz w:val="20"/>
              </w:rPr>
              <w:instrText xml:space="preserve"> FORMCHECKBOX </w:instrText>
            </w:r>
            <w:r w:rsidRPr="00DF1C7A">
              <w:rPr>
                <w:rFonts w:ascii="Arial Narrow" w:hAnsi="Arial Narrow"/>
                <w:sz w:val="20"/>
              </w:rPr>
            </w:r>
            <w:r w:rsidRPr="00DF1C7A">
              <w:rPr>
                <w:rFonts w:ascii="Arial Narrow" w:hAnsi="Arial Narrow"/>
                <w:sz w:val="20"/>
              </w:rPr>
              <w:fldChar w:fldCharType="separate"/>
            </w:r>
            <w:r w:rsidRPr="00DF1C7A">
              <w:rPr>
                <w:rFonts w:ascii="Arial Narrow" w:hAnsi="Arial Narrow"/>
                <w:sz w:val="20"/>
              </w:rPr>
              <w:fldChar w:fldCharType="end"/>
            </w:r>
            <w:r w:rsidRPr="00DF1C7A">
              <w:rPr>
                <w:rFonts w:ascii="Arial Narrow" w:hAnsi="Arial Narrow"/>
                <w:sz w:val="20"/>
              </w:rPr>
              <w:t>Medical Practitioners</w:t>
            </w:r>
          </w:p>
        </w:tc>
      </w:tr>
      <w:tr w:rsidR="00DF1C7A" w:rsidRPr="00DF1C7A" w14:paraId="16D05D3C" w14:textId="77777777" w:rsidTr="00ED4BBD">
        <w:tblPrEx>
          <w:tblCellMar>
            <w:top w:w="15" w:type="dxa"/>
            <w:left w:w="15" w:type="dxa"/>
            <w:bottom w:w="15" w:type="dxa"/>
            <w:right w:w="15" w:type="dxa"/>
          </w:tblCellMar>
        </w:tblPrEx>
        <w:trPr>
          <w:trHeight w:val="624"/>
        </w:trPr>
        <w:tc>
          <w:tcPr>
            <w:tcW w:w="548" w:type="pct"/>
            <w:tcBorders>
              <w:top w:val="single" w:sz="4" w:space="0" w:color="auto"/>
              <w:left w:val="single" w:sz="4" w:space="0" w:color="auto"/>
              <w:bottom w:val="single" w:sz="4" w:space="0" w:color="auto"/>
              <w:right w:val="single" w:sz="4" w:space="0" w:color="auto"/>
            </w:tcBorders>
          </w:tcPr>
          <w:p w14:paraId="0BB63693"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tcPr>
          <w:p w14:paraId="68586F81" w14:textId="77777777" w:rsidR="00DF1C7A" w:rsidRPr="00DF1C7A" w:rsidRDefault="00DF1C7A" w:rsidP="00DF1C7A">
            <w:pPr>
              <w:rPr>
                <w:rFonts w:ascii="Arial Narrow" w:hAnsi="Arial Narrow"/>
                <w:b/>
                <w:sz w:val="20"/>
              </w:rPr>
            </w:pPr>
            <w:r w:rsidRPr="00DF1C7A">
              <w:rPr>
                <w:rFonts w:ascii="Arial Narrow" w:hAnsi="Arial Narrow"/>
                <w:b/>
                <w:sz w:val="20"/>
              </w:rPr>
              <w:t>Restriction Level / Method:</w:t>
            </w:r>
          </w:p>
          <w:p w14:paraId="23BA9A5B" w14:textId="77777777" w:rsidR="00DF1C7A" w:rsidRPr="00DF1C7A" w:rsidRDefault="00DF1C7A" w:rsidP="00DF1C7A">
            <w:pPr>
              <w:rPr>
                <w:rFonts w:ascii="Arial Narrow" w:hAnsi="Arial Narrow"/>
                <w:i/>
                <w:iCs/>
                <w:sz w:val="20"/>
              </w:rPr>
            </w:pPr>
            <w:r w:rsidRPr="00DF1C7A">
              <w:rPr>
                <w:rFonts w:ascii="Arial Narrow" w:hAnsi="Arial Narrow"/>
                <w:i/>
                <w:iCs/>
                <w:sz w:val="20"/>
              </w:rPr>
              <w:fldChar w:fldCharType="begin" w:fldLock="1">
                <w:ffData>
                  <w:name w:val="Check3"/>
                  <w:enabled/>
                  <w:calcOnExit w:val="0"/>
                  <w:checkBox>
                    <w:sizeAuto/>
                    <w:default w:val="1"/>
                  </w:checkBox>
                </w:ffData>
              </w:fldChar>
            </w:r>
            <w:r w:rsidRPr="00DF1C7A">
              <w:rPr>
                <w:rFonts w:ascii="Arial Narrow" w:hAnsi="Arial Narrow"/>
                <w:i/>
                <w:iCs/>
                <w:sz w:val="20"/>
              </w:rPr>
              <w:instrText xml:space="preserve"> FORMCHECKBOX </w:instrText>
            </w:r>
            <w:r w:rsidRPr="00DF1C7A">
              <w:rPr>
                <w:rFonts w:ascii="Arial Narrow" w:hAnsi="Arial Narrow"/>
                <w:i/>
                <w:iCs/>
                <w:sz w:val="20"/>
              </w:rPr>
            </w:r>
            <w:r w:rsidRPr="00DF1C7A">
              <w:rPr>
                <w:rFonts w:ascii="Arial Narrow" w:hAnsi="Arial Narrow"/>
                <w:i/>
                <w:iCs/>
                <w:sz w:val="20"/>
              </w:rPr>
              <w:fldChar w:fldCharType="separate"/>
            </w:r>
            <w:r w:rsidRPr="00DF1C7A">
              <w:rPr>
                <w:rFonts w:ascii="Arial Narrow" w:hAnsi="Arial Narrow"/>
                <w:i/>
                <w:iCs/>
                <w:sz w:val="20"/>
              </w:rPr>
              <w:fldChar w:fldCharType="end"/>
            </w:r>
            <w:r w:rsidRPr="00DF1C7A">
              <w:rPr>
                <w:rFonts w:ascii="Arial Narrow" w:hAnsi="Arial Narrow"/>
                <w:i/>
                <w:iCs/>
                <w:sz w:val="20"/>
              </w:rPr>
              <w:t>Authority Required – In Writing</w:t>
            </w:r>
          </w:p>
          <w:p w14:paraId="48C05D84" w14:textId="77777777" w:rsidR="00DF1C7A" w:rsidRPr="00DF1C7A" w:rsidRDefault="00DF1C7A" w:rsidP="00DF1C7A">
            <w:pPr>
              <w:rPr>
                <w:rFonts w:ascii="Arial Narrow" w:hAnsi="Arial Narrow"/>
                <w:sz w:val="20"/>
              </w:rPr>
            </w:pPr>
            <w:r w:rsidRPr="00DF1C7A">
              <w:rPr>
                <w:rFonts w:ascii="Arial Narrow" w:hAnsi="Arial Narrow"/>
                <w:strike/>
                <w:sz w:val="20"/>
              </w:rPr>
              <w:fldChar w:fldCharType="begin" w:fldLock="1">
                <w:ffData>
                  <w:name w:val="Check3"/>
                  <w:enabled/>
                  <w:calcOnExit w:val="0"/>
                  <w:checkBox>
                    <w:sizeAuto/>
                    <w:default w:val="1"/>
                  </w:checkBox>
                </w:ffData>
              </w:fldChar>
            </w:r>
            <w:r w:rsidRPr="00DF1C7A">
              <w:rPr>
                <w:rFonts w:ascii="Arial Narrow" w:hAnsi="Arial Narrow"/>
                <w:strike/>
                <w:sz w:val="20"/>
              </w:rPr>
              <w:instrText xml:space="preserve"> FORMCHECKBOX </w:instrText>
            </w:r>
            <w:r w:rsidRPr="00DF1C7A">
              <w:rPr>
                <w:rFonts w:ascii="Arial Narrow" w:hAnsi="Arial Narrow"/>
                <w:strike/>
                <w:sz w:val="20"/>
              </w:rPr>
            </w:r>
            <w:r w:rsidRPr="00DF1C7A">
              <w:rPr>
                <w:rFonts w:ascii="Arial Narrow" w:hAnsi="Arial Narrow"/>
                <w:strike/>
                <w:sz w:val="20"/>
              </w:rPr>
              <w:fldChar w:fldCharType="separate"/>
            </w:r>
            <w:r w:rsidRPr="00DF1C7A">
              <w:rPr>
                <w:rFonts w:ascii="Arial Narrow" w:hAnsi="Arial Narrow"/>
                <w:strike/>
                <w:sz w:val="20"/>
              </w:rPr>
              <w:fldChar w:fldCharType="end"/>
            </w:r>
            <w:r w:rsidRPr="00DF1C7A">
              <w:rPr>
                <w:rFonts w:ascii="Arial Narrow" w:hAnsi="Arial Narrow"/>
                <w:strike/>
                <w:sz w:val="20"/>
              </w:rPr>
              <w:t>Authority Required – Telephone/Electronic/Emergency</w:t>
            </w:r>
          </w:p>
        </w:tc>
      </w:tr>
      <w:tr w:rsidR="00DF1C7A" w:rsidRPr="00DF1C7A" w14:paraId="500A34DD"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529576D3"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4AFC670D" w14:textId="77777777" w:rsidR="00DF1C7A" w:rsidRPr="00DF1C7A" w:rsidRDefault="00DF1C7A" w:rsidP="00DF1C7A">
            <w:pPr>
              <w:rPr>
                <w:rFonts w:ascii="Arial Narrow" w:hAnsi="Arial Narrow"/>
                <w:i/>
                <w:sz w:val="20"/>
                <w:lang w:val="fr-FR"/>
              </w:rPr>
            </w:pPr>
            <w:r w:rsidRPr="00DF1C7A">
              <w:rPr>
                <w:rFonts w:ascii="Arial Narrow" w:hAnsi="Arial Narrow"/>
                <w:b/>
                <w:bCs/>
                <w:strike/>
                <w:sz w:val="20"/>
                <w:lang w:val="fr-FR"/>
              </w:rPr>
              <w:t>Condition</w:t>
            </w:r>
            <w:r w:rsidRPr="00DF1C7A">
              <w:rPr>
                <w:rFonts w:ascii="Arial Narrow" w:hAnsi="Arial Narrow"/>
                <w:b/>
                <w:bCs/>
                <w:sz w:val="20"/>
                <w:lang w:val="fr-FR"/>
              </w:rPr>
              <w:t xml:space="preserve"> </w:t>
            </w:r>
            <w:proofErr w:type="gramStart"/>
            <w:r w:rsidRPr="00DF1C7A">
              <w:rPr>
                <w:rFonts w:ascii="Arial Narrow" w:hAnsi="Arial Narrow"/>
                <w:b/>
                <w:bCs/>
                <w:i/>
                <w:sz w:val="20"/>
                <w:lang w:val="fr-FR"/>
              </w:rPr>
              <w:t>Indication:</w:t>
            </w:r>
            <w:proofErr w:type="gramEnd"/>
            <w:r w:rsidRPr="00DF1C7A">
              <w:rPr>
                <w:rFonts w:ascii="Arial Narrow" w:hAnsi="Arial Narrow"/>
                <w:i/>
                <w:sz w:val="20"/>
                <w:lang w:val="fr-FR"/>
              </w:rPr>
              <w:t xml:space="preserve"> </w:t>
            </w:r>
            <w:proofErr w:type="spellStart"/>
            <w:r w:rsidRPr="00DF1C7A">
              <w:rPr>
                <w:rFonts w:ascii="Arial Narrow" w:hAnsi="Arial Narrow"/>
                <w:sz w:val="20"/>
                <w:lang w:val="fr-FR"/>
              </w:rPr>
              <w:t>Subfoveal</w:t>
            </w:r>
            <w:proofErr w:type="spellEnd"/>
            <w:r w:rsidRPr="00DF1C7A">
              <w:rPr>
                <w:rFonts w:ascii="Arial Narrow" w:hAnsi="Arial Narrow"/>
                <w:sz w:val="20"/>
                <w:lang w:val="fr-FR"/>
              </w:rPr>
              <w:t xml:space="preserve"> </w:t>
            </w:r>
            <w:proofErr w:type="spellStart"/>
            <w:r w:rsidRPr="00DF1C7A">
              <w:rPr>
                <w:rFonts w:ascii="Arial Narrow" w:hAnsi="Arial Narrow"/>
                <w:sz w:val="20"/>
                <w:lang w:val="fr-FR"/>
              </w:rPr>
              <w:t>choroidal</w:t>
            </w:r>
            <w:proofErr w:type="spellEnd"/>
            <w:r w:rsidRPr="00DF1C7A">
              <w:rPr>
                <w:rFonts w:ascii="Arial Narrow" w:hAnsi="Arial Narrow"/>
                <w:sz w:val="20"/>
                <w:lang w:val="fr-FR"/>
              </w:rPr>
              <w:t xml:space="preserve"> </w:t>
            </w:r>
            <w:proofErr w:type="spellStart"/>
            <w:r w:rsidRPr="00DF1C7A">
              <w:rPr>
                <w:rFonts w:ascii="Arial Narrow" w:hAnsi="Arial Narrow"/>
                <w:sz w:val="20"/>
                <w:lang w:val="fr-FR"/>
              </w:rPr>
              <w:t>neovascularisation</w:t>
            </w:r>
            <w:proofErr w:type="spellEnd"/>
            <w:r w:rsidRPr="00DF1C7A">
              <w:rPr>
                <w:rFonts w:ascii="Arial Narrow" w:hAnsi="Arial Narrow"/>
                <w:sz w:val="20"/>
                <w:lang w:val="fr-FR"/>
              </w:rPr>
              <w:t xml:space="preserve"> (CNV)</w:t>
            </w:r>
          </w:p>
        </w:tc>
      </w:tr>
      <w:tr w:rsidR="00DF1C7A" w:rsidRPr="00DF1C7A" w14:paraId="76BD8A1C"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329AE5A4" w14:textId="77777777" w:rsidR="00DF1C7A" w:rsidRPr="00DF1C7A" w:rsidRDefault="00DF1C7A" w:rsidP="00DF1C7A">
            <w:pPr>
              <w:jc w:val="center"/>
              <w:rPr>
                <w:rFonts w:ascii="Arial Narrow" w:hAnsi="Arial Narrow"/>
                <w:sz w:val="20"/>
                <w:lang w:val="fr-FR"/>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7B6898DF" w14:textId="77777777" w:rsidR="00DF1C7A" w:rsidRPr="00DF1C7A" w:rsidRDefault="00DF1C7A" w:rsidP="00DF1C7A">
            <w:pPr>
              <w:rPr>
                <w:rFonts w:ascii="Arial Narrow" w:hAnsi="Arial Narrow"/>
                <w:sz w:val="20"/>
              </w:rPr>
            </w:pPr>
            <w:r w:rsidRPr="00DF1C7A">
              <w:rPr>
                <w:rFonts w:ascii="Arial Narrow" w:hAnsi="Arial Narrow"/>
                <w:b/>
                <w:bCs/>
                <w:sz w:val="20"/>
              </w:rPr>
              <w:t>Treatment Phase:</w:t>
            </w:r>
            <w:r w:rsidRPr="00DF1C7A">
              <w:rPr>
                <w:rFonts w:ascii="Arial Narrow" w:hAnsi="Arial Narrow"/>
                <w:sz w:val="20"/>
              </w:rPr>
              <w:t xml:space="preserve"> Initial treatment</w:t>
            </w:r>
          </w:p>
        </w:tc>
      </w:tr>
      <w:tr w:rsidR="00DF1C7A" w:rsidRPr="00DF1C7A" w14:paraId="18DF4F9F"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606851FA"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1D1DBCC3" w14:textId="77777777" w:rsidR="00DF1C7A" w:rsidRPr="00DF1C7A" w:rsidRDefault="00DF1C7A" w:rsidP="00DF1C7A">
            <w:pPr>
              <w:rPr>
                <w:rFonts w:ascii="Arial Narrow" w:hAnsi="Arial Narrow"/>
                <w:sz w:val="20"/>
              </w:rPr>
            </w:pPr>
            <w:r w:rsidRPr="00DF1C7A">
              <w:rPr>
                <w:rFonts w:ascii="Arial Narrow" w:hAnsi="Arial Narrow"/>
                <w:b/>
                <w:bCs/>
                <w:sz w:val="20"/>
              </w:rPr>
              <w:t>Clinical criteria:</w:t>
            </w:r>
          </w:p>
        </w:tc>
      </w:tr>
      <w:tr w:rsidR="00DF1C7A" w:rsidRPr="00DF1C7A" w14:paraId="6F010C3D"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9FE44E1"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3AA53578" w14:textId="77777777" w:rsidR="00DF1C7A" w:rsidRPr="00DF1C7A" w:rsidRDefault="00DF1C7A" w:rsidP="00DF1C7A">
            <w:pPr>
              <w:rPr>
                <w:rFonts w:ascii="Arial Narrow" w:hAnsi="Arial Narrow"/>
                <w:sz w:val="20"/>
              </w:rPr>
            </w:pPr>
            <w:r w:rsidRPr="00DF1C7A">
              <w:rPr>
                <w:rFonts w:ascii="Arial Narrow" w:hAnsi="Arial Narrow"/>
                <w:sz w:val="20"/>
              </w:rPr>
              <w:t>The condition must be due to age-related macular degeneration (AMD)</w:t>
            </w:r>
          </w:p>
        </w:tc>
      </w:tr>
      <w:tr w:rsidR="00DF1C7A" w:rsidRPr="00DF1C7A" w14:paraId="4BB187EF"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163F8396" w14:textId="77777777" w:rsidR="00DF1C7A" w:rsidRPr="00DF1C7A" w:rsidRDefault="00DF1C7A" w:rsidP="00DF1C7A">
            <w:pPr>
              <w:jc w:val="center"/>
              <w:rPr>
                <w:rFonts w:ascii="Arial Narrow" w:hAnsi="Arial Narrow"/>
                <w:strike/>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1DA7DC0C" w14:textId="77777777" w:rsidR="00DF1C7A" w:rsidRPr="00DF1C7A" w:rsidRDefault="00DF1C7A" w:rsidP="00DF1C7A">
            <w:pPr>
              <w:rPr>
                <w:rFonts w:ascii="Arial Narrow" w:hAnsi="Arial Narrow"/>
                <w:sz w:val="20"/>
              </w:rPr>
            </w:pPr>
            <w:r w:rsidRPr="00DF1C7A">
              <w:rPr>
                <w:rFonts w:ascii="Arial Narrow" w:hAnsi="Arial Narrow"/>
                <w:b/>
                <w:bCs/>
                <w:sz w:val="20"/>
              </w:rPr>
              <w:t>AND</w:t>
            </w:r>
          </w:p>
        </w:tc>
      </w:tr>
      <w:tr w:rsidR="00DF1C7A" w:rsidRPr="00DF1C7A" w14:paraId="2B0F02D2"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74B8B1EA"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6C8E52E5" w14:textId="77777777" w:rsidR="00DF1C7A" w:rsidRPr="00DF1C7A" w:rsidRDefault="00DF1C7A" w:rsidP="00DF1C7A">
            <w:pPr>
              <w:rPr>
                <w:rFonts w:ascii="Arial Narrow" w:hAnsi="Arial Narrow"/>
                <w:sz w:val="20"/>
              </w:rPr>
            </w:pPr>
            <w:r w:rsidRPr="00DF1C7A">
              <w:rPr>
                <w:rFonts w:ascii="Arial Narrow" w:hAnsi="Arial Narrow"/>
                <w:b/>
                <w:bCs/>
                <w:sz w:val="20"/>
              </w:rPr>
              <w:t>Clinical criteria:</w:t>
            </w:r>
          </w:p>
        </w:tc>
      </w:tr>
      <w:tr w:rsidR="00DF1C7A" w:rsidRPr="00DF1C7A" w14:paraId="7F9E541A"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79EBEDDB"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6B10D3E8" w14:textId="77777777" w:rsidR="00DF1C7A" w:rsidRPr="00DF1C7A" w:rsidRDefault="00DF1C7A" w:rsidP="00DF1C7A">
            <w:pPr>
              <w:rPr>
                <w:rFonts w:ascii="Arial Narrow" w:hAnsi="Arial Narrow"/>
                <w:sz w:val="20"/>
              </w:rPr>
            </w:pPr>
            <w:r w:rsidRPr="00DF1C7A">
              <w:rPr>
                <w:rFonts w:ascii="Arial Narrow" w:hAnsi="Arial Narrow"/>
                <w:sz w:val="20"/>
              </w:rPr>
              <w:t>The condition must have been previously diagnosed by optical coherence tomography; or</w:t>
            </w:r>
          </w:p>
        </w:tc>
      </w:tr>
      <w:tr w:rsidR="00DF1C7A" w:rsidRPr="00DF1C7A" w14:paraId="68B9BF98"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780D6E24"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36474F4B" w14:textId="77777777" w:rsidR="00DF1C7A" w:rsidRPr="00DF1C7A" w:rsidRDefault="00DF1C7A" w:rsidP="00DF1C7A">
            <w:pPr>
              <w:rPr>
                <w:rFonts w:ascii="Arial Narrow" w:hAnsi="Arial Narrow"/>
                <w:sz w:val="20"/>
              </w:rPr>
            </w:pPr>
            <w:r w:rsidRPr="00DF1C7A">
              <w:rPr>
                <w:rFonts w:ascii="Arial Narrow" w:hAnsi="Arial Narrow"/>
                <w:sz w:val="20"/>
              </w:rPr>
              <w:t>The condition must have been previously diagnosed by fluorescein angiography</w:t>
            </w:r>
          </w:p>
        </w:tc>
      </w:tr>
      <w:tr w:rsidR="00DF1C7A" w:rsidRPr="00DF1C7A" w14:paraId="521581A4"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38F811C5"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1FCE8D75" w14:textId="77777777" w:rsidR="00DF1C7A" w:rsidRPr="00DF1C7A" w:rsidRDefault="00DF1C7A" w:rsidP="00DF1C7A">
            <w:pPr>
              <w:rPr>
                <w:rFonts w:ascii="Arial Narrow" w:hAnsi="Arial Narrow"/>
                <w:sz w:val="20"/>
              </w:rPr>
            </w:pPr>
            <w:r w:rsidRPr="00DF1C7A">
              <w:rPr>
                <w:rFonts w:ascii="Arial Narrow" w:hAnsi="Arial Narrow"/>
                <w:b/>
                <w:bCs/>
                <w:sz w:val="20"/>
              </w:rPr>
              <w:t>AND</w:t>
            </w:r>
          </w:p>
        </w:tc>
      </w:tr>
      <w:tr w:rsidR="00DF1C7A" w:rsidRPr="00DF1C7A" w14:paraId="103E8EC6"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1E1B5D00"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1ACB9C79" w14:textId="77777777" w:rsidR="00DF1C7A" w:rsidRPr="00DF1C7A" w:rsidRDefault="00DF1C7A" w:rsidP="00DF1C7A">
            <w:pPr>
              <w:rPr>
                <w:rFonts w:ascii="Arial Narrow" w:hAnsi="Arial Narrow"/>
                <w:sz w:val="20"/>
              </w:rPr>
            </w:pPr>
            <w:r w:rsidRPr="00DF1C7A">
              <w:rPr>
                <w:rFonts w:ascii="Arial Narrow" w:hAnsi="Arial Narrow"/>
                <w:b/>
                <w:bCs/>
                <w:sz w:val="20"/>
              </w:rPr>
              <w:t>Clinical criteria:</w:t>
            </w:r>
          </w:p>
        </w:tc>
      </w:tr>
      <w:tr w:rsidR="00DF1C7A" w:rsidRPr="00DF1C7A" w14:paraId="2A113EDD"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AF7F9FA"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263DC091" w14:textId="77777777" w:rsidR="00DF1C7A" w:rsidRPr="00DF1C7A" w:rsidRDefault="00DF1C7A" w:rsidP="00DF1C7A">
            <w:pPr>
              <w:rPr>
                <w:rFonts w:ascii="Arial Narrow" w:hAnsi="Arial Narrow"/>
                <w:sz w:val="20"/>
              </w:rPr>
            </w:pPr>
            <w:r w:rsidRPr="00DF1C7A">
              <w:rPr>
                <w:rFonts w:ascii="Arial Narrow" w:hAnsi="Arial Narrow"/>
                <w:strike/>
                <w:sz w:val="20"/>
              </w:rPr>
              <w:t>The condition must have previously responded to anti-VEGF treatment</w:t>
            </w:r>
            <w:r w:rsidRPr="00DF1C7A">
              <w:rPr>
                <w:rFonts w:ascii="Arial Narrow" w:hAnsi="Arial Narrow"/>
                <w:sz w:val="20"/>
              </w:rPr>
              <w:t xml:space="preserve"> </w:t>
            </w:r>
            <w:r w:rsidRPr="00DF1C7A">
              <w:rPr>
                <w:rFonts w:ascii="Arial Narrow" w:hAnsi="Arial Narrow"/>
                <w:i/>
                <w:iCs/>
                <w:sz w:val="20"/>
              </w:rPr>
              <w:t>P</w:t>
            </w:r>
            <w:r w:rsidRPr="00DF1C7A">
              <w:rPr>
                <w:rFonts w:ascii="Arial Narrow" w:hAnsi="Arial Narrow"/>
                <w:i/>
                <w:sz w:val="20"/>
              </w:rPr>
              <w:t xml:space="preserve">atient must have received PBS-subsidised treatment with ranibizumab or aflibercept for this condition </w:t>
            </w:r>
          </w:p>
        </w:tc>
      </w:tr>
      <w:tr w:rsidR="00DF1C7A" w:rsidRPr="00DF1C7A" w14:paraId="52307794"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72A562FF"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4DD3D21D" w14:textId="77777777" w:rsidR="00DF1C7A" w:rsidRPr="00DF1C7A" w:rsidRDefault="00DF1C7A" w:rsidP="00DF1C7A">
            <w:pPr>
              <w:rPr>
                <w:rFonts w:ascii="Arial Narrow" w:hAnsi="Arial Narrow"/>
                <w:i/>
                <w:sz w:val="20"/>
              </w:rPr>
            </w:pPr>
            <w:r w:rsidRPr="00DF1C7A">
              <w:rPr>
                <w:rFonts w:ascii="Arial Narrow" w:hAnsi="Arial Narrow"/>
                <w:b/>
                <w:bCs/>
                <w:i/>
                <w:sz w:val="20"/>
              </w:rPr>
              <w:t>AND</w:t>
            </w:r>
          </w:p>
        </w:tc>
      </w:tr>
      <w:tr w:rsidR="00DF1C7A" w:rsidRPr="00DF1C7A" w14:paraId="02569C81"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286848D3"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43BE9B3F" w14:textId="77777777" w:rsidR="00DF1C7A" w:rsidRPr="00DF1C7A" w:rsidRDefault="00DF1C7A" w:rsidP="00DF1C7A">
            <w:pPr>
              <w:rPr>
                <w:rFonts w:ascii="Arial Narrow" w:hAnsi="Arial Narrow"/>
                <w:b/>
                <w:bCs/>
                <w:i/>
                <w:sz w:val="20"/>
              </w:rPr>
            </w:pPr>
            <w:r w:rsidRPr="00DF1C7A">
              <w:rPr>
                <w:rFonts w:ascii="Arial Narrow" w:hAnsi="Arial Narrow"/>
                <w:b/>
                <w:bCs/>
                <w:i/>
                <w:sz w:val="20"/>
              </w:rPr>
              <w:t>Clinical criteria:</w:t>
            </w:r>
          </w:p>
        </w:tc>
      </w:tr>
      <w:tr w:rsidR="00DF1C7A" w:rsidRPr="00DF1C7A" w14:paraId="704D3ABC"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FBEA175"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5F44DFDE" w14:textId="77777777" w:rsidR="00DF1C7A" w:rsidRPr="00DF1C7A" w:rsidRDefault="00DF1C7A" w:rsidP="00DF1C7A">
            <w:pPr>
              <w:rPr>
                <w:rFonts w:ascii="Arial Narrow" w:hAnsi="Arial Narrow"/>
                <w:bCs/>
                <w:i/>
                <w:sz w:val="20"/>
              </w:rPr>
            </w:pPr>
            <w:r w:rsidRPr="00DF1C7A">
              <w:rPr>
                <w:rFonts w:ascii="Arial Narrow" w:hAnsi="Arial Narrow"/>
                <w:bCs/>
                <w:i/>
                <w:sz w:val="20"/>
              </w:rPr>
              <w:t>The condition must be stable at the discretion of the treating physician</w:t>
            </w:r>
          </w:p>
        </w:tc>
      </w:tr>
      <w:tr w:rsidR="00DF1C7A" w:rsidRPr="00DF1C7A" w14:paraId="1757FF3F"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5DD33E7F"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0C118640" w14:textId="77777777" w:rsidR="00DF1C7A" w:rsidRPr="00DF1C7A" w:rsidRDefault="00DF1C7A" w:rsidP="00DF1C7A">
            <w:pPr>
              <w:rPr>
                <w:rFonts w:ascii="Arial Narrow" w:hAnsi="Arial Narrow"/>
                <w:b/>
                <w:bCs/>
                <w:sz w:val="20"/>
              </w:rPr>
            </w:pPr>
            <w:r w:rsidRPr="00DF1C7A">
              <w:rPr>
                <w:rFonts w:ascii="Arial Narrow" w:hAnsi="Arial Narrow"/>
                <w:b/>
                <w:bCs/>
                <w:sz w:val="20"/>
              </w:rPr>
              <w:t>AND</w:t>
            </w:r>
          </w:p>
        </w:tc>
      </w:tr>
      <w:tr w:rsidR="00DF1C7A" w:rsidRPr="00DF1C7A" w14:paraId="5D73A8DF"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25E7DDFE" w14:textId="77777777" w:rsidR="00DF1C7A" w:rsidRPr="00DF1C7A" w:rsidRDefault="00DF1C7A" w:rsidP="00DF1C7A">
            <w:pPr>
              <w:jc w:val="center"/>
              <w:rPr>
                <w:rFonts w:ascii="Arial Narrow" w:hAnsi="Arial Narrow"/>
                <w:strike/>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4B3C2566" w14:textId="77777777" w:rsidR="00DF1C7A" w:rsidRPr="00DF1C7A" w:rsidRDefault="00DF1C7A" w:rsidP="00DF1C7A">
            <w:pPr>
              <w:rPr>
                <w:rFonts w:ascii="Arial Narrow" w:hAnsi="Arial Narrow"/>
                <w:strike/>
                <w:sz w:val="20"/>
              </w:rPr>
            </w:pPr>
            <w:r w:rsidRPr="00DF1C7A">
              <w:rPr>
                <w:rFonts w:ascii="Arial Narrow" w:hAnsi="Arial Narrow"/>
                <w:b/>
                <w:bCs/>
                <w:strike/>
                <w:sz w:val="20"/>
              </w:rPr>
              <w:t>Clinical criteria:</w:t>
            </w:r>
          </w:p>
        </w:tc>
      </w:tr>
      <w:tr w:rsidR="00DF1C7A" w:rsidRPr="00DF1C7A" w14:paraId="3230BFD9"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392265A7" w14:textId="77777777" w:rsidR="00DF1C7A" w:rsidRPr="00DF1C7A" w:rsidRDefault="00DF1C7A" w:rsidP="00DF1C7A">
            <w:pPr>
              <w:jc w:val="center"/>
              <w:rPr>
                <w:rFonts w:ascii="Arial Narrow" w:hAnsi="Arial Narrow"/>
                <w:strike/>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77A28E0F" w14:textId="77777777" w:rsidR="00DF1C7A" w:rsidRPr="00DF1C7A" w:rsidRDefault="00DF1C7A" w:rsidP="00DF1C7A">
            <w:pPr>
              <w:rPr>
                <w:rFonts w:ascii="Arial Narrow" w:hAnsi="Arial Narrow"/>
                <w:strike/>
                <w:sz w:val="20"/>
              </w:rPr>
            </w:pPr>
            <w:r w:rsidRPr="00DF1C7A">
              <w:rPr>
                <w:rFonts w:ascii="Arial Narrow" w:hAnsi="Arial Narrow"/>
                <w:strike/>
                <w:sz w:val="20"/>
              </w:rPr>
              <w:t>The treatment must be the sole PBS-subsidised therapy for this condition</w:t>
            </w:r>
          </w:p>
        </w:tc>
      </w:tr>
      <w:tr w:rsidR="00DF1C7A" w:rsidRPr="00DF1C7A" w14:paraId="24F1B4DC"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133CBEFA" w14:textId="77777777" w:rsidR="00DF1C7A" w:rsidRPr="00DF1C7A" w:rsidRDefault="00DF1C7A" w:rsidP="00DF1C7A">
            <w:pPr>
              <w:jc w:val="center"/>
              <w:rPr>
                <w:rFonts w:ascii="Arial Narrow" w:hAnsi="Arial Narrow"/>
                <w:strike/>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1C7739D0" w14:textId="77777777" w:rsidR="00DF1C7A" w:rsidRPr="00DF1C7A" w:rsidRDefault="00DF1C7A" w:rsidP="00DF1C7A">
            <w:pPr>
              <w:rPr>
                <w:rFonts w:ascii="Arial Narrow" w:hAnsi="Arial Narrow"/>
                <w:strike/>
                <w:sz w:val="20"/>
              </w:rPr>
            </w:pPr>
            <w:r w:rsidRPr="00DF1C7A">
              <w:rPr>
                <w:rFonts w:ascii="Arial Narrow" w:hAnsi="Arial Narrow"/>
                <w:b/>
                <w:bCs/>
                <w:strike/>
                <w:sz w:val="20"/>
              </w:rPr>
              <w:t>AND</w:t>
            </w:r>
          </w:p>
        </w:tc>
      </w:tr>
      <w:tr w:rsidR="00DF1C7A" w:rsidRPr="00DF1C7A" w14:paraId="6B5C289B"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67B41CA8"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03BC56D7" w14:textId="77777777" w:rsidR="00DF1C7A" w:rsidRPr="00DF1C7A" w:rsidRDefault="00DF1C7A" w:rsidP="00DF1C7A">
            <w:pPr>
              <w:rPr>
                <w:rFonts w:ascii="Arial Narrow" w:hAnsi="Arial Narrow"/>
                <w:sz w:val="20"/>
              </w:rPr>
            </w:pPr>
            <w:r w:rsidRPr="00DF1C7A">
              <w:rPr>
                <w:rFonts w:ascii="Arial Narrow" w:hAnsi="Arial Narrow"/>
                <w:b/>
                <w:bCs/>
                <w:sz w:val="20"/>
              </w:rPr>
              <w:t>Treatment criteria:</w:t>
            </w:r>
          </w:p>
        </w:tc>
      </w:tr>
      <w:tr w:rsidR="00DF1C7A" w:rsidRPr="00DF1C7A" w14:paraId="066840C0"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98EAC7B"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017BD35D" w14:textId="77777777" w:rsidR="00DF1C7A" w:rsidRPr="00DF1C7A" w:rsidRDefault="00DF1C7A" w:rsidP="00DF1C7A">
            <w:pPr>
              <w:rPr>
                <w:rFonts w:ascii="Arial Narrow" w:hAnsi="Arial Narrow"/>
                <w:sz w:val="20"/>
              </w:rPr>
            </w:pPr>
            <w:r w:rsidRPr="00DF1C7A">
              <w:rPr>
                <w:rFonts w:ascii="Arial Narrow" w:hAnsi="Arial Narrow"/>
                <w:sz w:val="20"/>
              </w:rPr>
              <w:t>Must be treated by an ophthalmologist or by an accredited ophthalmology registrar in consultation with an ophthalmologist</w:t>
            </w:r>
          </w:p>
        </w:tc>
      </w:tr>
      <w:tr w:rsidR="00DF1C7A" w:rsidRPr="00DF1C7A" w14:paraId="28514B57"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6888AE6F" w14:textId="77777777" w:rsidR="00DF1C7A" w:rsidRPr="00DF1C7A" w:rsidRDefault="00DF1C7A" w:rsidP="00DF1C7A">
            <w:pPr>
              <w:jc w:val="center"/>
              <w:rPr>
                <w:rFonts w:ascii="Arial Narrow" w:hAnsi="Arial Narrow"/>
                <w:i/>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5E98D5DC" w14:textId="77777777" w:rsidR="00DF1C7A" w:rsidRPr="00DF1C7A" w:rsidRDefault="00DF1C7A" w:rsidP="00DF1C7A">
            <w:pPr>
              <w:rPr>
                <w:rFonts w:ascii="Arial Narrow" w:hAnsi="Arial Narrow"/>
                <w:i/>
                <w:sz w:val="20"/>
              </w:rPr>
            </w:pPr>
            <w:r w:rsidRPr="00DF1C7A">
              <w:rPr>
                <w:rFonts w:ascii="Arial Narrow" w:hAnsi="Arial Narrow"/>
                <w:b/>
                <w:bCs/>
                <w:i/>
                <w:sz w:val="20"/>
              </w:rPr>
              <w:t>Prescribing Instructions:</w:t>
            </w:r>
            <w:r w:rsidRPr="00DF1C7A">
              <w:rPr>
                <w:rFonts w:ascii="Arial Narrow" w:hAnsi="Arial Narrow"/>
                <w:i/>
                <w:sz w:val="20"/>
              </w:rPr>
              <w:t xml:space="preserve"> Authority approval for initial treatment of each eye must be sought</w:t>
            </w:r>
          </w:p>
        </w:tc>
      </w:tr>
      <w:tr w:rsidR="00DF1C7A" w:rsidRPr="00DF1C7A" w14:paraId="45C1A6C0"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hidden/>
        </w:trPr>
        <w:tc>
          <w:tcPr>
            <w:tcW w:w="548" w:type="pct"/>
            <w:tcBorders>
              <w:top w:val="single" w:sz="4" w:space="0" w:color="auto"/>
              <w:left w:val="single" w:sz="4" w:space="0" w:color="auto"/>
              <w:bottom w:val="single" w:sz="4" w:space="0" w:color="auto"/>
              <w:right w:val="single" w:sz="4" w:space="0" w:color="auto"/>
            </w:tcBorders>
            <w:vAlign w:val="center"/>
          </w:tcPr>
          <w:p w14:paraId="51C40A18" w14:textId="77777777" w:rsidR="00DF1C7A" w:rsidRPr="00DF1C7A" w:rsidRDefault="00DF1C7A" w:rsidP="00DF1C7A">
            <w:pPr>
              <w:jc w:val="center"/>
              <w:outlineLvl w:val="4"/>
              <w:rPr>
                <w:rFonts w:ascii="Arial Narrow" w:hAnsi="Arial Narrow"/>
                <w:vanish/>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68C40B1D" w14:textId="77777777" w:rsidR="00DF1C7A" w:rsidRPr="00DF1C7A" w:rsidRDefault="00DF1C7A" w:rsidP="00DF1C7A">
            <w:pPr>
              <w:rPr>
                <w:rFonts w:ascii="Arial Narrow" w:hAnsi="Arial Narrow"/>
                <w:i/>
                <w:sz w:val="20"/>
              </w:rPr>
            </w:pPr>
            <w:r w:rsidRPr="00DF1C7A">
              <w:rPr>
                <w:rFonts w:ascii="Arial Narrow" w:hAnsi="Arial Narrow"/>
                <w:b/>
                <w:bCs/>
                <w:i/>
                <w:sz w:val="20"/>
              </w:rPr>
              <w:t>Prescribing Instructions:</w:t>
            </w:r>
          </w:p>
          <w:p w14:paraId="43EB53EB" w14:textId="77777777" w:rsidR="00DF1C7A" w:rsidRPr="00DF1C7A" w:rsidRDefault="00DF1C7A" w:rsidP="00DF1C7A">
            <w:pPr>
              <w:rPr>
                <w:rFonts w:ascii="Arial Narrow" w:hAnsi="Arial Narrow"/>
                <w:i/>
                <w:sz w:val="20"/>
              </w:rPr>
            </w:pPr>
            <w:r w:rsidRPr="00DF1C7A">
              <w:rPr>
                <w:rFonts w:ascii="Arial Narrow" w:hAnsi="Arial Narrow"/>
                <w:i/>
                <w:sz w:val="20"/>
              </w:rPr>
              <w:t>Authority approval for initial treatment of each eye must be sought.</w:t>
            </w:r>
          </w:p>
          <w:p w14:paraId="35FF25EE" w14:textId="77777777" w:rsidR="00DF1C7A" w:rsidRPr="00DF1C7A" w:rsidRDefault="00DF1C7A" w:rsidP="00DF1C7A">
            <w:pPr>
              <w:rPr>
                <w:rFonts w:ascii="Arial Narrow" w:hAnsi="Arial Narrow"/>
                <w:i/>
                <w:sz w:val="20"/>
              </w:rPr>
            </w:pPr>
            <w:r w:rsidRPr="00DF1C7A">
              <w:rPr>
                <w:rFonts w:ascii="Arial Narrow" w:hAnsi="Arial Narrow"/>
                <w:i/>
                <w:sz w:val="20"/>
              </w:rPr>
              <w:t>The first authority application for each eye must be made in writing.</w:t>
            </w:r>
          </w:p>
          <w:p w14:paraId="185EE0D9" w14:textId="77777777" w:rsidR="00DF1C7A" w:rsidRPr="00DF1C7A" w:rsidRDefault="00DF1C7A" w:rsidP="00DF1C7A">
            <w:pPr>
              <w:rPr>
                <w:rFonts w:ascii="Arial Narrow" w:hAnsi="Arial Narrow"/>
                <w:i/>
                <w:sz w:val="20"/>
              </w:rPr>
            </w:pPr>
            <w:r w:rsidRPr="00DF1C7A">
              <w:rPr>
                <w:rFonts w:ascii="Arial Narrow" w:hAnsi="Arial Narrow"/>
                <w:i/>
                <w:sz w:val="20"/>
              </w:rPr>
              <w:t>A written application must include:</w:t>
            </w:r>
          </w:p>
          <w:p w14:paraId="0AE49FF4" w14:textId="77777777" w:rsidR="00DF1C7A" w:rsidRPr="00DF1C7A" w:rsidRDefault="00DF1C7A" w:rsidP="00DF1C7A">
            <w:pPr>
              <w:rPr>
                <w:rFonts w:ascii="Arial Narrow" w:hAnsi="Arial Narrow"/>
                <w:i/>
                <w:sz w:val="20"/>
              </w:rPr>
            </w:pPr>
            <w:r w:rsidRPr="00DF1C7A">
              <w:rPr>
                <w:rFonts w:ascii="Arial Narrow" w:hAnsi="Arial Narrow"/>
                <w:i/>
                <w:sz w:val="20"/>
              </w:rPr>
              <w:t>a) a completed authority prescription form; and</w:t>
            </w:r>
          </w:p>
          <w:p w14:paraId="7FD9132D" w14:textId="77777777" w:rsidR="00DF1C7A" w:rsidRPr="00DF1C7A" w:rsidRDefault="00DF1C7A" w:rsidP="00DF1C7A">
            <w:pPr>
              <w:rPr>
                <w:rFonts w:ascii="Arial Narrow" w:hAnsi="Arial Narrow"/>
                <w:i/>
                <w:sz w:val="20"/>
              </w:rPr>
            </w:pPr>
            <w:r w:rsidRPr="00DF1C7A">
              <w:rPr>
                <w:rFonts w:ascii="Arial Narrow" w:hAnsi="Arial Narrow"/>
                <w:i/>
                <w:sz w:val="20"/>
              </w:rPr>
              <w:t xml:space="preserve">b) a completed </w:t>
            </w:r>
            <w:proofErr w:type="spellStart"/>
            <w:r w:rsidRPr="00DF1C7A">
              <w:rPr>
                <w:rFonts w:ascii="Arial Narrow" w:hAnsi="Arial Narrow"/>
                <w:i/>
                <w:sz w:val="20"/>
              </w:rPr>
              <w:t>Subfoveal</w:t>
            </w:r>
            <w:proofErr w:type="spellEnd"/>
            <w:r w:rsidRPr="00DF1C7A">
              <w:rPr>
                <w:rFonts w:ascii="Arial Narrow" w:hAnsi="Arial Narrow"/>
                <w:i/>
                <w:sz w:val="20"/>
              </w:rPr>
              <w:t xml:space="preserve"> Choroidal Neovascularisation (CNV) Application Form.</w:t>
            </w:r>
          </w:p>
        </w:tc>
      </w:tr>
      <w:tr w:rsidR="00DF1C7A" w:rsidRPr="00DF1C7A" w14:paraId="64EA470A"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hidden/>
        </w:trPr>
        <w:tc>
          <w:tcPr>
            <w:tcW w:w="548" w:type="pct"/>
            <w:tcBorders>
              <w:top w:val="single" w:sz="4" w:space="0" w:color="auto"/>
              <w:left w:val="single" w:sz="4" w:space="0" w:color="auto"/>
              <w:bottom w:val="single" w:sz="4" w:space="0" w:color="auto"/>
              <w:right w:val="single" w:sz="4" w:space="0" w:color="auto"/>
            </w:tcBorders>
            <w:vAlign w:val="center"/>
          </w:tcPr>
          <w:p w14:paraId="3126E1E7" w14:textId="77777777" w:rsidR="00DF1C7A" w:rsidRPr="00DF1C7A" w:rsidRDefault="00DF1C7A" w:rsidP="00DF1C7A">
            <w:pPr>
              <w:jc w:val="center"/>
              <w:outlineLvl w:val="4"/>
              <w:rPr>
                <w:rFonts w:ascii="Arial Narrow" w:hAnsi="Arial Narrow"/>
                <w:i/>
                <w:vanish/>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3BB51FB4" w14:textId="77777777" w:rsidR="00DF1C7A" w:rsidRPr="00DF1C7A" w:rsidRDefault="00DF1C7A" w:rsidP="00DF1C7A">
            <w:pPr>
              <w:rPr>
                <w:rFonts w:ascii="Arial Narrow" w:hAnsi="Arial Narrow"/>
                <w:strike/>
                <w:sz w:val="20"/>
              </w:rPr>
            </w:pPr>
            <w:r w:rsidRPr="00DF1C7A">
              <w:rPr>
                <w:rFonts w:ascii="Arial Narrow" w:hAnsi="Arial Narrow"/>
                <w:b/>
                <w:bCs/>
                <w:strike/>
                <w:sz w:val="20"/>
              </w:rPr>
              <w:t>Administrative Advice:</w:t>
            </w:r>
          </w:p>
          <w:p w14:paraId="2E8E0C7E" w14:textId="77777777" w:rsidR="00DF1C7A" w:rsidRPr="00DF1C7A" w:rsidRDefault="00DF1C7A" w:rsidP="00DF1C7A">
            <w:pPr>
              <w:rPr>
                <w:rFonts w:ascii="Arial Narrow" w:hAnsi="Arial Narrow"/>
                <w:bCs/>
                <w:i/>
                <w:sz w:val="20"/>
              </w:rPr>
            </w:pPr>
            <w:r w:rsidRPr="00DF1C7A">
              <w:rPr>
                <w:rFonts w:ascii="Arial Narrow" w:hAnsi="Arial Narrow"/>
                <w:bCs/>
                <w:strike/>
                <w:sz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p w14:paraId="1A81F7EC" w14:textId="77777777" w:rsidR="00DF1C7A" w:rsidRPr="00DF1C7A" w:rsidRDefault="00DF1C7A" w:rsidP="00DF1C7A">
            <w:pPr>
              <w:rPr>
                <w:rFonts w:ascii="Arial Narrow" w:hAnsi="Arial Narrow"/>
                <w:i/>
                <w:sz w:val="20"/>
              </w:rPr>
            </w:pPr>
            <w:r w:rsidRPr="00DF1C7A">
              <w:rPr>
                <w:rFonts w:ascii="Arial Narrow" w:hAnsi="Arial Narrow"/>
                <w:b/>
                <w:bCs/>
                <w:i/>
                <w:sz w:val="20"/>
              </w:rPr>
              <w:t>Administrative Advice:</w:t>
            </w:r>
          </w:p>
          <w:p w14:paraId="0710CA6A" w14:textId="77777777" w:rsidR="00DF1C7A" w:rsidRPr="00DF1C7A" w:rsidRDefault="00DF1C7A" w:rsidP="00DF1C7A">
            <w:pPr>
              <w:rPr>
                <w:rFonts w:ascii="Arial Narrow" w:hAnsi="Arial Narrow"/>
                <w:i/>
                <w:sz w:val="20"/>
              </w:rPr>
            </w:pPr>
            <w:r w:rsidRPr="00DF1C7A">
              <w:rPr>
                <w:rFonts w:ascii="Arial Narrow" w:hAnsi="Arial Narrow"/>
                <w:i/>
                <w:sz w:val="20"/>
              </w:rPr>
              <w:t>Any queries concerning the arrangements to prescribe may be directed to the Services Australia on 1800 700 270 (hours of operation 8 a.m. to 5 p.m. EST Monday to Friday).</w:t>
            </w:r>
          </w:p>
          <w:p w14:paraId="2A320865" w14:textId="77777777" w:rsidR="00DF1C7A" w:rsidRPr="00DF1C7A" w:rsidRDefault="00DF1C7A" w:rsidP="00DF1C7A">
            <w:pPr>
              <w:rPr>
                <w:rFonts w:ascii="Arial Narrow" w:hAnsi="Arial Narrow"/>
                <w:i/>
                <w:sz w:val="20"/>
              </w:rPr>
            </w:pPr>
          </w:p>
          <w:p w14:paraId="5C78D3E5" w14:textId="77777777" w:rsidR="00DF1C7A" w:rsidRPr="00DF1C7A" w:rsidRDefault="00DF1C7A" w:rsidP="00DF1C7A">
            <w:pPr>
              <w:rPr>
                <w:rFonts w:ascii="Arial Narrow" w:hAnsi="Arial Narrow"/>
                <w:i/>
                <w:sz w:val="20"/>
              </w:rPr>
            </w:pPr>
            <w:r w:rsidRPr="00DF1C7A">
              <w:rPr>
                <w:rFonts w:ascii="Arial Narrow" w:hAnsi="Arial Narrow"/>
                <w:i/>
                <w:sz w:val="20"/>
              </w:rPr>
              <w:t>Prescribing information (including Authority Application forms and other relevant documentation as applicable) is available on the Services Australia website at</w:t>
            </w:r>
            <w:r w:rsidRPr="00DF1C7A">
              <w:t xml:space="preserve"> </w:t>
            </w:r>
            <w:r w:rsidRPr="00DF1C7A">
              <w:rPr>
                <w:rFonts w:ascii="Arial Narrow" w:hAnsi="Arial Narrow"/>
                <w:i/>
                <w:sz w:val="20"/>
              </w:rPr>
              <w:t>servicesaustralia.gov.au</w:t>
            </w:r>
          </w:p>
          <w:p w14:paraId="2265E3CA" w14:textId="77777777" w:rsidR="00DF1C7A" w:rsidRPr="00DF1C7A" w:rsidRDefault="00DF1C7A" w:rsidP="00DF1C7A">
            <w:pPr>
              <w:rPr>
                <w:rFonts w:ascii="Arial Narrow" w:hAnsi="Arial Narrow"/>
                <w:i/>
                <w:sz w:val="20"/>
              </w:rPr>
            </w:pPr>
          </w:p>
          <w:p w14:paraId="39E08FEE" w14:textId="77777777" w:rsidR="00DF1C7A" w:rsidRPr="00DF1C7A" w:rsidRDefault="00DF1C7A" w:rsidP="00DF1C7A">
            <w:pPr>
              <w:rPr>
                <w:rFonts w:ascii="Arial Narrow" w:hAnsi="Arial Narrow"/>
                <w:i/>
                <w:sz w:val="20"/>
              </w:rPr>
            </w:pPr>
            <w:r w:rsidRPr="00DF1C7A">
              <w:rPr>
                <w:rFonts w:ascii="Arial Narrow" w:hAnsi="Arial Narrow"/>
                <w:i/>
                <w:sz w:val="20"/>
              </w:rPr>
              <w:t>Applications for authority to prescribe should be submitted online using the form upload facility in Health Professional Online Services (HPOS)</w:t>
            </w:r>
            <w:r w:rsidRPr="00DF1C7A">
              <w:rPr>
                <w:rFonts w:ascii="Arial Narrow" w:hAnsi="Arial Narrow"/>
                <w:bCs/>
                <w:i/>
                <w:sz w:val="20"/>
              </w:rPr>
              <w:t xml:space="preserve"> at www.servicesaustralia.gov.au/hpos </w:t>
            </w:r>
          </w:p>
          <w:p w14:paraId="76FE653D" w14:textId="77777777" w:rsidR="00DF1C7A" w:rsidRPr="00DF1C7A" w:rsidRDefault="00DF1C7A" w:rsidP="00DF1C7A">
            <w:pPr>
              <w:rPr>
                <w:rFonts w:ascii="Arial Narrow" w:hAnsi="Arial Narrow"/>
                <w:i/>
                <w:sz w:val="20"/>
              </w:rPr>
            </w:pPr>
            <w:r w:rsidRPr="00DF1C7A">
              <w:rPr>
                <w:rFonts w:ascii="Arial Narrow" w:hAnsi="Arial Narrow"/>
                <w:i/>
                <w:sz w:val="20"/>
              </w:rPr>
              <w:t>Or mailed to:</w:t>
            </w:r>
          </w:p>
          <w:p w14:paraId="187ED5D1" w14:textId="77777777" w:rsidR="00DF1C7A" w:rsidRPr="00DF1C7A" w:rsidRDefault="00DF1C7A" w:rsidP="00DF1C7A">
            <w:pPr>
              <w:rPr>
                <w:rFonts w:ascii="Arial Narrow" w:hAnsi="Arial Narrow"/>
                <w:i/>
                <w:sz w:val="20"/>
              </w:rPr>
            </w:pPr>
            <w:r w:rsidRPr="00DF1C7A">
              <w:rPr>
                <w:rFonts w:ascii="Arial Narrow" w:hAnsi="Arial Narrow"/>
                <w:i/>
                <w:sz w:val="20"/>
              </w:rPr>
              <w:t>Services Australia</w:t>
            </w:r>
          </w:p>
          <w:p w14:paraId="54DD61C1" w14:textId="77777777" w:rsidR="00DF1C7A" w:rsidRPr="00DF1C7A" w:rsidRDefault="00DF1C7A" w:rsidP="00DF1C7A">
            <w:pPr>
              <w:rPr>
                <w:rFonts w:ascii="Arial Narrow" w:hAnsi="Arial Narrow"/>
                <w:i/>
                <w:sz w:val="20"/>
              </w:rPr>
            </w:pPr>
            <w:r w:rsidRPr="00DF1C7A">
              <w:rPr>
                <w:rFonts w:ascii="Arial Narrow" w:hAnsi="Arial Narrow"/>
                <w:i/>
                <w:sz w:val="20"/>
              </w:rPr>
              <w:t xml:space="preserve">Complex Drugs </w:t>
            </w:r>
          </w:p>
          <w:p w14:paraId="4BFC171C" w14:textId="77777777" w:rsidR="00DF1C7A" w:rsidRPr="00DF1C7A" w:rsidRDefault="00DF1C7A" w:rsidP="00DF1C7A">
            <w:pPr>
              <w:rPr>
                <w:rFonts w:ascii="Arial Narrow" w:hAnsi="Arial Narrow"/>
                <w:i/>
                <w:sz w:val="20"/>
              </w:rPr>
            </w:pPr>
            <w:r w:rsidRPr="00DF1C7A">
              <w:rPr>
                <w:rFonts w:ascii="Arial Narrow" w:hAnsi="Arial Narrow"/>
                <w:i/>
                <w:sz w:val="20"/>
              </w:rPr>
              <w:t xml:space="preserve">Reply Paid 9826 </w:t>
            </w:r>
          </w:p>
          <w:p w14:paraId="210F5987" w14:textId="77777777" w:rsidR="00DF1C7A" w:rsidRPr="00DF1C7A" w:rsidRDefault="00DF1C7A" w:rsidP="00DF1C7A">
            <w:pPr>
              <w:rPr>
                <w:rFonts w:ascii="Arial Narrow" w:hAnsi="Arial Narrow"/>
                <w:i/>
                <w:sz w:val="20"/>
              </w:rPr>
            </w:pPr>
            <w:r w:rsidRPr="00DF1C7A">
              <w:rPr>
                <w:rFonts w:ascii="Arial Narrow" w:hAnsi="Arial Narrow"/>
                <w:i/>
                <w:sz w:val="20"/>
              </w:rPr>
              <w:t>HOBART TAS 7001</w:t>
            </w:r>
          </w:p>
        </w:tc>
      </w:tr>
      <w:tr w:rsidR="00DF1C7A" w:rsidRPr="00DF1C7A" w14:paraId="27677BA0"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0AB430EA"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3DC53229" w14:textId="77777777" w:rsidR="00DF1C7A" w:rsidRPr="00DF1C7A" w:rsidRDefault="00DF1C7A" w:rsidP="00DF1C7A">
            <w:pPr>
              <w:rPr>
                <w:rFonts w:ascii="Arial Narrow" w:hAnsi="Arial Narrow"/>
                <w:b/>
                <w:bCs/>
                <w:sz w:val="20"/>
              </w:rPr>
            </w:pPr>
            <w:r w:rsidRPr="00DF1C7A">
              <w:rPr>
                <w:rFonts w:ascii="Arial Narrow" w:hAnsi="Arial Narrow"/>
                <w:b/>
                <w:bCs/>
                <w:sz w:val="20"/>
              </w:rPr>
              <w:t>Administrative Advice:</w:t>
            </w:r>
          </w:p>
          <w:p w14:paraId="51222EBA" w14:textId="77777777" w:rsidR="00DF1C7A" w:rsidRPr="00DF1C7A" w:rsidRDefault="00DF1C7A" w:rsidP="00DF1C7A">
            <w:pPr>
              <w:rPr>
                <w:rFonts w:ascii="Arial Narrow" w:hAnsi="Arial Narrow"/>
                <w:bCs/>
                <w:sz w:val="20"/>
              </w:rPr>
            </w:pPr>
            <w:r w:rsidRPr="00DF1C7A">
              <w:rPr>
                <w:rFonts w:ascii="Arial Narrow" w:hAnsi="Arial Narrow"/>
                <w:bCs/>
                <w:sz w:val="20"/>
              </w:rPr>
              <w:t>No increase in the maximum number of repeats may be authorised</w:t>
            </w:r>
          </w:p>
        </w:tc>
      </w:tr>
      <w:tr w:rsidR="00DF1C7A" w:rsidRPr="00DF1C7A" w14:paraId="1BA2A392"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7FE6BBC"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0677F77F" w14:textId="77777777" w:rsidR="00DF1C7A" w:rsidRPr="00DF1C7A" w:rsidRDefault="00DF1C7A" w:rsidP="00DF1C7A">
            <w:pPr>
              <w:rPr>
                <w:rFonts w:ascii="Arial Narrow" w:hAnsi="Arial Narrow"/>
                <w:b/>
                <w:sz w:val="20"/>
                <w:lang w:val="en-GB"/>
              </w:rPr>
            </w:pPr>
            <w:r w:rsidRPr="00DF1C7A">
              <w:rPr>
                <w:rFonts w:ascii="Arial Narrow" w:hAnsi="Arial Narrow"/>
                <w:b/>
                <w:sz w:val="20"/>
                <w:lang w:val="en-GB"/>
              </w:rPr>
              <w:t>Administrative Advice:</w:t>
            </w:r>
          </w:p>
          <w:p w14:paraId="435E81B4" w14:textId="77777777" w:rsidR="00DF1C7A" w:rsidRPr="00DF1C7A" w:rsidRDefault="00DF1C7A" w:rsidP="00DF1C7A">
            <w:pPr>
              <w:rPr>
                <w:rFonts w:ascii="Arial Narrow" w:hAnsi="Arial Narrow"/>
                <w:b/>
                <w:bCs/>
                <w:sz w:val="20"/>
              </w:rPr>
            </w:pPr>
            <w:r w:rsidRPr="00DF1C7A">
              <w:rPr>
                <w:rFonts w:ascii="Arial Narrow" w:hAnsi="Arial Narrow"/>
                <w:sz w:val="20"/>
                <w:lang w:val="en-GB"/>
              </w:rPr>
              <w:t>Where both eyes are affected by the condition, a quantity of 2 units can be requested on the same authority prescription form</w:t>
            </w:r>
          </w:p>
        </w:tc>
      </w:tr>
      <w:tr w:rsidR="00DF1C7A" w:rsidRPr="00DF1C7A" w14:paraId="71BFBE94"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969CEF6"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7B3592AC" w14:textId="77777777" w:rsidR="00DF1C7A" w:rsidRPr="00DF1C7A" w:rsidRDefault="00DF1C7A" w:rsidP="00DF1C7A">
            <w:pPr>
              <w:rPr>
                <w:rFonts w:ascii="Arial Narrow" w:hAnsi="Arial Narrow"/>
                <w:b/>
                <w:bCs/>
                <w:sz w:val="20"/>
              </w:rPr>
            </w:pPr>
            <w:r w:rsidRPr="00DF1C7A">
              <w:rPr>
                <w:rFonts w:ascii="Arial Narrow" w:hAnsi="Arial Narrow"/>
                <w:b/>
                <w:bCs/>
                <w:sz w:val="20"/>
              </w:rPr>
              <w:t>Administrative Advice:</w:t>
            </w:r>
          </w:p>
          <w:p w14:paraId="5148D27C" w14:textId="77777777" w:rsidR="00DF1C7A" w:rsidRPr="00DF1C7A" w:rsidRDefault="00DF1C7A" w:rsidP="00DF1C7A">
            <w:pPr>
              <w:rPr>
                <w:rFonts w:ascii="Arial Narrow" w:hAnsi="Arial Narrow"/>
                <w:bCs/>
                <w:sz w:val="20"/>
              </w:rPr>
            </w:pPr>
            <w:r w:rsidRPr="00DF1C7A">
              <w:rPr>
                <w:rFonts w:ascii="Arial Narrow" w:hAnsi="Arial Narrow"/>
                <w:bCs/>
                <w:sz w:val="20"/>
              </w:rPr>
              <w:t>No increase in the maximum quantity or number of units may be authorised for applications for treatment of one eye</w:t>
            </w:r>
          </w:p>
        </w:tc>
      </w:tr>
      <w:tr w:rsidR="00DF1C7A" w:rsidRPr="00DF1C7A" w14:paraId="4B6A58D9"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63FF244E"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4E20BDF2" w14:textId="77777777" w:rsidR="00DF1C7A" w:rsidRPr="00DF1C7A" w:rsidRDefault="00DF1C7A" w:rsidP="00DF1C7A">
            <w:pPr>
              <w:rPr>
                <w:rFonts w:ascii="Arial Narrow" w:hAnsi="Arial Narrow"/>
                <w:bCs/>
                <w:strike/>
                <w:sz w:val="20"/>
              </w:rPr>
            </w:pPr>
            <w:r w:rsidRPr="00DF1C7A">
              <w:rPr>
                <w:rFonts w:ascii="Arial Narrow" w:hAnsi="Arial Narrow"/>
                <w:b/>
                <w:bCs/>
                <w:strike/>
                <w:sz w:val="20"/>
              </w:rPr>
              <w:t>Administrative Advice:</w:t>
            </w:r>
          </w:p>
          <w:p w14:paraId="5923BF2F" w14:textId="77777777" w:rsidR="00DF1C7A" w:rsidRPr="00DF1C7A" w:rsidRDefault="00DF1C7A" w:rsidP="00DF1C7A">
            <w:pPr>
              <w:rPr>
                <w:rFonts w:ascii="Arial Narrow" w:hAnsi="Arial Narrow"/>
                <w:bCs/>
                <w:sz w:val="20"/>
              </w:rPr>
            </w:pPr>
            <w:r w:rsidRPr="00DF1C7A">
              <w:rPr>
                <w:rFonts w:ascii="Arial Narrow" w:hAnsi="Arial Narrow"/>
                <w:bCs/>
                <w:strike/>
                <w:sz w:val="20"/>
              </w:rPr>
              <w:t>Ranibizumab (</w:t>
            </w:r>
            <w:proofErr w:type="spellStart"/>
            <w:r w:rsidRPr="00DF1C7A">
              <w:rPr>
                <w:rFonts w:ascii="Arial Narrow" w:hAnsi="Arial Narrow"/>
                <w:bCs/>
                <w:strike/>
                <w:sz w:val="20"/>
              </w:rPr>
              <w:t>Susvimo</w:t>
            </w:r>
            <w:proofErr w:type="spellEnd"/>
            <w:r w:rsidRPr="00DF1C7A">
              <w:rPr>
                <w:rFonts w:ascii="Arial Narrow" w:hAnsi="Arial Narrow"/>
                <w:bCs/>
                <w:strike/>
                <w:sz w:val="20"/>
              </w:rPr>
              <w:t>®) is intended for continuous delivery via the implant only. Do not administer by any other route (e.g., not as a bolus intravitreal injection)</w:t>
            </w:r>
          </w:p>
        </w:tc>
      </w:tr>
      <w:tr w:rsidR="00DF1C7A" w:rsidRPr="00DF1C7A" w14:paraId="31464C22"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49DF5074"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tcPr>
          <w:p w14:paraId="171E40E5" w14:textId="77777777" w:rsidR="00DF1C7A" w:rsidRPr="00DF1C7A" w:rsidRDefault="00DF1C7A" w:rsidP="00DF1C7A">
            <w:pPr>
              <w:rPr>
                <w:rFonts w:ascii="Arial Narrow" w:hAnsi="Arial Narrow"/>
                <w:bCs/>
                <w:sz w:val="20"/>
              </w:rPr>
            </w:pPr>
            <w:r w:rsidRPr="00DF1C7A">
              <w:rPr>
                <w:rFonts w:ascii="Arial Narrow" w:hAnsi="Arial Narrow"/>
                <w:b/>
                <w:bCs/>
                <w:sz w:val="20"/>
              </w:rPr>
              <w:t>Administrative Advice:</w:t>
            </w:r>
          </w:p>
          <w:p w14:paraId="7EAC40FE" w14:textId="77777777" w:rsidR="00DF1C7A" w:rsidRPr="00DF1C7A" w:rsidRDefault="00DF1C7A" w:rsidP="00DF1C7A">
            <w:pPr>
              <w:rPr>
                <w:rFonts w:ascii="Arial Narrow" w:hAnsi="Arial Narrow"/>
                <w:bCs/>
                <w:sz w:val="20"/>
              </w:rPr>
            </w:pPr>
            <w:r w:rsidRPr="00DF1C7A">
              <w:rPr>
                <w:rFonts w:ascii="Arial Narrow" w:hAnsi="Arial Narrow"/>
                <w:bCs/>
                <w:sz w:val="20"/>
              </w:rPr>
              <w:t>Ranibizumab 0.395 mL injection vial is not interchangeable with ranibizumab 0.165 mL injection syringe or ranibizumab 0.23 mL injection vial</w:t>
            </w:r>
          </w:p>
        </w:tc>
      </w:tr>
      <w:tr w:rsidR="00DF1C7A" w:rsidRPr="00DF1C7A" w14:paraId="76F65C1C" w14:textId="77777777" w:rsidTr="00ED4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548" w:type="pct"/>
            <w:tcBorders>
              <w:top w:val="single" w:sz="4" w:space="0" w:color="auto"/>
              <w:left w:val="single" w:sz="4" w:space="0" w:color="auto"/>
              <w:bottom w:val="single" w:sz="4" w:space="0" w:color="auto"/>
              <w:right w:val="single" w:sz="4" w:space="0" w:color="auto"/>
            </w:tcBorders>
            <w:vAlign w:val="center"/>
          </w:tcPr>
          <w:p w14:paraId="70E37191" w14:textId="77777777" w:rsidR="00DF1C7A" w:rsidRPr="00DF1C7A" w:rsidRDefault="00DF1C7A" w:rsidP="00DF1C7A">
            <w:pPr>
              <w:jc w:val="center"/>
              <w:rPr>
                <w:rFonts w:ascii="Arial Narrow" w:hAnsi="Arial Narrow"/>
                <w:sz w:val="20"/>
              </w:rPr>
            </w:pPr>
          </w:p>
        </w:tc>
        <w:tc>
          <w:tcPr>
            <w:tcW w:w="4452" w:type="pct"/>
            <w:gridSpan w:val="6"/>
            <w:tcBorders>
              <w:top w:val="single" w:sz="4" w:space="0" w:color="auto"/>
              <w:left w:val="single" w:sz="4" w:space="0" w:color="auto"/>
              <w:bottom w:val="single" w:sz="4" w:space="0" w:color="auto"/>
              <w:right w:val="single" w:sz="4" w:space="0" w:color="auto"/>
            </w:tcBorders>
            <w:vAlign w:val="center"/>
            <w:hideMark/>
          </w:tcPr>
          <w:p w14:paraId="6088B0E0" w14:textId="77777777" w:rsidR="00DF1C7A" w:rsidRPr="00DF1C7A" w:rsidRDefault="00DF1C7A" w:rsidP="00DF1C7A">
            <w:pPr>
              <w:rPr>
                <w:rFonts w:ascii="Arial Narrow" w:hAnsi="Arial Narrow"/>
                <w:sz w:val="20"/>
              </w:rPr>
            </w:pPr>
            <w:r w:rsidRPr="00DF1C7A">
              <w:rPr>
                <w:rFonts w:ascii="Arial Narrow" w:hAnsi="Arial Narrow"/>
                <w:b/>
                <w:bCs/>
                <w:sz w:val="20"/>
              </w:rPr>
              <w:t>Administrative Advice:</w:t>
            </w:r>
            <w:r w:rsidRPr="00DF1C7A">
              <w:rPr>
                <w:rFonts w:ascii="Arial Narrow" w:hAnsi="Arial Narrow"/>
                <w:sz w:val="20"/>
              </w:rPr>
              <w:t xml:space="preserve"> Special Pricing Arrangements apply</w:t>
            </w:r>
          </w:p>
        </w:tc>
      </w:tr>
    </w:tbl>
    <w:p w14:paraId="64389D19" w14:textId="77777777" w:rsidR="00DF1C7A" w:rsidRPr="00DF1C7A" w:rsidRDefault="00DF1C7A" w:rsidP="00DF1C7A">
      <w:pPr>
        <w:spacing w:after="120"/>
        <w:rPr>
          <w:rFonts w:asciiTheme="minorHAnsi" w:eastAsiaTheme="minorHAnsi" w:hAnsiTheme="minorHAnsi" w:cstheme="minorBidi"/>
          <w:snapToGrid w:val="0"/>
          <w:sz w:val="20"/>
          <w:szCs w:val="20"/>
        </w:rPr>
      </w:pPr>
    </w:p>
    <w:p w14:paraId="6AEFBCE5" w14:textId="77777777" w:rsidR="00DF1C7A" w:rsidRPr="00DF1C7A" w:rsidRDefault="00DF1C7A" w:rsidP="00DF1C7A">
      <w:pPr>
        <w:jc w:val="left"/>
        <w:rPr>
          <w:rFonts w:asciiTheme="minorHAnsi" w:eastAsiaTheme="minorHAnsi" w:hAnsiTheme="minorHAnsi" w:cstheme="minorBidi"/>
          <w:snapToGrid w:val="0"/>
          <w:sz w:val="20"/>
          <w:szCs w:val="20"/>
        </w:rPr>
      </w:pPr>
      <w:r w:rsidRPr="00DF1C7A">
        <w:rPr>
          <w:i/>
          <w:snapToGrid w:val="0"/>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455"/>
        <w:gridCol w:w="1417"/>
        <w:gridCol w:w="1270"/>
        <w:gridCol w:w="1261"/>
        <w:gridCol w:w="1109"/>
        <w:gridCol w:w="1555"/>
      </w:tblGrid>
      <w:tr w:rsidR="00DF1C7A" w:rsidRPr="00DF1C7A" w14:paraId="7737615F" w14:textId="77777777" w:rsidTr="00ED4BBD">
        <w:tc>
          <w:tcPr>
            <w:tcW w:w="1334" w:type="pct"/>
            <w:gridSpan w:val="2"/>
          </w:tcPr>
          <w:p w14:paraId="0A2E7DDA" w14:textId="77777777" w:rsidR="00DF1C7A" w:rsidRPr="00DF1C7A" w:rsidRDefault="00DF1C7A" w:rsidP="00DF1C7A">
            <w:pPr>
              <w:rPr>
                <w:rFonts w:ascii="Arial Narrow" w:hAnsi="Arial Narrow"/>
                <w:b/>
                <w:bCs/>
                <w:sz w:val="20"/>
              </w:rPr>
            </w:pPr>
            <w:r w:rsidRPr="00DF1C7A">
              <w:rPr>
                <w:rFonts w:ascii="Arial Narrow" w:hAnsi="Arial Narrow"/>
                <w:b/>
                <w:bCs/>
                <w:sz w:val="20"/>
              </w:rPr>
              <w:lastRenderedPageBreak/>
              <w:t>MEDICINAL PRODUCT</w:t>
            </w:r>
          </w:p>
          <w:p w14:paraId="349ED3F6" w14:textId="77777777" w:rsidR="00DF1C7A" w:rsidRPr="00DF1C7A" w:rsidRDefault="00DF1C7A" w:rsidP="00DF1C7A">
            <w:pPr>
              <w:jc w:val="left"/>
              <w:rPr>
                <w:rFonts w:ascii="Arial Narrow" w:eastAsiaTheme="minorHAnsi" w:hAnsi="Arial Narrow"/>
                <w:b/>
                <w:sz w:val="20"/>
                <w:szCs w:val="20"/>
                <w:lang w:eastAsia="en-US"/>
              </w:rPr>
            </w:pPr>
            <w:r w:rsidRPr="00DF1C7A">
              <w:rPr>
                <w:rFonts w:ascii="Arial Narrow" w:eastAsiaTheme="minorHAnsi" w:hAnsi="Arial Narrow"/>
                <w:b/>
                <w:bCs/>
                <w:sz w:val="20"/>
                <w:szCs w:val="20"/>
                <w:lang w:eastAsia="en-US"/>
              </w:rPr>
              <w:t>medicinal product pack</w:t>
            </w:r>
          </w:p>
        </w:tc>
        <w:tc>
          <w:tcPr>
            <w:tcW w:w="786" w:type="pct"/>
          </w:tcPr>
          <w:p w14:paraId="4C364DF2" w14:textId="77777777" w:rsidR="00DF1C7A" w:rsidRPr="00DF1C7A" w:rsidRDefault="00DF1C7A" w:rsidP="00DF1C7A">
            <w:pPr>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PBS item code</w:t>
            </w:r>
          </w:p>
        </w:tc>
        <w:tc>
          <w:tcPr>
            <w:tcW w:w="704" w:type="pct"/>
          </w:tcPr>
          <w:p w14:paraId="5A5924FD" w14:textId="77777777" w:rsidR="00DF1C7A" w:rsidRPr="00DF1C7A" w:rsidRDefault="00DF1C7A" w:rsidP="00DF1C7A">
            <w:pPr>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Max. qty (packs)</w:t>
            </w:r>
          </w:p>
        </w:tc>
        <w:tc>
          <w:tcPr>
            <w:tcW w:w="699" w:type="pct"/>
          </w:tcPr>
          <w:p w14:paraId="28ECE337" w14:textId="77777777" w:rsidR="00DF1C7A" w:rsidRPr="00DF1C7A" w:rsidRDefault="00DF1C7A" w:rsidP="00DF1C7A">
            <w:pPr>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Max. qty (units)</w:t>
            </w:r>
          </w:p>
        </w:tc>
        <w:tc>
          <w:tcPr>
            <w:tcW w:w="615" w:type="pct"/>
          </w:tcPr>
          <w:p w14:paraId="22D57EA3" w14:textId="77777777" w:rsidR="00DF1C7A" w:rsidRPr="00DF1C7A" w:rsidRDefault="00DF1C7A" w:rsidP="00DF1C7A">
            <w:pPr>
              <w:jc w:val="center"/>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 of repeats</w:t>
            </w:r>
          </w:p>
        </w:tc>
        <w:tc>
          <w:tcPr>
            <w:tcW w:w="862" w:type="pct"/>
          </w:tcPr>
          <w:p w14:paraId="7367FBE4" w14:textId="77777777" w:rsidR="00DF1C7A" w:rsidRPr="00DF1C7A" w:rsidRDefault="00DF1C7A" w:rsidP="00DF1C7A">
            <w:pPr>
              <w:jc w:val="left"/>
              <w:rPr>
                <w:rFonts w:ascii="Arial Narrow" w:eastAsiaTheme="minorHAnsi" w:hAnsi="Arial Narrow"/>
                <w:b/>
                <w:sz w:val="20"/>
                <w:szCs w:val="20"/>
                <w:lang w:eastAsia="en-US"/>
              </w:rPr>
            </w:pPr>
            <w:r w:rsidRPr="00DF1C7A">
              <w:rPr>
                <w:rFonts w:ascii="Arial Narrow" w:eastAsiaTheme="minorHAnsi" w:hAnsi="Arial Narrow"/>
                <w:b/>
                <w:sz w:val="20"/>
                <w:szCs w:val="20"/>
                <w:lang w:eastAsia="en-US"/>
              </w:rPr>
              <w:t>Proprietary name and manufacturer</w:t>
            </w:r>
          </w:p>
        </w:tc>
      </w:tr>
      <w:tr w:rsidR="00DF1C7A" w:rsidRPr="00DF1C7A" w14:paraId="7A4D88B8" w14:textId="77777777" w:rsidTr="00ED4BBD">
        <w:tc>
          <w:tcPr>
            <w:tcW w:w="1334" w:type="pct"/>
            <w:gridSpan w:val="2"/>
          </w:tcPr>
          <w:p w14:paraId="229F69FB" w14:textId="77777777" w:rsidR="00DF1C7A" w:rsidRPr="00DF1C7A" w:rsidRDefault="00DF1C7A" w:rsidP="00DF1C7A">
            <w:pPr>
              <w:jc w:val="left"/>
              <w:rPr>
                <w:rFonts w:ascii="Arial Narrow" w:hAnsi="Arial Narrow" w:cs="Times New Roman"/>
                <w:sz w:val="20"/>
                <w:szCs w:val="20"/>
                <w:lang w:eastAsia="en-US"/>
              </w:rPr>
            </w:pPr>
            <w:r w:rsidRPr="00DF1C7A">
              <w:rPr>
                <w:rFonts w:ascii="Arial Narrow" w:hAnsi="Arial Narrow" w:cs="Times New Roman"/>
                <w:sz w:val="20"/>
                <w:szCs w:val="20"/>
                <w:lang w:eastAsia="en-US"/>
              </w:rPr>
              <w:t xml:space="preserve">RANIBIZUMAB </w:t>
            </w:r>
          </w:p>
          <w:p w14:paraId="58B18E62" w14:textId="77777777" w:rsidR="00DF1C7A" w:rsidRPr="00DF1C7A" w:rsidRDefault="00DF1C7A" w:rsidP="00DF1C7A">
            <w:pPr>
              <w:jc w:val="left"/>
              <w:rPr>
                <w:rFonts w:ascii="Arial Narrow" w:hAnsi="Arial Narrow" w:cs="Times New Roman"/>
                <w:sz w:val="20"/>
                <w:szCs w:val="20"/>
                <w:lang w:eastAsia="en-US"/>
              </w:rPr>
            </w:pPr>
            <w:r w:rsidRPr="00DF1C7A">
              <w:rPr>
                <w:rFonts w:ascii="Arial Narrow" w:hAnsi="Arial Narrow" w:cs="Times New Roman"/>
                <w:sz w:val="20"/>
                <w:szCs w:val="20"/>
                <w:lang w:eastAsia="en-US"/>
              </w:rPr>
              <w:t>39.5 mg/0.395 mL solution for ocular implant, 0.395 mL vial</w:t>
            </w:r>
          </w:p>
        </w:tc>
        <w:tc>
          <w:tcPr>
            <w:tcW w:w="786" w:type="pct"/>
          </w:tcPr>
          <w:p w14:paraId="2EB03B64" w14:textId="77777777" w:rsidR="00DF1C7A" w:rsidRPr="00DF1C7A" w:rsidRDefault="00DF1C7A" w:rsidP="00DF1C7A">
            <w:pPr>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NEW</w:t>
            </w:r>
          </w:p>
        </w:tc>
        <w:tc>
          <w:tcPr>
            <w:tcW w:w="704" w:type="pct"/>
          </w:tcPr>
          <w:p w14:paraId="39E3337C" w14:textId="77777777" w:rsidR="00DF1C7A" w:rsidRPr="00DF1C7A" w:rsidRDefault="00DF1C7A" w:rsidP="00DF1C7A">
            <w:pPr>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1</w:t>
            </w:r>
          </w:p>
        </w:tc>
        <w:tc>
          <w:tcPr>
            <w:tcW w:w="699" w:type="pct"/>
          </w:tcPr>
          <w:p w14:paraId="5C3AF2D0" w14:textId="77777777" w:rsidR="00DF1C7A" w:rsidRPr="00DF1C7A" w:rsidRDefault="00DF1C7A" w:rsidP="00DF1C7A">
            <w:pPr>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1</w:t>
            </w:r>
          </w:p>
        </w:tc>
        <w:tc>
          <w:tcPr>
            <w:tcW w:w="615" w:type="pct"/>
          </w:tcPr>
          <w:p w14:paraId="5C81FC70" w14:textId="77777777" w:rsidR="00DF1C7A" w:rsidRPr="00DF1C7A" w:rsidRDefault="00DF1C7A" w:rsidP="00DF1C7A">
            <w:pPr>
              <w:jc w:val="center"/>
              <w:rPr>
                <w:rFonts w:ascii="Arial Narrow" w:hAnsi="Arial Narrow" w:cs="Times New Roman"/>
                <w:sz w:val="20"/>
                <w:szCs w:val="20"/>
                <w:lang w:eastAsia="en-US"/>
              </w:rPr>
            </w:pPr>
            <w:r w:rsidRPr="00DF1C7A">
              <w:rPr>
                <w:rFonts w:ascii="Arial Narrow" w:hAnsi="Arial Narrow" w:cs="Times New Roman"/>
                <w:sz w:val="20"/>
                <w:szCs w:val="20"/>
                <w:lang w:eastAsia="en-US"/>
              </w:rPr>
              <w:t>0</w:t>
            </w:r>
          </w:p>
        </w:tc>
        <w:tc>
          <w:tcPr>
            <w:tcW w:w="862" w:type="pct"/>
          </w:tcPr>
          <w:p w14:paraId="01BE3D97" w14:textId="77777777" w:rsidR="00DF1C7A" w:rsidRPr="00DF1C7A" w:rsidRDefault="00DF1C7A" w:rsidP="00DF1C7A">
            <w:pPr>
              <w:jc w:val="left"/>
              <w:rPr>
                <w:rFonts w:ascii="Arial Narrow" w:hAnsi="Arial Narrow" w:cs="Times New Roman"/>
                <w:sz w:val="20"/>
                <w:szCs w:val="20"/>
                <w:lang w:eastAsia="en-US"/>
              </w:rPr>
            </w:pPr>
            <w:proofErr w:type="spellStart"/>
            <w:r w:rsidRPr="00DF1C7A">
              <w:rPr>
                <w:rFonts w:ascii="Arial Narrow" w:hAnsi="Arial Narrow" w:cs="Times New Roman"/>
                <w:sz w:val="20"/>
                <w:szCs w:val="20"/>
                <w:lang w:eastAsia="en-US"/>
              </w:rPr>
              <w:t>Susvimo</w:t>
            </w:r>
            <w:proofErr w:type="spellEnd"/>
            <w:r w:rsidRPr="00DF1C7A">
              <w:rPr>
                <w:rFonts w:ascii="Arial Narrow" w:hAnsi="Arial Narrow" w:cs="Times New Roman"/>
                <w:sz w:val="20"/>
                <w:szCs w:val="20"/>
                <w:lang w:eastAsia="en-US"/>
              </w:rPr>
              <w:br/>
              <w:t>Roche Products Pty Ltd</w:t>
            </w:r>
          </w:p>
        </w:tc>
      </w:tr>
      <w:tr w:rsidR="00DF1C7A" w:rsidRPr="00DF1C7A" w14:paraId="056F0D41" w14:textId="77777777" w:rsidTr="00ED4BBD">
        <w:tblPrEx>
          <w:tblCellMar>
            <w:top w:w="15" w:type="dxa"/>
            <w:left w:w="15" w:type="dxa"/>
            <w:bottom w:w="15" w:type="dxa"/>
            <w:right w:w="15" w:type="dxa"/>
          </w:tblCellMar>
        </w:tblPrEx>
        <w:tc>
          <w:tcPr>
            <w:tcW w:w="527" w:type="pct"/>
            <w:tcBorders>
              <w:top w:val="single" w:sz="4" w:space="0" w:color="auto"/>
              <w:left w:val="single" w:sz="4" w:space="0" w:color="auto"/>
              <w:bottom w:val="single" w:sz="4" w:space="0" w:color="auto"/>
              <w:right w:val="single" w:sz="4" w:space="0" w:color="auto"/>
            </w:tcBorders>
          </w:tcPr>
          <w:p w14:paraId="0B82E3E6" w14:textId="77777777" w:rsidR="00DF1C7A" w:rsidRPr="00DF1C7A" w:rsidRDefault="00DF1C7A" w:rsidP="00DF1C7A">
            <w:pPr>
              <w:jc w:val="center"/>
              <w:rPr>
                <w:rFonts w:ascii="Arial Narrow" w:hAnsi="Arial Narrow"/>
                <w:b/>
                <w:sz w:val="20"/>
              </w:rPr>
            </w:pPr>
          </w:p>
        </w:tc>
        <w:tc>
          <w:tcPr>
            <w:tcW w:w="4473" w:type="pct"/>
            <w:gridSpan w:val="6"/>
            <w:tcBorders>
              <w:top w:val="single" w:sz="4" w:space="0" w:color="auto"/>
              <w:left w:val="single" w:sz="4" w:space="0" w:color="auto"/>
              <w:bottom w:val="single" w:sz="4" w:space="0" w:color="auto"/>
              <w:right w:val="single" w:sz="4" w:space="0" w:color="auto"/>
            </w:tcBorders>
          </w:tcPr>
          <w:p w14:paraId="376DAC12" w14:textId="77777777" w:rsidR="00DF1C7A" w:rsidRPr="00DF1C7A" w:rsidRDefault="00DF1C7A" w:rsidP="00DF1C7A">
            <w:pPr>
              <w:rPr>
                <w:rFonts w:ascii="Arial Narrow" w:hAnsi="Arial Narrow"/>
                <w:sz w:val="20"/>
              </w:rPr>
            </w:pPr>
            <w:r w:rsidRPr="00DF1C7A">
              <w:rPr>
                <w:rFonts w:ascii="Arial Narrow" w:hAnsi="Arial Narrow"/>
                <w:b/>
                <w:sz w:val="20"/>
              </w:rPr>
              <w:t xml:space="preserve">Category / Program:   </w:t>
            </w:r>
            <w:r w:rsidRPr="00DF1C7A">
              <w:rPr>
                <w:rFonts w:ascii="Arial Narrow" w:hAnsi="Arial Narrow"/>
                <w:sz w:val="20"/>
              </w:rPr>
              <w:t xml:space="preserve">GENERAL – General Schedule (Code GE) </w:t>
            </w:r>
          </w:p>
        </w:tc>
      </w:tr>
      <w:tr w:rsidR="00DF1C7A" w:rsidRPr="00DF1C7A" w14:paraId="7A378AAC" w14:textId="77777777" w:rsidTr="00ED4BBD">
        <w:tblPrEx>
          <w:tblCellMar>
            <w:top w:w="15" w:type="dxa"/>
            <w:left w:w="15" w:type="dxa"/>
            <w:bottom w:w="15" w:type="dxa"/>
            <w:right w:w="15" w:type="dxa"/>
          </w:tblCellMar>
        </w:tblPrEx>
        <w:trPr>
          <w:trHeight w:val="240"/>
        </w:trPr>
        <w:tc>
          <w:tcPr>
            <w:tcW w:w="527" w:type="pct"/>
            <w:tcBorders>
              <w:top w:val="single" w:sz="4" w:space="0" w:color="auto"/>
              <w:left w:val="single" w:sz="4" w:space="0" w:color="auto"/>
              <w:bottom w:val="single" w:sz="4" w:space="0" w:color="auto"/>
              <w:right w:val="single" w:sz="4" w:space="0" w:color="auto"/>
            </w:tcBorders>
          </w:tcPr>
          <w:p w14:paraId="105C1A82" w14:textId="77777777" w:rsidR="00DF1C7A" w:rsidRPr="00DF1C7A" w:rsidRDefault="00DF1C7A" w:rsidP="00DF1C7A">
            <w:pPr>
              <w:jc w:val="center"/>
              <w:rPr>
                <w:rFonts w:ascii="Arial Narrow" w:hAnsi="Arial Narrow"/>
                <w:sz w:val="20"/>
              </w:rPr>
            </w:pPr>
          </w:p>
        </w:tc>
        <w:tc>
          <w:tcPr>
            <w:tcW w:w="4473" w:type="pct"/>
            <w:gridSpan w:val="6"/>
            <w:tcBorders>
              <w:top w:val="single" w:sz="4" w:space="0" w:color="auto"/>
              <w:left w:val="single" w:sz="4" w:space="0" w:color="auto"/>
              <w:bottom w:val="single" w:sz="4" w:space="0" w:color="auto"/>
              <w:right w:val="single" w:sz="4" w:space="0" w:color="auto"/>
            </w:tcBorders>
          </w:tcPr>
          <w:p w14:paraId="3871A0EE" w14:textId="77777777" w:rsidR="00DF1C7A" w:rsidRPr="00DF1C7A" w:rsidRDefault="00DF1C7A" w:rsidP="00DF1C7A">
            <w:pPr>
              <w:rPr>
                <w:rFonts w:ascii="Arial Narrow" w:hAnsi="Arial Narrow"/>
                <w:b/>
                <w:sz w:val="20"/>
              </w:rPr>
            </w:pPr>
            <w:r w:rsidRPr="00DF1C7A">
              <w:rPr>
                <w:rFonts w:ascii="Arial Narrow" w:hAnsi="Arial Narrow"/>
                <w:b/>
                <w:sz w:val="20"/>
              </w:rPr>
              <w:t xml:space="preserve">Prescriber type:   </w:t>
            </w:r>
            <w:r w:rsidRPr="00DF1C7A">
              <w:rPr>
                <w:rFonts w:ascii="Arial Narrow" w:hAnsi="Arial Narrow"/>
                <w:sz w:val="20"/>
              </w:rPr>
              <w:fldChar w:fldCharType="begin" w:fldLock="1">
                <w:ffData>
                  <w:name w:val=""/>
                  <w:enabled/>
                  <w:calcOnExit w:val="0"/>
                  <w:checkBox>
                    <w:sizeAuto/>
                    <w:default w:val="1"/>
                  </w:checkBox>
                </w:ffData>
              </w:fldChar>
            </w:r>
            <w:r w:rsidRPr="00DF1C7A">
              <w:rPr>
                <w:rFonts w:ascii="Arial Narrow" w:hAnsi="Arial Narrow"/>
                <w:sz w:val="20"/>
              </w:rPr>
              <w:instrText xml:space="preserve"> FORMCHECKBOX </w:instrText>
            </w:r>
            <w:r w:rsidRPr="00DF1C7A">
              <w:rPr>
                <w:rFonts w:ascii="Arial Narrow" w:hAnsi="Arial Narrow"/>
                <w:sz w:val="20"/>
              </w:rPr>
            </w:r>
            <w:r w:rsidRPr="00DF1C7A">
              <w:rPr>
                <w:rFonts w:ascii="Arial Narrow" w:hAnsi="Arial Narrow"/>
                <w:sz w:val="20"/>
              </w:rPr>
              <w:fldChar w:fldCharType="separate"/>
            </w:r>
            <w:r w:rsidRPr="00DF1C7A">
              <w:rPr>
                <w:rFonts w:ascii="Arial Narrow" w:hAnsi="Arial Narrow"/>
                <w:sz w:val="20"/>
              </w:rPr>
              <w:fldChar w:fldCharType="end"/>
            </w:r>
            <w:r w:rsidRPr="00DF1C7A">
              <w:rPr>
                <w:rFonts w:ascii="Arial Narrow" w:hAnsi="Arial Narrow"/>
                <w:sz w:val="20"/>
              </w:rPr>
              <w:t>Medical Practitioners</w:t>
            </w:r>
          </w:p>
        </w:tc>
      </w:tr>
      <w:tr w:rsidR="00DF1C7A" w:rsidRPr="00DF1C7A" w14:paraId="581CB45D" w14:textId="77777777" w:rsidTr="00ED4BBD">
        <w:tblPrEx>
          <w:tblCellMar>
            <w:top w:w="15" w:type="dxa"/>
            <w:left w:w="15" w:type="dxa"/>
            <w:bottom w:w="15" w:type="dxa"/>
            <w:right w:w="15" w:type="dxa"/>
          </w:tblCellMar>
        </w:tblPrEx>
        <w:trPr>
          <w:trHeight w:val="454"/>
        </w:trPr>
        <w:tc>
          <w:tcPr>
            <w:tcW w:w="527" w:type="pct"/>
            <w:tcBorders>
              <w:top w:val="single" w:sz="4" w:space="0" w:color="auto"/>
              <w:left w:val="single" w:sz="4" w:space="0" w:color="auto"/>
              <w:bottom w:val="single" w:sz="4" w:space="0" w:color="auto"/>
              <w:right w:val="single" w:sz="4" w:space="0" w:color="auto"/>
            </w:tcBorders>
          </w:tcPr>
          <w:p w14:paraId="3FCFDBE0" w14:textId="77777777" w:rsidR="00DF1C7A" w:rsidRPr="00DF1C7A" w:rsidRDefault="00DF1C7A" w:rsidP="00DF1C7A">
            <w:pPr>
              <w:jc w:val="center"/>
              <w:rPr>
                <w:rFonts w:ascii="Arial Narrow" w:hAnsi="Arial Narrow"/>
                <w:sz w:val="20"/>
              </w:rPr>
            </w:pPr>
          </w:p>
        </w:tc>
        <w:tc>
          <w:tcPr>
            <w:tcW w:w="4473" w:type="pct"/>
            <w:gridSpan w:val="6"/>
            <w:tcBorders>
              <w:top w:val="single" w:sz="4" w:space="0" w:color="auto"/>
              <w:left w:val="single" w:sz="4" w:space="0" w:color="auto"/>
              <w:bottom w:val="single" w:sz="4" w:space="0" w:color="auto"/>
              <w:right w:val="single" w:sz="4" w:space="0" w:color="auto"/>
            </w:tcBorders>
          </w:tcPr>
          <w:p w14:paraId="2432EFBA" w14:textId="77777777" w:rsidR="00DF1C7A" w:rsidRPr="00DF1C7A" w:rsidRDefault="00DF1C7A" w:rsidP="00DF1C7A">
            <w:pPr>
              <w:rPr>
                <w:rFonts w:ascii="Arial Narrow" w:hAnsi="Arial Narrow"/>
                <w:b/>
                <w:sz w:val="20"/>
              </w:rPr>
            </w:pPr>
            <w:r w:rsidRPr="00DF1C7A">
              <w:rPr>
                <w:rFonts w:ascii="Arial Narrow" w:hAnsi="Arial Narrow"/>
                <w:b/>
                <w:sz w:val="20"/>
              </w:rPr>
              <w:t>Restriction Level / Method:</w:t>
            </w:r>
          </w:p>
          <w:p w14:paraId="512373C2" w14:textId="77777777" w:rsidR="00DF1C7A" w:rsidRPr="00DF1C7A" w:rsidRDefault="00DF1C7A" w:rsidP="00DF1C7A">
            <w:pPr>
              <w:rPr>
                <w:rFonts w:ascii="Arial Narrow" w:hAnsi="Arial Narrow"/>
                <w:sz w:val="20"/>
              </w:rPr>
            </w:pPr>
            <w:r w:rsidRPr="00DF1C7A">
              <w:rPr>
                <w:rFonts w:ascii="Arial Narrow" w:hAnsi="Arial Narrow"/>
                <w:sz w:val="20"/>
              </w:rPr>
              <w:fldChar w:fldCharType="begin" w:fldLock="1">
                <w:ffData>
                  <w:name w:val="Check3"/>
                  <w:enabled/>
                  <w:calcOnExit w:val="0"/>
                  <w:checkBox>
                    <w:sizeAuto/>
                    <w:default w:val="1"/>
                  </w:checkBox>
                </w:ffData>
              </w:fldChar>
            </w:r>
            <w:r w:rsidRPr="00DF1C7A">
              <w:rPr>
                <w:rFonts w:ascii="Arial Narrow" w:hAnsi="Arial Narrow"/>
                <w:sz w:val="20"/>
              </w:rPr>
              <w:instrText xml:space="preserve"> FORMCHECKBOX </w:instrText>
            </w:r>
            <w:r w:rsidRPr="00DF1C7A">
              <w:rPr>
                <w:rFonts w:ascii="Arial Narrow" w:hAnsi="Arial Narrow"/>
                <w:sz w:val="20"/>
              </w:rPr>
            </w:r>
            <w:r w:rsidRPr="00DF1C7A">
              <w:rPr>
                <w:rFonts w:ascii="Arial Narrow" w:hAnsi="Arial Narrow"/>
                <w:sz w:val="20"/>
              </w:rPr>
              <w:fldChar w:fldCharType="separate"/>
            </w:r>
            <w:r w:rsidRPr="00DF1C7A">
              <w:rPr>
                <w:rFonts w:ascii="Arial Narrow" w:hAnsi="Arial Narrow"/>
                <w:sz w:val="20"/>
              </w:rPr>
              <w:fldChar w:fldCharType="end"/>
            </w:r>
            <w:r w:rsidRPr="00DF1C7A">
              <w:rPr>
                <w:rFonts w:ascii="Arial Narrow" w:hAnsi="Arial Narrow"/>
                <w:sz w:val="20"/>
              </w:rPr>
              <w:t>Authority Required – Telephone/Electronic/Emergency</w:t>
            </w:r>
          </w:p>
        </w:tc>
      </w:tr>
      <w:tr w:rsidR="00DF1C7A" w:rsidRPr="00DF1C7A" w14:paraId="40C36705" w14:textId="77777777" w:rsidTr="00ED4BBD">
        <w:tblPrEx>
          <w:tblCellMar>
            <w:top w:w="15" w:type="dxa"/>
            <w:left w:w="15" w:type="dxa"/>
            <w:bottom w:w="15" w:type="dxa"/>
            <w:right w:w="15" w:type="dxa"/>
          </w:tblCellMar>
        </w:tblPrEx>
        <w:tc>
          <w:tcPr>
            <w:tcW w:w="527" w:type="pct"/>
            <w:vAlign w:val="center"/>
          </w:tcPr>
          <w:p w14:paraId="60403A49" w14:textId="77777777" w:rsidR="00DF1C7A" w:rsidRPr="00DF1C7A" w:rsidRDefault="00DF1C7A" w:rsidP="00DF1C7A">
            <w:pPr>
              <w:jc w:val="center"/>
              <w:rPr>
                <w:rFonts w:ascii="Arial Narrow" w:hAnsi="Arial Narrow"/>
                <w:i/>
                <w:sz w:val="20"/>
              </w:rPr>
            </w:pPr>
          </w:p>
        </w:tc>
        <w:tc>
          <w:tcPr>
            <w:tcW w:w="4473" w:type="pct"/>
            <w:gridSpan w:val="6"/>
            <w:vAlign w:val="center"/>
            <w:hideMark/>
          </w:tcPr>
          <w:p w14:paraId="1B08EEF1" w14:textId="77777777" w:rsidR="00DF1C7A" w:rsidRPr="00DF1C7A" w:rsidRDefault="00DF1C7A" w:rsidP="00DF1C7A">
            <w:pPr>
              <w:rPr>
                <w:rFonts w:ascii="Arial Narrow" w:hAnsi="Arial Narrow"/>
                <w:i/>
                <w:sz w:val="20"/>
                <w:lang w:val="fr-FR"/>
              </w:rPr>
            </w:pPr>
            <w:proofErr w:type="gramStart"/>
            <w:r w:rsidRPr="00DF1C7A">
              <w:rPr>
                <w:rFonts w:ascii="Arial Narrow" w:hAnsi="Arial Narrow"/>
                <w:b/>
                <w:bCs/>
                <w:i/>
                <w:sz w:val="20"/>
                <w:lang w:val="fr-FR"/>
              </w:rPr>
              <w:t>Indication:</w:t>
            </w:r>
            <w:proofErr w:type="gramEnd"/>
            <w:r w:rsidRPr="00DF1C7A">
              <w:rPr>
                <w:rFonts w:ascii="Arial Narrow" w:hAnsi="Arial Narrow"/>
                <w:i/>
                <w:sz w:val="20"/>
                <w:lang w:val="fr-FR"/>
              </w:rPr>
              <w:t xml:space="preserve"> </w:t>
            </w:r>
            <w:proofErr w:type="spellStart"/>
            <w:r w:rsidRPr="00DF1C7A">
              <w:rPr>
                <w:rFonts w:ascii="Arial Narrow" w:hAnsi="Arial Narrow"/>
                <w:i/>
                <w:sz w:val="20"/>
                <w:lang w:val="fr-FR"/>
              </w:rPr>
              <w:t>Subfoveal</w:t>
            </w:r>
            <w:proofErr w:type="spellEnd"/>
            <w:r w:rsidRPr="00DF1C7A">
              <w:rPr>
                <w:rFonts w:ascii="Arial Narrow" w:hAnsi="Arial Narrow"/>
                <w:i/>
                <w:sz w:val="20"/>
                <w:lang w:val="fr-FR"/>
              </w:rPr>
              <w:t xml:space="preserve"> </w:t>
            </w:r>
            <w:proofErr w:type="spellStart"/>
            <w:r w:rsidRPr="00DF1C7A">
              <w:rPr>
                <w:rFonts w:ascii="Arial Narrow" w:hAnsi="Arial Narrow"/>
                <w:i/>
                <w:sz w:val="20"/>
                <w:lang w:val="fr-FR"/>
              </w:rPr>
              <w:t>choroidal</w:t>
            </w:r>
            <w:proofErr w:type="spellEnd"/>
            <w:r w:rsidRPr="00DF1C7A">
              <w:rPr>
                <w:rFonts w:ascii="Arial Narrow" w:hAnsi="Arial Narrow"/>
                <w:i/>
                <w:sz w:val="20"/>
                <w:lang w:val="fr-FR"/>
              </w:rPr>
              <w:t xml:space="preserve"> </w:t>
            </w:r>
            <w:proofErr w:type="spellStart"/>
            <w:r w:rsidRPr="00DF1C7A">
              <w:rPr>
                <w:rFonts w:ascii="Arial Narrow" w:hAnsi="Arial Narrow"/>
                <w:i/>
                <w:sz w:val="20"/>
                <w:lang w:val="fr-FR"/>
              </w:rPr>
              <w:t>neovascularisation</w:t>
            </w:r>
            <w:proofErr w:type="spellEnd"/>
            <w:r w:rsidRPr="00DF1C7A">
              <w:rPr>
                <w:rFonts w:ascii="Arial Narrow" w:hAnsi="Arial Narrow"/>
                <w:i/>
                <w:sz w:val="20"/>
                <w:lang w:val="fr-FR"/>
              </w:rPr>
              <w:t xml:space="preserve"> (CNV)</w:t>
            </w:r>
          </w:p>
        </w:tc>
      </w:tr>
      <w:tr w:rsidR="00DF1C7A" w:rsidRPr="00DF1C7A" w14:paraId="0889DD52" w14:textId="77777777" w:rsidTr="00ED4BBD">
        <w:tblPrEx>
          <w:tblCellMar>
            <w:top w:w="15" w:type="dxa"/>
            <w:left w:w="15" w:type="dxa"/>
            <w:bottom w:w="15" w:type="dxa"/>
            <w:right w:w="15" w:type="dxa"/>
          </w:tblCellMar>
        </w:tblPrEx>
        <w:tc>
          <w:tcPr>
            <w:tcW w:w="527" w:type="pct"/>
            <w:vAlign w:val="center"/>
          </w:tcPr>
          <w:p w14:paraId="235411FF" w14:textId="77777777" w:rsidR="00DF1C7A" w:rsidRPr="00DF1C7A" w:rsidRDefault="00DF1C7A" w:rsidP="00DF1C7A">
            <w:pPr>
              <w:jc w:val="center"/>
              <w:rPr>
                <w:rFonts w:ascii="Arial Narrow" w:hAnsi="Arial Narrow"/>
                <w:sz w:val="20"/>
                <w:lang w:val="fr-FR"/>
              </w:rPr>
            </w:pPr>
          </w:p>
        </w:tc>
        <w:tc>
          <w:tcPr>
            <w:tcW w:w="4473" w:type="pct"/>
            <w:gridSpan w:val="6"/>
            <w:vAlign w:val="center"/>
            <w:hideMark/>
          </w:tcPr>
          <w:p w14:paraId="6B431BAE" w14:textId="77777777" w:rsidR="00DF1C7A" w:rsidRPr="00DF1C7A" w:rsidRDefault="00DF1C7A" w:rsidP="00DF1C7A">
            <w:pPr>
              <w:rPr>
                <w:rFonts w:ascii="Arial Narrow" w:hAnsi="Arial Narrow"/>
                <w:sz w:val="20"/>
              </w:rPr>
            </w:pPr>
            <w:r w:rsidRPr="00DF1C7A">
              <w:rPr>
                <w:rFonts w:ascii="Arial Narrow" w:hAnsi="Arial Narrow"/>
                <w:b/>
                <w:bCs/>
                <w:sz w:val="20"/>
              </w:rPr>
              <w:t>Treatment Phase:</w:t>
            </w:r>
            <w:r w:rsidRPr="00DF1C7A">
              <w:rPr>
                <w:rFonts w:ascii="Arial Narrow" w:hAnsi="Arial Narrow"/>
                <w:sz w:val="20"/>
              </w:rPr>
              <w:t xml:space="preserve"> Continuing treatment</w:t>
            </w:r>
          </w:p>
        </w:tc>
      </w:tr>
      <w:tr w:rsidR="00DF1C7A" w:rsidRPr="00DF1C7A" w14:paraId="5D2093C6" w14:textId="77777777" w:rsidTr="00ED4BBD">
        <w:tblPrEx>
          <w:tblCellMar>
            <w:top w:w="15" w:type="dxa"/>
            <w:left w:w="15" w:type="dxa"/>
            <w:bottom w:w="15" w:type="dxa"/>
            <w:right w:w="15" w:type="dxa"/>
          </w:tblCellMar>
        </w:tblPrEx>
        <w:tc>
          <w:tcPr>
            <w:tcW w:w="527" w:type="pct"/>
            <w:vAlign w:val="center"/>
          </w:tcPr>
          <w:p w14:paraId="2BFC570D"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0AA45369" w14:textId="77777777" w:rsidR="00DF1C7A" w:rsidRPr="00DF1C7A" w:rsidRDefault="00DF1C7A" w:rsidP="00DF1C7A">
            <w:pPr>
              <w:rPr>
                <w:rFonts w:ascii="Arial Narrow" w:hAnsi="Arial Narrow"/>
                <w:sz w:val="20"/>
              </w:rPr>
            </w:pPr>
            <w:r w:rsidRPr="00DF1C7A">
              <w:rPr>
                <w:rFonts w:ascii="Arial Narrow" w:hAnsi="Arial Narrow"/>
                <w:b/>
                <w:bCs/>
                <w:sz w:val="20"/>
              </w:rPr>
              <w:t>Clinical criteria:</w:t>
            </w:r>
          </w:p>
        </w:tc>
      </w:tr>
      <w:tr w:rsidR="00DF1C7A" w:rsidRPr="00DF1C7A" w14:paraId="39357D00" w14:textId="77777777" w:rsidTr="00ED4BBD">
        <w:tblPrEx>
          <w:tblCellMar>
            <w:top w:w="15" w:type="dxa"/>
            <w:left w:w="15" w:type="dxa"/>
            <w:bottom w:w="15" w:type="dxa"/>
            <w:right w:w="15" w:type="dxa"/>
          </w:tblCellMar>
        </w:tblPrEx>
        <w:tc>
          <w:tcPr>
            <w:tcW w:w="527" w:type="pct"/>
            <w:vAlign w:val="center"/>
          </w:tcPr>
          <w:p w14:paraId="45D1E859"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20CB7ADF" w14:textId="77777777" w:rsidR="00DF1C7A" w:rsidRPr="00DF1C7A" w:rsidRDefault="00DF1C7A" w:rsidP="00DF1C7A">
            <w:pPr>
              <w:rPr>
                <w:rFonts w:ascii="Arial Narrow" w:hAnsi="Arial Narrow"/>
                <w:sz w:val="20"/>
              </w:rPr>
            </w:pPr>
            <w:r w:rsidRPr="00DF1C7A">
              <w:rPr>
                <w:rFonts w:ascii="Arial Narrow" w:hAnsi="Arial Narrow"/>
                <w:sz w:val="20"/>
              </w:rPr>
              <w:t>The condition must be due to age-related macular degeneration (AMD)</w:t>
            </w:r>
          </w:p>
        </w:tc>
      </w:tr>
      <w:tr w:rsidR="00DF1C7A" w:rsidRPr="00DF1C7A" w14:paraId="6DE967E7" w14:textId="77777777" w:rsidTr="00ED4BBD">
        <w:tblPrEx>
          <w:tblCellMar>
            <w:top w:w="15" w:type="dxa"/>
            <w:left w:w="15" w:type="dxa"/>
            <w:bottom w:w="15" w:type="dxa"/>
            <w:right w:w="15" w:type="dxa"/>
          </w:tblCellMar>
        </w:tblPrEx>
        <w:tc>
          <w:tcPr>
            <w:tcW w:w="527" w:type="pct"/>
            <w:vAlign w:val="center"/>
          </w:tcPr>
          <w:p w14:paraId="5409477C"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03083BC3" w14:textId="77777777" w:rsidR="00DF1C7A" w:rsidRPr="00DF1C7A" w:rsidRDefault="00DF1C7A" w:rsidP="00DF1C7A">
            <w:pPr>
              <w:rPr>
                <w:rFonts w:ascii="Arial Narrow" w:hAnsi="Arial Narrow"/>
                <w:sz w:val="20"/>
              </w:rPr>
            </w:pPr>
            <w:r w:rsidRPr="00DF1C7A">
              <w:rPr>
                <w:rFonts w:ascii="Arial Narrow" w:hAnsi="Arial Narrow"/>
                <w:b/>
                <w:bCs/>
                <w:sz w:val="20"/>
              </w:rPr>
              <w:t>AND</w:t>
            </w:r>
          </w:p>
        </w:tc>
      </w:tr>
      <w:tr w:rsidR="00DF1C7A" w:rsidRPr="00DF1C7A" w14:paraId="0860466B" w14:textId="77777777" w:rsidTr="00ED4BBD">
        <w:tblPrEx>
          <w:tblCellMar>
            <w:top w:w="15" w:type="dxa"/>
            <w:left w:w="15" w:type="dxa"/>
            <w:bottom w:w="15" w:type="dxa"/>
            <w:right w:w="15" w:type="dxa"/>
          </w:tblCellMar>
        </w:tblPrEx>
        <w:tc>
          <w:tcPr>
            <w:tcW w:w="527" w:type="pct"/>
            <w:vAlign w:val="center"/>
          </w:tcPr>
          <w:p w14:paraId="2E43EE60" w14:textId="77777777" w:rsidR="00DF1C7A" w:rsidRPr="00DF1C7A" w:rsidRDefault="00DF1C7A" w:rsidP="00DF1C7A">
            <w:pPr>
              <w:jc w:val="center"/>
              <w:rPr>
                <w:rFonts w:ascii="Arial Narrow" w:hAnsi="Arial Narrow"/>
                <w:strike/>
                <w:sz w:val="20"/>
              </w:rPr>
            </w:pPr>
          </w:p>
        </w:tc>
        <w:tc>
          <w:tcPr>
            <w:tcW w:w="4473" w:type="pct"/>
            <w:gridSpan w:val="6"/>
            <w:vAlign w:val="center"/>
            <w:hideMark/>
          </w:tcPr>
          <w:p w14:paraId="7F1CA12D" w14:textId="77777777" w:rsidR="00DF1C7A" w:rsidRPr="00DF1C7A" w:rsidRDefault="00DF1C7A" w:rsidP="00DF1C7A">
            <w:pPr>
              <w:rPr>
                <w:rFonts w:ascii="Arial Narrow" w:hAnsi="Arial Narrow"/>
                <w:strike/>
                <w:sz w:val="20"/>
              </w:rPr>
            </w:pPr>
            <w:r w:rsidRPr="00DF1C7A">
              <w:rPr>
                <w:rFonts w:ascii="Arial Narrow" w:hAnsi="Arial Narrow"/>
                <w:b/>
                <w:bCs/>
                <w:strike/>
                <w:sz w:val="20"/>
              </w:rPr>
              <w:t>Clinical criteria:</w:t>
            </w:r>
          </w:p>
        </w:tc>
      </w:tr>
      <w:tr w:rsidR="00DF1C7A" w:rsidRPr="00DF1C7A" w14:paraId="3E04FAE8" w14:textId="77777777" w:rsidTr="00ED4BBD">
        <w:tblPrEx>
          <w:tblCellMar>
            <w:top w:w="15" w:type="dxa"/>
            <w:left w:w="15" w:type="dxa"/>
            <w:bottom w:w="15" w:type="dxa"/>
            <w:right w:w="15" w:type="dxa"/>
          </w:tblCellMar>
        </w:tblPrEx>
        <w:tc>
          <w:tcPr>
            <w:tcW w:w="527" w:type="pct"/>
            <w:vAlign w:val="center"/>
          </w:tcPr>
          <w:p w14:paraId="707A2F24" w14:textId="77777777" w:rsidR="00DF1C7A" w:rsidRPr="00DF1C7A" w:rsidRDefault="00DF1C7A" w:rsidP="00DF1C7A">
            <w:pPr>
              <w:jc w:val="center"/>
              <w:rPr>
                <w:rFonts w:ascii="Arial Narrow" w:hAnsi="Arial Narrow"/>
                <w:strike/>
                <w:sz w:val="20"/>
              </w:rPr>
            </w:pPr>
          </w:p>
        </w:tc>
        <w:tc>
          <w:tcPr>
            <w:tcW w:w="4473" w:type="pct"/>
            <w:gridSpan w:val="6"/>
            <w:vAlign w:val="center"/>
            <w:hideMark/>
          </w:tcPr>
          <w:p w14:paraId="1A6F61BB" w14:textId="77777777" w:rsidR="00DF1C7A" w:rsidRPr="00DF1C7A" w:rsidRDefault="00DF1C7A" w:rsidP="00DF1C7A">
            <w:pPr>
              <w:rPr>
                <w:rFonts w:ascii="Arial Narrow" w:hAnsi="Arial Narrow"/>
                <w:strike/>
                <w:sz w:val="20"/>
              </w:rPr>
            </w:pPr>
            <w:r w:rsidRPr="00DF1C7A">
              <w:rPr>
                <w:rFonts w:ascii="Arial Narrow" w:hAnsi="Arial Narrow"/>
                <w:strike/>
                <w:sz w:val="20"/>
              </w:rPr>
              <w:t>The treatment must be the sole PBS-subsidised therapy for this condition</w:t>
            </w:r>
          </w:p>
        </w:tc>
      </w:tr>
      <w:tr w:rsidR="00DF1C7A" w:rsidRPr="00DF1C7A" w14:paraId="3735DFD1" w14:textId="77777777" w:rsidTr="00ED4BBD">
        <w:tblPrEx>
          <w:tblCellMar>
            <w:top w:w="15" w:type="dxa"/>
            <w:left w:w="15" w:type="dxa"/>
            <w:bottom w:w="15" w:type="dxa"/>
            <w:right w:w="15" w:type="dxa"/>
          </w:tblCellMar>
        </w:tblPrEx>
        <w:tc>
          <w:tcPr>
            <w:tcW w:w="527" w:type="pct"/>
            <w:vAlign w:val="center"/>
          </w:tcPr>
          <w:p w14:paraId="601A640E" w14:textId="77777777" w:rsidR="00DF1C7A" w:rsidRPr="00DF1C7A" w:rsidRDefault="00DF1C7A" w:rsidP="00DF1C7A">
            <w:pPr>
              <w:jc w:val="center"/>
              <w:rPr>
                <w:rFonts w:ascii="Arial Narrow" w:hAnsi="Arial Narrow"/>
                <w:strike/>
                <w:sz w:val="20"/>
              </w:rPr>
            </w:pPr>
          </w:p>
        </w:tc>
        <w:tc>
          <w:tcPr>
            <w:tcW w:w="4473" w:type="pct"/>
            <w:gridSpan w:val="6"/>
            <w:vAlign w:val="center"/>
            <w:hideMark/>
          </w:tcPr>
          <w:p w14:paraId="6F7D5BC1" w14:textId="77777777" w:rsidR="00DF1C7A" w:rsidRPr="00DF1C7A" w:rsidRDefault="00DF1C7A" w:rsidP="00DF1C7A">
            <w:pPr>
              <w:rPr>
                <w:rFonts w:ascii="Arial Narrow" w:hAnsi="Arial Narrow"/>
                <w:strike/>
                <w:sz w:val="20"/>
              </w:rPr>
            </w:pPr>
            <w:r w:rsidRPr="00DF1C7A">
              <w:rPr>
                <w:rFonts w:ascii="Arial Narrow" w:hAnsi="Arial Narrow"/>
                <w:b/>
                <w:bCs/>
                <w:strike/>
                <w:sz w:val="20"/>
              </w:rPr>
              <w:t>AND</w:t>
            </w:r>
          </w:p>
        </w:tc>
      </w:tr>
      <w:tr w:rsidR="00DF1C7A" w:rsidRPr="00DF1C7A" w14:paraId="4BEE71C4" w14:textId="77777777" w:rsidTr="00ED4BBD">
        <w:tblPrEx>
          <w:tblCellMar>
            <w:top w:w="15" w:type="dxa"/>
            <w:left w:w="15" w:type="dxa"/>
            <w:bottom w:w="15" w:type="dxa"/>
            <w:right w:w="15" w:type="dxa"/>
          </w:tblCellMar>
        </w:tblPrEx>
        <w:tc>
          <w:tcPr>
            <w:tcW w:w="527" w:type="pct"/>
            <w:vAlign w:val="center"/>
          </w:tcPr>
          <w:p w14:paraId="28D83390"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093EDE9A" w14:textId="77777777" w:rsidR="00DF1C7A" w:rsidRPr="00DF1C7A" w:rsidRDefault="00DF1C7A" w:rsidP="00DF1C7A">
            <w:pPr>
              <w:rPr>
                <w:rFonts w:ascii="Arial Narrow" w:hAnsi="Arial Narrow"/>
                <w:sz w:val="20"/>
              </w:rPr>
            </w:pPr>
            <w:r w:rsidRPr="00DF1C7A">
              <w:rPr>
                <w:rFonts w:ascii="Arial Narrow" w:hAnsi="Arial Narrow"/>
                <w:b/>
                <w:bCs/>
                <w:sz w:val="20"/>
              </w:rPr>
              <w:t>Clinical criteria:</w:t>
            </w:r>
          </w:p>
        </w:tc>
      </w:tr>
      <w:tr w:rsidR="00DF1C7A" w:rsidRPr="00DF1C7A" w14:paraId="169FEA79" w14:textId="77777777" w:rsidTr="00ED4BBD">
        <w:tblPrEx>
          <w:tblCellMar>
            <w:top w:w="15" w:type="dxa"/>
            <w:left w:w="15" w:type="dxa"/>
            <w:bottom w:w="15" w:type="dxa"/>
            <w:right w:w="15" w:type="dxa"/>
          </w:tblCellMar>
        </w:tblPrEx>
        <w:tc>
          <w:tcPr>
            <w:tcW w:w="527" w:type="pct"/>
            <w:vAlign w:val="center"/>
          </w:tcPr>
          <w:p w14:paraId="158F5269"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36593055" w14:textId="77777777" w:rsidR="00DF1C7A" w:rsidRPr="00DF1C7A" w:rsidRDefault="00DF1C7A" w:rsidP="00DF1C7A">
            <w:pPr>
              <w:rPr>
                <w:rFonts w:ascii="Arial Narrow" w:hAnsi="Arial Narrow"/>
                <w:sz w:val="20"/>
              </w:rPr>
            </w:pPr>
            <w:r w:rsidRPr="00DF1C7A">
              <w:rPr>
                <w:rFonts w:ascii="Arial Narrow" w:hAnsi="Arial Narrow"/>
                <w:sz w:val="20"/>
              </w:rPr>
              <w:t>Patient must have previously been granted an authority prescription for the same eye</w:t>
            </w:r>
          </w:p>
        </w:tc>
      </w:tr>
      <w:tr w:rsidR="00DF1C7A" w:rsidRPr="00DF1C7A" w14:paraId="1AD300C1" w14:textId="77777777" w:rsidTr="00ED4BBD">
        <w:tblPrEx>
          <w:tblCellMar>
            <w:top w:w="15" w:type="dxa"/>
            <w:left w:w="15" w:type="dxa"/>
            <w:bottom w:w="15" w:type="dxa"/>
            <w:right w:w="15" w:type="dxa"/>
          </w:tblCellMar>
        </w:tblPrEx>
        <w:tc>
          <w:tcPr>
            <w:tcW w:w="527" w:type="pct"/>
            <w:vAlign w:val="center"/>
          </w:tcPr>
          <w:p w14:paraId="0FF2E346" w14:textId="77777777" w:rsidR="00DF1C7A" w:rsidRPr="00DF1C7A" w:rsidRDefault="00DF1C7A" w:rsidP="00DF1C7A">
            <w:pPr>
              <w:jc w:val="center"/>
              <w:rPr>
                <w:rFonts w:ascii="Arial Narrow" w:hAnsi="Arial Narrow"/>
                <w:sz w:val="20"/>
              </w:rPr>
            </w:pPr>
          </w:p>
        </w:tc>
        <w:tc>
          <w:tcPr>
            <w:tcW w:w="4473" w:type="pct"/>
            <w:gridSpan w:val="6"/>
            <w:vAlign w:val="center"/>
          </w:tcPr>
          <w:p w14:paraId="7405BA8F" w14:textId="77777777" w:rsidR="00DF1C7A" w:rsidRPr="00DF1C7A" w:rsidRDefault="00DF1C7A" w:rsidP="00DF1C7A">
            <w:pPr>
              <w:rPr>
                <w:rFonts w:ascii="Arial Narrow" w:hAnsi="Arial Narrow"/>
                <w:b/>
                <w:bCs/>
                <w:sz w:val="20"/>
              </w:rPr>
            </w:pPr>
            <w:r w:rsidRPr="00DF1C7A">
              <w:rPr>
                <w:rFonts w:ascii="Arial Narrow" w:hAnsi="Arial Narrow"/>
                <w:b/>
                <w:bCs/>
                <w:sz w:val="20"/>
              </w:rPr>
              <w:t>AND</w:t>
            </w:r>
          </w:p>
        </w:tc>
      </w:tr>
      <w:tr w:rsidR="00DF1C7A" w:rsidRPr="00DF1C7A" w14:paraId="31389FE0" w14:textId="77777777" w:rsidTr="00ED4BBD">
        <w:tblPrEx>
          <w:tblCellMar>
            <w:top w:w="15" w:type="dxa"/>
            <w:left w:w="15" w:type="dxa"/>
            <w:bottom w:w="15" w:type="dxa"/>
            <w:right w:w="15" w:type="dxa"/>
          </w:tblCellMar>
        </w:tblPrEx>
        <w:tc>
          <w:tcPr>
            <w:tcW w:w="527" w:type="pct"/>
            <w:vAlign w:val="center"/>
          </w:tcPr>
          <w:p w14:paraId="2BD0A8E2"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7EEBA57D" w14:textId="77777777" w:rsidR="00DF1C7A" w:rsidRPr="00DF1C7A" w:rsidRDefault="00DF1C7A" w:rsidP="00DF1C7A">
            <w:pPr>
              <w:rPr>
                <w:rFonts w:ascii="Arial Narrow" w:hAnsi="Arial Narrow"/>
                <w:sz w:val="20"/>
              </w:rPr>
            </w:pPr>
            <w:r w:rsidRPr="00DF1C7A">
              <w:rPr>
                <w:rFonts w:ascii="Arial Narrow" w:hAnsi="Arial Narrow"/>
                <w:b/>
                <w:bCs/>
                <w:sz w:val="20"/>
              </w:rPr>
              <w:t>Treatment criteria:</w:t>
            </w:r>
          </w:p>
        </w:tc>
      </w:tr>
      <w:tr w:rsidR="00DF1C7A" w:rsidRPr="00DF1C7A" w14:paraId="72236A16" w14:textId="77777777" w:rsidTr="00ED4BBD">
        <w:tblPrEx>
          <w:tblCellMar>
            <w:top w:w="15" w:type="dxa"/>
            <w:left w:w="15" w:type="dxa"/>
            <w:bottom w:w="15" w:type="dxa"/>
            <w:right w:w="15" w:type="dxa"/>
          </w:tblCellMar>
        </w:tblPrEx>
        <w:tc>
          <w:tcPr>
            <w:tcW w:w="527" w:type="pct"/>
            <w:vAlign w:val="center"/>
          </w:tcPr>
          <w:p w14:paraId="645A2AC4"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72278B99" w14:textId="77777777" w:rsidR="00DF1C7A" w:rsidRPr="00DF1C7A" w:rsidRDefault="00DF1C7A" w:rsidP="00DF1C7A">
            <w:pPr>
              <w:rPr>
                <w:rFonts w:ascii="Arial Narrow" w:hAnsi="Arial Narrow"/>
                <w:sz w:val="20"/>
              </w:rPr>
            </w:pPr>
            <w:r w:rsidRPr="00DF1C7A">
              <w:rPr>
                <w:rFonts w:ascii="Arial Narrow" w:hAnsi="Arial Narrow"/>
                <w:sz w:val="20"/>
              </w:rPr>
              <w:t>Must be treated by an ophthalmologist or by an accredited ophthalmology registrar in consultation with an ophthalmologist</w:t>
            </w:r>
          </w:p>
        </w:tc>
      </w:tr>
      <w:tr w:rsidR="00DF1C7A" w:rsidRPr="00DF1C7A" w14:paraId="68996E9A" w14:textId="77777777" w:rsidTr="00ED4BBD">
        <w:tblPrEx>
          <w:tblCellMar>
            <w:top w:w="15" w:type="dxa"/>
            <w:left w:w="15" w:type="dxa"/>
            <w:bottom w:w="15" w:type="dxa"/>
            <w:right w:w="15" w:type="dxa"/>
          </w:tblCellMar>
        </w:tblPrEx>
        <w:trPr>
          <w:hidden/>
        </w:trPr>
        <w:tc>
          <w:tcPr>
            <w:tcW w:w="527" w:type="pct"/>
            <w:vAlign w:val="center"/>
          </w:tcPr>
          <w:p w14:paraId="53A9B16C" w14:textId="77777777" w:rsidR="00DF1C7A" w:rsidRPr="00DF1C7A" w:rsidRDefault="00DF1C7A" w:rsidP="00DF1C7A">
            <w:pPr>
              <w:jc w:val="center"/>
              <w:rPr>
                <w:rFonts w:ascii="Arial Narrow" w:hAnsi="Arial Narrow"/>
                <w:i/>
                <w:vanish/>
                <w:sz w:val="20"/>
              </w:rPr>
            </w:pPr>
          </w:p>
        </w:tc>
        <w:tc>
          <w:tcPr>
            <w:tcW w:w="4473" w:type="pct"/>
            <w:gridSpan w:val="6"/>
            <w:vAlign w:val="center"/>
            <w:hideMark/>
          </w:tcPr>
          <w:p w14:paraId="30085793" w14:textId="77777777" w:rsidR="00DF1C7A" w:rsidRPr="00DF1C7A" w:rsidRDefault="00DF1C7A" w:rsidP="00DF1C7A">
            <w:pPr>
              <w:rPr>
                <w:rFonts w:ascii="Arial Narrow" w:hAnsi="Arial Narrow"/>
                <w:sz w:val="20"/>
              </w:rPr>
            </w:pPr>
            <w:r w:rsidRPr="00DF1C7A">
              <w:rPr>
                <w:rFonts w:ascii="Arial Narrow" w:hAnsi="Arial Narrow"/>
                <w:b/>
                <w:bCs/>
                <w:sz w:val="20"/>
              </w:rPr>
              <w:t>Administrative Advice:</w:t>
            </w:r>
          </w:p>
          <w:p w14:paraId="4B1465FD" w14:textId="77777777" w:rsidR="00DF1C7A" w:rsidRPr="00DF1C7A" w:rsidRDefault="00DF1C7A" w:rsidP="00DF1C7A">
            <w:pPr>
              <w:rPr>
                <w:rFonts w:ascii="Arial Narrow" w:hAnsi="Arial Narrow"/>
                <w:i/>
                <w:sz w:val="20"/>
              </w:rPr>
            </w:pPr>
            <w:r w:rsidRPr="00DF1C7A">
              <w:rPr>
                <w:rFonts w:ascii="Arial Narrow" w:hAnsi="Arial Narrow"/>
                <w:i/>
                <w:sz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DF1C7A" w:rsidRPr="00DF1C7A" w14:paraId="7030D2B8" w14:textId="77777777" w:rsidTr="00ED4BBD">
        <w:tblPrEx>
          <w:tblCellMar>
            <w:top w:w="15" w:type="dxa"/>
            <w:left w:w="15" w:type="dxa"/>
            <w:bottom w:w="15" w:type="dxa"/>
            <w:right w:w="15" w:type="dxa"/>
          </w:tblCellMar>
        </w:tblPrEx>
        <w:tc>
          <w:tcPr>
            <w:tcW w:w="527" w:type="pct"/>
            <w:vAlign w:val="center"/>
          </w:tcPr>
          <w:p w14:paraId="61350606"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4A350C97" w14:textId="77777777" w:rsidR="00DF1C7A" w:rsidRPr="00DF1C7A" w:rsidRDefault="00DF1C7A" w:rsidP="00DF1C7A">
            <w:pPr>
              <w:rPr>
                <w:rFonts w:ascii="Arial Narrow" w:hAnsi="Arial Narrow"/>
                <w:sz w:val="20"/>
              </w:rPr>
            </w:pPr>
            <w:r w:rsidRPr="00DF1C7A">
              <w:rPr>
                <w:rFonts w:ascii="Arial Narrow" w:hAnsi="Arial Narrow"/>
                <w:b/>
                <w:bCs/>
                <w:sz w:val="20"/>
              </w:rPr>
              <w:t>Administrative Advice:</w:t>
            </w:r>
            <w:r w:rsidRPr="00DF1C7A">
              <w:rPr>
                <w:rFonts w:ascii="Arial Narrow" w:hAnsi="Arial Narrow"/>
                <w:sz w:val="20"/>
              </w:rPr>
              <w:t xml:space="preserve"> No increase in the maximum number of repeats may be authorised</w:t>
            </w:r>
          </w:p>
        </w:tc>
      </w:tr>
      <w:tr w:rsidR="00DF1C7A" w:rsidRPr="00DF1C7A" w14:paraId="4CCF075A" w14:textId="77777777" w:rsidTr="00ED4BBD">
        <w:tblPrEx>
          <w:tblCellMar>
            <w:top w:w="15" w:type="dxa"/>
            <w:left w:w="15" w:type="dxa"/>
            <w:bottom w:w="15" w:type="dxa"/>
            <w:right w:w="15" w:type="dxa"/>
          </w:tblCellMar>
        </w:tblPrEx>
        <w:tc>
          <w:tcPr>
            <w:tcW w:w="527" w:type="pct"/>
            <w:vAlign w:val="center"/>
          </w:tcPr>
          <w:p w14:paraId="1C10E331" w14:textId="77777777" w:rsidR="00DF1C7A" w:rsidRPr="00DF1C7A" w:rsidRDefault="00DF1C7A" w:rsidP="00DF1C7A">
            <w:pPr>
              <w:jc w:val="center"/>
              <w:rPr>
                <w:rFonts w:ascii="Arial Narrow" w:hAnsi="Arial Narrow"/>
                <w:sz w:val="20"/>
              </w:rPr>
            </w:pPr>
          </w:p>
        </w:tc>
        <w:tc>
          <w:tcPr>
            <w:tcW w:w="4473" w:type="pct"/>
            <w:gridSpan w:val="6"/>
            <w:vAlign w:val="center"/>
          </w:tcPr>
          <w:p w14:paraId="4EE89C80" w14:textId="77777777" w:rsidR="00DF1C7A" w:rsidRPr="00DF1C7A" w:rsidRDefault="00DF1C7A" w:rsidP="00DF1C7A">
            <w:pPr>
              <w:rPr>
                <w:rFonts w:ascii="Arial Narrow" w:hAnsi="Arial Narrow"/>
                <w:b/>
                <w:sz w:val="20"/>
                <w:lang w:val="en-GB"/>
              </w:rPr>
            </w:pPr>
            <w:r w:rsidRPr="00DF1C7A">
              <w:rPr>
                <w:rFonts w:ascii="Arial Narrow" w:hAnsi="Arial Narrow"/>
                <w:b/>
                <w:sz w:val="20"/>
                <w:lang w:val="en-GB"/>
              </w:rPr>
              <w:t>Administrative Advice:</w:t>
            </w:r>
          </w:p>
          <w:p w14:paraId="4CC8C233" w14:textId="77777777" w:rsidR="00DF1C7A" w:rsidRPr="00DF1C7A" w:rsidRDefault="00DF1C7A" w:rsidP="00DF1C7A">
            <w:pPr>
              <w:rPr>
                <w:rFonts w:ascii="Arial Narrow" w:hAnsi="Arial Narrow"/>
                <w:b/>
                <w:bCs/>
                <w:sz w:val="20"/>
              </w:rPr>
            </w:pPr>
            <w:r w:rsidRPr="00DF1C7A">
              <w:rPr>
                <w:rFonts w:ascii="Arial Narrow" w:hAnsi="Arial Narrow"/>
                <w:sz w:val="20"/>
                <w:lang w:val="en-GB"/>
              </w:rPr>
              <w:t>Where both eyes are affected by the condition, a quantity of 2 units can be requested on the same authority prescription form.</w:t>
            </w:r>
          </w:p>
        </w:tc>
      </w:tr>
      <w:tr w:rsidR="00DF1C7A" w:rsidRPr="00DF1C7A" w14:paraId="53A3273D" w14:textId="77777777" w:rsidTr="00ED4BBD">
        <w:tblPrEx>
          <w:tblCellMar>
            <w:top w:w="15" w:type="dxa"/>
            <w:left w:w="15" w:type="dxa"/>
            <w:bottom w:w="15" w:type="dxa"/>
            <w:right w:w="15" w:type="dxa"/>
          </w:tblCellMar>
        </w:tblPrEx>
        <w:tc>
          <w:tcPr>
            <w:tcW w:w="527" w:type="pct"/>
            <w:tcBorders>
              <w:top w:val="single" w:sz="4" w:space="0" w:color="auto"/>
              <w:left w:val="single" w:sz="4" w:space="0" w:color="auto"/>
              <w:bottom w:val="single" w:sz="4" w:space="0" w:color="auto"/>
              <w:right w:val="single" w:sz="4" w:space="0" w:color="auto"/>
            </w:tcBorders>
            <w:vAlign w:val="center"/>
          </w:tcPr>
          <w:p w14:paraId="3D59E5F5" w14:textId="77777777" w:rsidR="00DF1C7A" w:rsidRPr="00DF1C7A" w:rsidRDefault="00DF1C7A" w:rsidP="00DF1C7A">
            <w:pPr>
              <w:jc w:val="center"/>
              <w:rPr>
                <w:rFonts w:ascii="Arial Narrow" w:hAnsi="Arial Narrow"/>
                <w:sz w:val="20"/>
              </w:rPr>
            </w:pPr>
          </w:p>
        </w:tc>
        <w:tc>
          <w:tcPr>
            <w:tcW w:w="4473" w:type="pct"/>
            <w:gridSpan w:val="6"/>
            <w:tcBorders>
              <w:top w:val="single" w:sz="4" w:space="0" w:color="auto"/>
              <w:left w:val="single" w:sz="4" w:space="0" w:color="auto"/>
              <w:bottom w:val="single" w:sz="4" w:space="0" w:color="auto"/>
              <w:right w:val="single" w:sz="4" w:space="0" w:color="auto"/>
            </w:tcBorders>
            <w:vAlign w:val="center"/>
          </w:tcPr>
          <w:p w14:paraId="3CD7AED0" w14:textId="77777777" w:rsidR="00DF1C7A" w:rsidRPr="00DF1C7A" w:rsidRDefault="00DF1C7A" w:rsidP="00DF1C7A">
            <w:pPr>
              <w:rPr>
                <w:rFonts w:ascii="Arial Narrow" w:hAnsi="Arial Narrow"/>
                <w:b/>
                <w:bCs/>
                <w:sz w:val="20"/>
              </w:rPr>
            </w:pPr>
            <w:r w:rsidRPr="00DF1C7A">
              <w:rPr>
                <w:rFonts w:ascii="Arial Narrow" w:hAnsi="Arial Narrow"/>
                <w:b/>
                <w:bCs/>
                <w:sz w:val="20"/>
              </w:rPr>
              <w:t>Administrative Advice:</w:t>
            </w:r>
          </w:p>
          <w:p w14:paraId="395A2DFD" w14:textId="77777777" w:rsidR="00DF1C7A" w:rsidRPr="00DF1C7A" w:rsidRDefault="00DF1C7A" w:rsidP="00DF1C7A">
            <w:pPr>
              <w:rPr>
                <w:rFonts w:ascii="Arial Narrow" w:hAnsi="Arial Narrow"/>
                <w:b/>
                <w:bCs/>
                <w:sz w:val="20"/>
              </w:rPr>
            </w:pPr>
            <w:r w:rsidRPr="00DF1C7A">
              <w:rPr>
                <w:rFonts w:ascii="Arial Narrow" w:hAnsi="Arial Narrow"/>
                <w:bCs/>
                <w:sz w:val="20"/>
              </w:rPr>
              <w:t>No increase in the maximum quantity or number of units may be authorised for applications for treatment of one eye</w:t>
            </w:r>
          </w:p>
        </w:tc>
      </w:tr>
      <w:tr w:rsidR="00DF1C7A" w:rsidRPr="00DF1C7A" w14:paraId="2105CF1C" w14:textId="77777777" w:rsidTr="00ED4BBD">
        <w:tblPrEx>
          <w:tblCellMar>
            <w:top w:w="15" w:type="dxa"/>
            <w:left w:w="15" w:type="dxa"/>
            <w:bottom w:w="15" w:type="dxa"/>
            <w:right w:w="15" w:type="dxa"/>
          </w:tblCellMar>
        </w:tblPrEx>
        <w:tc>
          <w:tcPr>
            <w:tcW w:w="527" w:type="pct"/>
            <w:tcBorders>
              <w:top w:val="single" w:sz="4" w:space="0" w:color="auto"/>
              <w:left w:val="single" w:sz="4" w:space="0" w:color="auto"/>
              <w:bottom w:val="single" w:sz="4" w:space="0" w:color="auto"/>
              <w:right w:val="single" w:sz="4" w:space="0" w:color="auto"/>
            </w:tcBorders>
            <w:vAlign w:val="center"/>
          </w:tcPr>
          <w:p w14:paraId="35253151" w14:textId="77777777" w:rsidR="00DF1C7A" w:rsidRPr="00DF1C7A" w:rsidRDefault="00DF1C7A" w:rsidP="00DF1C7A">
            <w:pPr>
              <w:jc w:val="center"/>
              <w:rPr>
                <w:rFonts w:ascii="Arial Narrow" w:hAnsi="Arial Narrow"/>
                <w:sz w:val="20"/>
              </w:rPr>
            </w:pPr>
          </w:p>
        </w:tc>
        <w:tc>
          <w:tcPr>
            <w:tcW w:w="4473" w:type="pct"/>
            <w:gridSpan w:val="6"/>
            <w:tcBorders>
              <w:top w:val="single" w:sz="4" w:space="0" w:color="auto"/>
              <w:left w:val="single" w:sz="4" w:space="0" w:color="auto"/>
              <w:bottom w:val="single" w:sz="4" w:space="0" w:color="auto"/>
              <w:right w:val="single" w:sz="4" w:space="0" w:color="auto"/>
            </w:tcBorders>
            <w:vAlign w:val="center"/>
          </w:tcPr>
          <w:p w14:paraId="6EE1C850" w14:textId="77777777" w:rsidR="00DF1C7A" w:rsidRPr="00DF1C7A" w:rsidRDefault="00DF1C7A" w:rsidP="00DF1C7A">
            <w:pPr>
              <w:rPr>
                <w:rFonts w:ascii="Arial Narrow" w:hAnsi="Arial Narrow"/>
                <w:bCs/>
                <w:strike/>
                <w:sz w:val="20"/>
              </w:rPr>
            </w:pPr>
            <w:r w:rsidRPr="00DF1C7A">
              <w:rPr>
                <w:rFonts w:ascii="Arial Narrow" w:hAnsi="Arial Narrow"/>
                <w:b/>
                <w:bCs/>
                <w:strike/>
                <w:sz w:val="20"/>
              </w:rPr>
              <w:t>Administrative Advice:</w:t>
            </w:r>
          </w:p>
          <w:p w14:paraId="66CEA7BC" w14:textId="77777777" w:rsidR="00DF1C7A" w:rsidRPr="00DF1C7A" w:rsidRDefault="00DF1C7A" w:rsidP="00DF1C7A">
            <w:pPr>
              <w:rPr>
                <w:rFonts w:ascii="Arial Narrow" w:hAnsi="Arial Narrow"/>
                <w:b/>
                <w:bCs/>
                <w:strike/>
                <w:sz w:val="20"/>
              </w:rPr>
            </w:pPr>
            <w:r w:rsidRPr="00DF1C7A">
              <w:rPr>
                <w:rFonts w:ascii="Arial Narrow" w:hAnsi="Arial Narrow"/>
                <w:bCs/>
                <w:strike/>
                <w:sz w:val="20"/>
              </w:rPr>
              <w:t>Ranibizumab (</w:t>
            </w:r>
            <w:proofErr w:type="spellStart"/>
            <w:r w:rsidRPr="00DF1C7A">
              <w:rPr>
                <w:rFonts w:ascii="Arial Narrow" w:hAnsi="Arial Narrow"/>
                <w:bCs/>
                <w:strike/>
                <w:sz w:val="20"/>
              </w:rPr>
              <w:t>Susvimo</w:t>
            </w:r>
            <w:proofErr w:type="spellEnd"/>
            <w:r w:rsidRPr="00DF1C7A">
              <w:rPr>
                <w:rFonts w:ascii="Arial Narrow" w:hAnsi="Arial Narrow"/>
                <w:bCs/>
                <w:strike/>
                <w:sz w:val="20"/>
              </w:rPr>
              <w:t>®) is intended for continuous delivery via the implant only. Do not administer by any other route (e.g., not as a bolus intravitreal injection)</w:t>
            </w:r>
          </w:p>
        </w:tc>
      </w:tr>
      <w:tr w:rsidR="00DF1C7A" w:rsidRPr="00DF1C7A" w14:paraId="397264BE" w14:textId="77777777" w:rsidTr="00ED4BBD">
        <w:tblPrEx>
          <w:tblCellMar>
            <w:top w:w="15" w:type="dxa"/>
            <w:left w:w="15" w:type="dxa"/>
            <w:bottom w:w="15" w:type="dxa"/>
            <w:right w:w="15" w:type="dxa"/>
          </w:tblCellMar>
        </w:tblPrEx>
        <w:tc>
          <w:tcPr>
            <w:tcW w:w="527" w:type="pct"/>
            <w:tcBorders>
              <w:top w:val="single" w:sz="4" w:space="0" w:color="auto"/>
              <w:left w:val="single" w:sz="4" w:space="0" w:color="auto"/>
              <w:bottom w:val="single" w:sz="4" w:space="0" w:color="auto"/>
              <w:right w:val="single" w:sz="4" w:space="0" w:color="auto"/>
            </w:tcBorders>
            <w:vAlign w:val="center"/>
          </w:tcPr>
          <w:p w14:paraId="76E729A7" w14:textId="77777777" w:rsidR="00DF1C7A" w:rsidRPr="00DF1C7A" w:rsidRDefault="00DF1C7A" w:rsidP="00DF1C7A">
            <w:pPr>
              <w:jc w:val="center"/>
              <w:rPr>
                <w:rFonts w:ascii="Arial Narrow" w:hAnsi="Arial Narrow"/>
                <w:sz w:val="20"/>
              </w:rPr>
            </w:pPr>
          </w:p>
        </w:tc>
        <w:tc>
          <w:tcPr>
            <w:tcW w:w="4473" w:type="pct"/>
            <w:gridSpan w:val="6"/>
            <w:tcBorders>
              <w:top w:val="single" w:sz="4" w:space="0" w:color="auto"/>
              <w:left w:val="single" w:sz="4" w:space="0" w:color="auto"/>
              <w:bottom w:val="single" w:sz="4" w:space="0" w:color="auto"/>
              <w:right w:val="single" w:sz="4" w:space="0" w:color="auto"/>
            </w:tcBorders>
            <w:vAlign w:val="center"/>
          </w:tcPr>
          <w:p w14:paraId="1D35EC9F" w14:textId="77777777" w:rsidR="00DF1C7A" w:rsidRPr="00DF1C7A" w:rsidRDefault="00DF1C7A" w:rsidP="00DF1C7A">
            <w:pPr>
              <w:rPr>
                <w:rFonts w:ascii="Arial Narrow" w:hAnsi="Arial Narrow"/>
                <w:bCs/>
                <w:sz w:val="20"/>
              </w:rPr>
            </w:pPr>
            <w:r w:rsidRPr="00DF1C7A">
              <w:rPr>
                <w:rFonts w:ascii="Arial Narrow" w:hAnsi="Arial Narrow"/>
                <w:b/>
                <w:bCs/>
                <w:sz w:val="20"/>
              </w:rPr>
              <w:t>Administrative Advice:</w:t>
            </w:r>
          </w:p>
          <w:p w14:paraId="38C35A77" w14:textId="77777777" w:rsidR="00DF1C7A" w:rsidRPr="00DF1C7A" w:rsidRDefault="00DF1C7A" w:rsidP="00DF1C7A">
            <w:pPr>
              <w:rPr>
                <w:rFonts w:ascii="Arial Narrow" w:hAnsi="Arial Narrow"/>
                <w:b/>
                <w:bCs/>
                <w:strike/>
                <w:sz w:val="20"/>
              </w:rPr>
            </w:pPr>
            <w:r w:rsidRPr="00DF1C7A">
              <w:rPr>
                <w:rFonts w:ascii="Arial Narrow" w:hAnsi="Arial Narrow"/>
                <w:bCs/>
                <w:sz w:val="20"/>
              </w:rPr>
              <w:t>Ranibizumab 0.395mL injection vial is not interchangeable with ranibizumab 0.165 mL injection syringe or ranibizumab 0.23 mL injection vial</w:t>
            </w:r>
          </w:p>
        </w:tc>
      </w:tr>
      <w:tr w:rsidR="00DF1C7A" w:rsidRPr="00DF1C7A" w14:paraId="4CB08B09" w14:textId="77777777" w:rsidTr="00ED4BBD">
        <w:tblPrEx>
          <w:tblCellMar>
            <w:top w:w="15" w:type="dxa"/>
            <w:left w:w="15" w:type="dxa"/>
            <w:bottom w:w="15" w:type="dxa"/>
            <w:right w:w="15" w:type="dxa"/>
          </w:tblCellMar>
        </w:tblPrEx>
        <w:tc>
          <w:tcPr>
            <w:tcW w:w="527" w:type="pct"/>
            <w:vAlign w:val="center"/>
          </w:tcPr>
          <w:p w14:paraId="748F9ADF" w14:textId="77777777" w:rsidR="00DF1C7A" w:rsidRPr="00DF1C7A" w:rsidRDefault="00DF1C7A" w:rsidP="00DF1C7A">
            <w:pPr>
              <w:jc w:val="center"/>
              <w:rPr>
                <w:rFonts w:ascii="Arial Narrow" w:hAnsi="Arial Narrow"/>
                <w:sz w:val="20"/>
              </w:rPr>
            </w:pPr>
          </w:p>
        </w:tc>
        <w:tc>
          <w:tcPr>
            <w:tcW w:w="4473" w:type="pct"/>
            <w:gridSpan w:val="6"/>
            <w:vAlign w:val="center"/>
            <w:hideMark/>
          </w:tcPr>
          <w:p w14:paraId="443552A6" w14:textId="77777777" w:rsidR="00DF1C7A" w:rsidRPr="00DF1C7A" w:rsidRDefault="00DF1C7A" w:rsidP="00DF1C7A">
            <w:pPr>
              <w:rPr>
                <w:rFonts w:ascii="Arial Narrow" w:hAnsi="Arial Narrow"/>
                <w:sz w:val="20"/>
              </w:rPr>
            </w:pPr>
            <w:r w:rsidRPr="00DF1C7A">
              <w:rPr>
                <w:rFonts w:ascii="Arial Narrow" w:hAnsi="Arial Narrow"/>
                <w:b/>
                <w:bCs/>
                <w:sz w:val="20"/>
              </w:rPr>
              <w:t>Administrative Advice:</w:t>
            </w:r>
            <w:r w:rsidRPr="00DF1C7A">
              <w:rPr>
                <w:rFonts w:ascii="Arial Narrow" w:hAnsi="Arial Narrow"/>
                <w:sz w:val="20"/>
              </w:rPr>
              <w:t xml:space="preserve"> Special Pricing Arrangements apply</w:t>
            </w:r>
          </w:p>
        </w:tc>
      </w:tr>
    </w:tbl>
    <w:p w14:paraId="2BD2C538" w14:textId="77777777" w:rsidR="00DF1C7A" w:rsidRPr="00DF1C7A" w:rsidRDefault="00DF1C7A" w:rsidP="00DF1C7A">
      <w:pPr>
        <w:spacing w:after="120"/>
        <w:rPr>
          <w:rFonts w:asciiTheme="minorHAnsi" w:hAnsiTheme="minorHAnsi"/>
          <w:snapToGrid w:val="0"/>
          <w:sz w:val="12"/>
          <w:szCs w:val="12"/>
        </w:rPr>
      </w:pPr>
    </w:p>
    <w:p w14:paraId="4FE4ACDD" w14:textId="77777777" w:rsidR="00DF1C7A" w:rsidRPr="00DF1C7A" w:rsidRDefault="00DF1C7A" w:rsidP="00E81CE0">
      <w:pPr>
        <w:pStyle w:val="3Bodytext"/>
        <w:numPr>
          <w:ilvl w:val="1"/>
          <w:numId w:val="1"/>
        </w:numPr>
        <w:jc w:val="both"/>
        <w:rPr>
          <w:snapToGrid w:val="0"/>
        </w:rPr>
      </w:pPr>
      <w:r w:rsidRPr="00DF1C7A">
        <w:rPr>
          <w:snapToGrid w:val="0"/>
        </w:rPr>
        <w:t>The submission requested a maximum quantity of one ocular implant refill, with no repeats, which would provide approximately six months of therapy (the recommended treatment refill interval is 24 weeks). The manner of administration is via ocular implant (port delivery system).</w:t>
      </w:r>
    </w:p>
    <w:p w14:paraId="12C88AFB" w14:textId="77777777" w:rsidR="00DF1C7A" w:rsidRPr="00DF1C7A" w:rsidRDefault="00DF1C7A" w:rsidP="00E81CE0">
      <w:pPr>
        <w:pStyle w:val="3Bodytext"/>
        <w:numPr>
          <w:ilvl w:val="1"/>
          <w:numId w:val="1"/>
        </w:numPr>
        <w:jc w:val="both"/>
        <w:rPr>
          <w:snapToGrid w:val="0"/>
        </w:rPr>
      </w:pPr>
      <w:r w:rsidRPr="00DF1C7A">
        <w:rPr>
          <w:snapToGrid w:val="0"/>
        </w:rPr>
        <w:t xml:space="preserve">The submission requested a special pricing arrangement (SPA) and a published DPMQ of $3212.28, although an effective price was not proposed. The sponsor stated that </w:t>
      </w:r>
      <w:r w:rsidRPr="00DF1C7A">
        <w:rPr>
          <w:snapToGrid w:val="0"/>
        </w:rPr>
        <w:lastRenderedPageBreak/>
        <w:t>the effective price may be calculated based on the effective price of intravitreal ranibizumab once a positive recommendation has been achieved for ranibizumab PDS.</w:t>
      </w:r>
    </w:p>
    <w:p w14:paraId="328879DB" w14:textId="77777777" w:rsidR="00DF1C7A" w:rsidRPr="00DF1C7A" w:rsidRDefault="00DF1C7A" w:rsidP="00E81CE0">
      <w:pPr>
        <w:pStyle w:val="3Bodytext"/>
        <w:numPr>
          <w:ilvl w:val="1"/>
          <w:numId w:val="1"/>
        </w:numPr>
        <w:jc w:val="both"/>
        <w:rPr>
          <w:iCs/>
          <w:snapToGrid w:val="0"/>
        </w:rPr>
      </w:pPr>
      <w:r w:rsidRPr="00DF1C7A">
        <w:rPr>
          <w:snapToGrid w:val="0"/>
        </w:rPr>
        <w:t xml:space="preserve">The requested restriction proposed that ranibizumab PDS be reimbursed for patients with </w:t>
      </w:r>
      <w:proofErr w:type="spellStart"/>
      <w:r w:rsidRPr="00DF1C7A">
        <w:rPr>
          <w:snapToGrid w:val="0"/>
        </w:rPr>
        <w:t>nAMD</w:t>
      </w:r>
      <w:proofErr w:type="spellEnd"/>
      <w:r w:rsidRPr="00DF1C7A">
        <w:rPr>
          <w:snapToGrid w:val="0"/>
        </w:rPr>
        <w:t xml:space="preserve"> who have previously responded to intravitreal anti-VEGF treatment. The ARCHWAY trial randomised patients to ranibizumab PDS after they had been stabilised on anti-VEGF therapy, including at least 1 injection with intravitreal ranibizumab. In the 9 months prior to first study treatment, the median number of intravitreal ranibizumab injections in the study eye was 4.0 in the PDS arm and 4.0 in the intravitreal arm (mean 3.5 in the PDS 100 mg/mL arm and 3.8 in the intravitreal arm). Aflibercept had been administered to 11.3-12.0% of patients (mean of 0.4/0.3 in PDS/intravitreal arm). 16-19% had received 1 intravitreal ranibizumab injection. The ESC considered the trial evidence most strongly supports ranibizumab PDS use after previous stabilised response to intravitreal ranibizumab.</w:t>
      </w:r>
    </w:p>
    <w:p w14:paraId="38B782A7" w14:textId="77777777" w:rsidR="00DF1C7A" w:rsidRPr="00DF1C7A" w:rsidRDefault="00DF1C7A" w:rsidP="00E81CE0">
      <w:pPr>
        <w:pStyle w:val="3Bodytext"/>
        <w:numPr>
          <w:ilvl w:val="1"/>
          <w:numId w:val="1"/>
        </w:numPr>
        <w:jc w:val="both"/>
        <w:rPr>
          <w:iCs/>
          <w:snapToGrid w:val="0"/>
        </w:rPr>
      </w:pPr>
      <w:r w:rsidRPr="00DF1C7A">
        <w:rPr>
          <w:iCs/>
          <w:snapToGrid w:val="0"/>
        </w:rPr>
        <w:t>The PBAC agreed with the ESC that brolucizumab should not be allowed as a prior therapy, as it is listed on the PBS as a second-line treatment after patients have not responded sufficiently to aflibercept and/or ranibizumab.</w:t>
      </w:r>
    </w:p>
    <w:p w14:paraId="731C0E11" w14:textId="77777777" w:rsidR="00DF1C7A" w:rsidRPr="00DF1C7A" w:rsidRDefault="00DF1C7A" w:rsidP="00E81CE0">
      <w:pPr>
        <w:pStyle w:val="3Bodytext"/>
        <w:numPr>
          <w:ilvl w:val="1"/>
          <w:numId w:val="1"/>
        </w:numPr>
        <w:jc w:val="both"/>
        <w:rPr>
          <w:snapToGrid w:val="0"/>
        </w:rPr>
      </w:pPr>
      <w:r w:rsidRPr="00DF1C7A">
        <w:rPr>
          <w:snapToGrid w:val="0"/>
        </w:rPr>
        <w:t xml:space="preserve">The proposed restriction specified that response to anti-VEGF therapy must have previously been achieved, but response was not </w:t>
      </w:r>
      <w:r w:rsidRPr="00DF1C7A">
        <w:rPr>
          <w:iCs/>
          <w:snapToGrid w:val="0"/>
        </w:rPr>
        <w:t xml:space="preserve">specifically </w:t>
      </w:r>
      <w:r w:rsidRPr="00DF1C7A">
        <w:rPr>
          <w:snapToGrid w:val="0"/>
        </w:rPr>
        <w:t>defined. T</w:t>
      </w:r>
      <w:r w:rsidRPr="00DF1C7A">
        <w:rPr>
          <w:iCs/>
          <w:snapToGrid w:val="0"/>
        </w:rPr>
        <w:t>he ESC considered this may be reasonable as response could be determined according to discretion of the treating physician</w:t>
      </w:r>
      <w:r w:rsidRPr="00DF1C7A">
        <w:rPr>
          <w:snapToGrid w:val="0"/>
        </w:rPr>
        <w:t>. The submission stated that clinician opinion suggested that patients may become eligible after 6-12 months of intravitreal anti-VEGF therapy. The ESC noted that the current brolucizumab restriction requires patients to have been insufficiently responsive to therapy despite at least 6 months treatment with aflibercept and/or ranibizumab. As such, the PBAC considered that a minimum treatment duration of prior intravitreal therapy of 6 months may be clinically appropriate in order to define a stabilised patient, and that this could be specified in the ranibizumab PDS listing.</w:t>
      </w:r>
    </w:p>
    <w:p w14:paraId="1654945F" w14:textId="77777777" w:rsidR="00DF1C7A" w:rsidRPr="00DF1C7A" w:rsidRDefault="00DF1C7A" w:rsidP="00E81CE0">
      <w:pPr>
        <w:pStyle w:val="3Bodytext"/>
        <w:numPr>
          <w:ilvl w:val="1"/>
          <w:numId w:val="1"/>
        </w:numPr>
        <w:jc w:val="both"/>
        <w:rPr>
          <w:iCs/>
          <w:snapToGrid w:val="0"/>
        </w:rPr>
      </w:pPr>
      <w:r w:rsidRPr="00DF1C7A">
        <w:rPr>
          <w:snapToGrid w:val="0"/>
        </w:rPr>
        <w:t>The PBAC noted that the pivotal ARCHWAY trial required patients to receive at least 1 intravitreal ranibizumab injection prior to PDS implantation and considered it may potentially be clinically appropriate to have such a requirement in the PBS listing. The pre-PBAC response argued that, since aflibercept and ranibizumab are considered noninferior in efficacy and safety, intravitreal ranibizumab can be considered representative of available anti-VEGF therapies.</w:t>
      </w:r>
    </w:p>
    <w:p w14:paraId="45CCAD18" w14:textId="77777777" w:rsidR="00DF1C7A" w:rsidRPr="00DF1C7A" w:rsidRDefault="00DF1C7A" w:rsidP="00E81CE0">
      <w:pPr>
        <w:pStyle w:val="3Bodytext"/>
        <w:numPr>
          <w:ilvl w:val="1"/>
          <w:numId w:val="1"/>
        </w:numPr>
        <w:jc w:val="both"/>
        <w:rPr>
          <w:snapToGrid w:val="0"/>
        </w:rPr>
      </w:pPr>
      <w:r w:rsidRPr="00DF1C7A">
        <w:rPr>
          <w:snapToGrid w:val="0"/>
        </w:rPr>
        <w:t>The submission noted that</w:t>
      </w:r>
      <w:r w:rsidRPr="00DF1C7A">
        <w:rPr>
          <w:iCs/>
          <w:snapToGrid w:val="0"/>
        </w:rPr>
        <w:t>,</w:t>
      </w:r>
      <w:r w:rsidRPr="00DF1C7A">
        <w:rPr>
          <w:snapToGrid w:val="0"/>
        </w:rPr>
        <w:t xml:space="preserve"> if ranibizumab PDS is recommended, changes may be required to the PBS listings of intravitreal ranibizumab to allow supplemental dosing with intravitreal ranibizumab in between the fixed six-monthly intervals of ranibizumab PDS. </w:t>
      </w:r>
      <w:r w:rsidRPr="00DF1C7A">
        <w:rPr>
          <w:iCs/>
          <w:snapToGrid w:val="0"/>
        </w:rPr>
        <w:t xml:space="preserve">The ESC noted that </w:t>
      </w:r>
      <w:r w:rsidRPr="00DF1C7A">
        <w:rPr>
          <w:snapToGrid w:val="0"/>
        </w:rPr>
        <w:t xml:space="preserve">this may be inconsistent with the clinical criterion requested in the submission for all treatment phases: “The treatment must be the sole PBS-subsidised therapy for this condition.” The PBAC agreed with the ESC that supplementary intravitreal ranibizumab should be permitted, but also considered that clinicians may instead seek to shorten the duration between ranibizumab PDS </w:t>
      </w:r>
      <w:r w:rsidRPr="00DF1C7A">
        <w:rPr>
          <w:snapToGrid w:val="0"/>
        </w:rPr>
        <w:lastRenderedPageBreak/>
        <w:t>implant refill-exchanges if therapeutic efficacy showed signs of waning. The PBAC noted the Secretariat would provide further suggestions regarding the structure of any flow-on changes required for the PBS restriction for intravitreal ranibizumab.</w:t>
      </w:r>
    </w:p>
    <w:p w14:paraId="58194E7B" w14:textId="77777777" w:rsidR="00DF1C7A" w:rsidRPr="00DF1C7A" w:rsidRDefault="00DF1C7A" w:rsidP="00E81CE0">
      <w:pPr>
        <w:pStyle w:val="3Bodytext"/>
        <w:numPr>
          <w:ilvl w:val="1"/>
          <w:numId w:val="1"/>
        </w:numPr>
        <w:jc w:val="both"/>
        <w:rPr>
          <w:snapToGrid w:val="0"/>
        </w:rPr>
      </w:pPr>
      <w:r w:rsidRPr="00DF1C7A">
        <w:rPr>
          <w:snapToGrid w:val="0"/>
        </w:rPr>
        <w:t>The submission justified the initial telephone authority by stating that the evidence substantiating appropriateness for anti-VEGF therapy would have previously been provided. An initial written authority listing would be consistent with the existing ranibizumab, aflibercept and brolucizumab PBS listings. The ESC considered that in light of the November 2021 recommendation for continuing phase listings of aflibercept and ranibizumab to become Authority Required (STREAMLINED), it may also be appropriate to change the ranibizumab PDS continuing listing to be Authority Required (STREAMLINED) when the November 2021 recommendations are implemented.</w:t>
      </w:r>
    </w:p>
    <w:p w14:paraId="5DE49993" w14:textId="77777777" w:rsidR="00DF1C7A" w:rsidRPr="00DF1C7A" w:rsidRDefault="00DF1C7A" w:rsidP="00DF1C7A">
      <w:pPr>
        <w:spacing w:after="120"/>
        <w:ind w:left="720"/>
        <w:rPr>
          <w:rFonts w:asciiTheme="minorHAnsi" w:hAnsiTheme="minorHAnsi"/>
          <w:snapToGrid w:val="0"/>
        </w:rPr>
      </w:pPr>
      <w:r w:rsidRPr="00DF1C7A">
        <w:rPr>
          <w:rFonts w:asciiTheme="minorHAnsi" w:hAnsiTheme="minorHAnsi"/>
          <w:i/>
          <w:snapToGrid w:val="0"/>
        </w:rPr>
        <w:t>For more detail on PBAC’s view, see section 7 PBAC outcome.</w:t>
      </w:r>
    </w:p>
    <w:p w14:paraId="25E494E4"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Population and disease</w:t>
      </w:r>
    </w:p>
    <w:p w14:paraId="4D30A54D" w14:textId="77777777" w:rsidR="00DF1C7A" w:rsidRPr="00DF1C7A" w:rsidRDefault="00DF1C7A" w:rsidP="00E81CE0">
      <w:pPr>
        <w:pStyle w:val="3Bodytext"/>
        <w:numPr>
          <w:ilvl w:val="1"/>
          <w:numId w:val="1"/>
        </w:numPr>
        <w:jc w:val="both"/>
        <w:rPr>
          <w:snapToGrid w:val="0"/>
        </w:rPr>
      </w:pPr>
      <w:r w:rsidRPr="00DF1C7A">
        <w:rPr>
          <w:snapToGrid w:val="0"/>
        </w:rPr>
        <w:t>Age-related macular degeneration is a chronic eye disease characterised by progressive degenerative abnormalities in the central retina (macula). Neovascular (wet) AMD (</w:t>
      </w:r>
      <w:proofErr w:type="spellStart"/>
      <w:r w:rsidRPr="00DF1C7A">
        <w:rPr>
          <w:snapToGrid w:val="0"/>
        </w:rPr>
        <w:t>nAMD</w:t>
      </w:r>
      <w:proofErr w:type="spellEnd"/>
      <w:r w:rsidRPr="00DF1C7A">
        <w:rPr>
          <w:snapToGrid w:val="0"/>
        </w:rPr>
        <w:t xml:space="preserve">) occurs in around 10-15% of overall AMD cases and is characterised by choroidal neovascularisation, a process in which new blood vessels grow beneath the retina and macula. Binding of VEGF-A to its receptors leads to endothelial cell proliferation and neovascularisation, as well as vascular leakage, which contribute to the progression of the neovascular form of AMD. High levels of VEGF initiate the formation of new vessels (Wykoff 2018), which may leak fluid or blood and penetrate the photoreceptor layer, resulting in focal retinal detachment and rapid central vision loss (Bhutto 2012; van </w:t>
      </w:r>
      <w:proofErr w:type="spellStart"/>
      <w:r w:rsidRPr="00DF1C7A">
        <w:rPr>
          <w:snapToGrid w:val="0"/>
        </w:rPr>
        <w:t>Lookeren</w:t>
      </w:r>
      <w:proofErr w:type="spellEnd"/>
      <w:r w:rsidRPr="00DF1C7A">
        <w:rPr>
          <w:snapToGrid w:val="0"/>
        </w:rPr>
        <w:t xml:space="preserve"> Campagne 2014), and potential blindness (Wong 2014). If left untreated, </w:t>
      </w:r>
      <w:proofErr w:type="spellStart"/>
      <w:r w:rsidRPr="00DF1C7A">
        <w:rPr>
          <w:snapToGrid w:val="0"/>
        </w:rPr>
        <w:t>nAMD</w:t>
      </w:r>
      <w:proofErr w:type="spellEnd"/>
      <w:r w:rsidRPr="00DF1C7A">
        <w:rPr>
          <w:snapToGrid w:val="0"/>
        </w:rPr>
        <w:t xml:space="preserve"> eventually leads to irreversible vision loss and blindness.</w:t>
      </w:r>
    </w:p>
    <w:p w14:paraId="5E4256D5" w14:textId="77777777" w:rsidR="00DF1C7A" w:rsidRPr="00DF1C7A" w:rsidRDefault="00DF1C7A" w:rsidP="00E81CE0">
      <w:pPr>
        <w:pStyle w:val="3Bodytext"/>
        <w:numPr>
          <w:ilvl w:val="1"/>
          <w:numId w:val="1"/>
        </w:numPr>
        <w:jc w:val="both"/>
        <w:rPr>
          <w:snapToGrid w:val="0"/>
        </w:rPr>
      </w:pPr>
      <w:r w:rsidRPr="00DF1C7A">
        <w:rPr>
          <w:snapToGrid w:val="0"/>
        </w:rPr>
        <w:t>Anti-VEGF medication can block the activity of the VEGF protein, which is predominantly responsible for the abnormal growth of blood vessels and fluid leakage under the retina, thereby stopping the growth of abnormal blood vessels and fluid leakage. Ranibizumab is a humanised recombinant monoclonal antibody fragment targeted against human vascular endothelial growth factor A (VEGF-A). It binds with high affinity to all biologically active VEGF-A isoforms, thereby preventing binding of VEGF-A to its receptors VEGFR-1 and VEGFR-2. Currently, treatment is initiated with one intravitreal injection per month until maximum visual acuity is achieved and/or there are no signs of disease activity; that is, no change in visual acuity and in other signs and symptoms of the disease under continued treatment.</w:t>
      </w:r>
    </w:p>
    <w:p w14:paraId="320A1DBE" w14:textId="77777777" w:rsidR="00DF1C7A" w:rsidRPr="00DF1C7A" w:rsidRDefault="00DF1C7A" w:rsidP="00E81CE0">
      <w:pPr>
        <w:pStyle w:val="3Bodytext"/>
        <w:numPr>
          <w:ilvl w:val="1"/>
          <w:numId w:val="1"/>
        </w:numPr>
        <w:jc w:val="both"/>
        <w:rPr>
          <w:snapToGrid w:val="0"/>
        </w:rPr>
      </w:pPr>
      <w:r w:rsidRPr="00DF1C7A">
        <w:rPr>
          <w:snapToGrid w:val="0"/>
        </w:rPr>
        <w:t xml:space="preserve">The proposed clinical management algorithm positioned ranibizumab PDS as an alternative treatment option for patients who have responded to standard of care intravitreal injections, and who are willing to undergo treatment with a preference for the longest available treatment interval. The population described in the submission </w:t>
      </w:r>
      <w:r w:rsidRPr="00DF1C7A">
        <w:rPr>
          <w:snapToGrid w:val="0"/>
        </w:rPr>
        <w:lastRenderedPageBreak/>
        <w:t xml:space="preserve">includes both patients on a four-weekly treatment schedule, who are unable to extend to less frequent intervals (four-weekly population), and patients who may be on treat-and-extend (T&amp;E) regimens but who would prefer treatment with ranibizumab PDS in order to reduce treatment burden (patient preference population). </w:t>
      </w:r>
      <w:r w:rsidRPr="00DF1C7A">
        <w:rPr>
          <w:iCs/>
          <w:snapToGrid w:val="0"/>
        </w:rPr>
        <w:t>The submission noted that clinicians have suggested that a maximum of 20% of patients in totality meet one or more of these criteria, and that the majority of this group would be frequent injection users with 75% of these patients electing therapy.</w:t>
      </w:r>
      <w:r w:rsidRPr="00DF1C7A">
        <w:rPr>
          <w:snapToGrid w:val="0"/>
        </w:rPr>
        <w:t xml:space="preserve"> </w:t>
      </w:r>
      <w:r w:rsidRPr="00DF1C7A">
        <w:rPr>
          <w:iCs/>
          <w:snapToGrid w:val="0"/>
        </w:rPr>
        <w:t>The Pre-Sub-Committee Response (PSCR) provided additional clinician feedback on the clinical need for ranibizumab PDS. The ESC noted limited details about how this feedback was solicited and that 15% (75%x20%) uptake appeared poorly justified but considered it may be reasonable to assume that the majority of use would be in those with higher treatment burden.</w:t>
      </w:r>
    </w:p>
    <w:p w14:paraId="4923DF3C" w14:textId="77777777" w:rsidR="00DF1C7A" w:rsidRPr="00DF1C7A" w:rsidRDefault="00DF1C7A" w:rsidP="00F6592B">
      <w:pPr>
        <w:pStyle w:val="3Bodytext"/>
        <w:numPr>
          <w:ilvl w:val="1"/>
          <w:numId w:val="1"/>
        </w:numPr>
        <w:jc w:val="both"/>
        <w:rPr>
          <w:snapToGrid w:val="0"/>
        </w:rPr>
      </w:pPr>
      <w:r w:rsidRPr="00DF1C7A">
        <w:rPr>
          <w:snapToGrid w:val="0"/>
        </w:rPr>
        <w:t xml:space="preserve">This submission was for a vial of 0.395 mL containing 39.5 mg of ranibizumab at a concentration of 100 mg/mL, which is intended for injection via the ocular implant. The implant is a refillable drug reservoir that is inserted into the eye through the </w:t>
      </w:r>
      <w:r w:rsidRPr="00DF1C7A">
        <w:rPr>
          <w:i/>
          <w:snapToGrid w:val="0"/>
        </w:rPr>
        <w:t>pars plana</w:t>
      </w:r>
      <w:r w:rsidRPr="00DF1C7A">
        <w:rPr>
          <w:snapToGrid w:val="0"/>
        </w:rPr>
        <w:t xml:space="preserve">, and secured within the scleral incision, with an </w:t>
      </w:r>
      <w:proofErr w:type="spellStart"/>
      <w:r w:rsidRPr="00DF1C7A">
        <w:rPr>
          <w:snapToGrid w:val="0"/>
        </w:rPr>
        <w:t>extrascleral</w:t>
      </w:r>
      <w:proofErr w:type="spellEnd"/>
      <w:r w:rsidRPr="00DF1C7A">
        <w:rPr>
          <w:snapToGrid w:val="0"/>
        </w:rPr>
        <w:t xml:space="preserve"> flange remaining visible through the conjunctiva following insertion. Once filled with ranibizumab 100 mg/mL, the implant is designed to provide continuous release of drug into the eye. The implant can be refilled via a refill-exchange procedure, which requires a specific needle that allows implant contents to be extracted simultaneously as the implant is filled with replacement ranibizumab.</w:t>
      </w:r>
    </w:p>
    <w:p w14:paraId="0037D924" w14:textId="77777777" w:rsidR="00DF1C7A" w:rsidRPr="00DF1C7A" w:rsidRDefault="00DF1C7A" w:rsidP="00DF1C7A">
      <w:pPr>
        <w:spacing w:after="120"/>
        <w:ind w:left="720"/>
        <w:rPr>
          <w:rFonts w:asciiTheme="minorHAnsi" w:hAnsiTheme="minorHAnsi"/>
          <w:snapToGrid w:val="0"/>
        </w:rPr>
      </w:pPr>
      <w:r w:rsidRPr="00DF1C7A">
        <w:rPr>
          <w:rFonts w:asciiTheme="minorHAnsi" w:hAnsiTheme="minorHAnsi"/>
          <w:i/>
          <w:snapToGrid w:val="0"/>
        </w:rPr>
        <w:t>For more detail on PBAC’s view, see section 7 PBAC outcome.</w:t>
      </w:r>
    </w:p>
    <w:p w14:paraId="7991F378"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Comparator</w:t>
      </w:r>
    </w:p>
    <w:p w14:paraId="6F36480A" w14:textId="77777777" w:rsidR="00DF1C7A" w:rsidRPr="00DF1C7A" w:rsidRDefault="00DF1C7A" w:rsidP="00F6592B">
      <w:pPr>
        <w:pStyle w:val="3Bodytext"/>
        <w:numPr>
          <w:ilvl w:val="1"/>
          <w:numId w:val="1"/>
        </w:numPr>
        <w:jc w:val="both"/>
        <w:rPr>
          <w:snapToGrid w:val="0"/>
        </w:rPr>
      </w:pPr>
      <w:r w:rsidRPr="00DF1C7A">
        <w:rPr>
          <w:snapToGrid w:val="0"/>
        </w:rPr>
        <w:t>The submission appropriately nominated standard of care, ranibizumab (delivered via intravitreal injection) as the main comparator, on the basis of being the same active ingredient as the therapy proposed for listing on the PBS, with the same pharmacological action and in the same therapeutic class.</w:t>
      </w:r>
    </w:p>
    <w:p w14:paraId="1076A331" w14:textId="77777777" w:rsidR="00DF1C7A" w:rsidRPr="00DF1C7A" w:rsidRDefault="00DF1C7A" w:rsidP="00F6592B">
      <w:pPr>
        <w:pStyle w:val="3Bodytext"/>
        <w:numPr>
          <w:ilvl w:val="1"/>
          <w:numId w:val="1"/>
        </w:numPr>
        <w:jc w:val="both"/>
        <w:rPr>
          <w:snapToGrid w:val="0"/>
        </w:rPr>
      </w:pPr>
      <w:r w:rsidRPr="00DF1C7A">
        <w:rPr>
          <w:snapToGrid w:val="0"/>
        </w:rPr>
        <w:t xml:space="preserve">The PBAC agreed with the submission that intravitreal ranibizumab can be considered representative of either intravitreal ranibizumab or aflibercept in terms of the appropriate comparator, as the PBAC has previously accepted noninferiority between the two agents, priced on an </w:t>
      </w:r>
      <w:proofErr w:type="spellStart"/>
      <w:r w:rsidRPr="00DF1C7A">
        <w:rPr>
          <w:snapToGrid w:val="0"/>
        </w:rPr>
        <w:t>injection:injection</w:t>
      </w:r>
      <w:proofErr w:type="spellEnd"/>
      <w:r w:rsidRPr="00DF1C7A">
        <w:rPr>
          <w:snapToGrid w:val="0"/>
        </w:rPr>
        <w:t xml:space="preserve"> basis (Therapeutic Relativity Sheets, </w:t>
      </w:r>
      <w:proofErr w:type="spellStart"/>
      <w:r w:rsidRPr="00DF1C7A">
        <w:rPr>
          <w:snapToGrid w:val="0"/>
        </w:rPr>
        <w:t>Ophthalmologicals</w:t>
      </w:r>
      <w:proofErr w:type="spellEnd"/>
      <w:r w:rsidRPr="00DF1C7A">
        <w:rPr>
          <w:snapToGrid w:val="0"/>
        </w:rPr>
        <w:t>).</w:t>
      </w:r>
    </w:p>
    <w:p w14:paraId="325F5682" w14:textId="77777777" w:rsidR="00DF1C7A" w:rsidRPr="00DF1C7A" w:rsidRDefault="00DF1C7A" w:rsidP="009C10CA">
      <w:pPr>
        <w:pStyle w:val="3Bodytext"/>
        <w:numPr>
          <w:ilvl w:val="1"/>
          <w:numId w:val="1"/>
        </w:numPr>
        <w:jc w:val="both"/>
        <w:rPr>
          <w:snapToGrid w:val="0"/>
        </w:rPr>
      </w:pPr>
      <w:r w:rsidRPr="00DF1C7A">
        <w:rPr>
          <w:snapToGrid w:val="0"/>
        </w:rPr>
        <w:t>Usual dosing of intravitreal ranibizumab for the treatment of wet AMD is 0.5 mg by intravitreal injection every month for three injections, with scheduled or variable treatment thereafter.</w:t>
      </w:r>
    </w:p>
    <w:p w14:paraId="0E868C8D" w14:textId="77777777" w:rsidR="00DF1C7A" w:rsidRPr="00DF1C7A" w:rsidRDefault="00DF1C7A" w:rsidP="00DF1C7A">
      <w:pPr>
        <w:spacing w:after="120"/>
        <w:ind w:left="720"/>
        <w:rPr>
          <w:rFonts w:asciiTheme="minorHAnsi" w:hAnsiTheme="minorHAnsi"/>
          <w:snapToGrid w:val="0"/>
        </w:rPr>
      </w:pPr>
      <w:r w:rsidRPr="00DF1C7A">
        <w:rPr>
          <w:rFonts w:asciiTheme="minorHAnsi" w:hAnsiTheme="minorHAnsi"/>
          <w:i/>
          <w:snapToGrid w:val="0"/>
        </w:rPr>
        <w:t>For more detail on PBAC’s view, see section 7 PBAC outcome.</w:t>
      </w:r>
    </w:p>
    <w:p w14:paraId="5ACAB019"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lastRenderedPageBreak/>
        <w:t>Consideration of the evidence</w:t>
      </w:r>
    </w:p>
    <w:p w14:paraId="2CD295BC"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Sponsor hearing</w:t>
      </w:r>
    </w:p>
    <w:p w14:paraId="25C7214B" w14:textId="77777777" w:rsidR="00DF1C7A" w:rsidRPr="00DF1C7A" w:rsidRDefault="00DF1C7A" w:rsidP="00DF1C7A">
      <w:pPr>
        <w:widowControl w:val="0"/>
        <w:numPr>
          <w:ilvl w:val="1"/>
          <w:numId w:val="1"/>
        </w:numPr>
        <w:spacing w:after="120"/>
        <w:rPr>
          <w:rFonts w:cs="Calibri"/>
          <w:bCs/>
          <w:snapToGrid w:val="0"/>
        </w:rPr>
      </w:pPr>
      <w:r w:rsidRPr="00DF1C7A">
        <w:rPr>
          <w:rFonts w:cs="Calibri"/>
          <w:bCs/>
          <w:snapToGrid w:val="0"/>
        </w:rPr>
        <w:t>There was no hearing for this item.</w:t>
      </w:r>
    </w:p>
    <w:p w14:paraId="63550579"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Consumer comments</w:t>
      </w:r>
    </w:p>
    <w:p w14:paraId="4FBFDAE2" w14:textId="77777777" w:rsidR="00DF1C7A" w:rsidRPr="00DF1C7A" w:rsidRDefault="00DF1C7A" w:rsidP="009C10CA">
      <w:pPr>
        <w:pStyle w:val="3Bodytext"/>
        <w:numPr>
          <w:ilvl w:val="1"/>
          <w:numId w:val="1"/>
        </w:numPr>
        <w:jc w:val="both"/>
        <w:rPr>
          <w:snapToGrid w:val="0"/>
        </w:rPr>
      </w:pPr>
      <w:r w:rsidRPr="00DF1C7A">
        <w:rPr>
          <w:snapToGrid w:val="0"/>
        </w:rPr>
        <w:t>The PBAC noted and welcomed the input from health care professionals (HCPs) (3) and an organisation via the Consumer Comments facility on the PBS website.</w:t>
      </w:r>
    </w:p>
    <w:p w14:paraId="0E3CE779" w14:textId="77777777" w:rsidR="00DF1C7A" w:rsidRPr="00DF1C7A" w:rsidRDefault="00DF1C7A" w:rsidP="009C10CA">
      <w:pPr>
        <w:pStyle w:val="3Bodytext"/>
        <w:numPr>
          <w:ilvl w:val="1"/>
          <w:numId w:val="1"/>
        </w:numPr>
        <w:jc w:val="both"/>
        <w:rPr>
          <w:snapToGrid w:val="0"/>
        </w:rPr>
      </w:pPr>
      <w:r w:rsidRPr="00DF1C7A">
        <w:rPr>
          <w:snapToGrid w:val="0"/>
        </w:rPr>
        <w:t xml:space="preserve">The comments from the HCPs described the benefits of treatment with ranibizumab PDS, particularly around the decreased burden of treatment for patients and carers, and improved compliance and anticipated associated long-term outcomes. However, 2 HCPs acknowledged disadvantages of ranibizumab PDS in terms of surgical risks associated with the implant and patient fear of surgery, and 1 HCP noted the short-term complications with ranibizumab PDS including </w:t>
      </w:r>
      <w:r w:rsidRPr="00DF1C7A">
        <w:rPr>
          <w:bCs/>
          <w:snapToGrid w:val="0"/>
        </w:rPr>
        <w:t>endophthalmitis, and unknown long-term complications.</w:t>
      </w:r>
    </w:p>
    <w:p w14:paraId="5188B87D" w14:textId="77777777" w:rsidR="00DF1C7A" w:rsidRPr="00DF1C7A" w:rsidRDefault="00DF1C7A" w:rsidP="00DF1C7A">
      <w:pPr>
        <w:widowControl w:val="0"/>
        <w:numPr>
          <w:ilvl w:val="1"/>
          <w:numId w:val="1"/>
        </w:numPr>
        <w:spacing w:after="120"/>
        <w:rPr>
          <w:rFonts w:asciiTheme="minorHAnsi" w:hAnsiTheme="minorHAnsi"/>
          <w:bCs/>
          <w:snapToGrid w:val="0"/>
        </w:rPr>
      </w:pPr>
      <w:r w:rsidRPr="00DF1C7A">
        <w:rPr>
          <w:rFonts w:asciiTheme="minorHAnsi" w:hAnsiTheme="minorHAnsi"/>
          <w:bCs/>
          <w:snapToGrid w:val="0"/>
        </w:rPr>
        <w:t xml:space="preserve">The PBAC noted the advice received from the Macular Disease Foundation Australia (MDFA). The MDFA stated that several groups of patients will receive the greatest benefit from access to </w:t>
      </w:r>
      <w:r w:rsidRPr="00DF1C7A">
        <w:t>ranibizumab PDS, specifically patients who are unable to extend the intervals of anti-VEGF injections and experience treatment fatigue, those who require treatment in both eyes but cannot receive same-day intravitreal injections, and patients in aged care facilities or those otherwise at risk of missing appointments.</w:t>
      </w:r>
      <w:r w:rsidRPr="00DF1C7A">
        <w:rPr>
          <w:rFonts w:asciiTheme="minorHAnsi" w:hAnsiTheme="minorHAnsi"/>
          <w:bCs/>
          <w:snapToGrid w:val="0"/>
        </w:rPr>
        <w:t xml:space="preserve"> </w:t>
      </w:r>
      <w:r w:rsidRPr="00DF1C7A">
        <w:rPr>
          <w:bCs/>
        </w:rPr>
        <w:t xml:space="preserve">The MDFA stated that only about 50% of patients continue to receive current treatments beyond 5 years, and that addressing the issue of long-term adherence and persistence is anticipated to ensure more patients with </w:t>
      </w:r>
      <w:proofErr w:type="spellStart"/>
      <w:r w:rsidRPr="00DF1C7A">
        <w:rPr>
          <w:bCs/>
        </w:rPr>
        <w:t>nAMD</w:t>
      </w:r>
      <w:proofErr w:type="spellEnd"/>
      <w:r w:rsidRPr="00DF1C7A">
        <w:rPr>
          <w:bCs/>
        </w:rPr>
        <w:t xml:space="preserve"> avoid unnecessary severe vision loss and blindness. The MDFA acknowledged that ranibizumab PDS will not be appropriate for all patients, as the implantation necessitates a significant surgical procedure, and will require frequent check-ups within the first 3 months after surgery and potentially every 2-3 months thereafter for at least the first year. </w:t>
      </w:r>
      <w:r w:rsidRPr="00DF1C7A">
        <w:rPr>
          <w:rFonts w:asciiTheme="minorHAnsi" w:hAnsiTheme="minorHAnsi"/>
          <w:bCs/>
          <w:snapToGrid w:val="0"/>
        </w:rPr>
        <w:t>The PBAC noted that the advice from the MDFA was, overall, supportive of the evidence provided in the submission.</w:t>
      </w:r>
    </w:p>
    <w:p w14:paraId="051A81B5"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Clinical trial</w:t>
      </w:r>
    </w:p>
    <w:p w14:paraId="64EEBE9D" w14:textId="77777777" w:rsidR="00DF1C7A" w:rsidRPr="00DF1C7A" w:rsidRDefault="00DF1C7A" w:rsidP="009C10CA">
      <w:pPr>
        <w:pStyle w:val="3Bodytext"/>
        <w:numPr>
          <w:ilvl w:val="1"/>
          <w:numId w:val="1"/>
        </w:numPr>
        <w:jc w:val="both"/>
        <w:rPr>
          <w:snapToGrid w:val="0"/>
        </w:rPr>
      </w:pPr>
      <w:r w:rsidRPr="00DF1C7A">
        <w:t>The submission was based on one head-to-head randomised noninferiority trial comparing ranibizumab PDS (including device implantation and refill-exchange procedures) with intravitreal ranibizumab (ARCHWAY).</w:t>
      </w:r>
    </w:p>
    <w:p w14:paraId="36138047" w14:textId="77777777" w:rsidR="00DF1C7A" w:rsidRPr="00DF1C7A" w:rsidRDefault="00DF1C7A" w:rsidP="009C10CA">
      <w:pPr>
        <w:pStyle w:val="3Bodytext"/>
        <w:numPr>
          <w:ilvl w:val="1"/>
          <w:numId w:val="1"/>
        </w:numPr>
        <w:jc w:val="both"/>
        <w:rPr>
          <w:snapToGrid w:val="0"/>
        </w:rPr>
      </w:pPr>
      <w:r w:rsidRPr="00DF1C7A">
        <w:t>Details of the ARCHWAY trial are provided in Table 2.</w:t>
      </w:r>
    </w:p>
    <w:p w14:paraId="252CE535" w14:textId="77777777" w:rsidR="00DF1C7A" w:rsidRPr="00DF1C7A" w:rsidRDefault="00DF1C7A" w:rsidP="00DF1C7A">
      <w:pPr>
        <w:keepNext/>
        <w:jc w:val="left"/>
        <w:rPr>
          <w:rFonts w:ascii="Arial Narrow" w:eastAsiaTheme="majorEastAsia" w:hAnsi="Arial Narrow" w:cstheme="majorBidi"/>
          <w:b/>
          <w:bCs/>
          <w:sz w:val="20"/>
        </w:rPr>
      </w:pPr>
      <w:r w:rsidRPr="00DF1C7A">
        <w:rPr>
          <w:rFonts w:ascii="Arial Narrow" w:eastAsiaTheme="majorEastAsia" w:hAnsi="Arial Narrow" w:cstheme="majorBidi"/>
          <w:b/>
          <w:bCs/>
          <w:sz w:val="20"/>
        </w:rPr>
        <w:lastRenderedPageBreak/>
        <w:t xml:space="preserve">Table </w:t>
      </w:r>
      <w:r w:rsidRPr="00DF1C7A">
        <w:rPr>
          <w:rFonts w:ascii="Arial Narrow" w:eastAsiaTheme="majorEastAsia" w:hAnsi="Arial Narrow" w:cstheme="majorBidi"/>
          <w:b/>
          <w:bCs/>
          <w:sz w:val="20"/>
        </w:rPr>
        <w:fldChar w:fldCharType="begin" w:fldLock="1"/>
      </w:r>
      <w:r w:rsidRPr="00DF1C7A">
        <w:rPr>
          <w:rFonts w:ascii="Arial Narrow" w:eastAsiaTheme="majorEastAsia" w:hAnsi="Arial Narrow" w:cstheme="majorBidi"/>
          <w:b/>
          <w:bCs/>
          <w:sz w:val="20"/>
        </w:rPr>
        <w:instrText>SEQ Table \* ARABIC</w:instrText>
      </w:r>
      <w:r w:rsidRPr="00DF1C7A">
        <w:rPr>
          <w:rFonts w:ascii="Arial Narrow" w:eastAsiaTheme="majorEastAsia" w:hAnsi="Arial Narrow" w:cstheme="majorBidi"/>
          <w:b/>
          <w:bCs/>
          <w:sz w:val="20"/>
        </w:rPr>
        <w:fldChar w:fldCharType="separate"/>
      </w:r>
      <w:r w:rsidRPr="00DF1C7A">
        <w:rPr>
          <w:rFonts w:ascii="Arial Narrow" w:eastAsiaTheme="majorEastAsia" w:hAnsi="Arial Narrow" w:cstheme="majorBidi"/>
          <w:b/>
          <w:bCs/>
          <w:noProof/>
          <w:sz w:val="20"/>
        </w:rPr>
        <w:t>2</w:t>
      </w:r>
      <w:r w:rsidRPr="00DF1C7A">
        <w:rPr>
          <w:rFonts w:ascii="Arial Narrow" w:eastAsiaTheme="majorEastAsia" w:hAnsi="Arial Narrow" w:cstheme="majorBidi"/>
          <w:b/>
          <w:bCs/>
          <w:sz w:val="20"/>
        </w:rPr>
        <w:fldChar w:fldCharType="end"/>
      </w:r>
      <w:r w:rsidRPr="00DF1C7A">
        <w:rPr>
          <w:rFonts w:ascii="Arial Narrow" w:eastAsiaTheme="majorEastAsia" w:hAnsi="Arial Narrow" w:cstheme="majorBidi"/>
          <w:b/>
          <w:bCs/>
          <w:sz w:val="20"/>
        </w:rPr>
        <w:t>: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6"/>
        <w:gridCol w:w="5270"/>
        <w:gridCol w:w="2501"/>
      </w:tblGrid>
      <w:tr w:rsidR="00DF1C7A" w:rsidRPr="00DF1C7A" w14:paraId="58894BA9" w14:textId="77777777" w:rsidTr="00ED4BBD">
        <w:trPr>
          <w:tblHeader/>
        </w:trPr>
        <w:tc>
          <w:tcPr>
            <w:tcW w:w="691" w:type="pct"/>
            <w:vAlign w:val="center"/>
          </w:tcPr>
          <w:p w14:paraId="4661EBAF" w14:textId="77777777" w:rsidR="00DF1C7A" w:rsidRPr="00DF1C7A" w:rsidRDefault="00DF1C7A" w:rsidP="00DF1C7A">
            <w:pPr>
              <w:keepNext/>
              <w:jc w:val="left"/>
              <w:rPr>
                <w:rFonts w:ascii="Arial Narrow" w:eastAsiaTheme="majorEastAsia" w:hAnsi="Arial Narrow" w:cs="Times New Roman"/>
                <w:b/>
                <w:sz w:val="20"/>
              </w:rPr>
            </w:pPr>
            <w:r w:rsidRPr="00DF1C7A">
              <w:rPr>
                <w:rFonts w:ascii="Arial Narrow" w:eastAsiaTheme="majorEastAsia" w:hAnsi="Arial Narrow" w:cs="Times New Roman"/>
                <w:b/>
                <w:sz w:val="20"/>
              </w:rPr>
              <w:t>Trial ID</w:t>
            </w:r>
          </w:p>
        </w:tc>
        <w:tc>
          <w:tcPr>
            <w:tcW w:w="2922" w:type="pct"/>
            <w:tcBorders>
              <w:bottom w:val="single" w:sz="4" w:space="0" w:color="auto"/>
            </w:tcBorders>
            <w:vAlign w:val="center"/>
          </w:tcPr>
          <w:p w14:paraId="359B72B7" w14:textId="77777777" w:rsidR="00DF1C7A" w:rsidRPr="00DF1C7A" w:rsidRDefault="00DF1C7A" w:rsidP="00DF1C7A">
            <w:pPr>
              <w:keepNext/>
              <w:jc w:val="left"/>
              <w:rPr>
                <w:rFonts w:ascii="Arial Narrow" w:eastAsiaTheme="majorEastAsia" w:hAnsi="Arial Narrow" w:cs="Times New Roman"/>
                <w:b/>
                <w:sz w:val="20"/>
              </w:rPr>
            </w:pPr>
            <w:r w:rsidRPr="00DF1C7A">
              <w:rPr>
                <w:rFonts w:ascii="Arial Narrow" w:eastAsiaTheme="majorEastAsia" w:hAnsi="Arial Narrow" w:cs="Times New Roman"/>
                <w:b/>
                <w:sz w:val="20"/>
              </w:rPr>
              <w:t>Protocol title/ Publication title</w:t>
            </w:r>
          </w:p>
        </w:tc>
        <w:tc>
          <w:tcPr>
            <w:tcW w:w="1387" w:type="pct"/>
            <w:tcBorders>
              <w:bottom w:val="single" w:sz="4" w:space="0" w:color="auto"/>
            </w:tcBorders>
            <w:vAlign w:val="center"/>
          </w:tcPr>
          <w:p w14:paraId="278C9DAA" w14:textId="77777777" w:rsidR="00DF1C7A" w:rsidRPr="00DF1C7A" w:rsidRDefault="00DF1C7A" w:rsidP="00DF1C7A">
            <w:pPr>
              <w:keepNext/>
              <w:jc w:val="left"/>
              <w:rPr>
                <w:rFonts w:ascii="Arial Narrow" w:eastAsiaTheme="majorEastAsia" w:hAnsi="Arial Narrow" w:cs="Times New Roman"/>
                <w:b/>
                <w:sz w:val="20"/>
              </w:rPr>
            </w:pPr>
            <w:r w:rsidRPr="00DF1C7A">
              <w:rPr>
                <w:rFonts w:ascii="Arial Narrow" w:eastAsiaTheme="majorEastAsia" w:hAnsi="Arial Narrow" w:cs="Times New Roman"/>
                <w:b/>
                <w:sz w:val="20"/>
              </w:rPr>
              <w:t>Publication citation</w:t>
            </w:r>
          </w:p>
        </w:tc>
      </w:tr>
      <w:tr w:rsidR="00DF1C7A" w:rsidRPr="00DF1C7A" w14:paraId="1343B99D" w14:textId="77777777" w:rsidTr="00ED4BBD">
        <w:tc>
          <w:tcPr>
            <w:tcW w:w="691" w:type="pct"/>
            <w:vMerge w:val="restart"/>
            <w:vAlign w:val="center"/>
          </w:tcPr>
          <w:p w14:paraId="2628887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ARCHWAY</w:t>
            </w:r>
          </w:p>
          <w:p w14:paraId="7C08BAB6"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NCT03677934</w:t>
            </w:r>
          </w:p>
        </w:tc>
        <w:tc>
          <w:tcPr>
            <w:tcW w:w="2922" w:type="pct"/>
            <w:tcBorders>
              <w:bottom w:val="nil"/>
            </w:tcBorders>
          </w:tcPr>
          <w:p w14:paraId="75EFC4C3" w14:textId="77777777" w:rsidR="00DF1C7A" w:rsidRPr="00DF1C7A" w:rsidRDefault="00DF1C7A" w:rsidP="00DF1C7A">
            <w:pPr>
              <w:keepNext/>
              <w:spacing w:after="120"/>
              <w:jc w:val="left"/>
              <w:rPr>
                <w:rFonts w:ascii="Arial Narrow" w:eastAsiaTheme="majorEastAsia" w:hAnsi="Arial Narrow" w:cstheme="majorBidi"/>
                <w:bCs/>
                <w:sz w:val="20"/>
                <w:szCs w:val="18"/>
              </w:rPr>
            </w:pPr>
            <w:r w:rsidRPr="00DF1C7A">
              <w:rPr>
                <w:rFonts w:ascii="Arial Narrow" w:eastAsiaTheme="majorEastAsia" w:hAnsi="Arial Narrow" w:cstheme="majorBidi"/>
                <w:bCs/>
                <w:sz w:val="20"/>
                <w:szCs w:val="18"/>
              </w:rPr>
              <w:t xml:space="preserve">Primary CSR Study GR40548, (Archway): A Phase III, </w:t>
            </w:r>
            <w:proofErr w:type="spellStart"/>
            <w:r w:rsidRPr="00DF1C7A">
              <w:rPr>
                <w:rFonts w:ascii="Arial Narrow" w:eastAsiaTheme="majorEastAsia" w:hAnsi="Arial Narrow" w:cstheme="majorBidi"/>
                <w:bCs/>
                <w:sz w:val="20"/>
                <w:szCs w:val="18"/>
              </w:rPr>
              <w:t>Multicenter</w:t>
            </w:r>
            <w:proofErr w:type="spellEnd"/>
            <w:r w:rsidRPr="00DF1C7A">
              <w:rPr>
                <w:rFonts w:ascii="Arial Narrow" w:eastAsiaTheme="majorEastAsia" w:hAnsi="Arial Narrow" w:cstheme="majorBidi"/>
                <w:bCs/>
                <w:sz w:val="20"/>
                <w:szCs w:val="18"/>
              </w:rPr>
              <w:t>, Randomized, Visual Assessor-Masked, Active Comparator Study of the Efficacy, Safety, and Pharmacokinetics of the Port Delivery System with Ranibizumab in Patients with Neovascular Age-Related Macular Degeneration.</w:t>
            </w:r>
          </w:p>
        </w:tc>
        <w:tc>
          <w:tcPr>
            <w:tcW w:w="1387" w:type="pct"/>
            <w:tcBorders>
              <w:bottom w:val="nil"/>
            </w:tcBorders>
          </w:tcPr>
          <w:p w14:paraId="0A5C555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October, 2020</w:t>
            </w:r>
          </w:p>
        </w:tc>
      </w:tr>
      <w:tr w:rsidR="00DF1C7A" w:rsidRPr="00DF1C7A" w14:paraId="65E13D1F" w14:textId="77777777" w:rsidTr="00ED4BBD">
        <w:tc>
          <w:tcPr>
            <w:tcW w:w="691" w:type="pct"/>
            <w:vMerge/>
            <w:tcBorders>
              <w:bottom w:val="single" w:sz="4" w:space="0" w:color="auto"/>
            </w:tcBorders>
            <w:vAlign w:val="center"/>
          </w:tcPr>
          <w:p w14:paraId="283473EF" w14:textId="77777777" w:rsidR="00DF1C7A" w:rsidRPr="00DF1C7A" w:rsidRDefault="00DF1C7A" w:rsidP="00DF1C7A">
            <w:pPr>
              <w:keepNext/>
              <w:jc w:val="left"/>
              <w:rPr>
                <w:rFonts w:ascii="Arial Narrow" w:eastAsiaTheme="majorEastAsia" w:hAnsi="Arial Narrow" w:cstheme="majorBidi"/>
                <w:bCs/>
                <w:sz w:val="20"/>
              </w:rPr>
            </w:pPr>
          </w:p>
        </w:tc>
        <w:tc>
          <w:tcPr>
            <w:tcW w:w="2922" w:type="pct"/>
            <w:tcBorders>
              <w:top w:val="nil"/>
              <w:bottom w:val="single" w:sz="4" w:space="0" w:color="auto"/>
            </w:tcBorders>
          </w:tcPr>
          <w:p w14:paraId="7F505EA1" w14:textId="77777777" w:rsidR="00DF1C7A" w:rsidRPr="00DF1C7A" w:rsidRDefault="00DF1C7A" w:rsidP="00DF1C7A">
            <w:pPr>
              <w:keepNext/>
              <w:jc w:val="left"/>
              <w:rPr>
                <w:rFonts w:ascii="Arial Narrow" w:eastAsiaTheme="majorEastAsia" w:hAnsi="Arial Narrow" w:cstheme="majorBidi"/>
                <w:bCs/>
                <w:sz w:val="20"/>
                <w:szCs w:val="18"/>
              </w:rPr>
            </w:pPr>
            <w:r w:rsidRPr="00DF1C7A">
              <w:rPr>
                <w:rFonts w:ascii="Arial Narrow" w:eastAsiaTheme="majorEastAsia" w:hAnsi="Arial Narrow" w:cstheme="majorBidi"/>
                <w:bCs/>
                <w:sz w:val="20"/>
                <w:szCs w:val="18"/>
                <w:lang w:val="it-IT"/>
              </w:rPr>
              <w:t xml:space="preserve">Holekamp, N. M., Campochiaro P. A., Chang, M. A. et al. </w:t>
            </w:r>
            <w:r w:rsidRPr="00DF1C7A">
              <w:rPr>
                <w:rFonts w:ascii="Arial Narrow" w:eastAsiaTheme="majorEastAsia" w:hAnsi="Arial Narrow" w:cstheme="majorBidi"/>
                <w:bCs/>
                <w:sz w:val="20"/>
                <w:szCs w:val="18"/>
              </w:rPr>
              <w:t>Archway Randomized Phase 3 Trial of the Port Delivery System With Ranibizumab for Neovascular Age-Related Macular Degeneration.</w:t>
            </w:r>
          </w:p>
        </w:tc>
        <w:tc>
          <w:tcPr>
            <w:tcW w:w="1387" w:type="pct"/>
            <w:tcBorders>
              <w:top w:val="nil"/>
              <w:bottom w:val="single" w:sz="4" w:space="0" w:color="auto"/>
            </w:tcBorders>
          </w:tcPr>
          <w:p w14:paraId="494B3947" w14:textId="77777777" w:rsidR="00DF1C7A" w:rsidRPr="00DF1C7A" w:rsidRDefault="00DF1C7A" w:rsidP="00DF1C7A">
            <w:pPr>
              <w:keepNext/>
              <w:jc w:val="left"/>
              <w:rPr>
                <w:rFonts w:ascii="Arial Narrow" w:eastAsiaTheme="majorEastAsia" w:hAnsi="Arial Narrow" w:cstheme="majorBidi"/>
                <w:bCs/>
                <w:sz w:val="20"/>
                <w:szCs w:val="18"/>
              </w:rPr>
            </w:pPr>
            <w:r w:rsidRPr="00DF1C7A">
              <w:rPr>
                <w:rFonts w:ascii="Arial Narrow" w:eastAsiaTheme="majorEastAsia" w:hAnsi="Arial Narrow" w:cstheme="majorBidi"/>
                <w:bCs/>
                <w:i/>
                <w:iCs/>
                <w:sz w:val="20"/>
                <w:szCs w:val="18"/>
              </w:rPr>
              <w:t>Ophthalmology</w:t>
            </w:r>
            <w:r w:rsidRPr="00DF1C7A">
              <w:rPr>
                <w:rFonts w:ascii="Arial Narrow" w:eastAsiaTheme="majorEastAsia" w:hAnsi="Arial Narrow" w:cstheme="majorBidi"/>
                <w:bCs/>
                <w:sz w:val="20"/>
                <w:szCs w:val="18"/>
              </w:rPr>
              <w:t xml:space="preserve">, 2021; doi:10.1016/j.ophtha.2021.09.016 </w:t>
            </w:r>
          </w:p>
        </w:tc>
      </w:tr>
    </w:tbl>
    <w:p w14:paraId="0CF2B06C" w14:textId="77777777" w:rsidR="00DF1C7A" w:rsidRPr="00DF1C7A" w:rsidRDefault="00DF1C7A" w:rsidP="00DF1C7A">
      <w:pPr>
        <w:spacing w:after="120"/>
        <w:contextualSpacing/>
        <w:rPr>
          <w:rFonts w:ascii="Arial Narrow" w:hAnsi="Arial Narrow"/>
          <w:snapToGrid w:val="0"/>
          <w:sz w:val="20"/>
          <w:szCs w:val="22"/>
        </w:rPr>
      </w:pPr>
      <w:r w:rsidRPr="00DF1C7A">
        <w:rPr>
          <w:rFonts w:ascii="Arial Narrow" w:hAnsi="Arial Narrow"/>
          <w:snapToGrid w:val="0"/>
          <w:sz w:val="18"/>
          <w:szCs w:val="22"/>
        </w:rPr>
        <w:t>Source: Table 2.3, p.37 of the submission</w:t>
      </w:r>
    </w:p>
    <w:p w14:paraId="5566D0C3" w14:textId="77777777" w:rsidR="00DF1C7A" w:rsidRPr="00DF1C7A" w:rsidRDefault="00DF1C7A" w:rsidP="00DF1C7A">
      <w:pPr>
        <w:keepNext/>
        <w:numPr>
          <w:ilvl w:val="1"/>
          <w:numId w:val="0"/>
        </w:numPr>
        <w:spacing w:after="120"/>
        <w:ind w:left="720" w:hanging="720"/>
        <w:rPr>
          <w:rFonts w:asciiTheme="minorHAnsi" w:hAnsiTheme="minorHAnsi"/>
          <w:snapToGrid w:val="0"/>
        </w:rPr>
      </w:pPr>
      <w:r w:rsidRPr="00DF1C7A">
        <w:rPr>
          <w:rFonts w:asciiTheme="minorHAnsi" w:hAnsiTheme="minorHAnsi"/>
          <w:snapToGrid w:val="0"/>
        </w:rPr>
        <w:t>The key features of the ARCHWAY trial are summarised in Table 3.</w:t>
      </w:r>
    </w:p>
    <w:p w14:paraId="6463A526" w14:textId="77777777" w:rsidR="00DF1C7A" w:rsidRPr="00DF1C7A" w:rsidRDefault="00DF1C7A" w:rsidP="00DF1C7A">
      <w:pPr>
        <w:keepNext/>
        <w:keepLines/>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3</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566"/>
        <w:gridCol w:w="1984"/>
        <w:gridCol w:w="992"/>
        <w:gridCol w:w="1986"/>
        <w:gridCol w:w="2501"/>
      </w:tblGrid>
      <w:tr w:rsidR="00DF1C7A" w:rsidRPr="00DF1C7A" w14:paraId="37558224" w14:textId="77777777" w:rsidTr="00ED4BBD">
        <w:trPr>
          <w:cantSplit/>
          <w:tblHeader/>
        </w:trPr>
        <w:tc>
          <w:tcPr>
            <w:tcW w:w="548" w:type="pct"/>
            <w:vAlign w:val="center"/>
          </w:tcPr>
          <w:p w14:paraId="5DC39A9D" w14:textId="77777777" w:rsidR="00DF1C7A" w:rsidRPr="00DF1C7A" w:rsidRDefault="00DF1C7A" w:rsidP="00DF1C7A">
            <w:pPr>
              <w:keepNext/>
              <w:keepLines/>
              <w:jc w:val="left"/>
              <w:rPr>
                <w:rFonts w:ascii="Arial Narrow" w:eastAsiaTheme="majorEastAsia" w:hAnsi="Arial Narrow" w:cs="Times New Roman"/>
                <w:b/>
                <w:sz w:val="20"/>
              </w:rPr>
            </w:pPr>
            <w:r w:rsidRPr="00DF1C7A">
              <w:rPr>
                <w:rFonts w:ascii="Arial Narrow" w:eastAsiaTheme="majorEastAsia" w:hAnsi="Arial Narrow" w:cs="Times New Roman"/>
                <w:b/>
                <w:sz w:val="20"/>
              </w:rPr>
              <w:t>Trial</w:t>
            </w:r>
          </w:p>
        </w:tc>
        <w:tc>
          <w:tcPr>
            <w:tcW w:w="314" w:type="pct"/>
            <w:vAlign w:val="center"/>
          </w:tcPr>
          <w:p w14:paraId="340F63E2" w14:textId="77777777" w:rsidR="00DF1C7A" w:rsidRPr="00DF1C7A" w:rsidRDefault="00DF1C7A" w:rsidP="00DF1C7A">
            <w:pPr>
              <w:keepNext/>
              <w:keepLines/>
              <w:jc w:val="center"/>
              <w:rPr>
                <w:rFonts w:ascii="Arial Narrow" w:eastAsiaTheme="majorEastAsia" w:hAnsi="Arial Narrow" w:cs="Times New Roman"/>
                <w:b/>
                <w:sz w:val="20"/>
              </w:rPr>
            </w:pPr>
            <w:r w:rsidRPr="00DF1C7A">
              <w:rPr>
                <w:rFonts w:ascii="Arial Narrow" w:eastAsiaTheme="majorEastAsia" w:hAnsi="Arial Narrow" w:cs="Times New Roman"/>
                <w:b/>
                <w:sz w:val="20"/>
              </w:rPr>
              <w:t>N</w:t>
            </w:r>
          </w:p>
        </w:tc>
        <w:tc>
          <w:tcPr>
            <w:tcW w:w="1100" w:type="pct"/>
            <w:vAlign w:val="center"/>
          </w:tcPr>
          <w:p w14:paraId="4D77AFB0" w14:textId="77777777" w:rsidR="00DF1C7A" w:rsidRPr="00DF1C7A" w:rsidRDefault="00DF1C7A" w:rsidP="00DF1C7A">
            <w:pPr>
              <w:keepNext/>
              <w:keepLines/>
              <w:jc w:val="center"/>
              <w:rPr>
                <w:rFonts w:ascii="Arial Narrow" w:eastAsiaTheme="majorEastAsia" w:hAnsi="Arial Narrow" w:cs="Times New Roman"/>
                <w:b/>
                <w:sz w:val="20"/>
              </w:rPr>
            </w:pPr>
            <w:r w:rsidRPr="00DF1C7A">
              <w:rPr>
                <w:rFonts w:ascii="Arial Narrow" w:eastAsiaTheme="majorEastAsia" w:hAnsi="Arial Narrow" w:cs="Times New Roman"/>
                <w:b/>
                <w:sz w:val="20"/>
              </w:rPr>
              <w:t>Design/ duration</w:t>
            </w:r>
          </w:p>
        </w:tc>
        <w:tc>
          <w:tcPr>
            <w:tcW w:w="550" w:type="pct"/>
            <w:vAlign w:val="center"/>
          </w:tcPr>
          <w:p w14:paraId="039BE3EF" w14:textId="77777777" w:rsidR="00DF1C7A" w:rsidRPr="00DF1C7A" w:rsidRDefault="00DF1C7A" w:rsidP="00DF1C7A">
            <w:pPr>
              <w:keepNext/>
              <w:keepLines/>
              <w:jc w:val="center"/>
              <w:rPr>
                <w:rFonts w:ascii="Arial Narrow" w:eastAsiaTheme="majorEastAsia" w:hAnsi="Arial Narrow" w:cs="Times New Roman"/>
                <w:b/>
                <w:sz w:val="20"/>
              </w:rPr>
            </w:pPr>
            <w:r w:rsidRPr="00DF1C7A">
              <w:rPr>
                <w:rFonts w:ascii="Arial Narrow" w:eastAsiaTheme="majorEastAsia" w:hAnsi="Arial Narrow" w:cs="Times New Roman"/>
                <w:b/>
                <w:sz w:val="20"/>
              </w:rPr>
              <w:t>Risk of bias</w:t>
            </w:r>
          </w:p>
        </w:tc>
        <w:tc>
          <w:tcPr>
            <w:tcW w:w="1101" w:type="pct"/>
            <w:vAlign w:val="center"/>
          </w:tcPr>
          <w:p w14:paraId="0E83F802" w14:textId="77777777" w:rsidR="00DF1C7A" w:rsidRPr="00DF1C7A" w:rsidRDefault="00DF1C7A" w:rsidP="00DF1C7A">
            <w:pPr>
              <w:keepNext/>
              <w:keepLines/>
              <w:jc w:val="center"/>
              <w:rPr>
                <w:rFonts w:ascii="Arial Narrow" w:eastAsiaTheme="majorEastAsia" w:hAnsi="Arial Narrow" w:cs="Times New Roman"/>
                <w:b/>
                <w:sz w:val="20"/>
              </w:rPr>
            </w:pPr>
            <w:r w:rsidRPr="00DF1C7A">
              <w:rPr>
                <w:rFonts w:ascii="Arial Narrow" w:eastAsiaTheme="majorEastAsia" w:hAnsi="Arial Narrow" w:cs="Times New Roman"/>
                <w:b/>
                <w:sz w:val="20"/>
              </w:rPr>
              <w:t>Patient population</w:t>
            </w:r>
          </w:p>
        </w:tc>
        <w:tc>
          <w:tcPr>
            <w:tcW w:w="1387" w:type="pct"/>
            <w:vAlign w:val="center"/>
          </w:tcPr>
          <w:p w14:paraId="77CE1055" w14:textId="77777777" w:rsidR="00DF1C7A" w:rsidRPr="00DF1C7A" w:rsidRDefault="00DF1C7A" w:rsidP="00DF1C7A">
            <w:pPr>
              <w:keepNext/>
              <w:keepLines/>
              <w:jc w:val="center"/>
              <w:rPr>
                <w:rFonts w:ascii="Arial Narrow" w:eastAsiaTheme="majorEastAsia" w:hAnsi="Arial Narrow" w:cs="Times New Roman"/>
                <w:b/>
                <w:sz w:val="20"/>
              </w:rPr>
            </w:pPr>
            <w:r w:rsidRPr="00DF1C7A">
              <w:rPr>
                <w:rFonts w:ascii="Arial Narrow" w:eastAsiaTheme="majorEastAsia" w:hAnsi="Arial Narrow" w:cs="Times New Roman"/>
                <w:b/>
                <w:sz w:val="20"/>
              </w:rPr>
              <w:t>Outcomes</w:t>
            </w:r>
          </w:p>
        </w:tc>
      </w:tr>
      <w:tr w:rsidR="00DF1C7A" w:rsidRPr="00DF1C7A" w14:paraId="5E225C82" w14:textId="77777777" w:rsidTr="00ED4BBD">
        <w:trPr>
          <w:cantSplit/>
        </w:trPr>
        <w:tc>
          <w:tcPr>
            <w:tcW w:w="548" w:type="pct"/>
            <w:vAlign w:val="center"/>
          </w:tcPr>
          <w:p w14:paraId="666E8341" w14:textId="77777777" w:rsidR="00DF1C7A" w:rsidRPr="00DF1C7A" w:rsidRDefault="00DF1C7A" w:rsidP="00DF1C7A">
            <w:pPr>
              <w:keepNext/>
              <w:keepLines/>
              <w:jc w:val="left"/>
              <w:rPr>
                <w:rFonts w:ascii="Arial Narrow" w:eastAsiaTheme="majorEastAsia" w:hAnsi="Arial Narrow" w:cstheme="majorBidi"/>
                <w:bCs/>
                <w:sz w:val="20"/>
              </w:rPr>
            </w:pPr>
            <w:r w:rsidRPr="00DF1C7A">
              <w:rPr>
                <w:rFonts w:ascii="Arial Narrow" w:eastAsiaTheme="majorEastAsia" w:hAnsi="Arial Narrow" w:cstheme="majorBidi"/>
                <w:bCs/>
                <w:sz w:val="20"/>
              </w:rPr>
              <w:t>ARCHWAY</w:t>
            </w:r>
          </w:p>
        </w:tc>
        <w:tc>
          <w:tcPr>
            <w:tcW w:w="314" w:type="pct"/>
            <w:vAlign w:val="center"/>
          </w:tcPr>
          <w:p w14:paraId="38AE4F32" w14:textId="77777777" w:rsidR="00DF1C7A" w:rsidRPr="00DF1C7A" w:rsidRDefault="00DF1C7A" w:rsidP="00DF1C7A">
            <w:pPr>
              <w:keepNext/>
              <w:keepLines/>
              <w:jc w:val="center"/>
              <w:rPr>
                <w:rFonts w:ascii="Arial Narrow" w:eastAsiaTheme="majorEastAsia" w:hAnsi="Arial Narrow" w:cstheme="majorBidi"/>
                <w:bCs/>
                <w:sz w:val="20"/>
              </w:rPr>
            </w:pPr>
            <w:r w:rsidRPr="00DF1C7A">
              <w:rPr>
                <w:rFonts w:ascii="Arial Narrow" w:eastAsiaTheme="majorEastAsia" w:hAnsi="Arial Narrow" w:cstheme="majorBidi"/>
                <w:bCs/>
                <w:sz w:val="20"/>
              </w:rPr>
              <w:t>418</w:t>
            </w:r>
          </w:p>
        </w:tc>
        <w:tc>
          <w:tcPr>
            <w:tcW w:w="1100" w:type="pct"/>
            <w:vAlign w:val="center"/>
          </w:tcPr>
          <w:p w14:paraId="1221114D" w14:textId="77777777" w:rsidR="00DF1C7A" w:rsidRPr="00DF1C7A" w:rsidRDefault="00DF1C7A" w:rsidP="00DF1C7A">
            <w:pPr>
              <w:keepNext/>
              <w:keepLines/>
              <w:jc w:val="center"/>
              <w:rPr>
                <w:rFonts w:ascii="Arial Narrow" w:eastAsiaTheme="majorEastAsia" w:hAnsi="Arial Narrow" w:cstheme="majorBidi"/>
                <w:bCs/>
                <w:sz w:val="20"/>
              </w:rPr>
            </w:pPr>
            <w:r w:rsidRPr="00DF1C7A">
              <w:rPr>
                <w:rFonts w:ascii="Arial Narrow" w:eastAsiaTheme="majorEastAsia" w:hAnsi="Arial Narrow" w:cstheme="majorBidi"/>
                <w:bCs/>
                <w:sz w:val="20"/>
              </w:rPr>
              <w:t>Randomised, multicentre, active comparator controlled, 40 weeks</w:t>
            </w:r>
          </w:p>
        </w:tc>
        <w:tc>
          <w:tcPr>
            <w:tcW w:w="550" w:type="pct"/>
            <w:vAlign w:val="center"/>
          </w:tcPr>
          <w:p w14:paraId="19A16C2D" w14:textId="77777777" w:rsidR="00DF1C7A" w:rsidRPr="00DF1C7A" w:rsidRDefault="00DF1C7A" w:rsidP="00DF1C7A">
            <w:pPr>
              <w:keepNext/>
              <w:keepLines/>
              <w:jc w:val="center"/>
              <w:rPr>
                <w:rFonts w:ascii="Arial Narrow" w:eastAsiaTheme="majorEastAsia" w:hAnsi="Arial Narrow" w:cstheme="majorBidi"/>
                <w:bCs/>
                <w:sz w:val="20"/>
              </w:rPr>
            </w:pPr>
            <w:r w:rsidRPr="00DF1C7A">
              <w:rPr>
                <w:rFonts w:ascii="Arial Narrow" w:eastAsiaTheme="majorEastAsia" w:hAnsi="Arial Narrow" w:cstheme="majorBidi"/>
                <w:bCs/>
                <w:sz w:val="20"/>
              </w:rPr>
              <w:t>Unclear</w:t>
            </w:r>
          </w:p>
        </w:tc>
        <w:tc>
          <w:tcPr>
            <w:tcW w:w="1101" w:type="pct"/>
            <w:vAlign w:val="center"/>
          </w:tcPr>
          <w:p w14:paraId="60BFAC79" w14:textId="77777777" w:rsidR="00DF1C7A" w:rsidRPr="00DF1C7A" w:rsidRDefault="00DF1C7A" w:rsidP="00DF1C7A">
            <w:pPr>
              <w:keepNext/>
              <w:keepLines/>
              <w:jc w:val="center"/>
              <w:rPr>
                <w:rFonts w:ascii="Arial Narrow" w:eastAsiaTheme="majorEastAsia" w:hAnsi="Arial Narrow" w:cstheme="majorBidi"/>
                <w:bCs/>
                <w:sz w:val="20"/>
              </w:rPr>
            </w:pPr>
            <w:proofErr w:type="spellStart"/>
            <w:r w:rsidRPr="00DF1C7A">
              <w:rPr>
                <w:rFonts w:ascii="Arial Narrow" w:eastAsiaTheme="majorEastAsia" w:hAnsi="Arial Narrow" w:cstheme="majorBidi"/>
                <w:bCs/>
                <w:sz w:val="20"/>
              </w:rPr>
              <w:t>nAMD</w:t>
            </w:r>
            <w:proofErr w:type="spellEnd"/>
            <w:r w:rsidRPr="00DF1C7A">
              <w:rPr>
                <w:rFonts w:ascii="Arial Narrow" w:eastAsiaTheme="majorEastAsia" w:hAnsi="Arial Narrow" w:cstheme="majorBidi"/>
                <w:bCs/>
                <w:sz w:val="20"/>
              </w:rPr>
              <w:t xml:space="preserve"> which previously responded to anti-VEGF treatment</w:t>
            </w:r>
          </w:p>
        </w:tc>
        <w:tc>
          <w:tcPr>
            <w:tcW w:w="1387" w:type="pct"/>
            <w:vAlign w:val="center"/>
          </w:tcPr>
          <w:p w14:paraId="34488BA7" w14:textId="77777777" w:rsidR="00DF1C7A" w:rsidRPr="00DF1C7A" w:rsidRDefault="00DF1C7A" w:rsidP="00DF1C7A">
            <w:pPr>
              <w:keepNext/>
              <w:keepLines/>
              <w:jc w:val="center"/>
              <w:rPr>
                <w:rFonts w:ascii="Arial Narrow" w:eastAsiaTheme="majorEastAsia" w:hAnsi="Arial Narrow" w:cstheme="majorBidi"/>
                <w:bCs/>
                <w:sz w:val="20"/>
              </w:rPr>
            </w:pPr>
            <w:r w:rsidRPr="00DF1C7A">
              <w:rPr>
                <w:rFonts w:ascii="Arial Narrow" w:eastAsiaTheme="majorEastAsia" w:hAnsi="Arial Narrow" w:cstheme="majorBidi"/>
                <w:bCs/>
                <w:sz w:val="20"/>
              </w:rPr>
              <w:t>Change from baseline in BCVA score; adverse events</w:t>
            </w:r>
          </w:p>
        </w:tc>
      </w:tr>
    </w:tbl>
    <w:p w14:paraId="6743D512" w14:textId="77777777" w:rsidR="00DF1C7A" w:rsidRPr="00DF1C7A" w:rsidRDefault="00DF1C7A" w:rsidP="00DF1C7A">
      <w:pPr>
        <w:keepNext/>
        <w:keepLines/>
        <w:spacing w:after="120"/>
        <w:contextualSpacing/>
        <w:rPr>
          <w:rFonts w:ascii="Arial Narrow" w:hAnsi="Arial Narrow"/>
          <w:snapToGrid w:val="0"/>
          <w:sz w:val="18"/>
          <w:szCs w:val="22"/>
        </w:rPr>
      </w:pPr>
      <w:r w:rsidRPr="00DF1C7A">
        <w:rPr>
          <w:rFonts w:ascii="Arial Narrow" w:hAnsi="Arial Narrow"/>
          <w:snapToGrid w:val="0"/>
          <w:sz w:val="18"/>
          <w:szCs w:val="22"/>
        </w:rPr>
        <w:t xml:space="preserve">BCVA = best corrected visual acuity; </w:t>
      </w:r>
      <w:proofErr w:type="spellStart"/>
      <w:r w:rsidRPr="00DF1C7A">
        <w:rPr>
          <w:rFonts w:ascii="Arial Narrow" w:hAnsi="Arial Narrow"/>
          <w:snapToGrid w:val="0"/>
          <w:sz w:val="18"/>
          <w:szCs w:val="22"/>
        </w:rPr>
        <w:t>nAMD</w:t>
      </w:r>
      <w:proofErr w:type="spellEnd"/>
      <w:r w:rsidRPr="00DF1C7A">
        <w:rPr>
          <w:rFonts w:ascii="Arial Narrow" w:hAnsi="Arial Narrow"/>
          <w:snapToGrid w:val="0"/>
          <w:sz w:val="18"/>
          <w:szCs w:val="22"/>
        </w:rPr>
        <w:t xml:space="preserve"> = neovascular age-related macular degeneration; VEGF = vascular endothelial growth factor.</w:t>
      </w:r>
    </w:p>
    <w:p w14:paraId="3051F852" w14:textId="77777777" w:rsidR="00DF1C7A" w:rsidRPr="00DF1C7A" w:rsidRDefault="00DF1C7A" w:rsidP="00DF1C7A">
      <w:pPr>
        <w:keepNext/>
        <w:keepLines/>
        <w:spacing w:after="120"/>
        <w:contextualSpacing/>
        <w:rPr>
          <w:rFonts w:ascii="Arial Narrow" w:hAnsi="Arial Narrow"/>
          <w:snapToGrid w:val="0"/>
          <w:sz w:val="18"/>
          <w:szCs w:val="22"/>
        </w:rPr>
      </w:pPr>
      <w:r w:rsidRPr="00DF1C7A">
        <w:rPr>
          <w:rFonts w:ascii="Arial Narrow" w:hAnsi="Arial Narrow"/>
          <w:snapToGrid w:val="0"/>
          <w:sz w:val="18"/>
          <w:szCs w:val="22"/>
        </w:rPr>
        <w:t>Source: Table 2.7, p.42; Table 2.11, p.46; Table 2.12, p.47 of the submission</w:t>
      </w:r>
    </w:p>
    <w:p w14:paraId="53B02107" w14:textId="77777777" w:rsidR="00DF1C7A" w:rsidRPr="00DF1C7A" w:rsidRDefault="00DF1C7A" w:rsidP="009C10CA">
      <w:pPr>
        <w:pStyle w:val="3Bodytext"/>
        <w:numPr>
          <w:ilvl w:val="1"/>
          <w:numId w:val="1"/>
        </w:numPr>
        <w:jc w:val="both"/>
        <w:rPr>
          <w:snapToGrid w:val="0"/>
        </w:rPr>
      </w:pPr>
      <w:r w:rsidRPr="00DF1C7A">
        <w:rPr>
          <w:snapToGrid w:val="0"/>
        </w:rPr>
        <w:t>The ARCHWAY trial compared treatment with ranibizumab PDS to treatment with intravitreal ranibizumab administered once every four weeks</w:t>
      </w:r>
      <w:r w:rsidRPr="00DF1C7A">
        <w:rPr>
          <w:iCs/>
          <w:snapToGrid w:val="0"/>
        </w:rPr>
        <w:t xml:space="preserve"> (Q4W)</w:t>
      </w:r>
      <w:r w:rsidRPr="00DF1C7A">
        <w:rPr>
          <w:snapToGrid w:val="0"/>
        </w:rPr>
        <w:t>, in patients who had previously responded to intravitreal anti-VEGF therapy. The PDS was filled prior to implantation with approximately 20 </w:t>
      </w:r>
      <w:r w:rsidRPr="00DF1C7A">
        <w:rPr>
          <w:rFonts w:cstheme="minorHAnsi"/>
          <w:iCs/>
          <w:snapToGrid w:val="0"/>
        </w:rPr>
        <w:t>µ</w:t>
      </w:r>
      <w:r w:rsidRPr="00DF1C7A">
        <w:rPr>
          <w:snapToGrid w:val="0"/>
        </w:rPr>
        <w:t>L of 100 mg/mL ranibizumab and surgically inserted in the study eye of patients in the ranibizumab PDS arm. After the initial fill of the implant with ranibizumab, patients received implant refill-exchanges at fixed 24-week intervals (with approximately 20 </w:t>
      </w:r>
      <w:r w:rsidRPr="00DF1C7A">
        <w:rPr>
          <w:rFonts w:cstheme="minorHAnsi"/>
          <w:iCs/>
          <w:snapToGrid w:val="0"/>
        </w:rPr>
        <w:t>µ</w:t>
      </w:r>
      <w:r w:rsidRPr="00DF1C7A">
        <w:rPr>
          <w:snapToGrid w:val="0"/>
        </w:rPr>
        <w:t>L of ranibizumab in the implant after refill-exchange).</w:t>
      </w:r>
    </w:p>
    <w:p w14:paraId="26EFEF13" w14:textId="77777777" w:rsidR="00DF1C7A" w:rsidRPr="00DF1C7A" w:rsidRDefault="00DF1C7A" w:rsidP="009C10CA">
      <w:pPr>
        <w:pStyle w:val="3Bodytext"/>
        <w:numPr>
          <w:ilvl w:val="1"/>
          <w:numId w:val="1"/>
        </w:numPr>
        <w:jc w:val="both"/>
        <w:rPr>
          <w:iCs/>
          <w:snapToGrid w:val="0"/>
        </w:rPr>
      </w:pPr>
      <w:r w:rsidRPr="00DF1C7A">
        <w:rPr>
          <w:snapToGrid w:val="0"/>
        </w:rPr>
        <w:t>The dosing regimen for intravitreal ranibizumab in the ARCHWAY trial (Q4W) did not allow</w:t>
      </w:r>
      <w:r w:rsidRPr="00DF1C7A">
        <w:rPr>
          <w:iCs/>
          <w:snapToGrid w:val="0"/>
        </w:rPr>
        <w:t xml:space="preserve"> T&amp;E</w:t>
      </w:r>
      <w:r w:rsidRPr="00DF1C7A">
        <w:rPr>
          <w:snapToGrid w:val="0"/>
        </w:rPr>
        <w:t xml:space="preserve"> dosing to increase the intervals between injections, which is a standard treatment practice for anti-VEGF therapies in Australian patients</w:t>
      </w:r>
      <w:r w:rsidRPr="00DF1C7A">
        <w:rPr>
          <w:iCs/>
          <w:snapToGrid w:val="0"/>
        </w:rPr>
        <w:t xml:space="preserve"> and is intended to maintain the same patient benefit while subjecting the patient to fewer injections</w:t>
      </w:r>
      <w:r w:rsidRPr="00DF1C7A">
        <w:rPr>
          <w:snapToGrid w:val="0"/>
        </w:rPr>
        <w:t>. In Australia, anti-VEGF therapies are initially administered Q4W, and can be continued as either fixed (e.g. monthly) or variable (T&amp;E) dosing regimens, where the interval may be extended stepwise until signs of disease activity or visual impairment recur.</w:t>
      </w:r>
    </w:p>
    <w:p w14:paraId="5DB36419" w14:textId="77777777" w:rsidR="00DF1C7A" w:rsidRPr="00DF1C7A" w:rsidRDefault="00DF1C7A" w:rsidP="009C10CA">
      <w:pPr>
        <w:pStyle w:val="3Bodytext"/>
        <w:numPr>
          <w:ilvl w:val="1"/>
          <w:numId w:val="1"/>
        </w:numPr>
        <w:jc w:val="both"/>
        <w:rPr>
          <w:iCs/>
          <w:snapToGrid w:val="0"/>
        </w:rPr>
      </w:pPr>
      <w:r w:rsidRPr="00DF1C7A">
        <w:rPr>
          <w:snapToGrid w:val="0"/>
        </w:rPr>
        <w:t xml:space="preserve">Eligible patients for the ARCHWAY trial were required to have an initial diagnosis of </w:t>
      </w:r>
      <w:proofErr w:type="spellStart"/>
      <w:r w:rsidRPr="00DF1C7A">
        <w:rPr>
          <w:snapToGrid w:val="0"/>
        </w:rPr>
        <w:t>nAMD</w:t>
      </w:r>
      <w:proofErr w:type="spellEnd"/>
      <w:r w:rsidRPr="00DF1C7A">
        <w:rPr>
          <w:snapToGrid w:val="0"/>
        </w:rPr>
        <w:t xml:space="preserve"> within 9 months prior to screening, and to have received previous treatment with at least 3 anti-VEGF intravitreal injections within 6 months prior to the screening visit. </w:t>
      </w:r>
      <w:r w:rsidRPr="00DF1C7A">
        <w:rPr>
          <w:iCs/>
          <w:snapToGrid w:val="0"/>
        </w:rPr>
        <w:t>If a patient had not received at least 3 anti-VEGF injections but was otherwise eligible for the study, the patient could be treated in a run-in phase to meet this specific criterion. Further, at the screening visit, patients received an additional intravitreal injection of 0.5 mg ranibizumab if they received only 3 doses of anti-VEGF intravitreal agents within the last 6 months and/or if the last treatment received prior to screening was not 0.5 mg ranibizumab.</w:t>
      </w:r>
    </w:p>
    <w:p w14:paraId="4613F5C3" w14:textId="77777777" w:rsidR="00DF1C7A" w:rsidRPr="00DF1C7A" w:rsidRDefault="00DF1C7A" w:rsidP="009C10CA">
      <w:pPr>
        <w:pStyle w:val="3Bodytext"/>
        <w:numPr>
          <w:ilvl w:val="1"/>
          <w:numId w:val="1"/>
        </w:numPr>
        <w:jc w:val="both"/>
        <w:rPr>
          <w:iCs/>
          <w:snapToGrid w:val="0"/>
        </w:rPr>
      </w:pPr>
      <w:r w:rsidRPr="00DF1C7A">
        <w:rPr>
          <w:snapToGrid w:val="0"/>
        </w:rPr>
        <w:t xml:space="preserve">Response to anti-VEGF treatment was assessed via overall decrease in </w:t>
      </w:r>
      <w:proofErr w:type="spellStart"/>
      <w:r w:rsidRPr="00DF1C7A">
        <w:rPr>
          <w:snapToGrid w:val="0"/>
        </w:rPr>
        <w:t>nAMD</w:t>
      </w:r>
      <w:proofErr w:type="spellEnd"/>
      <w:r w:rsidRPr="00DF1C7A">
        <w:rPr>
          <w:snapToGrid w:val="0"/>
        </w:rPr>
        <w:t xml:space="preserve"> disease activity detected on optical coherence tomography (OCT), and stable or improved best </w:t>
      </w:r>
      <w:r w:rsidRPr="00DF1C7A">
        <w:rPr>
          <w:snapToGrid w:val="0"/>
        </w:rPr>
        <w:lastRenderedPageBreak/>
        <w:t xml:space="preserve">corrected visual acuity (BCVA). </w:t>
      </w:r>
      <w:r w:rsidRPr="00DF1C7A">
        <w:rPr>
          <w:iCs/>
          <w:snapToGrid w:val="0"/>
        </w:rPr>
        <w:t>Outcomes in patients with longer-term disease who may have received years of anti-VEGF therapy have not yet been evaluated</w:t>
      </w:r>
      <w:r w:rsidRPr="00DF1C7A">
        <w:rPr>
          <w:snapToGrid w:val="0"/>
        </w:rPr>
        <w:t xml:space="preserve">. The study was an open-label design, given the nature of the therapies being compared, although the visual assessors conducting outcome measurements were blinded to treatment assignment. </w:t>
      </w:r>
      <w:r w:rsidRPr="00DF1C7A">
        <w:rPr>
          <w:iCs/>
          <w:snapToGrid w:val="0"/>
        </w:rPr>
        <w:t>The study was therefore considered to be of an unclear risk of bias overall.</w:t>
      </w:r>
    </w:p>
    <w:p w14:paraId="06C81C26" w14:textId="77777777" w:rsidR="00DF1C7A" w:rsidRPr="00DF1C7A" w:rsidRDefault="00DF1C7A" w:rsidP="009C10CA">
      <w:pPr>
        <w:pStyle w:val="3Bodytext"/>
        <w:numPr>
          <w:ilvl w:val="1"/>
          <w:numId w:val="1"/>
        </w:numPr>
        <w:jc w:val="both"/>
        <w:rPr>
          <w:snapToGrid w:val="0"/>
        </w:rPr>
      </w:pPr>
      <w:r w:rsidRPr="00DF1C7A">
        <w:rPr>
          <w:snapToGrid w:val="0"/>
        </w:rPr>
        <w:t xml:space="preserve">According to the PDS device instructions for use, the implant is designed to remain in place for the remainder of a patient’s lifespan unless contraindicated or some other reason for </w:t>
      </w:r>
      <w:proofErr w:type="spellStart"/>
      <w:r w:rsidRPr="00DF1C7A">
        <w:rPr>
          <w:snapToGrid w:val="0"/>
        </w:rPr>
        <w:t>explantation</w:t>
      </w:r>
      <w:proofErr w:type="spellEnd"/>
      <w:r w:rsidRPr="00DF1C7A">
        <w:rPr>
          <w:snapToGrid w:val="0"/>
        </w:rPr>
        <w:t xml:space="preserve"> arises. The primary outcome assessment in ARCHWAY was conducted at week 36-40, a duration which included only 1 full 24-week refill-exchange period. </w:t>
      </w:r>
      <w:r w:rsidRPr="00DF1C7A">
        <w:rPr>
          <w:iCs/>
          <w:snapToGrid w:val="0"/>
        </w:rPr>
        <w:t>The long-term safety and effectiveness of ranibizumab PDS are yet to be fully assessed</w:t>
      </w:r>
      <w:r w:rsidRPr="00DF1C7A">
        <w:rPr>
          <w:snapToGrid w:val="0"/>
        </w:rPr>
        <w:t xml:space="preserve">. The PSCR provided data to 96 weeks, </w:t>
      </w:r>
      <w:r w:rsidRPr="00DF1C7A">
        <w:rPr>
          <w:rFonts w:cs="Calibri"/>
          <w:bCs/>
          <w:snapToGrid w:val="0"/>
        </w:rPr>
        <w:t xml:space="preserve">comprising three full refill-exchange periods, which was supportive of ranibizumab PDS efficacy (see </w:t>
      </w:r>
      <w:r w:rsidRPr="00DF1C7A">
        <w:rPr>
          <w:rFonts w:cs="Calibri"/>
          <w:bCs/>
          <w:snapToGrid w:val="0"/>
        </w:rPr>
        <w:fldChar w:fldCharType="begin" w:fldLock="1"/>
      </w:r>
      <w:r w:rsidRPr="00DF1C7A">
        <w:rPr>
          <w:rFonts w:cs="Calibri"/>
          <w:bCs/>
          <w:snapToGrid w:val="0"/>
        </w:rPr>
        <w:instrText xml:space="preserve"> REF _Ref95924006 \h  \* MERGEFORMAT </w:instrText>
      </w:r>
      <w:r w:rsidRPr="00DF1C7A">
        <w:rPr>
          <w:rFonts w:cs="Calibri"/>
          <w:bCs/>
          <w:snapToGrid w:val="0"/>
        </w:rPr>
      </w:r>
      <w:r w:rsidRPr="00DF1C7A">
        <w:rPr>
          <w:rFonts w:cs="Calibri"/>
          <w:bCs/>
          <w:snapToGrid w:val="0"/>
        </w:rPr>
        <w:fldChar w:fldCharType="separate"/>
      </w:r>
      <w:r w:rsidRPr="00DF1C7A">
        <w:rPr>
          <w:snapToGrid w:val="0"/>
        </w:rPr>
        <w:t xml:space="preserve">Table </w:t>
      </w:r>
      <w:r w:rsidRPr="00DF1C7A">
        <w:rPr>
          <w:noProof/>
          <w:snapToGrid w:val="0"/>
        </w:rPr>
        <w:t>4</w:t>
      </w:r>
      <w:r w:rsidRPr="00DF1C7A">
        <w:rPr>
          <w:rFonts w:cs="Calibri"/>
          <w:bCs/>
          <w:snapToGrid w:val="0"/>
        </w:rPr>
        <w:fldChar w:fldCharType="end"/>
      </w:r>
      <w:r w:rsidRPr="00DF1C7A">
        <w:rPr>
          <w:rFonts w:cs="Calibri"/>
          <w:bCs/>
          <w:snapToGrid w:val="0"/>
        </w:rPr>
        <w:t xml:space="preserve">). There is also an ongoing open-label extension study </w:t>
      </w:r>
      <w:r w:rsidRPr="00DF1C7A">
        <w:rPr>
          <w:rFonts w:cs="Calibri"/>
          <w:bCs/>
          <w:iCs/>
          <w:snapToGrid w:val="0"/>
        </w:rPr>
        <w:t xml:space="preserve">designed to evaluate the long-term safety and tolerability of ranibizumab PDS in patients with </w:t>
      </w:r>
      <w:proofErr w:type="spellStart"/>
      <w:r w:rsidRPr="00DF1C7A">
        <w:rPr>
          <w:rFonts w:cs="Calibri"/>
          <w:bCs/>
          <w:iCs/>
          <w:snapToGrid w:val="0"/>
        </w:rPr>
        <w:t>nAMD</w:t>
      </w:r>
      <w:proofErr w:type="spellEnd"/>
      <w:r w:rsidRPr="00DF1C7A">
        <w:rPr>
          <w:rFonts w:cs="Calibri"/>
          <w:bCs/>
          <w:iCs/>
          <w:snapToGrid w:val="0"/>
        </w:rPr>
        <w:t xml:space="preserve"> (PORTAL; NCT03683251; completion scheduled for 2026).</w:t>
      </w:r>
    </w:p>
    <w:p w14:paraId="45EC9D45" w14:textId="77777777" w:rsidR="00DF1C7A" w:rsidRPr="00DF1C7A" w:rsidRDefault="00DF1C7A" w:rsidP="00173549">
      <w:pPr>
        <w:pStyle w:val="3Bodytext"/>
        <w:numPr>
          <w:ilvl w:val="1"/>
          <w:numId w:val="1"/>
        </w:numPr>
        <w:jc w:val="both"/>
        <w:rPr>
          <w:snapToGrid w:val="0"/>
        </w:rPr>
      </w:pPr>
      <w:r w:rsidRPr="00DF1C7A">
        <w:rPr>
          <w:snapToGrid w:val="0"/>
        </w:rPr>
        <w:t>In the ranibizumab PDS</w:t>
      </w:r>
      <w:r w:rsidRPr="00DF1C7A" w:rsidDel="004C189F">
        <w:rPr>
          <w:snapToGrid w:val="0"/>
        </w:rPr>
        <w:t xml:space="preserve"> </w:t>
      </w:r>
      <w:r w:rsidRPr="00DF1C7A">
        <w:rPr>
          <w:snapToGrid w:val="0"/>
        </w:rPr>
        <w:t xml:space="preserve">treatment arm, supplementary treatment with intravitreal ranibizumab was allowed in the study protocol, based on central subfield thickness (CST) and </w:t>
      </w:r>
      <w:r w:rsidRPr="00DF1C7A">
        <w:rPr>
          <w:iCs/>
          <w:snapToGrid w:val="0"/>
        </w:rPr>
        <w:t>best corrected visual acuity</w:t>
      </w:r>
      <w:r w:rsidRPr="00DF1C7A">
        <w:rPr>
          <w:snapToGrid w:val="0"/>
        </w:rPr>
        <w:t xml:space="preserve"> (BCVA). Of the patients assessed, 5.2% (13/241) received supplemental treatment (4 patients received two supplemental treatments and the remainder</w:t>
      </w:r>
      <w:r w:rsidRPr="00DF1C7A" w:rsidDel="00A56E3A">
        <w:rPr>
          <w:snapToGrid w:val="0"/>
        </w:rPr>
        <w:t xml:space="preserve"> </w:t>
      </w:r>
      <w:r w:rsidRPr="00DF1C7A">
        <w:rPr>
          <w:snapToGrid w:val="0"/>
        </w:rPr>
        <w:t>received 1 supplemental treatment). Of the 13 patients requiring supplemental treatment, the reasons were due to the BCVA decrease criteria being met (2 patients), the CST increase criteria being met (7 patients), or the BCVA/CST combined criteria being met (4 patients</w:t>
      </w:r>
      <w:r w:rsidRPr="00DF1C7A">
        <w:rPr>
          <w:iCs/>
          <w:snapToGrid w:val="0"/>
        </w:rPr>
        <w:t>). It is not certain how many patients would qualify for supplementary treatment in Australian clinical practice.</w:t>
      </w:r>
    </w:p>
    <w:p w14:paraId="215A3423" w14:textId="77777777" w:rsidR="00DF1C7A" w:rsidRPr="00DF1C7A" w:rsidRDefault="00DF1C7A" w:rsidP="00173549">
      <w:pPr>
        <w:pStyle w:val="3Bodytext"/>
        <w:numPr>
          <w:ilvl w:val="1"/>
          <w:numId w:val="1"/>
        </w:numPr>
        <w:jc w:val="both"/>
        <w:rPr>
          <w:snapToGrid w:val="0"/>
        </w:rPr>
      </w:pPr>
      <w:r w:rsidRPr="00DF1C7A">
        <w:rPr>
          <w:snapToGrid w:val="0"/>
        </w:rPr>
        <w:t>A noninferiority margin of -4.5 Early Treatment Diabetic Retinopathy Study (ETDRS) letters was applied in the submission, which was consistent with the noninferiority margin used in the ARCHWAY trial. In the ARCHWAY publication (Holekamp et al., 2021), the noninferiority margin appeared to be based on a reference stating that a change of 5 in the score between examinations approximates a 1-line change, which for eyes with acuity better than 20/100 has a high probability (</w:t>
      </w:r>
      <w:r w:rsidRPr="00DF1C7A">
        <w:rPr>
          <w:rFonts w:ascii="Cambria Math" w:hAnsi="Cambria Math" w:cs="Cambria Math"/>
          <w:snapToGrid w:val="0"/>
        </w:rPr>
        <w:t>∼</w:t>
      </w:r>
      <w:r w:rsidRPr="00DF1C7A">
        <w:rPr>
          <w:snapToGrid w:val="0"/>
        </w:rPr>
        <w:t xml:space="preserve">90% or higher) of being a real change in visual acuity and not a difference due to chance (Beck et al., 2007). The primary outcome in the ARCHWAY trial, and in the submission, was change from baseline in BCVA using the EDTRS chart. This aligns with previous MSAC conclusions on visual acuity being the preferred outcome measure for assessing </w:t>
      </w:r>
      <w:r w:rsidRPr="00DF1C7A">
        <w:rPr>
          <w:iCs/>
          <w:snapToGrid w:val="0"/>
        </w:rPr>
        <w:t xml:space="preserve">ocular </w:t>
      </w:r>
      <w:r w:rsidRPr="00DF1C7A">
        <w:rPr>
          <w:snapToGrid w:val="0"/>
        </w:rPr>
        <w:t xml:space="preserve">disease activity (Section 2, Optical coherence tomography </w:t>
      </w:r>
      <w:r w:rsidRPr="00DF1C7A">
        <w:rPr>
          <w:iCs/>
          <w:snapToGrid w:val="0"/>
        </w:rPr>
        <w:t>Public Summary Document [</w:t>
      </w:r>
      <w:r w:rsidRPr="00DF1C7A">
        <w:rPr>
          <w:snapToGrid w:val="0"/>
        </w:rPr>
        <w:t xml:space="preserve">PSD], July 2015 MSAC meeting), as well as previous PBAC deliberations. A noninferiority margin of -3.9 letters was used for the assessment of a secondary endpoint of change from baseline in BCVA in the ARCHWAY trial. This was associated with advice from the </w:t>
      </w:r>
      <w:r w:rsidRPr="00DF1C7A">
        <w:rPr>
          <w:iCs/>
          <w:snapToGrid w:val="0"/>
        </w:rPr>
        <w:t>European Medicines Agency</w:t>
      </w:r>
      <w:r w:rsidRPr="00DF1C7A">
        <w:rPr>
          <w:snapToGrid w:val="0"/>
        </w:rPr>
        <w:t xml:space="preserve"> in September 2019 that a noninferiority margin of 3-4 letters was recommended, as -4.5 letters is very close to the 5 letter threshold that is considered a real change in visual acuity and clinically </w:t>
      </w:r>
      <w:r w:rsidRPr="00DF1C7A">
        <w:rPr>
          <w:snapToGrid w:val="0"/>
        </w:rPr>
        <w:lastRenderedPageBreak/>
        <w:t xml:space="preserve">meaningful for an individual patient (Beck et al. 2007). The PBAC has previously accepted that an improvement in visual acuity of 10 letters represented a clinically important result, although noted that an increase of 5 or more BCVA letters might represent a clinically important difference for some patients and the clinical importance will also depend on the baseline visual acuity of each eye (ranibizumab PSD, March 2013 PBAC Meeting). Patients with well-preserved vision at baseline may experience a less clinically meaningful outcome than those patients with poorer vision at baseline. A noninferiority margin of 4 letters (paragraph 6.11, brolucizumab PSD, November 2019 PBAC meeting) has recently been accepted by the PBAC for the treatment of patients with </w:t>
      </w:r>
      <w:proofErr w:type="spellStart"/>
      <w:r w:rsidRPr="00DF1C7A">
        <w:rPr>
          <w:snapToGrid w:val="0"/>
        </w:rPr>
        <w:t>subfoveal</w:t>
      </w:r>
      <w:proofErr w:type="spellEnd"/>
      <w:r w:rsidRPr="00DF1C7A">
        <w:rPr>
          <w:snapToGrid w:val="0"/>
        </w:rPr>
        <w:t xml:space="preserve"> choroidal neovascularisation (CNV).</w:t>
      </w:r>
    </w:p>
    <w:p w14:paraId="1C8EF4EA" w14:textId="77777777" w:rsidR="00DF1C7A" w:rsidRPr="00DF1C7A" w:rsidRDefault="00DF1C7A" w:rsidP="00173549">
      <w:pPr>
        <w:pStyle w:val="3Bodytext"/>
        <w:numPr>
          <w:ilvl w:val="1"/>
          <w:numId w:val="1"/>
        </w:numPr>
        <w:jc w:val="both"/>
        <w:rPr>
          <w:snapToGrid w:val="0"/>
        </w:rPr>
      </w:pPr>
      <w:r w:rsidRPr="00DF1C7A">
        <w:rPr>
          <w:snapToGrid w:val="0"/>
        </w:rPr>
        <w:t xml:space="preserve">The submission claimed that ranibizumab PDS is likely to reduce the overall treatment and monitoring burden in clinical practice while maintaining visual acuity gains in </w:t>
      </w:r>
      <w:proofErr w:type="spellStart"/>
      <w:r w:rsidRPr="00DF1C7A">
        <w:rPr>
          <w:snapToGrid w:val="0"/>
        </w:rPr>
        <w:t>nAMD</w:t>
      </w:r>
      <w:proofErr w:type="spellEnd"/>
      <w:r w:rsidRPr="00DF1C7A">
        <w:rPr>
          <w:snapToGrid w:val="0"/>
        </w:rPr>
        <w:t xml:space="preserve">. </w:t>
      </w:r>
      <w:r w:rsidRPr="00DF1C7A">
        <w:rPr>
          <w:iCs/>
          <w:snapToGrid w:val="0"/>
        </w:rPr>
        <w:t>However, in the ARCHWAY trial patients in both treatment arms attended monthly appointments, so the ranibizumab PDS arm aligned with the visit schedule of the monthly intravitreal ranibizumab comparator arm, in order to maintain visual acuity examiner masking and reduce the risk of ascertainment bias. The number of monitoring visits, and in particular the frequency of monitoring required to address potential adverse events as early as possible, is yet to be determined. The PBAC agreed with the ESC that, while ranibizumab PDS requires fewer refills compared to the number of intravitreal ranibizumab injections, thus reducing the overall injection burden, it does not follow that monitoring costs will be decreased, and they will likely be increased in the initial stages of treatment, given the risks associated with the surgical procedure.</w:t>
      </w:r>
    </w:p>
    <w:p w14:paraId="33567273"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Comparative effectiveness</w:t>
      </w:r>
    </w:p>
    <w:p w14:paraId="16717D85" w14:textId="77777777" w:rsidR="00DF1C7A" w:rsidRPr="00DF1C7A" w:rsidRDefault="00DF1C7A" w:rsidP="00173549">
      <w:pPr>
        <w:pStyle w:val="3Bodytext"/>
        <w:numPr>
          <w:ilvl w:val="1"/>
          <w:numId w:val="1"/>
        </w:numPr>
        <w:jc w:val="both"/>
        <w:rPr>
          <w:snapToGrid w:val="0"/>
        </w:rPr>
      </w:pPr>
      <w:r w:rsidRPr="00DF1C7A">
        <w:rPr>
          <w:snapToGrid w:val="0"/>
        </w:rPr>
        <w:t xml:space="preserve">The results for the primary outcome, change in BCVA score from baseline averaged over Week 36 and Week 40, and the secondary outcome, change in BCVA score averaged over Week 44 and Week 48, are summarised in Table 4. </w:t>
      </w:r>
      <w:r w:rsidRPr="00DF1C7A">
        <w:rPr>
          <w:iCs/>
          <w:snapToGrid w:val="0"/>
        </w:rPr>
        <w:t>The table also includes final results at Week 88/92, which were provided with the PSCR and not evaluated.</w:t>
      </w:r>
    </w:p>
    <w:p w14:paraId="1AE925B2" w14:textId="77777777" w:rsidR="00DF1C7A" w:rsidRPr="00DF1C7A" w:rsidRDefault="00DF1C7A" w:rsidP="00DF1C7A">
      <w:pPr>
        <w:keepNext/>
        <w:jc w:val="left"/>
        <w:rPr>
          <w:rFonts w:ascii="Arial Narrow" w:eastAsiaTheme="majorEastAsia" w:hAnsi="Arial Narrow" w:cs="Times New Roman"/>
          <w:bCs/>
          <w:sz w:val="20"/>
          <w:lang w:eastAsia="en-US"/>
        </w:rPr>
      </w:pPr>
      <w:r w:rsidRPr="00DF1C7A">
        <w:rPr>
          <w:rFonts w:ascii="Arial Narrow" w:eastAsiaTheme="majorEastAsia" w:hAnsi="Arial Narrow" w:cs="Times New Roman"/>
          <w:b/>
          <w:sz w:val="20"/>
          <w:lang w:eastAsia="en-US"/>
        </w:rPr>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4</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Results of change in BCVA score from baseline (ARCHWAY)</w:t>
      </w:r>
    </w:p>
    <w:tbl>
      <w:tblPr>
        <w:tblStyle w:val="TableGrid"/>
        <w:tblW w:w="0" w:type="auto"/>
        <w:tblLook w:val="04A0" w:firstRow="1" w:lastRow="0" w:firstColumn="1" w:lastColumn="0" w:noHBand="0" w:noVBand="1"/>
      </w:tblPr>
      <w:tblGrid>
        <w:gridCol w:w="2405"/>
        <w:gridCol w:w="2103"/>
        <w:gridCol w:w="2150"/>
        <w:gridCol w:w="2359"/>
      </w:tblGrid>
      <w:tr w:rsidR="00DF1C7A" w:rsidRPr="00DF1C7A" w14:paraId="016DE81C" w14:textId="77777777" w:rsidTr="00ED4BBD">
        <w:tc>
          <w:tcPr>
            <w:tcW w:w="2405" w:type="dxa"/>
          </w:tcPr>
          <w:p w14:paraId="7D57D0FD" w14:textId="77777777" w:rsidR="00DF1C7A" w:rsidRPr="00DF1C7A" w:rsidRDefault="00DF1C7A" w:rsidP="00DF1C7A">
            <w:pPr>
              <w:keepNext/>
              <w:jc w:val="left"/>
              <w:rPr>
                <w:rFonts w:ascii="Arial Narrow" w:eastAsiaTheme="majorEastAsia" w:hAnsi="Arial Narrow" w:cstheme="majorBidi"/>
                <w:bCs/>
                <w:sz w:val="20"/>
              </w:rPr>
            </w:pPr>
          </w:p>
        </w:tc>
        <w:tc>
          <w:tcPr>
            <w:tcW w:w="2103" w:type="dxa"/>
            <w:vAlign w:val="center"/>
          </w:tcPr>
          <w:p w14:paraId="2CF96403"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Ranibizumab PDS</w:t>
            </w:r>
          </w:p>
          <w:p w14:paraId="767E825B"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248)</w:t>
            </w:r>
          </w:p>
        </w:tc>
        <w:tc>
          <w:tcPr>
            <w:tcW w:w="2150" w:type="dxa"/>
            <w:vAlign w:val="center"/>
          </w:tcPr>
          <w:p w14:paraId="6E5BD0E5"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Intravitreal ranibizumab</w:t>
            </w:r>
          </w:p>
          <w:p w14:paraId="5369DA80"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167)</w:t>
            </w:r>
          </w:p>
        </w:tc>
        <w:tc>
          <w:tcPr>
            <w:tcW w:w="2359" w:type="dxa"/>
            <w:vAlign w:val="center"/>
          </w:tcPr>
          <w:p w14:paraId="1EF03D57"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Difference between adjusted means (95% CI)</w:t>
            </w:r>
          </w:p>
        </w:tc>
      </w:tr>
      <w:tr w:rsidR="00DF1C7A" w:rsidRPr="00DF1C7A" w14:paraId="157C2416" w14:textId="77777777" w:rsidTr="00ED4BBD">
        <w:tc>
          <w:tcPr>
            <w:tcW w:w="2405" w:type="dxa"/>
          </w:tcPr>
          <w:p w14:paraId="706E21C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Change to average of Week 36 and Week 40</w:t>
            </w:r>
          </w:p>
        </w:tc>
        <w:tc>
          <w:tcPr>
            <w:tcW w:w="2103" w:type="dxa"/>
            <w:tcBorders>
              <w:top w:val="single" w:sz="4" w:space="0" w:color="auto"/>
              <w:left w:val="single" w:sz="4" w:space="0" w:color="auto"/>
              <w:bottom w:val="single" w:sz="4" w:space="0" w:color="auto"/>
              <w:right w:val="single" w:sz="4" w:space="0" w:color="auto"/>
            </w:tcBorders>
            <w:vAlign w:val="center"/>
          </w:tcPr>
          <w:p w14:paraId="4C13DF6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0.2 (-0.7, 1.1)</w:t>
            </w:r>
          </w:p>
        </w:tc>
        <w:tc>
          <w:tcPr>
            <w:tcW w:w="2150" w:type="dxa"/>
            <w:tcBorders>
              <w:top w:val="single" w:sz="4" w:space="0" w:color="auto"/>
              <w:left w:val="single" w:sz="4" w:space="0" w:color="auto"/>
              <w:bottom w:val="single" w:sz="4" w:space="0" w:color="auto"/>
              <w:right w:val="single" w:sz="4" w:space="0" w:color="auto"/>
            </w:tcBorders>
            <w:vAlign w:val="center"/>
          </w:tcPr>
          <w:p w14:paraId="316EA30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0.5 (-0.6, 1.6)</w:t>
            </w:r>
          </w:p>
        </w:tc>
        <w:tc>
          <w:tcPr>
            <w:tcW w:w="2359" w:type="dxa"/>
            <w:tcBorders>
              <w:top w:val="single" w:sz="4" w:space="0" w:color="auto"/>
              <w:left w:val="single" w:sz="4" w:space="0" w:color="auto"/>
              <w:bottom w:val="single" w:sz="4" w:space="0" w:color="auto"/>
              <w:right w:val="single" w:sz="4" w:space="0" w:color="auto"/>
            </w:tcBorders>
            <w:vAlign w:val="center"/>
          </w:tcPr>
          <w:p w14:paraId="7C70FBE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-0.3 (-1.7, 1.1)</w:t>
            </w:r>
          </w:p>
        </w:tc>
      </w:tr>
      <w:tr w:rsidR="00DF1C7A" w:rsidRPr="00DF1C7A" w14:paraId="340DD925" w14:textId="77777777" w:rsidTr="00ED4BBD">
        <w:tc>
          <w:tcPr>
            <w:tcW w:w="2405" w:type="dxa"/>
          </w:tcPr>
          <w:p w14:paraId="568113C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Change to average of Week 44 and Week 48</w:t>
            </w:r>
          </w:p>
        </w:tc>
        <w:tc>
          <w:tcPr>
            <w:tcW w:w="2103" w:type="dxa"/>
            <w:tcBorders>
              <w:top w:val="single" w:sz="4" w:space="0" w:color="auto"/>
              <w:left w:val="single" w:sz="4" w:space="0" w:color="auto"/>
              <w:bottom w:val="single" w:sz="4" w:space="0" w:color="auto"/>
              <w:right w:val="single" w:sz="4" w:space="0" w:color="auto"/>
            </w:tcBorders>
            <w:vAlign w:val="center"/>
          </w:tcPr>
          <w:p w14:paraId="30E033C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0.0 (-1.0, 1.0)</w:t>
            </w:r>
          </w:p>
        </w:tc>
        <w:tc>
          <w:tcPr>
            <w:tcW w:w="2150" w:type="dxa"/>
            <w:tcBorders>
              <w:top w:val="single" w:sz="4" w:space="0" w:color="auto"/>
              <w:left w:val="single" w:sz="4" w:space="0" w:color="auto"/>
              <w:bottom w:val="single" w:sz="4" w:space="0" w:color="auto"/>
              <w:right w:val="single" w:sz="4" w:space="0" w:color="auto"/>
            </w:tcBorders>
            <w:vAlign w:val="center"/>
          </w:tcPr>
          <w:p w14:paraId="242E15A8"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0.2 (-1.0, 1.4)</w:t>
            </w:r>
          </w:p>
        </w:tc>
        <w:tc>
          <w:tcPr>
            <w:tcW w:w="2359" w:type="dxa"/>
            <w:tcBorders>
              <w:top w:val="single" w:sz="4" w:space="0" w:color="auto"/>
              <w:left w:val="single" w:sz="4" w:space="0" w:color="auto"/>
              <w:bottom w:val="single" w:sz="4" w:space="0" w:color="auto"/>
              <w:right w:val="single" w:sz="4" w:space="0" w:color="auto"/>
            </w:tcBorders>
            <w:vAlign w:val="center"/>
          </w:tcPr>
          <w:p w14:paraId="17019DC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-0.2 (-1.8, 1.3)</w:t>
            </w:r>
          </w:p>
        </w:tc>
      </w:tr>
      <w:tr w:rsidR="00DF1C7A" w:rsidRPr="00DF1C7A" w14:paraId="464B482C" w14:textId="77777777" w:rsidTr="00ED4BBD">
        <w:tc>
          <w:tcPr>
            <w:tcW w:w="2405" w:type="dxa"/>
          </w:tcPr>
          <w:p w14:paraId="125026BA" w14:textId="77777777" w:rsidR="00DF1C7A" w:rsidRPr="00DF1C7A" w:rsidRDefault="00DF1C7A" w:rsidP="00DF1C7A">
            <w:pPr>
              <w:keepNext/>
              <w:jc w:val="left"/>
              <w:rPr>
                <w:rFonts w:ascii="Arial Narrow" w:eastAsiaTheme="majorEastAsia" w:hAnsi="Arial Narrow" w:cstheme="majorBidi"/>
                <w:bCs/>
                <w:iCs/>
                <w:sz w:val="20"/>
              </w:rPr>
            </w:pPr>
            <w:r w:rsidRPr="00DF1C7A">
              <w:rPr>
                <w:rFonts w:ascii="Arial Narrow" w:eastAsiaTheme="majorEastAsia" w:hAnsi="Arial Narrow" w:cstheme="majorBidi"/>
                <w:bCs/>
                <w:iCs/>
                <w:sz w:val="20"/>
              </w:rPr>
              <w:t>Change to average of Week 88 and Week 92</w:t>
            </w:r>
          </w:p>
        </w:tc>
        <w:tc>
          <w:tcPr>
            <w:tcW w:w="2103" w:type="dxa"/>
            <w:tcBorders>
              <w:top w:val="single" w:sz="4" w:space="0" w:color="auto"/>
              <w:left w:val="single" w:sz="4" w:space="0" w:color="auto"/>
              <w:bottom w:val="single" w:sz="4" w:space="0" w:color="auto"/>
              <w:right w:val="single" w:sz="4" w:space="0" w:color="auto"/>
            </w:tcBorders>
            <w:vAlign w:val="center"/>
          </w:tcPr>
          <w:p w14:paraId="27EA6F95" w14:textId="77777777" w:rsidR="00DF1C7A" w:rsidRPr="00DF1C7A" w:rsidRDefault="00DF1C7A" w:rsidP="00DF1C7A">
            <w:pPr>
              <w:keepNext/>
              <w:jc w:val="center"/>
              <w:rPr>
                <w:rFonts w:ascii="Arial Narrow" w:eastAsiaTheme="majorEastAsia" w:hAnsi="Arial Narrow" w:cstheme="majorBidi"/>
                <w:bCs/>
                <w:iCs/>
                <w:sz w:val="20"/>
              </w:rPr>
            </w:pPr>
            <w:r w:rsidRPr="00DF1C7A">
              <w:rPr>
                <w:rFonts w:ascii="Arial Narrow" w:eastAsiaTheme="majorEastAsia" w:hAnsi="Arial Narrow" w:cstheme="majorBidi"/>
                <w:bCs/>
                <w:iCs/>
                <w:sz w:val="20"/>
                <w:szCs w:val="20"/>
              </w:rPr>
              <w:t>-1.1 (-2.3, 0.1)</w:t>
            </w:r>
          </w:p>
        </w:tc>
        <w:tc>
          <w:tcPr>
            <w:tcW w:w="2150" w:type="dxa"/>
            <w:tcBorders>
              <w:top w:val="single" w:sz="4" w:space="0" w:color="auto"/>
              <w:left w:val="single" w:sz="4" w:space="0" w:color="auto"/>
              <w:bottom w:val="single" w:sz="4" w:space="0" w:color="auto"/>
              <w:right w:val="single" w:sz="4" w:space="0" w:color="auto"/>
            </w:tcBorders>
            <w:vAlign w:val="center"/>
          </w:tcPr>
          <w:p w14:paraId="67C781F1" w14:textId="77777777" w:rsidR="00DF1C7A" w:rsidRPr="00DF1C7A" w:rsidRDefault="00DF1C7A" w:rsidP="00DF1C7A">
            <w:pPr>
              <w:keepNext/>
              <w:jc w:val="center"/>
              <w:rPr>
                <w:rFonts w:ascii="Arial Narrow" w:eastAsiaTheme="majorEastAsia" w:hAnsi="Arial Narrow" w:cstheme="majorBidi"/>
                <w:bCs/>
                <w:iCs/>
                <w:sz w:val="20"/>
              </w:rPr>
            </w:pPr>
            <w:r w:rsidRPr="00DF1C7A">
              <w:rPr>
                <w:rFonts w:ascii="Arial Narrow" w:eastAsiaTheme="majorEastAsia" w:hAnsi="Arial Narrow" w:cstheme="majorBidi"/>
                <w:bCs/>
                <w:iCs/>
                <w:sz w:val="20"/>
                <w:szCs w:val="20"/>
              </w:rPr>
              <w:t>-0.5 (-2.0, 1.0)</w:t>
            </w:r>
          </w:p>
        </w:tc>
        <w:tc>
          <w:tcPr>
            <w:tcW w:w="2359" w:type="dxa"/>
            <w:tcBorders>
              <w:top w:val="single" w:sz="4" w:space="0" w:color="auto"/>
              <w:left w:val="single" w:sz="4" w:space="0" w:color="auto"/>
              <w:bottom w:val="single" w:sz="4" w:space="0" w:color="auto"/>
              <w:right w:val="single" w:sz="4" w:space="0" w:color="auto"/>
            </w:tcBorders>
            <w:vAlign w:val="center"/>
          </w:tcPr>
          <w:p w14:paraId="6BD0DA15" w14:textId="77777777" w:rsidR="00DF1C7A" w:rsidRPr="00DF1C7A" w:rsidRDefault="00DF1C7A" w:rsidP="00DF1C7A">
            <w:pPr>
              <w:keepNext/>
              <w:jc w:val="center"/>
              <w:rPr>
                <w:rFonts w:ascii="Arial Narrow" w:eastAsiaTheme="majorEastAsia" w:hAnsi="Arial Narrow" w:cstheme="majorBidi"/>
                <w:bCs/>
                <w:iCs/>
                <w:sz w:val="20"/>
              </w:rPr>
            </w:pPr>
            <w:r w:rsidRPr="00DF1C7A">
              <w:rPr>
                <w:rFonts w:ascii="Arial Narrow" w:eastAsiaTheme="majorEastAsia" w:hAnsi="Arial Narrow" w:cstheme="majorBidi"/>
                <w:bCs/>
                <w:iCs/>
                <w:sz w:val="20"/>
                <w:szCs w:val="20"/>
              </w:rPr>
              <w:t>-0.6 (-2.5, 1.3)</w:t>
            </w:r>
          </w:p>
        </w:tc>
      </w:tr>
    </w:tbl>
    <w:p w14:paraId="511C933B"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PDS = port delivery system.</w:t>
      </w:r>
    </w:p>
    <w:p w14:paraId="504910B4" w14:textId="77777777" w:rsidR="00DF1C7A" w:rsidRPr="00DF1C7A" w:rsidRDefault="00DF1C7A" w:rsidP="00DF1C7A">
      <w:pPr>
        <w:spacing w:after="120"/>
        <w:contextualSpacing/>
        <w:rPr>
          <w:rFonts w:ascii="Arial Narrow" w:hAnsi="Arial Narrow"/>
          <w:iCs/>
          <w:snapToGrid w:val="0"/>
          <w:sz w:val="18"/>
          <w:szCs w:val="22"/>
        </w:rPr>
      </w:pPr>
      <w:r w:rsidRPr="00DF1C7A">
        <w:rPr>
          <w:rFonts w:ascii="Arial Narrow" w:hAnsi="Arial Narrow"/>
          <w:snapToGrid w:val="0"/>
          <w:sz w:val="18"/>
          <w:szCs w:val="22"/>
        </w:rPr>
        <w:t xml:space="preserve">Source: Table 2.14, p.52; Table 2.15, p.53 of the submission; </w:t>
      </w:r>
      <w:r w:rsidRPr="00DF1C7A">
        <w:rPr>
          <w:rFonts w:ascii="Arial Narrow" w:hAnsi="Arial Narrow"/>
          <w:iCs/>
          <w:snapToGrid w:val="0"/>
          <w:sz w:val="18"/>
          <w:szCs w:val="22"/>
        </w:rPr>
        <w:t>Table 5, p.26 of Final ARCHWAY CSR, provided with PSCR.</w:t>
      </w:r>
    </w:p>
    <w:p w14:paraId="1E12B42A" w14:textId="77777777" w:rsidR="00DF1C7A" w:rsidRPr="00DF1C7A" w:rsidRDefault="00DF1C7A" w:rsidP="00EA044D">
      <w:pPr>
        <w:pStyle w:val="3Bodytext"/>
        <w:numPr>
          <w:ilvl w:val="1"/>
          <w:numId w:val="1"/>
        </w:numPr>
        <w:jc w:val="both"/>
        <w:rPr>
          <w:snapToGrid w:val="0"/>
        </w:rPr>
      </w:pPr>
      <w:r w:rsidRPr="00DF1C7A">
        <w:rPr>
          <w:snapToGrid w:val="0"/>
        </w:rPr>
        <w:t xml:space="preserve">The lower limit of the 95% confidence interval (CI) of the difference in adjusted means at the average of Week 36 and Week 40 was -1.7 ETDRS letters, thereby meeting the pre-specified noninferiority margin of ± 4.5 letters. The mean change in BCVA score </w:t>
      </w:r>
      <w:r w:rsidRPr="00DF1C7A">
        <w:rPr>
          <w:snapToGrid w:val="0"/>
        </w:rPr>
        <w:lastRenderedPageBreak/>
        <w:t>from baseline averaged over Week 36 and Week 40 appeared to be maintained when averaged over Week 44 and Week 48, with the lower limit of the 95% CI</w:t>
      </w:r>
      <w:r w:rsidRPr="00DF1C7A" w:rsidDel="00A61CA9">
        <w:rPr>
          <w:snapToGrid w:val="0"/>
        </w:rPr>
        <w:t xml:space="preserve"> </w:t>
      </w:r>
      <w:r w:rsidRPr="00DF1C7A">
        <w:rPr>
          <w:snapToGrid w:val="0"/>
        </w:rPr>
        <w:t>of the difference in adjusted means at the average over this time period</w:t>
      </w:r>
      <w:r w:rsidRPr="00DF1C7A" w:rsidDel="00A61CA9">
        <w:rPr>
          <w:snapToGrid w:val="0"/>
        </w:rPr>
        <w:t xml:space="preserve"> </w:t>
      </w:r>
      <w:r w:rsidRPr="00DF1C7A">
        <w:rPr>
          <w:snapToGrid w:val="0"/>
        </w:rPr>
        <w:t>being -1.8 ETDRS letters.</w:t>
      </w:r>
    </w:p>
    <w:p w14:paraId="4E9682E1" w14:textId="77777777" w:rsidR="00DF1C7A" w:rsidRPr="00DF1C7A" w:rsidRDefault="00DF1C7A" w:rsidP="00A0461C">
      <w:pPr>
        <w:pStyle w:val="3Bodytext"/>
        <w:numPr>
          <w:ilvl w:val="1"/>
          <w:numId w:val="1"/>
        </w:numPr>
        <w:jc w:val="both"/>
        <w:rPr>
          <w:snapToGrid w:val="0"/>
        </w:rPr>
      </w:pPr>
      <w:r w:rsidRPr="00DF1C7A">
        <w:rPr>
          <w:snapToGrid w:val="0"/>
        </w:rPr>
        <w:t xml:space="preserve">The mean change from baseline in BCVA score over time (assessed every four weeks starting from day 1) is summarised in Figure 1. </w:t>
      </w:r>
      <w:r w:rsidRPr="00DF1C7A">
        <w:rPr>
          <w:iCs/>
          <w:snapToGrid w:val="0"/>
        </w:rPr>
        <w:t>Updated data to week 96 was presented in the PSCR, and is shown in Figure 2.</w:t>
      </w:r>
    </w:p>
    <w:p w14:paraId="7F27C07C"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t xml:space="preserve">Figure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Figure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1</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Mean change from baseline in BCVA score in study eye over time</w:t>
      </w:r>
    </w:p>
    <w:p w14:paraId="33105194" w14:textId="77777777" w:rsidR="00DF1C7A" w:rsidRPr="00DF1C7A" w:rsidRDefault="00DF1C7A" w:rsidP="00DF1C7A">
      <w:r w:rsidRPr="00DF1C7A">
        <w:rPr>
          <w:noProof/>
          <w:lang w:eastAsia="zh-CN"/>
        </w:rPr>
        <w:drawing>
          <wp:inline distT="0" distB="0" distL="0" distR="0" wp14:anchorId="5B4FDD6A" wp14:editId="21EE037A">
            <wp:extent cx="5732145" cy="2924003"/>
            <wp:effectExtent l="0" t="0" r="1905" b="0"/>
            <wp:docPr id="2146786013" name="Picture 2146786013" descr="Figure 1: Mean change from baseline in BCVA score in study ey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Mean change from baseline in BCVA score in study eye over time"/>
                    <pic:cNvPicPr/>
                  </pic:nvPicPr>
                  <pic:blipFill>
                    <a:blip r:embed="rId12"/>
                    <a:stretch>
                      <a:fillRect/>
                    </a:stretch>
                  </pic:blipFill>
                  <pic:spPr>
                    <a:xfrm>
                      <a:off x="0" y="0"/>
                      <a:ext cx="5732145" cy="2924003"/>
                    </a:xfrm>
                    <a:prstGeom prst="rect">
                      <a:avLst/>
                    </a:prstGeom>
                  </pic:spPr>
                </pic:pic>
              </a:graphicData>
            </a:graphic>
          </wp:inline>
        </w:drawing>
      </w:r>
    </w:p>
    <w:p w14:paraId="14167069"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 xml:space="preserve">Source: Figure 2.3, p.53 of the submission </w:t>
      </w:r>
    </w:p>
    <w:p w14:paraId="3BE33739" w14:textId="77777777" w:rsidR="00DF1C7A" w:rsidRPr="00DF1C7A" w:rsidRDefault="00DF1C7A" w:rsidP="00DF1C7A">
      <w:pPr>
        <w:spacing w:after="120"/>
        <w:rPr>
          <w:rFonts w:ascii="Arial Narrow" w:hAnsi="Arial Narrow"/>
          <w:snapToGrid w:val="0"/>
          <w:sz w:val="18"/>
          <w:szCs w:val="22"/>
        </w:rPr>
      </w:pPr>
      <w:r w:rsidRPr="00DF1C7A">
        <w:rPr>
          <w:rFonts w:ascii="Arial Narrow" w:hAnsi="Arial Narrow"/>
          <w:snapToGrid w:val="0"/>
          <w:sz w:val="18"/>
          <w:szCs w:val="22"/>
        </w:rPr>
        <w:t>Abbreviations: BCVA, best corrected visual acuity; PDS, port delivery system; Q4W, once every four weeks; Q24W, once every 24 weeks</w:t>
      </w:r>
    </w:p>
    <w:p w14:paraId="16CA5FB3" w14:textId="77777777" w:rsidR="00DF1C7A" w:rsidRPr="00DF1C7A" w:rsidRDefault="00DF1C7A" w:rsidP="00DF1C7A">
      <w:pPr>
        <w:keepNext/>
        <w:jc w:val="left"/>
        <w:rPr>
          <w:rFonts w:ascii="Arial Narrow" w:eastAsiaTheme="majorEastAsia" w:hAnsi="Arial Narrow" w:cs="Times New Roman"/>
          <w:b/>
          <w:iCs/>
          <w:sz w:val="20"/>
          <w:lang w:val="en-US" w:eastAsia="en-US"/>
        </w:rPr>
      </w:pPr>
      <w:r w:rsidRPr="00DF1C7A">
        <w:rPr>
          <w:rFonts w:ascii="Arial Narrow" w:eastAsiaTheme="majorEastAsia" w:hAnsi="Arial Narrow" w:cs="Times New Roman"/>
          <w:b/>
          <w:iCs/>
          <w:sz w:val="20"/>
          <w:lang w:val="en-US" w:eastAsia="en-US"/>
        </w:rPr>
        <w:lastRenderedPageBreak/>
        <w:t xml:space="preserve">Figure </w:t>
      </w:r>
      <w:r w:rsidRPr="00DF1C7A">
        <w:rPr>
          <w:rFonts w:ascii="Arial Narrow" w:eastAsiaTheme="majorEastAsia" w:hAnsi="Arial Narrow" w:cs="Times New Roman"/>
          <w:iCs/>
          <w:sz w:val="20"/>
          <w:lang w:val="en-US" w:eastAsia="en-US"/>
        </w:rPr>
        <w:fldChar w:fldCharType="begin" w:fldLock="1"/>
      </w:r>
      <w:r w:rsidRPr="00DF1C7A">
        <w:rPr>
          <w:rFonts w:ascii="Arial Narrow" w:eastAsiaTheme="majorEastAsia" w:hAnsi="Arial Narrow" w:cs="Times New Roman"/>
          <w:b/>
          <w:iCs/>
          <w:sz w:val="20"/>
          <w:lang w:val="en-US" w:eastAsia="en-US"/>
        </w:rPr>
        <w:instrText xml:space="preserve"> SEQ Figure \* ARABIC </w:instrText>
      </w:r>
      <w:r w:rsidRPr="00DF1C7A">
        <w:rPr>
          <w:rFonts w:ascii="Arial Narrow" w:eastAsiaTheme="majorEastAsia" w:hAnsi="Arial Narrow" w:cs="Times New Roman"/>
          <w:iCs/>
          <w:sz w:val="20"/>
          <w:lang w:val="en-US" w:eastAsia="en-US"/>
        </w:rPr>
        <w:fldChar w:fldCharType="separate"/>
      </w:r>
      <w:r w:rsidRPr="00DF1C7A">
        <w:rPr>
          <w:rFonts w:ascii="Arial Narrow" w:eastAsiaTheme="majorEastAsia" w:hAnsi="Arial Narrow" w:cs="Times New Roman"/>
          <w:b/>
          <w:iCs/>
          <w:noProof/>
          <w:sz w:val="20"/>
          <w:lang w:val="en-US" w:eastAsia="en-US"/>
        </w:rPr>
        <w:t>2</w:t>
      </w:r>
      <w:r w:rsidRPr="00DF1C7A">
        <w:rPr>
          <w:rFonts w:ascii="Arial Narrow" w:eastAsiaTheme="majorEastAsia" w:hAnsi="Arial Narrow" w:cs="Times New Roman"/>
          <w:iCs/>
          <w:sz w:val="20"/>
          <w:lang w:val="en-US" w:eastAsia="en-US"/>
        </w:rPr>
        <w:fldChar w:fldCharType="end"/>
      </w:r>
      <w:r w:rsidRPr="00DF1C7A">
        <w:rPr>
          <w:rFonts w:ascii="Arial Narrow" w:eastAsiaTheme="majorEastAsia" w:hAnsi="Arial Narrow" w:cs="Times New Roman"/>
          <w:b/>
          <w:iCs/>
          <w:sz w:val="20"/>
          <w:lang w:eastAsia="en-US"/>
        </w:rPr>
        <w:t xml:space="preserve">: </w:t>
      </w:r>
      <w:r w:rsidRPr="00DF1C7A">
        <w:rPr>
          <w:rFonts w:ascii="Arial Narrow" w:eastAsiaTheme="majorEastAsia" w:hAnsi="Arial Narrow" w:cs="Times New Roman"/>
          <w:b/>
          <w:iCs/>
          <w:sz w:val="20"/>
          <w:lang w:val="en-US" w:eastAsia="en-US"/>
        </w:rPr>
        <w:t>Adjusted mean change in best corrected visual acuity over time (observed data)</w:t>
      </w:r>
    </w:p>
    <w:p w14:paraId="6CC60F45" w14:textId="77777777" w:rsidR="00DF1C7A" w:rsidRPr="00DF1C7A" w:rsidRDefault="00DF1C7A" w:rsidP="00DF1C7A">
      <w:pPr>
        <w:keepNext/>
        <w:jc w:val="left"/>
        <w:rPr>
          <w:rFonts w:ascii="Arial Narrow" w:eastAsiaTheme="majorEastAsia" w:hAnsi="Arial Narrow" w:cs="Times New Roman"/>
          <w:b/>
          <w:i/>
          <w:iCs/>
          <w:sz w:val="20"/>
          <w:lang w:eastAsia="en-US"/>
        </w:rPr>
      </w:pPr>
      <w:r w:rsidRPr="00DF1C7A">
        <w:rPr>
          <w:rFonts w:ascii="Arial Narrow" w:eastAsiaTheme="majorEastAsia" w:hAnsi="Arial Narrow" w:cs="Times New Roman"/>
          <w:i/>
          <w:iCs/>
          <w:noProof/>
          <w:sz w:val="20"/>
          <w:szCs w:val="22"/>
          <w:lang w:eastAsia="zh-CN"/>
        </w:rPr>
        <w:drawing>
          <wp:inline distT="0" distB="0" distL="0" distR="0" wp14:anchorId="43081C3D" wp14:editId="29301D7D">
            <wp:extent cx="5732145" cy="2945533"/>
            <wp:effectExtent l="0" t="0" r="1905" b="7620"/>
            <wp:docPr id="1364735925" name="Picture 1364735925" descr="Figure 2: Adjusted mean change in best corrected visual acuity over time (observ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Adjusted mean change in best corrected visual acuity over time (observed data)"/>
                    <pic:cNvPicPr/>
                  </pic:nvPicPr>
                  <pic:blipFill rotWithShape="1">
                    <a:blip r:embed="rId13"/>
                    <a:srcRect l="8979" t="-1" r="4106" b="25775"/>
                    <a:stretch/>
                  </pic:blipFill>
                  <pic:spPr bwMode="auto">
                    <a:xfrm>
                      <a:off x="0" y="0"/>
                      <a:ext cx="5732145" cy="2945533"/>
                    </a:xfrm>
                    <a:prstGeom prst="rect">
                      <a:avLst/>
                    </a:prstGeom>
                    <a:ln>
                      <a:noFill/>
                    </a:ln>
                    <a:extLst>
                      <a:ext uri="{53640926-AAD7-44D8-BBD7-CCE9431645EC}">
                        <a14:shadowObscured xmlns:a14="http://schemas.microsoft.com/office/drawing/2010/main"/>
                      </a:ext>
                    </a:extLst>
                  </pic:spPr>
                </pic:pic>
              </a:graphicData>
            </a:graphic>
          </wp:inline>
        </w:drawing>
      </w:r>
    </w:p>
    <w:p w14:paraId="0544C195" w14:textId="77777777" w:rsidR="00DF1C7A" w:rsidRPr="00DF1C7A" w:rsidRDefault="00DF1C7A" w:rsidP="00DF1C7A">
      <w:pPr>
        <w:keepNext/>
        <w:widowControl w:val="0"/>
        <w:rPr>
          <w:rFonts w:ascii="Arial Narrow" w:hAnsi="Arial Narrow"/>
          <w:i/>
          <w:iCs/>
          <w:snapToGrid w:val="0"/>
          <w:sz w:val="18"/>
          <w:szCs w:val="22"/>
          <w:lang w:eastAsia="en-US"/>
        </w:rPr>
      </w:pPr>
      <w:r w:rsidRPr="00DF1C7A">
        <w:rPr>
          <w:rFonts w:ascii="Arial Narrow" w:hAnsi="Arial Narrow"/>
          <w:i/>
          <w:iCs/>
          <w:snapToGrid w:val="0"/>
          <w:sz w:val="18"/>
          <w:szCs w:val="22"/>
          <w:lang w:eastAsia="en-US"/>
        </w:rPr>
        <w:t>Source: Final ARCHWAY CSR (Figure 3); presented on p6 of the PSCR.</w:t>
      </w:r>
    </w:p>
    <w:p w14:paraId="39C319D1" w14:textId="77777777" w:rsidR="00DF1C7A" w:rsidRPr="00DF1C7A" w:rsidRDefault="00DF1C7A" w:rsidP="00DF1C7A">
      <w:pPr>
        <w:widowControl w:val="0"/>
        <w:spacing w:after="120"/>
        <w:rPr>
          <w:rFonts w:ascii="Arial Narrow" w:hAnsi="Arial Narrow"/>
          <w:snapToGrid w:val="0"/>
          <w:sz w:val="18"/>
          <w:szCs w:val="22"/>
          <w:lang w:eastAsia="en-US"/>
        </w:rPr>
      </w:pPr>
      <w:r w:rsidRPr="00DF1C7A">
        <w:rPr>
          <w:rFonts w:ascii="Arial Narrow" w:hAnsi="Arial Narrow"/>
          <w:i/>
          <w:iCs/>
          <w:snapToGrid w:val="0"/>
          <w:sz w:val="18"/>
          <w:szCs w:val="22"/>
          <w:lang w:eastAsia="en-US"/>
        </w:rPr>
        <w:t>Abbreviations: BCVA=best corrected visual acuity; Q4W=every four weeks; Q24W=every 24 weeks</w:t>
      </w:r>
    </w:p>
    <w:p w14:paraId="0CC2329B" w14:textId="77777777" w:rsidR="00DF1C7A" w:rsidRPr="00DF1C7A" w:rsidRDefault="00DF1C7A" w:rsidP="00A0461C">
      <w:pPr>
        <w:pStyle w:val="3Bodytext"/>
        <w:numPr>
          <w:ilvl w:val="1"/>
          <w:numId w:val="1"/>
        </w:numPr>
        <w:jc w:val="both"/>
        <w:rPr>
          <w:snapToGrid w:val="0"/>
        </w:rPr>
      </w:pPr>
      <w:r w:rsidRPr="00DF1C7A">
        <w:rPr>
          <w:snapToGrid w:val="0"/>
        </w:rPr>
        <w:t>The results for mean change from baseline in BCVA score over time suggest that there is an initial worsening in BCVA of approximately 5 ETDRS letters associated with the surgical procedure required for the port delivery system implant, which resolves after approximately 12 weeks. Although the submission stated that this was not a clinically meaningful change</w:t>
      </w:r>
      <w:r w:rsidRPr="00DF1C7A">
        <w:rPr>
          <w:i/>
          <w:iCs/>
          <w:snapToGrid w:val="0"/>
        </w:rPr>
        <w:t>,</w:t>
      </w:r>
      <w:r w:rsidRPr="00DF1C7A">
        <w:rPr>
          <w:iCs/>
          <w:snapToGrid w:val="0"/>
        </w:rPr>
        <w:t xml:space="preserve"> the ESC agreed with the evaluation that</w:t>
      </w:r>
      <w:r w:rsidRPr="00DF1C7A">
        <w:rPr>
          <w:i/>
          <w:iCs/>
          <w:snapToGrid w:val="0"/>
        </w:rPr>
        <w:t xml:space="preserve"> </w:t>
      </w:r>
      <w:r w:rsidRPr="00DF1C7A">
        <w:rPr>
          <w:iCs/>
          <w:snapToGrid w:val="0"/>
        </w:rPr>
        <w:t xml:space="preserve">a difference of 5 letters on ETDRS may be considered noticeable by patients according to Beck et al. (2007) and may be clinically meaningful. The clinical relevance of this change would also depend upon the baseline visual acuity; in the </w:t>
      </w:r>
      <w:r w:rsidRPr="00DF1C7A">
        <w:rPr>
          <w:snapToGrid w:val="0"/>
        </w:rPr>
        <w:t xml:space="preserve">ARCHWAY study, visual acuity at baseline (mean = 74.8 letters) already represented an improvement in response to anti-VEGF medicine. Additionally, as the value of 5 is an average on a scale measure, a proportion of patients will experience more severe worsening following device implantation, which may require some lifestyle adjustment by patients until this resolves. The TGA Clinical Evaluator’s report suggested adding a special warning regarding </w:t>
      </w:r>
      <w:r w:rsidRPr="00DF1C7A">
        <w:rPr>
          <w:iCs/>
          <w:snapToGrid w:val="0"/>
        </w:rPr>
        <w:t>postoperative reduced visual acuity in the PI.</w:t>
      </w:r>
      <w:r w:rsidRPr="00DF1C7A">
        <w:rPr>
          <w:snapToGrid w:val="0"/>
        </w:rPr>
        <w:t xml:space="preserve"> Following the resolution of this initial worsening, change from baseline in BCVA appears to be maintained, with similar results for both the port delivery system and intravitreal treatment arms for the duration of the study.</w:t>
      </w:r>
    </w:p>
    <w:p w14:paraId="111C2952" w14:textId="77777777" w:rsidR="00DF1C7A" w:rsidRPr="00DF1C7A" w:rsidRDefault="00DF1C7A" w:rsidP="00A0461C">
      <w:pPr>
        <w:pStyle w:val="3Bodytext"/>
        <w:numPr>
          <w:ilvl w:val="1"/>
          <w:numId w:val="1"/>
        </w:numPr>
        <w:jc w:val="both"/>
        <w:rPr>
          <w:snapToGrid w:val="0"/>
        </w:rPr>
      </w:pPr>
      <w:r w:rsidRPr="00DF1C7A">
        <w:rPr>
          <w:snapToGrid w:val="0"/>
        </w:rPr>
        <w:t>The proportion of patients in the ranibizumab PDS arm who required supplementary treatment with intravitreal ranibizumab is summarised in Table 5.</w:t>
      </w:r>
    </w:p>
    <w:p w14:paraId="0069ED6F"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lastRenderedPageBreak/>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5</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Proportion of patients in the ranibizumab PDS arm requiring supplementary treatment with intravitreal ranibizumab</w:t>
      </w:r>
    </w:p>
    <w:tbl>
      <w:tblPr>
        <w:tblStyle w:val="TableGrid"/>
        <w:tblW w:w="0" w:type="auto"/>
        <w:tblLook w:val="04A0" w:firstRow="1" w:lastRow="0" w:firstColumn="1" w:lastColumn="0" w:noHBand="0" w:noVBand="1"/>
      </w:tblPr>
      <w:tblGrid>
        <w:gridCol w:w="6232"/>
        <w:gridCol w:w="2785"/>
      </w:tblGrid>
      <w:tr w:rsidR="00DF1C7A" w:rsidRPr="00DF1C7A" w14:paraId="3914A55D" w14:textId="77777777" w:rsidTr="00ED4BBD">
        <w:tc>
          <w:tcPr>
            <w:tcW w:w="6232" w:type="dxa"/>
          </w:tcPr>
          <w:p w14:paraId="7AC6691A" w14:textId="77777777" w:rsidR="00DF1C7A" w:rsidRPr="00DF1C7A" w:rsidRDefault="00DF1C7A" w:rsidP="00DF1C7A">
            <w:pPr>
              <w:keepNext/>
              <w:jc w:val="left"/>
              <w:rPr>
                <w:rFonts w:ascii="Arial Narrow" w:eastAsiaTheme="majorEastAsia" w:hAnsi="Arial Narrow" w:cstheme="majorBidi"/>
                <w:bCs/>
                <w:sz w:val="20"/>
              </w:rPr>
            </w:pPr>
          </w:p>
        </w:tc>
        <w:tc>
          <w:tcPr>
            <w:tcW w:w="2785" w:type="dxa"/>
            <w:vAlign w:val="center"/>
          </w:tcPr>
          <w:p w14:paraId="28BB09FA"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Ranibizumab PDS, n (%)</w:t>
            </w:r>
          </w:p>
          <w:p w14:paraId="2A7A8387"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
                <w:sz w:val="20"/>
              </w:rPr>
              <w:t>(N=248)</w:t>
            </w:r>
          </w:p>
        </w:tc>
      </w:tr>
      <w:tr w:rsidR="00DF1C7A" w:rsidRPr="00DF1C7A" w14:paraId="3E33E560" w14:textId="77777777" w:rsidTr="00ED4BBD">
        <w:tc>
          <w:tcPr>
            <w:tcW w:w="6232" w:type="dxa"/>
            <w:tcBorders>
              <w:top w:val="single" w:sz="4" w:space="0" w:color="auto"/>
              <w:left w:val="single" w:sz="4" w:space="0" w:color="auto"/>
              <w:right w:val="single" w:sz="4" w:space="0" w:color="auto"/>
            </w:tcBorders>
          </w:tcPr>
          <w:p w14:paraId="6818BA06"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assessed prior to first refill-exchange (baseline through to Week 24)</w:t>
            </w:r>
          </w:p>
        </w:tc>
        <w:tc>
          <w:tcPr>
            <w:tcW w:w="2785" w:type="dxa"/>
            <w:tcBorders>
              <w:top w:val="single" w:sz="4" w:space="0" w:color="auto"/>
              <w:left w:val="single" w:sz="4" w:space="0" w:color="auto"/>
              <w:right w:val="single" w:sz="4" w:space="0" w:color="auto"/>
            </w:tcBorders>
            <w:vAlign w:val="center"/>
          </w:tcPr>
          <w:p w14:paraId="17A55ED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246 (99.1)</w:t>
            </w:r>
          </w:p>
        </w:tc>
      </w:tr>
      <w:tr w:rsidR="00DF1C7A" w:rsidRPr="00DF1C7A" w14:paraId="1ADC23E1" w14:textId="77777777" w:rsidTr="00ED4BBD">
        <w:tc>
          <w:tcPr>
            <w:tcW w:w="6232" w:type="dxa"/>
            <w:tcBorders>
              <w:left w:val="single" w:sz="4" w:space="0" w:color="auto"/>
              <w:bottom w:val="single" w:sz="4" w:space="0" w:color="auto"/>
              <w:right w:val="single" w:sz="4" w:space="0" w:color="auto"/>
            </w:tcBorders>
          </w:tcPr>
          <w:p w14:paraId="67F35F1A"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Received 1–2 supplemental </w:t>
            </w:r>
            <w:proofErr w:type="spellStart"/>
            <w:r w:rsidRPr="00DF1C7A">
              <w:rPr>
                <w:rFonts w:ascii="Arial Narrow" w:eastAsiaTheme="majorEastAsia" w:hAnsi="Arial Narrow" w:cstheme="majorBidi"/>
                <w:bCs/>
                <w:sz w:val="20"/>
              </w:rPr>
              <w:t>treatments</w:t>
            </w:r>
            <w:r w:rsidRPr="00DF1C7A">
              <w:rPr>
                <w:rFonts w:ascii="Arial Narrow" w:eastAsiaTheme="majorEastAsia" w:hAnsi="Arial Narrow" w:cstheme="majorBidi"/>
                <w:bCs/>
                <w:sz w:val="20"/>
                <w:vertAlign w:val="superscript"/>
              </w:rPr>
              <w:t>a,b,c</w:t>
            </w:r>
            <w:proofErr w:type="spellEnd"/>
          </w:p>
        </w:tc>
        <w:tc>
          <w:tcPr>
            <w:tcW w:w="2785" w:type="dxa"/>
            <w:tcBorders>
              <w:left w:val="single" w:sz="4" w:space="0" w:color="auto"/>
              <w:bottom w:val="single" w:sz="4" w:space="0" w:color="auto"/>
              <w:right w:val="single" w:sz="4" w:space="0" w:color="auto"/>
            </w:tcBorders>
            <w:vAlign w:val="center"/>
          </w:tcPr>
          <w:p w14:paraId="7E94505E"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4 (1.6)</w:t>
            </w:r>
          </w:p>
        </w:tc>
      </w:tr>
      <w:tr w:rsidR="00DF1C7A" w:rsidRPr="00DF1C7A" w14:paraId="1E54C873" w14:textId="77777777" w:rsidTr="00ED4BBD">
        <w:tc>
          <w:tcPr>
            <w:tcW w:w="6232" w:type="dxa"/>
            <w:tcBorders>
              <w:top w:val="single" w:sz="4" w:space="0" w:color="auto"/>
              <w:left w:val="single" w:sz="4" w:space="0" w:color="auto"/>
              <w:right w:val="single" w:sz="4" w:space="0" w:color="auto"/>
            </w:tcBorders>
          </w:tcPr>
          <w:p w14:paraId="0A5940CA"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assessed prior to second refill-exchange (baseline through to Week 48)</w:t>
            </w:r>
          </w:p>
        </w:tc>
        <w:tc>
          <w:tcPr>
            <w:tcW w:w="2785" w:type="dxa"/>
            <w:tcBorders>
              <w:top w:val="single" w:sz="4" w:space="0" w:color="auto"/>
              <w:left w:val="single" w:sz="4" w:space="0" w:color="auto"/>
              <w:right w:val="single" w:sz="4" w:space="0" w:color="auto"/>
            </w:tcBorders>
            <w:vAlign w:val="center"/>
          </w:tcPr>
          <w:p w14:paraId="1D1734E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241 (97.2)</w:t>
            </w:r>
          </w:p>
        </w:tc>
      </w:tr>
      <w:tr w:rsidR="00DF1C7A" w:rsidRPr="00DF1C7A" w14:paraId="025DA7C1" w14:textId="77777777" w:rsidTr="00ED4BBD">
        <w:tc>
          <w:tcPr>
            <w:tcW w:w="6232" w:type="dxa"/>
            <w:tcBorders>
              <w:left w:val="single" w:sz="4" w:space="0" w:color="auto"/>
              <w:right w:val="single" w:sz="4" w:space="0" w:color="auto"/>
            </w:tcBorders>
          </w:tcPr>
          <w:p w14:paraId="359AB167"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Received 1–2 supplemental </w:t>
            </w:r>
            <w:proofErr w:type="spellStart"/>
            <w:r w:rsidRPr="00DF1C7A">
              <w:rPr>
                <w:rFonts w:ascii="Arial Narrow" w:eastAsiaTheme="majorEastAsia" w:hAnsi="Arial Narrow" w:cstheme="majorBidi"/>
                <w:bCs/>
                <w:sz w:val="20"/>
              </w:rPr>
              <w:t>treatments</w:t>
            </w:r>
            <w:r w:rsidRPr="00DF1C7A">
              <w:rPr>
                <w:rFonts w:ascii="Arial Narrow" w:eastAsiaTheme="majorEastAsia" w:hAnsi="Arial Narrow" w:cstheme="majorBidi"/>
                <w:bCs/>
                <w:sz w:val="20"/>
                <w:vertAlign w:val="superscript"/>
              </w:rPr>
              <w:t>b,d</w:t>
            </w:r>
            <w:proofErr w:type="spellEnd"/>
          </w:p>
        </w:tc>
        <w:tc>
          <w:tcPr>
            <w:tcW w:w="2785" w:type="dxa"/>
            <w:tcBorders>
              <w:left w:val="single" w:sz="4" w:space="0" w:color="auto"/>
              <w:right w:val="single" w:sz="4" w:space="0" w:color="auto"/>
            </w:tcBorders>
            <w:vAlign w:val="center"/>
          </w:tcPr>
          <w:p w14:paraId="0A949D27"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13 (5.2)</w:t>
            </w:r>
          </w:p>
        </w:tc>
      </w:tr>
    </w:tbl>
    <w:p w14:paraId="5DF94EA2"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PDS = port delivery system.</w:t>
      </w:r>
    </w:p>
    <w:p w14:paraId="404A8D8C"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Source: Table 2.19, p.58 of the submission</w:t>
      </w:r>
    </w:p>
    <w:p w14:paraId="07250589"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Analysis is based on the mixed-effect repeated measures (MMRM) method based on treatment policy estimates</w:t>
      </w:r>
    </w:p>
    <w:p w14:paraId="32520BCC"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a </w:t>
      </w:r>
      <w:r w:rsidRPr="00DF1C7A">
        <w:rPr>
          <w:rFonts w:ascii="Arial Narrow" w:hAnsi="Arial Narrow"/>
          <w:snapToGrid w:val="0"/>
          <w:sz w:val="18"/>
          <w:szCs w:val="22"/>
        </w:rPr>
        <w:t>Three of the four patients received supplemental treatment in error</w:t>
      </w:r>
    </w:p>
    <w:p w14:paraId="109B5F56"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b </w:t>
      </w:r>
      <w:r w:rsidRPr="00DF1C7A">
        <w:rPr>
          <w:rFonts w:ascii="Arial Narrow" w:hAnsi="Arial Narrow"/>
          <w:snapToGrid w:val="0"/>
          <w:sz w:val="18"/>
          <w:szCs w:val="22"/>
        </w:rPr>
        <w:t>Number of patients assessed as denominator</w:t>
      </w:r>
    </w:p>
    <w:p w14:paraId="33A531FF"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c </w:t>
      </w:r>
      <w:r w:rsidRPr="00DF1C7A">
        <w:rPr>
          <w:rFonts w:ascii="Arial Narrow" w:hAnsi="Arial Narrow"/>
          <w:snapToGrid w:val="0"/>
          <w:sz w:val="18"/>
          <w:szCs w:val="22"/>
        </w:rPr>
        <w:t>One patient received two supplemental treatments and three patients received one supplemental treatment</w:t>
      </w:r>
    </w:p>
    <w:p w14:paraId="637BCF9D"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d </w:t>
      </w:r>
      <w:r w:rsidRPr="00DF1C7A">
        <w:rPr>
          <w:rFonts w:ascii="Arial Narrow" w:hAnsi="Arial Narrow"/>
          <w:snapToGrid w:val="0"/>
          <w:sz w:val="18"/>
          <w:szCs w:val="22"/>
        </w:rPr>
        <w:t>Four patients received two supplemental treatments and nine patients received one supplemental treatment</w:t>
      </w:r>
    </w:p>
    <w:p w14:paraId="1FD89AEB" w14:textId="77777777" w:rsidR="00DF1C7A" w:rsidRPr="00DF1C7A" w:rsidRDefault="00DF1C7A" w:rsidP="0032190B">
      <w:pPr>
        <w:pStyle w:val="3Bodytext"/>
        <w:numPr>
          <w:ilvl w:val="1"/>
          <w:numId w:val="1"/>
        </w:numPr>
        <w:jc w:val="both"/>
        <w:rPr>
          <w:snapToGrid w:val="0"/>
        </w:rPr>
      </w:pPr>
      <w:r w:rsidRPr="00DF1C7A">
        <w:rPr>
          <w:snapToGrid w:val="0"/>
        </w:rPr>
        <w:t xml:space="preserve">A high proportion of patients maintained disease control without the need for supplementary treatment. In the period to the second refill-exchange (Week 48), 5.2% of patients required supplemental intravitreal ranibizumab. </w:t>
      </w:r>
      <w:r w:rsidRPr="00DF1C7A">
        <w:rPr>
          <w:iCs/>
          <w:snapToGrid w:val="0"/>
        </w:rPr>
        <w:t>At Week 96, 31/246 patients (12.6%) received at least one supplemental treatment; of the 31 patients, 18 (58.1%) received only one supplement treatment.</w:t>
      </w:r>
    </w:p>
    <w:p w14:paraId="53BBFDE4" w14:textId="77777777" w:rsidR="00DF1C7A" w:rsidRPr="00DF1C7A" w:rsidRDefault="00DF1C7A" w:rsidP="00171F3E">
      <w:pPr>
        <w:pStyle w:val="3Bodytext"/>
        <w:numPr>
          <w:ilvl w:val="1"/>
          <w:numId w:val="1"/>
        </w:numPr>
        <w:jc w:val="both"/>
        <w:rPr>
          <w:snapToGrid w:val="0"/>
        </w:rPr>
      </w:pPr>
      <w:r w:rsidRPr="00DF1C7A">
        <w:rPr>
          <w:snapToGrid w:val="0"/>
        </w:rPr>
        <w:t>Treatment preference was measured using the Port Delivery System Patient Preference Questionnaire (PPPQ). The PPPQ is a 3-item questionnaire that captures a patient’s preference for treatment, the strength of their preference and the reasons for their preference.</w:t>
      </w:r>
    </w:p>
    <w:p w14:paraId="6E07E978" w14:textId="77777777" w:rsidR="00DF1C7A" w:rsidRPr="00DF1C7A" w:rsidRDefault="00DF1C7A" w:rsidP="00171F3E">
      <w:pPr>
        <w:pStyle w:val="3Bodytext"/>
        <w:numPr>
          <w:ilvl w:val="1"/>
          <w:numId w:val="1"/>
        </w:numPr>
        <w:jc w:val="both"/>
        <w:rPr>
          <w:snapToGrid w:val="0"/>
        </w:rPr>
      </w:pPr>
      <w:r w:rsidRPr="00DF1C7A">
        <w:rPr>
          <w:snapToGrid w:val="0"/>
        </w:rPr>
        <w:t xml:space="preserve">After Week 40, 218 of 234 patients (93.2%) in the ranibizumab PDS arm reported preferring continuous delivery of ranibizumab PDS over ranibizumab intravitreal injections. The most common reason cited was ‘fewer treatments’ (175/218). Three of 234 patients (1.3%) preferred ranibizumab intravitreal injections, with the reason provided being ‘requires less time for treatment’ (1/3) or ‘other reason’ (2/3). Thirteen patients (5.6%) had no preference for either route of administration. </w:t>
      </w:r>
      <w:r w:rsidRPr="00DF1C7A">
        <w:rPr>
          <w:iCs/>
          <w:snapToGrid w:val="0"/>
        </w:rPr>
        <w:t>The PPPQ was modified for use with the ranibizumab PDS</w:t>
      </w:r>
      <w:r w:rsidRPr="00DF1C7A" w:rsidDel="00491EB5">
        <w:rPr>
          <w:iCs/>
          <w:snapToGrid w:val="0"/>
        </w:rPr>
        <w:t xml:space="preserve"> </w:t>
      </w:r>
      <w:r w:rsidRPr="00DF1C7A">
        <w:rPr>
          <w:iCs/>
          <w:snapToGrid w:val="0"/>
        </w:rPr>
        <w:t>and tested and validated in the phase II LADDER clinical trial. However, it has not been more broadly used or validated beyond this, and may not capture all potential benefits of the comparator since patients in the intravitreal ranibizumab arm were not surveyed. Few patients in the ranibizumab PDS arm (12/428 = 5%) completed the questionnaire.</w:t>
      </w:r>
    </w:p>
    <w:p w14:paraId="40949209" w14:textId="77777777" w:rsidR="00DF1C7A" w:rsidRPr="00DF1C7A" w:rsidRDefault="00DF1C7A" w:rsidP="008C29CC">
      <w:pPr>
        <w:pStyle w:val="3Bodytext"/>
        <w:numPr>
          <w:ilvl w:val="1"/>
          <w:numId w:val="1"/>
        </w:numPr>
        <w:jc w:val="both"/>
        <w:rPr>
          <w:snapToGrid w:val="0"/>
        </w:rPr>
      </w:pPr>
      <w:r w:rsidRPr="00DF1C7A">
        <w:rPr>
          <w:snapToGrid w:val="0"/>
        </w:rPr>
        <w:t>Results for the Macular Disease Treatment Satisfaction Questionnaire (</w:t>
      </w:r>
      <w:proofErr w:type="spellStart"/>
      <w:r w:rsidRPr="00DF1C7A">
        <w:rPr>
          <w:snapToGrid w:val="0"/>
        </w:rPr>
        <w:t>MacTSQ</w:t>
      </w:r>
      <w:proofErr w:type="spellEnd"/>
      <w:r w:rsidRPr="00DF1C7A">
        <w:rPr>
          <w:snapToGrid w:val="0"/>
        </w:rPr>
        <w:t>), designed to measure satisfaction with treatment for macular disease including late-onset macular degeneration, suggested no difference between groups in terms of impact of treatment, or information provision and convenience.</w:t>
      </w:r>
    </w:p>
    <w:p w14:paraId="1EB33D69"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Comparative harms</w:t>
      </w:r>
    </w:p>
    <w:p w14:paraId="5D47AC53" w14:textId="77777777" w:rsidR="00DF1C7A" w:rsidRPr="00DF1C7A" w:rsidRDefault="00DF1C7A" w:rsidP="008C29CC">
      <w:pPr>
        <w:pStyle w:val="3Bodytext"/>
        <w:numPr>
          <w:ilvl w:val="1"/>
          <w:numId w:val="1"/>
        </w:numPr>
        <w:jc w:val="both"/>
        <w:rPr>
          <w:snapToGrid w:val="0"/>
        </w:rPr>
      </w:pPr>
      <w:r w:rsidRPr="00DF1C7A">
        <w:rPr>
          <w:snapToGrid w:val="0"/>
        </w:rPr>
        <w:t xml:space="preserve">The incidence of adverse events reported in the ARCHWAY trial, both before and after the 40-week assessment point, are summarised in Table 6. </w:t>
      </w:r>
      <w:r w:rsidRPr="00DF1C7A">
        <w:rPr>
          <w:iCs/>
          <w:snapToGrid w:val="0"/>
        </w:rPr>
        <w:t>Final trial results were provided with the PSCR, but these were not evaluated.</w:t>
      </w:r>
    </w:p>
    <w:p w14:paraId="21AADB6C" w14:textId="77777777" w:rsidR="00DF1C7A" w:rsidRPr="00DF1C7A" w:rsidRDefault="00DF1C7A" w:rsidP="00DF1C7A">
      <w:pPr>
        <w:keepNext/>
        <w:jc w:val="left"/>
        <w:rPr>
          <w:rFonts w:ascii="Arial Narrow" w:eastAsiaTheme="majorEastAsia" w:hAnsi="Arial Narrow" w:cs="Times New Roman"/>
          <w:bCs/>
          <w:sz w:val="20"/>
          <w:lang w:eastAsia="en-US"/>
        </w:rPr>
      </w:pPr>
      <w:r w:rsidRPr="00DF1C7A">
        <w:rPr>
          <w:rFonts w:ascii="Arial Narrow" w:eastAsiaTheme="majorEastAsia" w:hAnsi="Arial Narrow" w:cs="Times New Roman"/>
          <w:b/>
          <w:sz w:val="20"/>
          <w:lang w:eastAsia="en-US"/>
        </w:rPr>
        <w:lastRenderedPageBreak/>
        <w:t>Table</w:t>
      </w:r>
      <w:r w:rsidRPr="00DF1C7A">
        <w:rPr>
          <w:rFonts w:ascii="Arial Narrow" w:eastAsiaTheme="majorEastAsia" w:hAnsi="Arial Narrow" w:cs="Times New Roman"/>
          <w:bCs/>
          <w:sz w:val="20"/>
          <w:lang w:eastAsia="en-US"/>
        </w:rPr>
        <w:t xml:space="preserv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6</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Summary of adverse events in the ARCHWAY trial (safety population)</w:t>
      </w:r>
    </w:p>
    <w:tbl>
      <w:tblPr>
        <w:tblStyle w:val="TableGrid"/>
        <w:tblW w:w="5000" w:type="pct"/>
        <w:tblLook w:val="04A0" w:firstRow="1" w:lastRow="0" w:firstColumn="1" w:lastColumn="0" w:noHBand="0" w:noVBand="1"/>
      </w:tblPr>
      <w:tblGrid>
        <w:gridCol w:w="3399"/>
        <w:gridCol w:w="1419"/>
        <w:gridCol w:w="1417"/>
        <w:gridCol w:w="1417"/>
        <w:gridCol w:w="1365"/>
      </w:tblGrid>
      <w:tr w:rsidR="00DF1C7A" w:rsidRPr="00DF1C7A" w14:paraId="7C836A39" w14:textId="77777777" w:rsidTr="00ED4BBD">
        <w:tc>
          <w:tcPr>
            <w:tcW w:w="1884" w:type="pct"/>
            <w:vMerge w:val="restart"/>
          </w:tcPr>
          <w:p w14:paraId="32B08DF6" w14:textId="77777777" w:rsidR="00DF1C7A" w:rsidRPr="00DF1C7A" w:rsidRDefault="00DF1C7A" w:rsidP="00DF1C7A">
            <w:pPr>
              <w:keepNext/>
              <w:jc w:val="left"/>
              <w:rPr>
                <w:rFonts w:ascii="Arial Narrow" w:eastAsiaTheme="majorEastAsia" w:hAnsi="Arial Narrow" w:cstheme="majorBidi"/>
                <w:b/>
                <w:sz w:val="20"/>
              </w:rPr>
            </w:pPr>
          </w:p>
        </w:tc>
        <w:tc>
          <w:tcPr>
            <w:tcW w:w="1573" w:type="pct"/>
            <w:gridSpan w:val="2"/>
            <w:vAlign w:val="center"/>
          </w:tcPr>
          <w:p w14:paraId="3A42D409"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Ranibizumab PDS, n (%)</w:t>
            </w:r>
          </w:p>
          <w:p w14:paraId="30CD238E"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248)</w:t>
            </w:r>
          </w:p>
        </w:tc>
        <w:tc>
          <w:tcPr>
            <w:tcW w:w="1544" w:type="pct"/>
            <w:gridSpan w:val="2"/>
            <w:vAlign w:val="center"/>
          </w:tcPr>
          <w:p w14:paraId="48D9C099"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Intravitreal ranibizumab, n (%)</w:t>
            </w:r>
          </w:p>
          <w:p w14:paraId="64BE8865"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167)</w:t>
            </w:r>
          </w:p>
        </w:tc>
      </w:tr>
      <w:tr w:rsidR="00DF1C7A" w:rsidRPr="00DF1C7A" w14:paraId="4A225027" w14:textId="77777777" w:rsidTr="00ED4BBD">
        <w:tc>
          <w:tcPr>
            <w:tcW w:w="1884" w:type="pct"/>
            <w:vMerge/>
          </w:tcPr>
          <w:p w14:paraId="588EFD40" w14:textId="77777777" w:rsidR="00DF1C7A" w:rsidRPr="00DF1C7A" w:rsidRDefault="00DF1C7A" w:rsidP="00DF1C7A">
            <w:pPr>
              <w:keepNext/>
              <w:jc w:val="left"/>
              <w:rPr>
                <w:rFonts w:ascii="Arial Narrow" w:eastAsiaTheme="majorEastAsia" w:hAnsi="Arial Narrow" w:cstheme="majorBidi"/>
                <w:b/>
                <w:sz w:val="20"/>
              </w:rPr>
            </w:pPr>
          </w:p>
        </w:tc>
        <w:tc>
          <w:tcPr>
            <w:tcW w:w="787" w:type="pct"/>
            <w:vAlign w:val="center"/>
          </w:tcPr>
          <w:p w14:paraId="00965380"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Up to week 40</w:t>
            </w:r>
            <w:r w:rsidRPr="00DF1C7A">
              <w:rPr>
                <w:rFonts w:ascii="Arial Narrow" w:eastAsiaTheme="majorEastAsia" w:hAnsi="Arial Narrow" w:cstheme="majorBidi"/>
                <w:b/>
                <w:sz w:val="20"/>
                <w:vertAlign w:val="superscript"/>
              </w:rPr>
              <w:t>a</w:t>
            </w:r>
          </w:p>
        </w:tc>
        <w:tc>
          <w:tcPr>
            <w:tcW w:w="786" w:type="pct"/>
            <w:vAlign w:val="center"/>
          </w:tcPr>
          <w:p w14:paraId="220E0169"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After week 40</w:t>
            </w:r>
            <w:r w:rsidRPr="00DF1C7A">
              <w:rPr>
                <w:rFonts w:ascii="Arial Narrow" w:eastAsiaTheme="majorEastAsia" w:hAnsi="Arial Narrow" w:cstheme="majorBidi"/>
                <w:b/>
                <w:sz w:val="20"/>
                <w:vertAlign w:val="superscript"/>
              </w:rPr>
              <w:t>b</w:t>
            </w:r>
          </w:p>
        </w:tc>
        <w:tc>
          <w:tcPr>
            <w:tcW w:w="786" w:type="pct"/>
            <w:vAlign w:val="center"/>
          </w:tcPr>
          <w:p w14:paraId="0E58DD8F"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Up to week 40</w:t>
            </w:r>
            <w:r w:rsidRPr="00DF1C7A">
              <w:rPr>
                <w:rFonts w:ascii="Arial Narrow" w:eastAsiaTheme="majorEastAsia" w:hAnsi="Arial Narrow" w:cstheme="majorBidi"/>
                <w:b/>
                <w:sz w:val="20"/>
                <w:vertAlign w:val="superscript"/>
              </w:rPr>
              <w:t>a</w:t>
            </w:r>
          </w:p>
        </w:tc>
        <w:tc>
          <w:tcPr>
            <w:tcW w:w="758" w:type="pct"/>
            <w:vAlign w:val="center"/>
          </w:tcPr>
          <w:p w14:paraId="02386FB6"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After week 40</w:t>
            </w:r>
            <w:r w:rsidRPr="00DF1C7A">
              <w:rPr>
                <w:rFonts w:ascii="Arial Narrow" w:eastAsiaTheme="majorEastAsia" w:hAnsi="Arial Narrow" w:cstheme="majorBidi"/>
                <w:b/>
                <w:sz w:val="20"/>
                <w:vertAlign w:val="superscript"/>
              </w:rPr>
              <w:t>b</w:t>
            </w:r>
          </w:p>
        </w:tc>
      </w:tr>
      <w:tr w:rsidR="00DF1C7A" w:rsidRPr="00DF1C7A" w14:paraId="54D858CE" w14:textId="77777777" w:rsidTr="00ED4BBD">
        <w:tc>
          <w:tcPr>
            <w:tcW w:w="1884" w:type="pct"/>
            <w:tcBorders>
              <w:bottom w:val="single" w:sz="4" w:space="0" w:color="auto"/>
            </w:tcBorders>
          </w:tcPr>
          <w:p w14:paraId="2169BEC1"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with ≥1 adverse event</w:t>
            </w:r>
          </w:p>
        </w:tc>
        <w:tc>
          <w:tcPr>
            <w:tcW w:w="787" w:type="pct"/>
            <w:tcBorders>
              <w:bottom w:val="single" w:sz="4" w:space="0" w:color="auto"/>
            </w:tcBorders>
            <w:vAlign w:val="center"/>
          </w:tcPr>
          <w:p w14:paraId="70C7A4F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243 (98.0)</w:t>
            </w:r>
          </w:p>
        </w:tc>
        <w:tc>
          <w:tcPr>
            <w:tcW w:w="786" w:type="pct"/>
            <w:tcBorders>
              <w:bottom w:val="single" w:sz="4" w:space="0" w:color="auto"/>
            </w:tcBorders>
            <w:vAlign w:val="center"/>
          </w:tcPr>
          <w:p w14:paraId="3611649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179 (71.0)</w:t>
            </w:r>
          </w:p>
        </w:tc>
        <w:tc>
          <w:tcPr>
            <w:tcW w:w="786" w:type="pct"/>
            <w:tcBorders>
              <w:bottom w:val="single" w:sz="4" w:space="0" w:color="auto"/>
            </w:tcBorders>
            <w:vAlign w:val="center"/>
          </w:tcPr>
          <w:p w14:paraId="544BBC7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114 (68.3)</w:t>
            </w:r>
          </w:p>
        </w:tc>
        <w:tc>
          <w:tcPr>
            <w:tcW w:w="758" w:type="pct"/>
            <w:tcBorders>
              <w:bottom w:val="single" w:sz="4" w:space="0" w:color="auto"/>
            </w:tcBorders>
            <w:vAlign w:val="center"/>
          </w:tcPr>
          <w:p w14:paraId="7889ADA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105 (62.9)</w:t>
            </w:r>
          </w:p>
        </w:tc>
      </w:tr>
      <w:tr w:rsidR="00DF1C7A" w:rsidRPr="00DF1C7A" w14:paraId="11283B1E" w14:textId="77777777" w:rsidTr="00ED4BBD">
        <w:tc>
          <w:tcPr>
            <w:tcW w:w="1884" w:type="pct"/>
            <w:tcBorders>
              <w:bottom w:val="nil"/>
            </w:tcBorders>
          </w:tcPr>
          <w:p w14:paraId="0AD3AF08"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Ocular adverse events: study eye</w:t>
            </w:r>
          </w:p>
        </w:tc>
        <w:tc>
          <w:tcPr>
            <w:tcW w:w="787" w:type="pct"/>
            <w:tcBorders>
              <w:bottom w:val="nil"/>
            </w:tcBorders>
            <w:vAlign w:val="center"/>
          </w:tcPr>
          <w:p w14:paraId="75EE715D" w14:textId="77777777" w:rsidR="00DF1C7A" w:rsidRPr="00DF1C7A" w:rsidRDefault="00DF1C7A" w:rsidP="00DF1C7A">
            <w:pPr>
              <w:keepNext/>
              <w:jc w:val="center"/>
              <w:rPr>
                <w:rFonts w:ascii="Arial Narrow" w:eastAsiaTheme="majorEastAsia" w:hAnsi="Arial Narrow" w:cstheme="majorBidi"/>
                <w:bCs/>
                <w:sz w:val="20"/>
              </w:rPr>
            </w:pPr>
          </w:p>
        </w:tc>
        <w:tc>
          <w:tcPr>
            <w:tcW w:w="786" w:type="pct"/>
            <w:tcBorders>
              <w:bottom w:val="nil"/>
            </w:tcBorders>
            <w:vAlign w:val="center"/>
          </w:tcPr>
          <w:p w14:paraId="577FE41C" w14:textId="77777777" w:rsidR="00DF1C7A" w:rsidRPr="00DF1C7A" w:rsidRDefault="00DF1C7A" w:rsidP="00DF1C7A">
            <w:pPr>
              <w:keepNext/>
              <w:jc w:val="center"/>
              <w:rPr>
                <w:rFonts w:ascii="Arial Narrow" w:eastAsiaTheme="majorEastAsia" w:hAnsi="Arial Narrow" w:cstheme="majorBidi"/>
                <w:bCs/>
                <w:sz w:val="20"/>
              </w:rPr>
            </w:pPr>
          </w:p>
        </w:tc>
        <w:tc>
          <w:tcPr>
            <w:tcW w:w="786" w:type="pct"/>
            <w:tcBorders>
              <w:bottom w:val="nil"/>
            </w:tcBorders>
            <w:vAlign w:val="center"/>
          </w:tcPr>
          <w:p w14:paraId="605EF297" w14:textId="77777777" w:rsidR="00DF1C7A" w:rsidRPr="00DF1C7A" w:rsidRDefault="00DF1C7A" w:rsidP="00DF1C7A">
            <w:pPr>
              <w:keepNext/>
              <w:jc w:val="center"/>
              <w:rPr>
                <w:rFonts w:ascii="Arial Narrow" w:eastAsiaTheme="majorEastAsia" w:hAnsi="Arial Narrow" w:cstheme="majorBidi"/>
                <w:bCs/>
                <w:sz w:val="20"/>
              </w:rPr>
            </w:pPr>
          </w:p>
        </w:tc>
        <w:tc>
          <w:tcPr>
            <w:tcW w:w="758" w:type="pct"/>
            <w:tcBorders>
              <w:bottom w:val="nil"/>
            </w:tcBorders>
            <w:vAlign w:val="center"/>
          </w:tcPr>
          <w:p w14:paraId="358D84B1" w14:textId="77777777" w:rsidR="00DF1C7A" w:rsidRPr="00DF1C7A" w:rsidRDefault="00DF1C7A" w:rsidP="00DF1C7A">
            <w:pPr>
              <w:keepNext/>
              <w:jc w:val="center"/>
              <w:rPr>
                <w:rFonts w:ascii="Arial Narrow" w:eastAsiaTheme="majorEastAsia" w:hAnsi="Arial Narrow" w:cstheme="majorBidi"/>
                <w:bCs/>
                <w:sz w:val="20"/>
              </w:rPr>
            </w:pPr>
          </w:p>
        </w:tc>
      </w:tr>
      <w:tr w:rsidR="00DF1C7A" w:rsidRPr="00DF1C7A" w14:paraId="6EC1CC2C" w14:textId="77777777" w:rsidTr="00ED4BBD">
        <w:tc>
          <w:tcPr>
            <w:tcW w:w="1884" w:type="pct"/>
            <w:tcBorders>
              <w:top w:val="nil"/>
              <w:bottom w:val="nil"/>
            </w:tcBorders>
          </w:tcPr>
          <w:p w14:paraId="4F70A5F2"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with ≥1 adverse event</w:t>
            </w:r>
          </w:p>
        </w:tc>
        <w:tc>
          <w:tcPr>
            <w:tcW w:w="787" w:type="pct"/>
            <w:tcBorders>
              <w:top w:val="nil"/>
              <w:bottom w:val="nil"/>
            </w:tcBorders>
            <w:vAlign w:val="center"/>
          </w:tcPr>
          <w:p w14:paraId="2F9B09A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234 (94.4)</w:t>
            </w:r>
          </w:p>
        </w:tc>
        <w:tc>
          <w:tcPr>
            <w:tcW w:w="786" w:type="pct"/>
            <w:tcBorders>
              <w:top w:val="nil"/>
              <w:bottom w:val="nil"/>
            </w:tcBorders>
            <w:vAlign w:val="center"/>
          </w:tcPr>
          <w:p w14:paraId="69CE5C9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78 (31.5)</w:t>
            </w:r>
          </w:p>
        </w:tc>
        <w:tc>
          <w:tcPr>
            <w:tcW w:w="786" w:type="pct"/>
            <w:tcBorders>
              <w:top w:val="nil"/>
              <w:bottom w:val="nil"/>
            </w:tcBorders>
            <w:vAlign w:val="center"/>
          </w:tcPr>
          <w:p w14:paraId="2CC27ED8"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59 (35.3)</w:t>
            </w:r>
          </w:p>
        </w:tc>
        <w:tc>
          <w:tcPr>
            <w:tcW w:w="758" w:type="pct"/>
            <w:tcBorders>
              <w:top w:val="nil"/>
              <w:bottom w:val="nil"/>
            </w:tcBorders>
            <w:vAlign w:val="center"/>
          </w:tcPr>
          <w:p w14:paraId="3C88FF9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45 (26.9)</w:t>
            </w:r>
          </w:p>
        </w:tc>
      </w:tr>
      <w:tr w:rsidR="00DF1C7A" w:rsidRPr="00DF1C7A" w14:paraId="6F76752F" w14:textId="77777777" w:rsidTr="00ED4BBD">
        <w:tc>
          <w:tcPr>
            <w:tcW w:w="1884" w:type="pct"/>
            <w:tcBorders>
              <w:top w:val="nil"/>
              <w:bottom w:val="nil"/>
            </w:tcBorders>
          </w:tcPr>
          <w:p w14:paraId="1BC2940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with ≥1 adverse event leading to withdrawal from treatment</w:t>
            </w:r>
          </w:p>
        </w:tc>
        <w:tc>
          <w:tcPr>
            <w:tcW w:w="787" w:type="pct"/>
            <w:tcBorders>
              <w:top w:val="nil"/>
              <w:bottom w:val="nil"/>
            </w:tcBorders>
            <w:vAlign w:val="center"/>
          </w:tcPr>
          <w:p w14:paraId="12B63EBE"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5 (2.0)</w:t>
            </w:r>
          </w:p>
        </w:tc>
        <w:tc>
          <w:tcPr>
            <w:tcW w:w="786" w:type="pct"/>
            <w:tcBorders>
              <w:top w:val="nil"/>
              <w:bottom w:val="nil"/>
            </w:tcBorders>
            <w:vAlign w:val="center"/>
          </w:tcPr>
          <w:p w14:paraId="7491C33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786" w:type="pct"/>
            <w:tcBorders>
              <w:top w:val="nil"/>
              <w:bottom w:val="nil"/>
            </w:tcBorders>
            <w:vAlign w:val="center"/>
          </w:tcPr>
          <w:p w14:paraId="16FAAD5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c>
          <w:tcPr>
            <w:tcW w:w="758" w:type="pct"/>
            <w:tcBorders>
              <w:top w:val="nil"/>
              <w:bottom w:val="nil"/>
            </w:tcBorders>
            <w:vAlign w:val="center"/>
          </w:tcPr>
          <w:p w14:paraId="29D87111"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r>
      <w:tr w:rsidR="00DF1C7A" w:rsidRPr="00DF1C7A" w14:paraId="34E61F7C" w14:textId="77777777" w:rsidTr="00ED4BBD">
        <w:tc>
          <w:tcPr>
            <w:tcW w:w="1884" w:type="pct"/>
            <w:tcBorders>
              <w:top w:val="nil"/>
            </w:tcBorders>
          </w:tcPr>
          <w:p w14:paraId="2E7A8E60"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Patients with ≥1 serious adverse event</w:t>
            </w:r>
          </w:p>
        </w:tc>
        <w:tc>
          <w:tcPr>
            <w:tcW w:w="787" w:type="pct"/>
            <w:tcBorders>
              <w:top w:val="nil"/>
            </w:tcBorders>
            <w:vAlign w:val="center"/>
          </w:tcPr>
          <w:p w14:paraId="2EB4CDEC"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14 (5.6)</w:t>
            </w:r>
          </w:p>
        </w:tc>
        <w:tc>
          <w:tcPr>
            <w:tcW w:w="786" w:type="pct"/>
            <w:tcBorders>
              <w:top w:val="nil"/>
            </w:tcBorders>
            <w:vAlign w:val="center"/>
          </w:tcPr>
          <w:p w14:paraId="694C906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7 (2.8)</w:t>
            </w:r>
          </w:p>
        </w:tc>
        <w:tc>
          <w:tcPr>
            <w:tcW w:w="786" w:type="pct"/>
            <w:tcBorders>
              <w:top w:val="nil"/>
            </w:tcBorders>
            <w:vAlign w:val="center"/>
          </w:tcPr>
          <w:p w14:paraId="394DA08E"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(1.2)</w:t>
            </w:r>
          </w:p>
        </w:tc>
        <w:tc>
          <w:tcPr>
            <w:tcW w:w="758" w:type="pct"/>
            <w:tcBorders>
              <w:top w:val="nil"/>
            </w:tcBorders>
            <w:vAlign w:val="center"/>
          </w:tcPr>
          <w:p w14:paraId="7215443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(1.2)</w:t>
            </w:r>
          </w:p>
        </w:tc>
      </w:tr>
      <w:tr w:rsidR="00DF1C7A" w:rsidRPr="00DF1C7A" w14:paraId="18A20FD1" w14:textId="77777777" w:rsidTr="00ED4BBD">
        <w:tc>
          <w:tcPr>
            <w:tcW w:w="1884" w:type="pct"/>
          </w:tcPr>
          <w:p w14:paraId="7B52B27B"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deaths</w:t>
            </w:r>
          </w:p>
        </w:tc>
        <w:tc>
          <w:tcPr>
            <w:tcW w:w="787" w:type="pct"/>
            <w:vAlign w:val="center"/>
          </w:tcPr>
          <w:p w14:paraId="2E96221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786" w:type="pct"/>
            <w:vAlign w:val="center"/>
          </w:tcPr>
          <w:p w14:paraId="50A71E61"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786" w:type="pct"/>
            <w:vAlign w:val="center"/>
          </w:tcPr>
          <w:p w14:paraId="36454E6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c>
          <w:tcPr>
            <w:tcW w:w="758" w:type="pct"/>
            <w:vAlign w:val="center"/>
          </w:tcPr>
          <w:p w14:paraId="1BDD6CC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(1.2)</w:t>
            </w:r>
          </w:p>
        </w:tc>
      </w:tr>
    </w:tbl>
    <w:p w14:paraId="1C458764"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PDS = port delivery system.</w:t>
      </w:r>
    </w:p>
    <w:p w14:paraId="3267BF3A"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Source: Table 2.21, p.62 of the submission.</w:t>
      </w:r>
    </w:p>
    <w:p w14:paraId="511FDAE0"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a </w:t>
      </w:r>
      <w:r w:rsidRPr="00DF1C7A">
        <w:rPr>
          <w:rFonts w:ascii="Arial Narrow" w:hAnsi="Arial Narrow"/>
          <w:snapToGrid w:val="0"/>
          <w:sz w:val="18"/>
          <w:szCs w:val="22"/>
        </w:rPr>
        <w:t>Includes events with onset up to 294 days (42 weeks) post first study treatment.</w:t>
      </w:r>
    </w:p>
    <w:p w14:paraId="4E1CB62A"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 xml:space="preserve">b </w:t>
      </w:r>
      <w:r w:rsidRPr="00DF1C7A">
        <w:rPr>
          <w:rFonts w:ascii="Arial Narrow" w:hAnsi="Arial Narrow"/>
          <w:snapToGrid w:val="0"/>
          <w:sz w:val="18"/>
          <w:szCs w:val="22"/>
        </w:rPr>
        <w:t xml:space="preserve">All data from Week 40 (includes events with onset after 294 days [42 weeks] post first study treatment) through 11 September 2020 clinical </w:t>
      </w:r>
      <w:proofErr w:type="spellStart"/>
      <w:r w:rsidRPr="00DF1C7A">
        <w:rPr>
          <w:rFonts w:ascii="Arial Narrow" w:hAnsi="Arial Narrow"/>
          <w:snapToGrid w:val="0"/>
          <w:sz w:val="18"/>
          <w:szCs w:val="22"/>
        </w:rPr>
        <w:t>cut off</w:t>
      </w:r>
      <w:proofErr w:type="spellEnd"/>
      <w:r w:rsidRPr="00DF1C7A">
        <w:rPr>
          <w:rFonts w:ascii="Arial Narrow" w:hAnsi="Arial Narrow"/>
          <w:snapToGrid w:val="0"/>
          <w:sz w:val="18"/>
          <w:szCs w:val="22"/>
        </w:rPr>
        <w:t xml:space="preserve"> date.</w:t>
      </w:r>
    </w:p>
    <w:p w14:paraId="3E854D96" w14:textId="77777777" w:rsidR="00DF1C7A" w:rsidRPr="00DF1C7A" w:rsidRDefault="00DF1C7A" w:rsidP="008C29CC">
      <w:pPr>
        <w:pStyle w:val="3Bodytext"/>
        <w:numPr>
          <w:ilvl w:val="1"/>
          <w:numId w:val="1"/>
        </w:numPr>
        <w:jc w:val="both"/>
        <w:rPr>
          <w:b/>
          <w:iCs/>
          <w:snapToGrid w:val="0"/>
        </w:rPr>
      </w:pPr>
      <w:r w:rsidRPr="00DF1C7A">
        <w:rPr>
          <w:snapToGrid w:val="0"/>
        </w:rPr>
        <w:t xml:space="preserve">Adverse events and ocular adverse events were higher in the ranibizumab PDS arm compared with the intravitreal ranibizumab arm. This difference was higher before the 40-week assessment but persisted for the duration of the study period. </w:t>
      </w:r>
      <w:r w:rsidRPr="00DF1C7A">
        <w:rPr>
          <w:iCs/>
          <w:snapToGrid w:val="0"/>
        </w:rPr>
        <w:t xml:space="preserve">At Week 96, </w:t>
      </w:r>
      <w:r w:rsidRPr="00DF1C7A">
        <w:rPr>
          <w:bCs/>
          <w:iCs/>
          <w:snapToGrid w:val="0"/>
        </w:rPr>
        <w:t>ranibizumab PDS was associated with a higher incidence of ocular adverse events compared to intravitreal ranibizumab (97.6% versus 52.1%). This difference was higher in the initial post-operative period (within 37 days of implantation; 91.9% versus 10.8%); the PSCR stated that the difference between treatments at the subsequent time period to Week 96 was 60.5% versus 49.1%.</w:t>
      </w:r>
    </w:p>
    <w:p w14:paraId="1AFE55A7" w14:textId="77777777" w:rsidR="00DF1C7A" w:rsidRPr="00DF1C7A" w:rsidRDefault="00DF1C7A" w:rsidP="008C29CC">
      <w:pPr>
        <w:pStyle w:val="3Bodytext"/>
        <w:numPr>
          <w:ilvl w:val="1"/>
          <w:numId w:val="1"/>
        </w:numPr>
        <w:jc w:val="both"/>
        <w:rPr>
          <w:snapToGrid w:val="0"/>
        </w:rPr>
      </w:pPr>
      <w:r w:rsidRPr="00DF1C7A">
        <w:rPr>
          <w:snapToGrid w:val="0"/>
        </w:rPr>
        <w:t>Three deaths were reported prior to Week 40, and from Week 40 through to the clinical cut-off date, five deaths were reported. Overall, no deaths were considered related to the implant (including implant, implant procedure, or initial fill needle), intravitreal injection, or study drug by the investigator.</w:t>
      </w:r>
    </w:p>
    <w:p w14:paraId="2A289932" w14:textId="77777777" w:rsidR="00DF1C7A" w:rsidRPr="00DF1C7A" w:rsidRDefault="00DF1C7A" w:rsidP="00343729">
      <w:pPr>
        <w:pStyle w:val="3Bodytext"/>
        <w:numPr>
          <w:ilvl w:val="1"/>
          <w:numId w:val="1"/>
        </w:numPr>
        <w:jc w:val="both"/>
        <w:rPr>
          <w:snapToGrid w:val="0"/>
        </w:rPr>
      </w:pPr>
      <w:r w:rsidRPr="00DF1C7A">
        <w:rPr>
          <w:snapToGrid w:val="0"/>
        </w:rPr>
        <w:t xml:space="preserve">Ocular adverse events thought to be caused by study treatment are summarised in Table 7. </w:t>
      </w:r>
      <w:r w:rsidRPr="00DF1C7A">
        <w:rPr>
          <w:iCs/>
          <w:snapToGrid w:val="0"/>
        </w:rPr>
        <w:t>Results to Week 96 were provided with the PSCR in the Final ARCHWAY CSR.</w:t>
      </w:r>
    </w:p>
    <w:p w14:paraId="7289EF79" w14:textId="77777777" w:rsidR="00DF1C7A" w:rsidRPr="00DF1C7A" w:rsidRDefault="00DF1C7A" w:rsidP="00DF1C7A">
      <w:pPr>
        <w:keepNext/>
        <w:jc w:val="left"/>
        <w:rPr>
          <w:rFonts w:ascii="Arial Narrow" w:eastAsiaTheme="majorEastAsia" w:hAnsi="Arial Narrow" w:cs="Times New Roman"/>
          <w:bCs/>
          <w:sz w:val="20"/>
          <w:lang w:eastAsia="en-US"/>
        </w:rPr>
      </w:pPr>
      <w:r w:rsidRPr="00DF1C7A">
        <w:rPr>
          <w:rFonts w:ascii="Arial Narrow" w:eastAsiaTheme="majorEastAsia" w:hAnsi="Arial Narrow" w:cs="Times New Roman"/>
          <w:b/>
          <w:sz w:val="20"/>
          <w:lang w:eastAsia="en-US"/>
        </w:rPr>
        <w:lastRenderedPageBreak/>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7</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Summary of ocular adverse events suspected to be caused by study treatment in the ARCHWAY trial (safety population)</w:t>
      </w:r>
    </w:p>
    <w:tbl>
      <w:tblPr>
        <w:tblStyle w:val="TableGrid"/>
        <w:tblW w:w="5000" w:type="pct"/>
        <w:tblLook w:val="04A0" w:firstRow="1" w:lastRow="0" w:firstColumn="1" w:lastColumn="0" w:noHBand="0" w:noVBand="1"/>
      </w:tblPr>
      <w:tblGrid>
        <w:gridCol w:w="3043"/>
        <w:gridCol w:w="987"/>
        <w:gridCol w:w="968"/>
        <w:gridCol w:w="1015"/>
        <w:gridCol w:w="1015"/>
        <w:gridCol w:w="995"/>
        <w:gridCol w:w="994"/>
      </w:tblGrid>
      <w:tr w:rsidR="00DF1C7A" w:rsidRPr="00DF1C7A" w14:paraId="3DAE99CF" w14:textId="77777777" w:rsidTr="00ED4BBD">
        <w:tc>
          <w:tcPr>
            <w:tcW w:w="1687" w:type="pct"/>
            <w:vMerge w:val="restart"/>
          </w:tcPr>
          <w:p w14:paraId="30B4ECC5" w14:textId="77777777" w:rsidR="00DF1C7A" w:rsidRPr="00DF1C7A" w:rsidRDefault="00DF1C7A" w:rsidP="00DF1C7A">
            <w:pPr>
              <w:keepNext/>
              <w:jc w:val="left"/>
              <w:rPr>
                <w:rFonts w:ascii="Arial Narrow" w:eastAsiaTheme="majorEastAsia" w:hAnsi="Arial Narrow" w:cstheme="majorBidi"/>
                <w:b/>
                <w:sz w:val="20"/>
              </w:rPr>
            </w:pPr>
          </w:p>
        </w:tc>
        <w:tc>
          <w:tcPr>
            <w:tcW w:w="1647" w:type="pct"/>
            <w:gridSpan w:val="3"/>
            <w:vAlign w:val="center"/>
          </w:tcPr>
          <w:p w14:paraId="27EC0621"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Ranibizumab PDS, n (%)</w:t>
            </w:r>
          </w:p>
          <w:p w14:paraId="24B3DB2F"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248)</w:t>
            </w:r>
          </w:p>
        </w:tc>
        <w:tc>
          <w:tcPr>
            <w:tcW w:w="1666" w:type="pct"/>
            <w:gridSpan w:val="3"/>
            <w:vAlign w:val="center"/>
          </w:tcPr>
          <w:p w14:paraId="22EC6095"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Intravitreal ranibizumab, n (%)</w:t>
            </w:r>
          </w:p>
          <w:p w14:paraId="61420B0B"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167)</w:t>
            </w:r>
          </w:p>
        </w:tc>
      </w:tr>
      <w:tr w:rsidR="00DF1C7A" w:rsidRPr="00DF1C7A" w14:paraId="07DD5AA8" w14:textId="77777777" w:rsidTr="00ED4BBD">
        <w:tc>
          <w:tcPr>
            <w:tcW w:w="1687" w:type="pct"/>
            <w:vMerge/>
            <w:tcBorders>
              <w:bottom w:val="single" w:sz="4" w:space="0" w:color="auto"/>
            </w:tcBorders>
          </w:tcPr>
          <w:p w14:paraId="6E4F7ADB" w14:textId="77777777" w:rsidR="00DF1C7A" w:rsidRPr="00DF1C7A" w:rsidRDefault="00DF1C7A" w:rsidP="00DF1C7A">
            <w:pPr>
              <w:keepNext/>
              <w:jc w:val="left"/>
              <w:rPr>
                <w:rFonts w:ascii="Arial Narrow" w:eastAsiaTheme="majorEastAsia" w:hAnsi="Arial Narrow" w:cstheme="majorBidi"/>
                <w:b/>
                <w:sz w:val="20"/>
              </w:rPr>
            </w:pPr>
          </w:p>
        </w:tc>
        <w:tc>
          <w:tcPr>
            <w:tcW w:w="547" w:type="pct"/>
            <w:tcBorders>
              <w:bottom w:val="single" w:sz="4" w:space="0" w:color="000000" w:themeColor="text1"/>
            </w:tcBorders>
          </w:tcPr>
          <w:p w14:paraId="7A290988"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 xml:space="preserve">Onset within 37 </w:t>
            </w:r>
            <w:proofErr w:type="spellStart"/>
            <w:r w:rsidRPr="00DF1C7A">
              <w:rPr>
                <w:rFonts w:ascii="Arial Narrow" w:eastAsiaTheme="majorEastAsia" w:hAnsi="Arial Narrow" w:cstheme="majorBidi"/>
                <w:bCs/>
                <w:sz w:val="20"/>
              </w:rPr>
              <w:t>days</w:t>
            </w:r>
            <w:r w:rsidRPr="00DF1C7A">
              <w:rPr>
                <w:rFonts w:ascii="Arial Narrow" w:eastAsiaTheme="majorEastAsia" w:hAnsi="Arial Narrow" w:cstheme="majorBidi"/>
                <w:bCs/>
                <w:sz w:val="20"/>
                <w:vertAlign w:val="superscript"/>
              </w:rPr>
              <w:t>a</w:t>
            </w:r>
            <w:proofErr w:type="spellEnd"/>
            <w:r w:rsidRPr="00DF1C7A">
              <w:rPr>
                <w:rFonts w:ascii="Arial Narrow" w:eastAsiaTheme="majorEastAsia" w:hAnsi="Arial Narrow" w:cstheme="majorBidi"/>
                <w:bCs/>
                <w:sz w:val="20"/>
              </w:rPr>
              <w:t xml:space="preserve"> </w:t>
            </w:r>
          </w:p>
        </w:tc>
        <w:tc>
          <w:tcPr>
            <w:tcW w:w="537" w:type="pct"/>
            <w:tcBorders>
              <w:bottom w:val="single" w:sz="4" w:space="0" w:color="000000" w:themeColor="text1"/>
            </w:tcBorders>
          </w:tcPr>
          <w:p w14:paraId="135FAEDB"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 xml:space="preserve">Onset after 37 </w:t>
            </w:r>
            <w:proofErr w:type="spellStart"/>
            <w:r w:rsidRPr="00DF1C7A">
              <w:rPr>
                <w:rFonts w:ascii="Arial Narrow" w:eastAsiaTheme="majorEastAsia" w:hAnsi="Arial Narrow" w:cstheme="majorBidi"/>
                <w:bCs/>
                <w:sz w:val="20"/>
              </w:rPr>
              <w:t>days</w:t>
            </w:r>
            <w:r w:rsidRPr="00DF1C7A">
              <w:rPr>
                <w:rFonts w:ascii="Arial Narrow" w:eastAsiaTheme="majorEastAsia" w:hAnsi="Arial Narrow" w:cstheme="majorBidi"/>
                <w:bCs/>
                <w:sz w:val="20"/>
                <w:vertAlign w:val="superscript"/>
              </w:rPr>
              <w:t>b</w:t>
            </w:r>
            <w:proofErr w:type="spellEnd"/>
          </w:p>
        </w:tc>
        <w:tc>
          <w:tcPr>
            <w:tcW w:w="563" w:type="pct"/>
            <w:tcBorders>
              <w:bottom w:val="single" w:sz="4" w:space="0" w:color="000000" w:themeColor="text1"/>
            </w:tcBorders>
          </w:tcPr>
          <w:p w14:paraId="58C3B231"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Onset after Week 40</w:t>
            </w:r>
            <w:r w:rsidRPr="00DF1C7A">
              <w:rPr>
                <w:rFonts w:ascii="Arial Narrow" w:eastAsiaTheme="majorEastAsia" w:hAnsi="Arial Narrow" w:cstheme="majorBidi"/>
                <w:bCs/>
                <w:sz w:val="20"/>
                <w:vertAlign w:val="superscript"/>
              </w:rPr>
              <w:t>c</w:t>
            </w:r>
          </w:p>
        </w:tc>
        <w:tc>
          <w:tcPr>
            <w:tcW w:w="563" w:type="pct"/>
            <w:tcBorders>
              <w:bottom w:val="single" w:sz="4" w:space="0" w:color="000000" w:themeColor="text1"/>
            </w:tcBorders>
          </w:tcPr>
          <w:p w14:paraId="6697E933"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 xml:space="preserve">Onset within 37 </w:t>
            </w:r>
            <w:proofErr w:type="spellStart"/>
            <w:r w:rsidRPr="00DF1C7A">
              <w:rPr>
                <w:rFonts w:ascii="Arial Narrow" w:eastAsiaTheme="majorEastAsia" w:hAnsi="Arial Narrow" w:cstheme="majorBidi"/>
                <w:bCs/>
                <w:sz w:val="20"/>
              </w:rPr>
              <w:t>days</w:t>
            </w:r>
            <w:r w:rsidRPr="00DF1C7A">
              <w:rPr>
                <w:rFonts w:ascii="Arial Narrow" w:eastAsiaTheme="majorEastAsia" w:hAnsi="Arial Narrow" w:cstheme="majorBidi"/>
                <w:bCs/>
                <w:sz w:val="20"/>
                <w:vertAlign w:val="superscript"/>
              </w:rPr>
              <w:t>a</w:t>
            </w:r>
            <w:proofErr w:type="spellEnd"/>
            <w:r w:rsidRPr="00DF1C7A">
              <w:rPr>
                <w:rFonts w:ascii="Arial Narrow" w:eastAsiaTheme="majorEastAsia" w:hAnsi="Arial Narrow" w:cstheme="majorBidi"/>
                <w:bCs/>
                <w:sz w:val="20"/>
              </w:rPr>
              <w:t xml:space="preserve"> </w:t>
            </w:r>
          </w:p>
        </w:tc>
        <w:tc>
          <w:tcPr>
            <w:tcW w:w="552" w:type="pct"/>
            <w:tcBorders>
              <w:bottom w:val="single" w:sz="4" w:space="0" w:color="000000" w:themeColor="text1"/>
            </w:tcBorders>
          </w:tcPr>
          <w:p w14:paraId="6CDA3CD7"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 xml:space="preserve">Onset after 37 </w:t>
            </w:r>
            <w:proofErr w:type="spellStart"/>
            <w:r w:rsidRPr="00DF1C7A">
              <w:rPr>
                <w:rFonts w:ascii="Arial Narrow" w:eastAsiaTheme="majorEastAsia" w:hAnsi="Arial Narrow" w:cstheme="majorBidi"/>
                <w:bCs/>
                <w:sz w:val="20"/>
              </w:rPr>
              <w:t>days</w:t>
            </w:r>
            <w:r w:rsidRPr="00DF1C7A">
              <w:rPr>
                <w:rFonts w:ascii="Arial Narrow" w:eastAsiaTheme="majorEastAsia" w:hAnsi="Arial Narrow" w:cstheme="majorBidi"/>
                <w:bCs/>
                <w:sz w:val="20"/>
                <w:vertAlign w:val="superscript"/>
              </w:rPr>
              <w:t>b</w:t>
            </w:r>
            <w:proofErr w:type="spellEnd"/>
          </w:p>
        </w:tc>
        <w:tc>
          <w:tcPr>
            <w:tcW w:w="551" w:type="pct"/>
            <w:tcBorders>
              <w:bottom w:val="single" w:sz="4" w:space="0" w:color="000000" w:themeColor="text1"/>
            </w:tcBorders>
          </w:tcPr>
          <w:p w14:paraId="0B5CF2DA"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Cs/>
                <w:sz w:val="20"/>
              </w:rPr>
              <w:t>Onset after Week 40</w:t>
            </w:r>
            <w:r w:rsidRPr="00DF1C7A">
              <w:rPr>
                <w:rFonts w:ascii="Arial Narrow" w:eastAsiaTheme="majorEastAsia" w:hAnsi="Arial Narrow" w:cstheme="majorBidi"/>
                <w:bCs/>
                <w:sz w:val="20"/>
                <w:vertAlign w:val="superscript"/>
              </w:rPr>
              <w:t>c</w:t>
            </w:r>
          </w:p>
        </w:tc>
      </w:tr>
      <w:tr w:rsidR="00DF1C7A" w:rsidRPr="00DF1C7A" w14:paraId="07B6585B" w14:textId="77777777" w:rsidTr="00ED4BBD">
        <w:tc>
          <w:tcPr>
            <w:tcW w:w="1687" w:type="pct"/>
          </w:tcPr>
          <w:p w14:paraId="51EBA11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patients with ≥1 adverse event caused by implant</w:t>
            </w:r>
          </w:p>
        </w:tc>
        <w:tc>
          <w:tcPr>
            <w:tcW w:w="547" w:type="pct"/>
            <w:vAlign w:val="center"/>
          </w:tcPr>
          <w:p w14:paraId="5790DDAE"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218 (87.9)</w:t>
            </w:r>
          </w:p>
        </w:tc>
        <w:tc>
          <w:tcPr>
            <w:tcW w:w="537" w:type="pct"/>
            <w:vAlign w:val="center"/>
          </w:tcPr>
          <w:p w14:paraId="6B95379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27 (10.9)</w:t>
            </w:r>
          </w:p>
        </w:tc>
        <w:tc>
          <w:tcPr>
            <w:tcW w:w="563" w:type="pct"/>
            <w:vAlign w:val="center"/>
          </w:tcPr>
          <w:p w14:paraId="5683BFA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12 (4.8)</w:t>
            </w:r>
          </w:p>
        </w:tc>
        <w:tc>
          <w:tcPr>
            <w:tcW w:w="563" w:type="pct"/>
            <w:vAlign w:val="center"/>
          </w:tcPr>
          <w:p w14:paraId="175D45D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2" w:type="pct"/>
            <w:vAlign w:val="center"/>
          </w:tcPr>
          <w:p w14:paraId="704DE5FB"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1" w:type="pct"/>
            <w:vAlign w:val="center"/>
          </w:tcPr>
          <w:p w14:paraId="777CBEF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r>
      <w:tr w:rsidR="00DF1C7A" w:rsidRPr="00DF1C7A" w14:paraId="5CA8EBCD" w14:textId="77777777" w:rsidTr="00ED4BBD">
        <w:tc>
          <w:tcPr>
            <w:tcW w:w="1687" w:type="pct"/>
          </w:tcPr>
          <w:p w14:paraId="79685A12"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patients with ≥1 adverse event caused by refill</w:t>
            </w:r>
          </w:p>
        </w:tc>
        <w:tc>
          <w:tcPr>
            <w:tcW w:w="547" w:type="pct"/>
            <w:vAlign w:val="center"/>
          </w:tcPr>
          <w:p w14:paraId="33545B87"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c>
          <w:tcPr>
            <w:tcW w:w="537" w:type="pct"/>
            <w:vAlign w:val="center"/>
          </w:tcPr>
          <w:p w14:paraId="46480E9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15 (6.0)</w:t>
            </w:r>
          </w:p>
        </w:tc>
        <w:tc>
          <w:tcPr>
            <w:tcW w:w="563" w:type="pct"/>
            <w:vAlign w:val="center"/>
          </w:tcPr>
          <w:p w14:paraId="55650B8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10 (4.0)</w:t>
            </w:r>
          </w:p>
        </w:tc>
        <w:tc>
          <w:tcPr>
            <w:tcW w:w="563" w:type="pct"/>
            <w:vAlign w:val="center"/>
          </w:tcPr>
          <w:p w14:paraId="20771A6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2" w:type="pct"/>
            <w:vAlign w:val="center"/>
          </w:tcPr>
          <w:p w14:paraId="143B856E"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1" w:type="pct"/>
            <w:vAlign w:val="center"/>
          </w:tcPr>
          <w:p w14:paraId="4A7A9B6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r>
      <w:tr w:rsidR="00DF1C7A" w:rsidRPr="00DF1C7A" w14:paraId="7E191695" w14:textId="77777777" w:rsidTr="00ED4BBD">
        <w:tc>
          <w:tcPr>
            <w:tcW w:w="1687" w:type="pct"/>
          </w:tcPr>
          <w:p w14:paraId="576AFD73"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patients with ≥1 adverse event caused by explant</w:t>
            </w:r>
          </w:p>
        </w:tc>
        <w:tc>
          <w:tcPr>
            <w:tcW w:w="547" w:type="pct"/>
            <w:vAlign w:val="center"/>
          </w:tcPr>
          <w:p w14:paraId="3E8A06C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c>
          <w:tcPr>
            <w:tcW w:w="537" w:type="pct"/>
            <w:vAlign w:val="center"/>
          </w:tcPr>
          <w:p w14:paraId="503316F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563" w:type="pct"/>
            <w:vAlign w:val="center"/>
          </w:tcPr>
          <w:p w14:paraId="5305330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563" w:type="pct"/>
            <w:vAlign w:val="center"/>
          </w:tcPr>
          <w:p w14:paraId="0982CACB"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2" w:type="pct"/>
            <w:vAlign w:val="center"/>
          </w:tcPr>
          <w:p w14:paraId="79AA72E8"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c>
          <w:tcPr>
            <w:tcW w:w="551" w:type="pct"/>
            <w:vAlign w:val="center"/>
          </w:tcPr>
          <w:p w14:paraId="1B07321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NA</w:t>
            </w:r>
          </w:p>
        </w:tc>
      </w:tr>
      <w:tr w:rsidR="00DF1C7A" w:rsidRPr="00DF1C7A" w14:paraId="644D4418" w14:textId="77777777" w:rsidTr="00ED4BBD">
        <w:tc>
          <w:tcPr>
            <w:tcW w:w="1687" w:type="pct"/>
          </w:tcPr>
          <w:p w14:paraId="238452D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Total number of patients with ≥1 adverse event caused by </w:t>
            </w:r>
            <w:proofErr w:type="spellStart"/>
            <w:r w:rsidRPr="00DF1C7A">
              <w:rPr>
                <w:rFonts w:ascii="Arial Narrow" w:eastAsiaTheme="majorEastAsia" w:hAnsi="Arial Narrow" w:cstheme="majorBidi"/>
                <w:bCs/>
                <w:sz w:val="20"/>
              </w:rPr>
              <w:t>ranibizumab</w:t>
            </w:r>
            <w:r w:rsidRPr="00DF1C7A">
              <w:rPr>
                <w:rFonts w:ascii="Arial Narrow" w:eastAsiaTheme="majorEastAsia" w:hAnsi="Arial Narrow" w:cstheme="majorBidi"/>
                <w:bCs/>
                <w:sz w:val="20"/>
                <w:vertAlign w:val="superscript"/>
              </w:rPr>
              <w:t>c</w:t>
            </w:r>
            <w:proofErr w:type="spellEnd"/>
          </w:p>
        </w:tc>
        <w:tc>
          <w:tcPr>
            <w:tcW w:w="547" w:type="pct"/>
            <w:vAlign w:val="center"/>
          </w:tcPr>
          <w:p w14:paraId="266B77CC"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57 (23.0)</w:t>
            </w:r>
          </w:p>
        </w:tc>
        <w:tc>
          <w:tcPr>
            <w:tcW w:w="537" w:type="pct"/>
            <w:vAlign w:val="center"/>
          </w:tcPr>
          <w:p w14:paraId="03DF9798"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12 (4.8)</w:t>
            </w:r>
          </w:p>
        </w:tc>
        <w:tc>
          <w:tcPr>
            <w:tcW w:w="563" w:type="pct"/>
            <w:vAlign w:val="center"/>
          </w:tcPr>
          <w:p w14:paraId="33C7447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5 (2.0)</w:t>
            </w:r>
          </w:p>
        </w:tc>
        <w:tc>
          <w:tcPr>
            <w:tcW w:w="563" w:type="pct"/>
            <w:vAlign w:val="center"/>
          </w:tcPr>
          <w:p w14:paraId="7E9A3D1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(1.2)</w:t>
            </w:r>
          </w:p>
        </w:tc>
        <w:tc>
          <w:tcPr>
            <w:tcW w:w="552" w:type="pct"/>
            <w:vAlign w:val="center"/>
          </w:tcPr>
          <w:p w14:paraId="7E261CC7"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8 (4.8)</w:t>
            </w:r>
          </w:p>
        </w:tc>
        <w:tc>
          <w:tcPr>
            <w:tcW w:w="551" w:type="pct"/>
            <w:vAlign w:val="center"/>
          </w:tcPr>
          <w:p w14:paraId="172AE98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5 (3.0)</w:t>
            </w:r>
          </w:p>
        </w:tc>
      </w:tr>
      <w:tr w:rsidR="00DF1C7A" w:rsidRPr="00DF1C7A" w14:paraId="5C0DD169" w14:textId="77777777" w:rsidTr="00ED4BBD">
        <w:tc>
          <w:tcPr>
            <w:tcW w:w="1687" w:type="pct"/>
          </w:tcPr>
          <w:p w14:paraId="033A301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patients with ≥1 adverse event caused by intravitreal injection procedure</w:t>
            </w:r>
          </w:p>
        </w:tc>
        <w:tc>
          <w:tcPr>
            <w:tcW w:w="547" w:type="pct"/>
            <w:vAlign w:val="center"/>
          </w:tcPr>
          <w:p w14:paraId="6A531D3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c>
          <w:tcPr>
            <w:tcW w:w="537" w:type="pct"/>
            <w:vAlign w:val="center"/>
          </w:tcPr>
          <w:p w14:paraId="1193EE4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563" w:type="pct"/>
            <w:vAlign w:val="center"/>
          </w:tcPr>
          <w:p w14:paraId="7328952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563" w:type="pct"/>
            <w:vAlign w:val="center"/>
          </w:tcPr>
          <w:p w14:paraId="76EEA29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11 (6.6)</w:t>
            </w:r>
          </w:p>
        </w:tc>
        <w:tc>
          <w:tcPr>
            <w:tcW w:w="552" w:type="pct"/>
            <w:vAlign w:val="center"/>
          </w:tcPr>
          <w:p w14:paraId="3BE0D90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15 (9.0)</w:t>
            </w:r>
          </w:p>
        </w:tc>
        <w:tc>
          <w:tcPr>
            <w:tcW w:w="551" w:type="pct"/>
            <w:vAlign w:val="center"/>
          </w:tcPr>
          <w:p w14:paraId="3BF25E0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22 (13.2)</w:t>
            </w:r>
          </w:p>
        </w:tc>
      </w:tr>
    </w:tbl>
    <w:p w14:paraId="1927A30E"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NA = not applicable; PDS = port delivery system.</w:t>
      </w:r>
    </w:p>
    <w:p w14:paraId="20A717DF"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Source: Table 2.23, p.66 of the submission.</w:t>
      </w:r>
    </w:p>
    <w:p w14:paraId="454B79F0" w14:textId="77777777" w:rsidR="00DF1C7A" w:rsidRPr="00DF1C7A" w:rsidRDefault="00DF1C7A" w:rsidP="00DF1C7A">
      <w:pPr>
        <w:keepNext/>
        <w:spacing w:after="120"/>
        <w:contextualSpacing/>
        <w:rPr>
          <w:rFonts w:ascii="Arial Narrow" w:hAnsi="Arial Narrow"/>
          <w:snapToGrid w:val="0"/>
          <w:sz w:val="18"/>
          <w:szCs w:val="22"/>
          <w:vertAlign w:val="superscript"/>
          <w:lang w:eastAsia="en-US"/>
        </w:rPr>
      </w:pPr>
      <w:r w:rsidRPr="00DF1C7A">
        <w:rPr>
          <w:rFonts w:ascii="Arial Narrow" w:hAnsi="Arial Narrow"/>
          <w:snapToGrid w:val="0"/>
          <w:sz w:val="18"/>
          <w:szCs w:val="22"/>
          <w:vertAlign w:val="superscript"/>
          <w:lang w:eastAsia="en-US"/>
        </w:rPr>
        <w:t xml:space="preserve">a </w:t>
      </w:r>
      <w:r w:rsidRPr="00DF1C7A">
        <w:rPr>
          <w:rFonts w:ascii="Arial Narrow" w:hAnsi="Arial Narrow"/>
          <w:snapToGrid w:val="0"/>
          <w:sz w:val="18"/>
          <w:szCs w:val="22"/>
          <w:lang w:eastAsia="en-US"/>
        </w:rPr>
        <w:t>Post first study treatment.</w:t>
      </w:r>
    </w:p>
    <w:p w14:paraId="7B91C14D" w14:textId="77777777" w:rsidR="00DF1C7A" w:rsidRPr="00DF1C7A" w:rsidRDefault="00DF1C7A" w:rsidP="00DF1C7A">
      <w:pPr>
        <w:keepNext/>
        <w:spacing w:after="120"/>
        <w:contextualSpacing/>
        <w:rPr>
          <w:rFonts w:ascii="Arial Narrow" w:hAnsi="Arial Narrow"/>
          <w:snapToGrid w:val="0"/>
          <w:sz w:val="18"/>
          <w:szCs w:val="22"/>
          <w:lang w:eastAsia="en-US"/>
        </w:rPr>
      </w:pPr>
      <w:r w:rsidRPr="00DF1C7A">
        <w:rPr>
          <w:rFonts w:ascii="Arial Narrow" w:hAnsi="Arial Narrow"/>
          <w:snapToGrid w:val="0"/>
          <w:sz w:val="18"/>
          <w:szCs w:val="22"/>
          <w:vertAlign w:val="superscript"/>
          <w:lang w:eastAsia="en-US"/>
        </w:rPr>
        <w:t xml:space="preserve">b </w:t>
      </w:r>
      <w:r w:rsidRPr="00DF1C7A">
        <w:rPr>
          <w:rFonts w:ascii="Arial Narrow" w:hAnsi="Arial Narrow"/>
          <w:snapToGrid w:val="0"/>
          <w:sz w:val="18"/>
          <w:szCs w:val="22"/>
          <w:lang w:eastAsia="en-US"/>
        </w:rPr>
        <w:t xml:space="preserve">All data from Week 40 (includes events with onset after 294 days [42 weeks] post first study treatment) through 11 September 2020 (clinical </w:t>
      </w:r>
      <w:proofErr w:type="spellStart"/>
      <w:r w:rsidRPr="00DF1C7A">
        <w:rPr>
          <w:rFonts w:ascii="Arial Narrow" w:hAnsi="Arial Narrow"/>
          <w:snapToGrid w:val="0"/>
          <w:sz w:val="18"/>
          <w:szCs w:val="22"/>
          <w:lang w:eastAsia="en-US"/>
        </w:rPr>
        <w:t>cut off</w:t>
      </w:r>
      <w:proofErr w:type="spellEnd"/>
      <w:r w:rsidRPr="00DF1C7A">
        <w:rPr>
          <w:rFonts w:ascii="Arial Narrow" w:hAnsi="Arial Narrow"/>
          <w:snapToGrid w:val="0"/>
          <w:sz w:val="18"/>
          <w:szCs w:val="22"/>
          <w:lang w:eastAsia="en-US"/>
        </w:rPr>
        <w:t xml:space="preserve"> date).</w:t>
      </w:r>
    </w:p>
    <w:p w14:paraId="21B1B45D"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lang w:eastAsia="en-US"/>
        </w:rPr>
        <w:t xml:space="preserve">c </w:t>
      </w:r>
      <w:r w:rsidRPr="00DF1C7A">
        <w:rPr>
          <w:rFonts w:ascii="Arial Narrow" w:hAnsi="Arial Narrow"/>
          <w:snapToGrid w:val="0"/>
          <w:sz w:val="18"/>
          <w:szCs w:val="22"/>
          <w:lang w:eastAsia="en-US"/>
        </w:rPr>
        <w:t>Either PDS or intravitreal injection.</w:t>
      </w:r>
    </w:p>
    <w:p w14:paraId="39612455" w14:textId="77777777" w:rsidR="00DF1C7A" w:rsidRPr="00DF1C7A" w:rsidRDefault="00DF1C7A" w:rsidP="00AA47FD">
      <w:pPr>
        <w:pStyle w:val="3Bodytext"/>
        <w:numPr>
          <w:ilvl w:val="1"/>
          <w:numId w:val="1"/>
        </w:numPr>
        <w:jc w:val="both"/>
        <w:rPr>
          <w:snapToGrid w:val="0"/>
        </w:rPr>
      </w:pPr>
      <w:r w:rsidRPr="00DF1C7A">
        <w:rPr>
          <w:snapToGrid w:val="0"/>
        </w:rPr>
        <w:t xml:space="preserve">The most common ocular adverse events suspected by the investigator to be caused by the implant included anterior chamber cell or anterior chamber flare, cortical cataract, conjunctival bleb, conjunctival disorder, conjunctival haemorrhage, </w:t>
      </w:r>
      <w:r w:rsidRPr="00DF1C7A" w:rsidDel="00B45FFE">
        <w:rPr>
          <w:snapToGrid w:val="0"/>
        </w:rPr>
        <w:t xml:space="preserve">conjunctival </w:t>
      </w:r>
      <w:r w:rsidRPr="00DF1C7A">
        <w:rPr>
          <w:snapToGrid w:val="0"/>
        </w:rPr>
        <w:t>oedema, corneal disorder, corneal oedema, eye pain or irritation, foreign body sensation in eye, hypotony of eye, implant site discolouration, iritis, vitreous haemorrhage, blurred vision or reduction in visual acuity, and scleral thinning.</w:t>
      </w:r>
    </w:p>
    <w:p w14:paraId="5EBBB4D5" w14:textId="77777777" w:rsidR="00DF1C7A" w:rsidRPr="00DF1C7A" w:rsidRDefault="00DF1C7A" w:rsidP="00D35145">
      <w:pPr>
        <w:pStyle w:val="3Bodytext"/>
        <w:numPr>
          <w:ilvl w:val="1"/>
          <w:numId w:val="1"/>
        </w:numPr>
        <w:jc w:val="both"/>
        <w:rPr>
          <w:snapToGrid w:val="0"/>
        </w:rPr>
      </w:pPr>
      <w:r w:rsidRPr="00DF1C7A">
        <w:rPr>
          <w:snapToGrid w:val="0"/>
        </w:rPr>
        <w:t>Adverse events suspected by the investigator to be caused by the refill-exchange procedure included eye pain, anterior chamber cell, conjunctival bleb, and conjunctival haemorrhage. There was one device dislocation suspected by the investigator to be caused by refill-exchange.</w:t>
      </w:r>
    </w:p>
    <w:p w14:paraId="6215350E" w14:textId="77777777" w:rsidR="00DF1C7A" w:rsidRPr="00DF1C7A" w:rsidRDefault="00DF1C7A" w:rsidP="00D35145">
      <w:pPr>
        <w:pStyle w:val="3Bodytext"/>
        <w:numPr>
          <w:ilvl w:val="1"/>
          <w:numId w:val="1"/>
        </w:numPr>
        <w:jc w:val="both"/>
        <w:rPr>
          <w:snapToGrid w:val="0"/>
        </w:rPr>
      </w:pPr>
      <w:r w:rsidRPr="00DF1C7A">
        <w:rPr>
          <w:snapToGrid w:val="0"/>
        </w:rPr>
        <w:t>In the intravitreal ranibizumab arm, the most common adverse events suspected by the investigator to be caused by the intravitreal injection procedure included conjunctival haemorrhage, eye irritation, eye pain, and blurred vision.</w:t>
      </w:r>
    </w:p>
    <w:p w14:paraId="62A14695" w14:textId="77777777" w:rsidR="00DF1C7A" w:rsidRPr="00DF1C7A" w:rsidRDefault="00DF1C7A" w:rsidP="00D35145">
      <w:pPr>
        <w:pStyle w:val="3Bodytext"/>
        <w:numPr>
          <w:ilvl w:val="1"/>
          <w:numId w:val="1"/>
        </w:numPr>
        <w:jc w:val="both"/>
        <w:rPr>
          <w:snapToGrid w:val="0"/>
        </w:rPr>
      </w:pPr>
      <w:r w:rsidRPr="00DF1C7A">
        <w:rPr>
          <w:snapToGrid w:val="0"/>
        </w:rPr>
        <w:t>There were 4 implant removal procedures (explants) performed up to week 40, 3 because of an ocular adverse event (endophthalmitis, recurrent conjunctival retraction, and implant dislocation) and 1 because of a damaged implant. There were 3 additional removals performed from week 40 to the clinical cut-off date, due to drug hypersensitivity (one patient) and implant dislocations (two patients).</w:t>
      </w:r>
    </w:p>
    <w:p w14:paraId="601D9C91" w14:textId="77777777" w:rsidR="00DF1C7A" w:rsidRPr="00DF1C7A" w:rsidRDefault="00DF1C7A" w:rsidP="00D35145">
      <w:pPr>
        <w:pStyle w:val="3Bodytext"/>
        <w:numPr>
          <w:ilvl w:val="1"/>
          <w:numId w:val="1"/>
        </w:numPr>
        <w:jc w:val="both"/>
        <w:rPr>
          <w:snapToGrid w:val="0"/>
        </w:rPr>
      </w:pPr>
      <w:r w:rsidRPr="00DF1C7A">
        <w:rPr>
          <w:snapToGrid w:val="0"/>
        </w:rPr>
        <w:t xml:space="preserve">Up until week 40, there was one device dislocation which occurred during an unsuccessful refill-exchange procedure. From week 40 through to the clinical cut-off date, 2 patients experienced a device dislocation. These events were considered serious and severe. In all cases, dislocation was thought to be at least partly due to the </w:t>
      </w:r>
      <w:r w:rsidRPr="00DF1C7A">
        <w:rPr>
          <w:snapToGrid w:val="0"/>
        </w:rPr>
        <w:lastRenderedPageBreak/>
        <w:t xml:space="preserve">size of the incision made during the initial implant procedure (&gt;3.7 mm in length). Current advice (Instructions for Use) has been updated from that provided during the trial to minimise the risk of implant dislocation occurring. Specifically, an incision length of 3.5 mm is now mandated (changed from previous guidance of 3.5 to 3.7 mm), sutures are to be placed for any final incisions greater than 3.5 mm, and laser should be applied only to the exposed </w:t>
      </w:r>
      <w:r w:rsidRPr="00DF1C7A">
        <w:rPr>
          <w:i/>
          <w:iCs/>
          <w:snapToGrid w:val="0"/>
        </w:rPr>
        <w:t>pars plana</w:t>
      </w:r>
      <w:r w:rsidRPr="00DF1C7A">
        <w:rPr>
          <w:snapToGrid w:val="0"/>
        </w:rPr>
        <w:t xml:space="preserve"> without enlarging the scleral wound.</w:t>
      </w:r>
    </w:p>
    <w:p w14:paraId="6B0C49BB" w14:textId="77777777" w:rsidR="00DF1C7A" w:rsidRPr="00DF1C7A" w:rsidRDefault="00DF1C7A" w:rsidP="001D2667">
      <w:pPr>
        <w:pStyle w:val="3Bodytext"/>
        <w:numPr>
          <w:ilvl w:val="1"/>
          <w:numId w:val="1"/>
        </w:numPr>
        <w:jc w:val="both"/>
        <w:rPr>
          <w:snapToGrid w:val="0"/>
        </w:rPr>
      </w:pPr>
      <w:r w:rsidRPr="00DF1C7A">
        <w:rPr>
          <w:snapToGrid w:val="0"/>
        </w:rPr>
        <w:t xml:space="preserve">Serious ocular adverse events are summarised in Table 8 below, </w:t>
      </w:r>
      <w:r w:rsidRPr="00DF1C7A">
        <w:rPr>
          <w:iCs/>
          <w:snapToGrid w:val="0"/>
        </w:rPr>
        <w:t>sourced from the Final ARCHWAY CSR provided with the PSCR</w:t>
      </w:r>
      <w:r w:rsidRPr="00DF1C7A">
        <w:rPr>
          <w:snapToGrid w:val="0"/>
        </w:rPr>
        <w:t>.</w:t>
      </w:r>
    </w:p>
    <w:p w14:paraId="517569B8" w14:textId="77777777" w:rsidR="00DF1C7A" w:rsidRPr="00DF1C7A" w:rsidRDefault="00DF1C7A" w:rsidP="00DF1C7A">
      <w:pPr>
        <w:keepNext/>
        <w:jc w:val="left"/>
        <w:rPr>
          <w:rFonts w:ascii="Arial Narrow" w:eastAsiaTheme="majorEastAsia" w:hAnsi="Arial Narrow" w:cs="Times New Roman"/>
          <w:bCs/>
          <w:sz w:val="20"/>
          <w:lang w:eastAsia="en-US"/>
        </w:rPr>
      </w:pPr>
      <w:r w:rsidRPr="00DF1C7A">
        <w:rPr>
          <w:rFonts w:ascii="Arial Narrow" w:eastAsiaTheme="majorEastAsia" w:hAnsi="Arial Narrow" w:cs="Times New Roman"/>
          <w:b/>
          <w:sz w:val="20"/>
          <w:lang w:eastAsia="en-US"/>
        </w:rPr>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8</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Summary of serious ocular adverse events in the ARCHWAY trial to clinical cut-off date (safety population)</w:t>
      </w:r>
    </w:p>
    <w:tbl>
      <w:tblPr>
        <w:tblStyle w:val="TableGrid"/>
        <w:tblW w:w="5000" w:type="pct"/>
        <w:tblLook w:val="04A0" w:firstRow="1" w:lastRow="0" w:firstColumn="1" w:lastColumn="0" w:noHBand="0" w:noVBand="1"/>
      </w:tblPr>
      <w:tblGrid>
        <w:gridCol w:w="3919"/>
        <w:gridCol w:w="2512"/>
        <w:gridCol w:w="2586"/>
      </w:tblGrid>
      <w:tr w:rsidR="00DF1C7A" w:rsidRPr="00DF1C7A" w14:paraId="170EF693" w14:textId="77777777" w:rsidTr="00ED4BBD">
        <w:tc>
          <w:tcPr>
            <w:tcW w:w="2173" w:type="pct"/>
            <w:tcBorders>
              <w:bottom w:val="single" w:sz="4" w:space="0" w:color="auto"/>
            </w:tcBorders>
          </w:tcPr>
          <w:p w14:paraId="20658925" w14:textId="77777777" w:rsidR="00DF1C7A" w:rsidRPr="00DF1C7A" w:rsidRDefault="00DF1C7A" w:rsidP="00DF1C7A">
            <w:pPr>
              <w:keepNext/>
              <w:jc w:val="left"/>
              <w:rPr>
                <w:rFonts w:ascii="Arial Narrow" w:eastAsiaTheme="majorEastAsia" w:hAnsi="Arial Narrow" w:cstheme="majorBidi"/>
                <w:b/>
                <w:sz w:val="20"/>
              </w:rPr>
            </w:pPr>
          </w:p>
        </w:tc>
        <w:tc>
          <w:tcPr>
            <w:tcW w:w="1393" w:type="pct"/>
            <w:tcBorders>
              <w:bottom w:val="single" w:sz="4" w:space="0" w:color="auto"/>
            </w:tcBorders>
            <w:vAlign w:val="center"/>
          </w:tcPr>
          <w:p w14:paraId="724B06FD"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Ranibizumab PDS, n (%)</w:t>
            </w:r>
          </w:p>
          <w:p w14:paraId="4357FABE"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248)</w:t>
            </w:r>
          </w:p>
        </w:tc>
        <w:tc>
          <w:tcPr>
            <w:tcW w:w="1434" w:type="pct"/>
            <w:tcBorders>
              <w:bottom w:val="single" w:sz="4" w:space="0" w:color="auto"/>
            </w:tcBorders>
            <w:vAlign w:val="center"/>
          </w:tcPr>
          <w:p w14:paraId="213B14FB"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Intravitreal ranibizumab, n (%)</w:t>
            </w:r>
          </w:p>
          <w:p w14:paraId="72A09F5F" w14:textId="77777777" w:rsidR="00DF1C7A" w:rsidRPr="00DF1C7A" w:rsidRDefault="00DF1C7A" w:rsidP="00DF1C7A">
            <w:pPr>
              <w:keepNext/>
              <w:jc w:val="center"/>
              <w:rPr>
                <w:rFonts w:ascii="Arial Narrow" w:eastAsiaTheme="majorEastAsia" w:hAnsi="Arial Narrow" w:cstheme="majorBidi"/>
                <w:b/>
                <w:sz w:val="20"/>
              </w:rPr>
            </w:pPr>
            <w:r w:rsidRPr="00DF1C7A">
              <w:rPr>
                <w:rFonts w:ascii="Arial Narrow" w:eastAsiaTheme="majorEastAsia" w:hAnsi="Arial Narrow" w:cstheme="majorBidi"/>
                <w:b/>
                <w:sz w:val="20"/>
              </w:rPr>
              <w:t>(N = 167)</w:t>
            </w:r>
          </w:p>
        </w:tc>
      </w:tr>
      <w:tr w:rsidR="00DF1C7A" w:rsidRPr="00DF1C7A" w14:paraId="517B6149" w14:textId="77777777" w:rsidTr="00ED4BBD">
        <w:tc>
          <w:tcPr>
            <w:tcW w:w="2173" w:type="pct"/>
            <w:tcBorders>
              <w:bottom w:val="single" w:sz="4" w:space="0" w:color="auto"/>
            </w:tcBorders>
          </w:tcPr>
          <w:p w14:paraId="34163102"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Total number of patients with ≥1 ocular serious adverse events</w:t>
            </w:r>
          </w:p>
        </w:tc>
        <w:tc>
          <w:tcPr>
            <w:tcW w:w="1393" w:type="pct"/>
            <w:tcBorders>
              <w:bottom w:val="single" w:sz="4" w:space="0" w:color="auto"/>
            </w:tcBorders>
            <w:vAlign w:val="center"/>
          </w:tcPr>
          <w:p w14:paraId="5262D7C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19 (7.7)</w:t>
            </w:r>
          </w:p>
        </w:tc>
        <w:tc>
          <w:tcPr>
            <w:tcW w:w="1434" w:type="pct"/>
            <w:tcBorders>
              <w:bottom w:val="single" w:sz="4" w:space="0" w:color="auto"/>
            </w:tcBorders>
            <w:vAlign w:val="center"/>
          </w:tcPr>
          <w:p w14:paraId="34FC635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4 (2.4)</w:t>
            </w:r>
          </w:p>
        </w:tc>
      </w:tr>
      <w:tr w:rsidR="00DF1C7A" w:rsidRPr="00DF1C7A" w14:paraId="54A5281A" w14:textId="77777777" w:rsidTr="00ED4BBD">
        <w:tc>
          <w:tcPr>
            <w:tcW w:w="2173" w:type="pct"/>
            <w:tcBorders>
              <w:bottom w:val="single" w:sz="4" w:space="0" w:color="auto"/>
            </w:tcBorders>
          </w:tcPr>
          <w:p w14:paraId="05500A36"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Conjunctival erosion</w:t>
            </w:r>
          </w:p>
        </w:tc>
        <w:tc>
          <w:tcPr>
            <w:tcW w:w="1393" w:type="pct"/>
            <w:tcBorders>
              <w:bottom w:val="single" w:sz="4" w:space="0" w:color="auto"/>
            </w:tcBorders>
            <w:vAlign w:val="center"/>
          </w:tcPr>
          <w:p w14:paraId="6AA4612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1434" w:type="pct"/>
            <w:tcBorders>
              <w:bottom w:val="single" w:sz="4" w:space="0" w:color="auto"/>
            </w:tcBorders>
            <w:vAlign w:val="center"/>
          </w:tcPr>
          <w:p w14:paraId="3F30F7F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0A19D709" w14:textId="77777777" w:rsidTr="00ED4BBD">
        <w:tc>
          <w:tcPr>
            <w:tcW w:w="2173" w:type="pct"/>
            <w:tcBorders>
              <w:top w:val="single" w:sz="4" w:space="0" w:color="auto"/>
              <w:bottom w:val="single" w:sz="4" w:space="0" w:color="auto"/>
            </w:tcBorders>
          </w:tcPr>
          <w:p w14:paraId="5F004CD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Rhegmatogenous retinal detachment</w:t>
            </w:r>
          </w:p>
        </w:tc>
        <w:tc>
          <w:tcPr>
            <w:tcW w:w="1393" w:type="pct"/>
            <w:tcBorders>
              <w:top w:val="single" w:sz="4" w:space="0" w:color="auto"/>
              <w:bottom w:val="single" w:sz="4" w:space="0" w:color="auto"/>
            </w:tcBorders>
            <w:vAlign w:val="center"/>
          </w:tcPr>
          <w:p w14:paraId="2990439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1434" w:type="pct"/>
            <w:tcBorders>
              <w:top w:val="single" w:sz="4" w:space="0" w:color="auto"/>
              <w:bottom w:val="single" w:sz="4" w:space="0" w:color="auto"/>
            </w:tcBorders>
            <w:vAlign w:val="center"/>
          </w:tcPr>
          <w:p w14:paraId="1E7F061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42FD89C7" w14:textId="77777777" w:rsidTr="00ED4BBD">
        <w:tc>
          <w:tcPr>
            <w:tcW w:w="2173" w:type="pct"/>
            <w:tcBorders>
              <w:top w:val="single" w:sz="4" w:space="0" w:color="auto"/>
              <w:bottom w:val="single" w:sz="4" w:space="0" w:color="auto"/>
            </w:tcBorders>
          </w:tcPr>
          <w:p w14:paraId="1C5B219B"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Visual acuity reduced</w:t>
            </w:r>
          </w:p>
        </w:tc>
        <w:tc>
          <w:tcPr>
            <w:tcW w:w="1393" w:type="pct"/>
            <w:tcBorders>
              <w:top w:val="single" w:sz="4" w:space="0" w:color="auto"/>
              <w:bottom w:val="single" w:sz="4" w:space="0" w:color="auto"/>
            </w:tcBorders>
            <w:vAlign w:val="center"/>
          </w:tcPr>
          <w:p w14:paraId="6F24E6A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1434" w:type="pct"/>
            <w:tcBorders>
              <w:top w:val="single" w:sz="4" w:space="0" w:color="auto"/>
              <w:bottom w:val="single" w:sz="4" w:space="0" w:color="auto"/>
            </w:tcBorders>
            <w:vAlign w:val="center"/>
          </w:tcPr>
          <w:p w14:paraId="75B1D9CD"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441624F3" w14:textId="77777777" w:rsidTr="00ED4BBD">
        <w:tc>
          <w:tcPr>
            <w:tcW w:w="2173" w:type="pct"/>
            <w:tcBorders>
              <w:top w:val="single" w:sz="4" w:space="0" w:color="auto"/>
            </w:tcBorders>
          </w:tcPr>
          <w:p w14:paraId="139B7E53"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Visual impairment</w:t>
            </w:r>
          </w:p>
        </w:tc>
        <w:tc>
          <w:tcPr>
            <w:tcW w:w="1393" w:type="pct"/>
            <w:tcBorders>
              <w:top w:val="single" w:sz="4" w:space="0" w:color="auto"/>
            </w:tcBorders>
            <w:vAlign w:val="center"/>
          </w:tcPr>
          <w:p w14:paraId="4F49E04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1434" w:type="pct"/>
            <w:tcBorders>
              <w:top w:val="single" w:sz="4" w:space="0" w:color="auto"/>
            </w:tcBorders>
            <w:vAlign w:val="center"/>
          </w:tcPr>
          <w:p w14:paraId="602D475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0B60D5BD" w14:textId="77777777" w:rsidTr="00ED4BBD">
        <w:tc>
          <w:tcPr>
            <w:tcW w:w="2173" w:type="pct"/>
            <w:tcBorders>
              <w:top w:val="single" w:sz="4" w:space="0" w:color="auto"/>
            </w:tcBorders>
          </w:tcPr>
          <w:p w14:paraId="20946A67"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Vitreous haemorrhage</w:t>
            </w:r>
          </w:p>
        </w:tc>
        <w:tc>
          <w:tcPr>
            <w:tcW w:w="1393" w:type="pct"/>
            <w:tcBorders>
              <w:top w:val="single" w:sz="4" w:space="0" w:color="auto"/>
            </w:tcBorders>
            <w:vAlign w:val="center"/>
          </w:tcPr>
          <w:p w14:paraId="78C2A90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1434" w:type="pct"/>
            <w:tcBorders>
              <w:top w:val="single" w:sz="4" w:space="0" w:color="auto"/>
            </w:tcBorders>
            <w:vAlign w:val="center"/>
          </w:tcPr>
          <w:p w14:paraId="5EDACFC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r>
      <w:tr w:rsidR="00DF1C7A" w:rsidRPr="00DF1C7A" w14:paraId="3BDE5279" w14:textId="77777777" w:rsidTr="00ED4BBD">
        <w:tc>
          <w:tcPr>
            <w:tcW w:w="2173" w:type="pct"/>
            <w:tcBorders>
              <w:top w:val="single" w:sz="4" w:space="0" w:color="auto"/>
            </w:tcBorders>
          </w:tcPr>
          <w:p w14:paraId="1CF47719"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Choroidal detachment</w:t>
            </w:r>
          </w:p>
        </w:tc>
        <w:tc>
          <w:tcPr>
            <w:tcW w:w="1393" w:type="pct"/>
            <w:tcBorders>
              <w:top w:val="single" w:sz="4" w:space="0" w:color="auto"/>
            </w:tcBorders>
            <w:vAlign w:val="center"/>
          </w:tcPr>
          <w:p w14:paraId="6989BFD7"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tcBorders>
              <w:top w:val="single" w:sz="4" w:space="0" w:color="auto"/>
            </w:tcBorders>
            <w:vAlign w:val="center"/>
          </w:tcPr>
          <w:p w14:paraId="6491791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465B50E6" w14:textId="77777777" w:rsidTr="00ED4BBD">
        <w:tc>
          <w:tcPr>
            <w:tcW w:w="2173" w:type="pct"/>
            <w:tcBorders>
              <w:top w:val="single" w:sz="4" w:space="0" w:color="auto"/>
            </w:tcBorders>
          </w:tcPr>
          <w:p w14:paraId="5B0EC8D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Necrotising retinitis</w:t>
            </w:r>
          </w:p>
        </w:tc>
        <w:tc>
          <w:tcPr>
            <w:tcW w:w="1393" w:type="pct"/>
            <w:tcBorders>
              <w:top w:val="single" w:sz="4" w:space="0" w:color="auto"/>
            </w:tcBorders>
            <w:vAlign w:val="center"/>
          </w:tcPr>
          <w:p w14:paraId="613CCF7A"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tcBorders>
              <w:top w:val="single" w:sz="4" w:space="0" w:color="auto"/>
            </w:tcBorders>
            <w:vAlign w:val="center"/>
          </w:tcPr>
          <w:p w14:paraId="74F06B8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7BFF5D30" w14:textId="77777777" w:rsidTr="00ED4BBD">
        <w:tc>
          <w:tcPr>
            <w:tcW w:w="2173" w:type="pct"/>
            <w:tcBorders>
              <w:top w:val="single" w:sz="4" w:space="0" w:color="auto"/>
            </w:tcBorders>
          </w:tcPr>
          <w:p w14:paraId="383B5C73"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Retinal tear</w:t>
            </w:r>
          </w:p>
        </w:tc>
        <w:tc>
          <w:tcPr>
            <w:tcW w:w="1393" w:type="pct"/>
            <w:tcBorders>
              <w:top w:val="single" w:sz="4" w:space="0" w:color="auto"/>
            </w:tcBorders>
            <w:vAlign w:val="center"/>
          </w:tcPr>
          <w:p w14:paraId="585679E6"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tcBorders>
              <w:top w:val="single" w:sz="4" w:space="0" w:color="auto"/>
            </w:tcBorders>
            <w:vAlign w:val="center"/>
          </w:tcPr>
          <w:p w14:paraId="088F4965"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r>
      <w:tr w:rsidR="00DF1C7A" w:rsidRPr="00DF1C7A" w14:paraId="3D992AA8" w14:textId="77777777" w:rsidTr="00ED4BBD">
        <w:tc>
          <w:tcPr>
            <w:tcW w:w="2173" w:type="pct"/>
            <w:tcBorders>
              <w:top w:val="single" w:sz="4" w:space="0" w:color="auto"/>
            </w:tcBorders>
          </w:tcPr>
          <w:p w14:paraId="0EA6EEC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Endophthalmitis</w:t>
            </w:r>
          </w:p>
        </w:tc>
        <w:tc>
          <w:tcPr>
            <w:tcW w:w="1393" w:type="pct"/>
            <w:tcBorders>
              <w:top w:val="single" w:sz="4" w:space="0" w:color="auto"/>
            </w:tcBorders>
            <w:vAlign w:val="center"/>
          </w:tcPr>
          <w:p w14:paraId="35240BC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4 (1.6)</w:t>
            </w:r>
          </w:p>
        </w:tc>
        <w:tc>
          <w:tcPr>
            <w:tcW w:w="1434" w:type="pct"/>
            <w:tcBorders>
              <w:top w:val="single" w:sz="4" w:space="0" w:color="auto"/>
            </w:tcBorders>
            <w:vAlign w:val="center"/>
          </w:tcPr>
          <w:p w14:paraId="42E3F0C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r>
      <w:tr w:rsidR="00DF1C7A" w:rsidRPr="00DF1C7A" w14:paraId="52635F2A" w14:textId="77777777" w:rsidTr="00ED4BBD">
        <w:tc>
          <w:tcPr>
            <w:tcW w:w="2173" w:type="pct"/>
            <w:tcBorders>
              <w:top w:val="single" w:sz="4" w:space="0" w:color="auto"/>
            </w:tcBorders>
          </w:tcPr>
          <w:p w14:paraId="38064E7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Conjunctival retraction</w:t>
            </w:r>
          </w:p>
        </w:tc>
        <w:tc>
          <w:tcPr>
            <w:tcW w:w="1393" w:type="pct"/>
            <w:tcBorders>
              <w:top w:val="single" w:sz="4" w:space="0" w:color="auto"/>
            </w:tcBorders>
            <w:vAlign w:val="center"/>
          </w:tcPr>
          <w:p w14:paraId="64FDFAFB"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2 (0.8)</w:t>
            </w:r>
          </w:p>
        </w:tc>
        <w:tc>
          <w:tcPr>
            <w:tcW w:w="1434" w:type="pct"/>
            <w:tcBorders>
              <w:top w:val="single" w:sz="4" w:space="0" w:color="auto"/>
            </w:tcBorders>
            <w:vAlign w:val="center"/>
          </w:tcPr>
          <w:p w14:paraId="7E926CC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(0.6)</w:t>
            </w:r>
          </w:p>
        </w:tc>
      </w:tr>
      <w:tr w:rsidR="00DF1C7A" w:rsidRPr="00DF1C7A" w14:paraId="0A54F223" w14:textId="77777777" w:rsidTr="00ED4BBD">
        <w:tc>
          <w:tcPr>
            <w:tcW w:w="2173" w:type="pct"/>
            <w:tcBorders>
              <w:top w:val="single" w:sz="4" w:space="0" w:color="auto"/>
            </w:tcBorders>
          </w:tcPr>
          <w:p w14:paraId="49469E81"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Device dislocation</w:t>
            </w:r>
          </w:p>
        </w:tc>
        <w:tc>
          <w:tcPr>
            <w:tcW w:w="1393" w:type="pct"/>
            <w:tcBorders>
              <w:top w:val="single" w:sz="4" w:space="0" w:color="auto"/>
            </w:tcBorders>
            <w:vAlign w:val="center"/>
          </w:tcPr>
          <w:p w14:paraId="353BA94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3 (1.2)</w:t>
            </w:r>
          </w:p>
        </w:tc>
        <w:tc>
          <w:tcPr>
            <w:tcW w:w="1434" w:type="pct"/>
            <w:tcBorders>
              <w:top w:val="single" w:sz="4" w:space="0" w:color="auto"/>
            </w:tcBorders>
            <w:vAlign w:val="center"/>
          </w:tcPr>
          <w:p w14:paraId="4CDB0B7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304AF81E" w14:textId="77777777" w:rsidTr="00ED4BBD">
        <w:tc>
          <w:tcPr>
            <w:tcW w:w="2173" w:type="pct"/>
          </w:tcPr>
          <w:p w14:paraId="77D9EAE0"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Cataract cortical</w:t>
            </w:r>
          </w:p>
        </w:tc>
        <w:tc>
          <w:tcPr>
            <w:tcW w:w="1393" w:type="pct"/>
            <w:vAlign w:val="center"/>
          </w:tcPr>
          <w:p w14:paraId="7E147C1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vAlign w:val="center"/>
          </w:tcPr>
          <w:p w14:paraId="72EAAF10"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6DFC6EBC" w14:textId="77777777" w:rsidTr="00ED4BBD">
        <w:tc>
          <w:tcPr>
            <w:tcW w:w="2173" w:type="pct"/>
          </w:tcPr>
          <w:p w14:paraId="471D61C0"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Conjunctival bleb</w:t>
            </w:r>
          </w:p>
        </w:tc>
        <w:tc>
          <w:tcPr>
            <w:tcW w:w="1393" w:type="pct"/>
            <w:vAlign w:val="center"/>
          </w:tcPr>
          <w:p w14:paraId="4D3BEE32"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vAlign w:val="center"/>
          </w:tcPr>
          <w:p w14:paraId="0F2DE024"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32AC112E" w14:textId="77777777" w:rsidTr="00ED4BBD">
        <w:tc>
          <w:tcPr>
            <w:tcW w:w="2173" w:type="pct"/>
          </w:tcPr>
          <w:p w14:paraId="0831223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Corneal disorder</w:t>
            </w:r>
          </w:p>
        </w:tc>
        <w:tc>
          <w:tcPr>
            <w:tcW w:w="1393" w:type="pct"/>
            <w:vAlign w:val="center"/>
          </w:tcPr>
          <w:p w14:paraId="5FF9DAC3"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vAlign w:val="center"/>
          </w:tcPr>
          <w:p w14:paraId="0F4A5BA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r w:rsidR="00DF1C7A" w:rsidRPr="00DF1C7A" w14:paraId="3E738E5E" w14:textId="77777777" w:rsidTr="00ED4BBD">
        <w:tc>
          <w:tcPr>
            <w:tcW w:w="2173" w:type="pct"/>
          </w:tcPr>
          <w:p w14:paraId="0E1BEBEE"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Retinal pigment epithelial tear</w:t>
            </w:r>
          </w:p>
        </w:tc>
        <w:tc>
          <w:tcPr>
            <w:tcW w:w="1393" w:type="pct"/>
            <w:vAlign w:val="center"/>
          </w:tcPr>
          <w:p w14:paraId="6036B13F"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1 (0.4)</w:t>
            </w:r>
          </w:p>
        </w:tc>
        <w:tc>
          <w:tcPr>
            <w:tcW w:w="1434" w:type="pct"/>
            <w:vAlign w:val="center"/>
          </w:tcPr>
          <w:p w14:paraId="2D3AA909" w14:textId="77777777" w:rsidR="00DF1C7A" w:rsidRPr="00DF1C7A" w:rsidRDefault="00DF1C7A" w:rsidP="00DF1C7A">
            <w:pPr>
              <w:keepNext/>
              <w:jc w:val="center"/>
              <w:rPr>
                <w:rFonts w:ascii="Arial Narrow" w:eastAsiaTheme="majorEastAsia" w:hAnsi="Arial Narrow" w:cstheme="majorBidi"/>
                <w:bCs/>
                <w:sz w:val="20"/>
              </w:rPr>
            </w:pPr>
            <w:r w:rsidRPr="00DF1C7A">
              <w:rPr>
                <w:rFonts w:ascii="Arial Narrow" w:eastAsiaTheme="majorEastAsia" w:hAnsi="Arial Narrow" w:cstheme="majorBidi"/>
                <w:bCs/>
                <w:sz w:val="20"/>
              </w:rPr>
              <w:t>0</w:t>
            </w:r>
          </w:p>
        </w:tc>
      </w:tr>
    </w:tbl>
    <w:p w14:paraId="72298CA7" w14:textId="77777777" w:rsidR="00DF1C7A" w:rsidRPr="00DF1C7A" w:rsidRDefault="00DF1C7A" w:rsidP="00DF1C7A">
      <w:pPr>
        <w:keepNext/>
        <w:spacing w:after="120"/>
        <w:contextualSpacing/>
        <w:rPr>
          <w:rFonts w:ascii="Arial Narrow" w:hAnsi="Arial Narrow"/>
          <w:snapToGrid w:val="0"/>
          <w:sz w:val="18"/>
          <w:szCs w:val="22"/>
        </w:rPr>
      </w:pPr>
      <w:r w:rsidRPr="00DF1C7A">
        <w:rPr>
          <w:rFonts w:ascii="Arial Narrow" w:hAnsi="Arial Narrow"/>
          <w:snapToGrid w:val="0"/>
          <w:sz w:val="18"/>
          <w:szCs w:val="22"/>
        </w:rPr>
        <w:t>PDS = port delivery system.</w:t>
      </w:r>
    </w:p>
    <w:p w14:paraId="3F05E113"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Source: Table 2.24, p.68 of the submission; ARCHWAY primary CSR Table 20, p.121; ARCHWAY update CSR Table 11, p.67</w:t>
      </w:r>
    </w:p>
    <w:p w14:paraId="5F9859DC" w14:textId="77777777" w:rsidR="00DF1C7A" w:rsidRPr="00DF1C7A" w:rsidRDefault="00DF1C7A" w:rsidP="008C7C30">
      <w:pPr>
        <w:pStyle w:val="3Bodytext"/>
        <w:numPr>
          <w:ilvl w:val="1"/>
          <w:numId w:val="1"/>
        </w:numPr>
        <w:jc w:val="both"/>
        <w:rPr>
          <w:snapToGrid w:val="0"/>
        </w:rPr>
      </w:pPr>
      <w:r w:rsidRPr="00DF1C7A">
        <w:rPr>
          <w:snapToGrid w:val="0"/>
        </w:rPr>
        <w:t xml:space="preserve">The incidence of serious ocular adverse events was higher in the ranibizumab PDS treatment arm compared with the intravitreal ranibizumab treatment arm. The most commonly reported ocular serious adverse events associated with the ranibizumab PDS were reduced visual acuity, endophthalmitis, and device dislocation. Most events in the port delivery system treatment arm were linked to the surgical nature of the intervention, and the technique used for the implant insertion procedure. </w:t>
      </w:r>
      <w:r w:rsidRPr="00DF1C7A">
        <w:rPr>
          <w:iCs/>
          <w:snapToGrid w:val="0"/>
        </w:rPr>
        <w:t>The PSCR considered there was a low absolute number of adverse events and highlighted the comparability of these events to those seen in trials of other ocular surgical procedures, mainly involving glaucoma drainage device implants. The ESC advised that that the risks associated with the PDS may potentially be higher outside of the controlled trial setting.</w:t>
      </w:r>
    </w:p>
    <w:p w14:paraId="72BC4375"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Benefits/harms</w:t>
      </w:r>
    </w:p>
    <w:p w14:paraId="3B74C6FB" w14:textId="77777777" w:rsidR="00DF1C7A" w:rsidRPr="00DF1C7A" w:rsidRDefault="00DF1C7A" w:rsidP="008C7C30">
      <w:pPr>
        <w:pStyle w:val="3Bodytext"/>
        <w:numPr>
          <w:ilvl w:val="1"/>
          <w:numId w:val="1"/>
        </w:numPr>
        <w:jc w:val="both"/>
        <w:rPr>
          <w:snapToGrid w:val="0"/>
        </w:rPr>
      </w:pPr>
      <w:r w:rsidRPr="00DF1C7A">
        <w:t>A benefits/harms summary was not presented for ranibizumab</w:t>
      </w:r>
      <w:r w:rsidRPr="00DF1C7A">
        <w:rPr>
          <w:snapToGrid w:val="0"/>
        </w:rPr>
        <w:t xml:space="preserve"> PDS</w:t>
      </w:r>
      <w:r w:rsidRPr="00DF1C7A">
        <w:t xml:space="preserve"> versus intravitreal ranibizumab due to the claim of noninferiority.</w:t>
      </w:r>
    </w:p>
    <w:p w14:paraId="0A025F2F"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lastRenderedPageBreak/>
        <w:t>Clinical claim</w:t>
      </w:r>
    </w:p>
    <w:p w14:paraId="180A32F1" w14:textId="77777777" w:rsidR="00DF1C7A" w:rsidRPr="00DF1C7A" w:rsidRDefault="00DF1C7A" w:rsidP="008C7C30">
      <w:pPr>
        <w:pStyle w:val="3Bodytext"/>
        <w:numPr>
          <w:ilvl w:val="1"/>
          <w:numId w:val="1"/>
        </w:numPr>
        <w:jc w:val="both"/>
        <w:rPr>
          <w:snapToGrid w:val="0"/>
        </w:rPr>
      </w:pPr>
      <w:r w:rsidRPr="00DF1C7A">
        <w:rPr>
          <w:snapToGrid w:val="0"/>
        </w:rPr>
        <w:t xml:space="preserve">The submission described ranibizumab PDS as noninferior in terms of efficacy compared with intravitreal ranibizumab in patients with </w:t>
      </w:r>
      <w:proofErr w:type="spellStart"/>
      <w:r w:rsidRPr="00DF1C7A">
        <w:rPr>
          <w:snapToGrid w:val="0"/>
        </w:rPr>
        <w:t>nAMD</w:t>
      </w:r>
      <w:proofErr w:type="spellEnd"/>
      <w:r w:rsidRPr="00DF1C7A">
        <w:rPr>
          <w:snapToGrid w:val="0"/>
        </w:rPr>
        <w:t xml:space="preserve"> who had previously responded to intravitreal anti-VEGF treatment, with manageable short-term safety related to the implant procedure and noninferior long-term safety compared to intravitreal ranibizumab. The ESC agreed with the evaluation that t</w:t>
      </w:r>
      <w:r w:rsidRPr="00DF1C7A">
        <w:rPr>
          <w:iCs/>
          <w:snapToGrid w:val="0"/>
        </w:rPr>
        <w:t>he claim of noninferiority</w:t>
      </w:r>
      <w:r w:rsidRPr="00DF1C7A" w:rsidDel="00733CA1">
        <w:rPr>
          <w:iCs/>
          <w:snapToGrid w:val="0"/>
        </w:rPr>
        <w:t xml:space="preserve"> </w:t>
      </w:r>
      <w:r w:rsidRPr="00DF1C7A">
        <w:rPr>
          <w:iCs/>
          <w:snapToGrid w:val="0"/>
        </w:rPr>
        <w:t>may be reasonable for efficacy, but not for safety</w:t>
      </w:r>
      <w:r w:rsidRPr="00DF1C7A">
        <w:rPr>
          <w:snapToGrid w:val="0"/>
        </w:rPr>
        <w:t>.</w:t>
      </w:r>
    </w:p>
    <w:p w14:paraId="5A51091D" w14:textId="77777777" w:rsidR="00DF1C7A" w:rsidRPr="00DF1C7A" w:rsidRDefault="00DF1C7A" w:rsidP="008C7C30">
      <w:pPr>
        <w:pStyle w:val="3Bodytext"/>
        <w:numPr>
          <w:ilvl w:val="1"/>
          <w:numId w:val="1"/>
        </w:numPr>
        <w:jc w:val="both"/>
        <w:rPr>
          <w:snapToGrid w:val="0"/>
        </w:rPr>
      </w:pPr>
      <w:r w:rsidRPr="00DF1C7A">
        <w:rPr>
          <w:snapToGrid w:val="0"/>
        </w:rPr>
        <w:t xml:space="preserve">While the clinical claim of noninferior efficacy may be reasonable for ranibizumab PDS, the evaluation and the ESC raised applicability issues associated with the ARCHWAY trial design indicating that trial results may not </w:t>
      </w:r>
      <w:r w:rsidRPr="00DF1C7A">
        <w:rPr>
          <w:iCs/>
          <w:snapToGrid w:val="0"/>
        </w:rPr>
        <w:t xml:space="preserve">necessarily </w:t>
      </w:r>
      <w:r w:rsidRPr="00DF1C7A">
        <w:rPr>
          <w:snapToGrid w:val="0"/>
        </w:rPr>
        <w:t xml:space="preserve">be generalisable to </w:t>
      </w:r>
      <w:r w:rsidRPr="00DF1C7A">
        <w:rPr>
          <w:iCs/>
          <w:snapToGrid w:val="0"/>
        </w:rPr>
        <w:t xml:space="preserve">the proposed </w:t>
      </w:r>
      <w:r w:rsidRPr="00DF1C7A">
        <w:rPr>
          <w:snapToGrid w:val="0"/>
        </w:rPr>
        <w:t xml:space="preserve">Australian patient </w:t>
      </w:r>
      <w:r w:rsidRPr="00DF1C7A">
        <w:rPr>
          <w:iCs/>
          <w:snapToGrid w:val="0"/>
        </w:rPr>
        <w:t>population</w:t>
      </w:r>
      <w:r w:rsidRPr="00DF1C7A">
        <w:rPr>
          <w:snapToGrid w:val="0"/>
        </w:rPr>
        <w:t>:</w:t>
      </w:r>
    </w:p>
    <w:p w14:paraId="71D774E6" w14:textId="77777777" w:rsidR="00DF1C7A" w:rsidRPr="00DF1C7A" w:rsidRDefault="00DF1C7A" w:rsidP="00DF1C7A">
      <w:pPr>
        <w:numPr>
          <w:ilvl w:val="0"/>
          <w:numId w:val="6"/>
        </w:numPr>
        <w:spacing w:after="120"/>
        <w:ind w:left="1077" w:hanging="357"/>
        <w:rPr>
          <w:rFonts w:asciiTheme="minorHAnsi" w:hAnsiTheme="minorHAnsi"/>
          <w:snapToGrid w:val="0"/>
        </w:rPr>
      </w:pPr>
      <w:r w:rsidRPr="00DF1C7A">
        <w:rPr>
          <w:rFonts w:asciiTheme="minorHAnsi" w:hAnsiTheme="minorHAnsi"/>
          <w:iCs/>
          <w:snapToGrid w:val="0"/>
        </w:rPr>
        <w:t>The number and types of prior anti-VEGF injections in the ARCHWAY trial may not reflect the population who would use the PDS in practice. The submission stated that patients may become eligible after 6-12 months of (any) intravitreal anti-VEGF therapy. Patients were treated for an average of 5.3-5.9 months prior to randomisation, with an average of 5.0 VEGF inhibitor intravitreal injections in both arms (the mean number of ranibizumab injections in the 9 months prior to first study treatment was 3.5 and 3.8, in the PDS and intravitreal arms, respectively). The evaluation considered that patients in the trial may not have been sufficiently stabilised before using the PDS if they had received only 3 prior injections, but the PSCR clarified that only 1 patient was in this group. The evaluation had also raised concerns that the ARCHWAY results may not be applicable to patients in the proposed Australian population if they had been using intravitreal therapy for longer than 9 months, as eligible patients in the trial were required to have an initial diagnosis within 9 months prior to screening. Overall, t</w:t>
      </w:r>
      <w:r w:rsidRPr="00DF1C7A">
        <w:rPr>
          <w:rFonts w:asciiTheme="minorHAnsi" w:hAnsiTheme="minorHAnsi"/>
          <w:snapToGrid w:val="0"/>
        </w:rPr>
        <w:t>he PBAC considered that the effect of this issue could be minimised if patients were stabilised for a minimum of 6 months on prior treatment.</w:t>
      </w:r>
      <w:r w:rsidRPr="00DF1C7A">
        <w:rPr>
          <w:rFonts w:asciiTheme="minorHAnsi" w:hAnsiTheme="minorHAnsi"/>
          <w:iCs/>
          <w:snapToGrid w:val="0"/>
        </w:rPr>
        <w:t xml:space="preserve"> The PBAC also considered that the clinical evidence more strongly supported use following stabilisation after ranibizumab than after aflibercept.</w:t>
      </w:r>
    </w:p>
    <w:p w14:paraId="71AC93D0" w14:textId="77777777" w:rsidR="00DF1C7A" w:rsidRPr="00DF1C7A" w:rsidRDefault="00DF1C7A" w:rsidP="00DF1C7A">
      <w:pPr>
        <w:numPr>
          <w:ilvl w:val="0"/>
          <w:numId w:val="6"/>
        </w:numPr>
        <w:spacing w:after="120"/>
        <w:ind w:left="1077" w:hanging="357"/>
        <w:rPr>
          <w:rFonts w:asciiTheme="minorHAnsi" w:hAnsiTheme="minorHAnsi"/>
          <w:snapToGrid w:val="0"/>
        </w:rPr>
      </w:pPr>
      <w:r w:rsidRPr="00DF1C7A">
        <w:rPr>
          <w:rFonts w:asciiTheme="minorHAnsi" w:hAnsiTheme="minorHAnsi"/>
          <w:snapToGrid w:val="0"/>
        </w:rPr>
        <w:t xml:space="preserve">Four-weekly injections of intravitreal ranibizumab in the control arm of ARCHWAY did not allow dosing to increase the intervals between injections, </w:t>
      </w:r>
      <w:r w:rsidRPr="00DF1C7A">
        <w:rPr>
          <w:rFonts w:asciiTheme="minorHAnsi" w:hAnsiTheme="minorHAnsi"/>
          <w:iCs/>
          <w:snapToGrid w:val="0"/>
        </w:rPr>
        <w:t>as would be seen in standard T&amp;E Australian practice for part of the submission’s proposed population</w:t>
      </w:r>
      <w:r w:rsidRPr="00DF1C7A">
        <w:rPr>
          <w:rFonts w:asciiTheme="minorHAnsi" w:hAnsiTheme="minorHAnsi"/>
          <w:snapToGrid w:val="0"/>
        </w:rPr>
        <w:t xml:space="preserve">. </w:t>
      </w:r>
      <w:r w:rsidRPr="00DF1C7A">
        <w:rPr>
          <w:rFonts w:asciiTheme="minorHAnsi" w:hAnsiTheme="minorHAnsi"/>
          <w:iCs/>
          <w:snapToGrid w:val="0"/>
        </w:rPr>
        <w:t>It was also unclear whether any patients in the trial had previously been stabilised on a T&amp;E regimen.</w:t>
      </w:r>
      <w:r w:rsidRPr="00DF1C7A">
        <w:rPr>
          <w:rFonts w:asciiTheme="minorHAnsi" w:hAnsiTheme="minorHAnsi"/>
          <w:snapToGrid w:val="0"/>
        </w:rPr>
        <w:t xml:space="preserve"> The submission maintained that as T&amp;E regimens have been shown to be noninferior to Q4W regimens of intravitreal anti-VEGF medicines, any clinical claim made comparing ranibizumab PDS with Q4W intravitreal ranibizumab may reasonably be extended to T&amp;E regimens. The PBAC had previously noted that, in Australian practice, the </w:t>
      </w:r>
      <w:r w:rsidRPr="00DF1C7A">
        <w:rPr>
          <w:rFonts w:asciiTheme="minorHAnsi" w:hAnsiTheme="minorHAnsi"/>
          <w:iCs/>
          <w:snapToGrid w:val="0"/>
        </w:rPr>
        <w:t>T&amp;E</w:t>
      </w:r>
      <w:r w:rsidRPr="00DF1C7A" w:rsidDel="00A265E6">
        <w:rPr>
          <w:rFonts w:asciiTheme="minorHAnsi" w:hAnsiTheme="minorHAnsi"/>
          <w:iCs/>
          <w:snapToGrid w:val="0"/>
        </w:rPr>
        <w:t xml:space="preserve"> </w:t>
      </w:r>
      <w:r w:rsidRPr="00DF1C7A">
        <w:rPr>
          <w:rFonts w:asciiTheme="minorHAnsi" w:hAnsiTheme="minorHAnsi"/>
          <w:iCs/>
          <w:snapToGrid w:val="0"/>
        </w:rPr>
        <w:t>regimen</w:t>
      </w:r>
      <w:r w:rsidRPr="00DF1C7A">
        <w:rPr>
          <w:rFonts w:asciiTheme="minorHAnsi" w:hAnsiTheme="minorHAnsi"/>
          <w:snapToGrid w:val="0"/>
        </w:rPr>
        <w:t xml:space="preserve"> is expected and should apply to all anti-VEGF medicines and that there are no clinical reasons for dosing frequencies amongst them to be different to each other (paragraph 7.4 and 7.5, brolucizumab PSD, November 2019 PBAC meeting).</w:t>
      </w:r>
    </w:p>
    <w:p w14:paraId="04AF80F0" w14:textId="77777777" w:rsidR="00DF1C7A" w:rsidRPr="00DF1C7A" w:rsidRDefault="00DF1C7A" w:rsidP="00DB70DD">
      <w:pPr>
        <w:pStyle w:val="3Bodytext"/>
        <w:numPr>
          <w:ilvl w:val="1"/>
          <w:numId w:val="1"/>
        </w:numPr>
        <w:jc w:val="both"/>
        <w:rPr>
          <w:snapToGrid w:val="0"/>
        </w:rPr>
      </w:pPr>
      <w:r w:rsidRPr="00DF1C7A">
        <w:rPr>
          <w:snapToGrid w:val="0"/>
        </w:rPr>
        <w:lastRenderedPageBreak/>
        <w:t xml:space="preserve">The safety profile for ranibizumab PDS included a greater risk of serious ocular adverse events including choroidal detachment, endophthalmitis, and vitreous haemorrhage compared with monthly intravitreal injections. Overall, the risks for serious adverse events were higher both during the post-surgical period and were ongoing after Week 40. Although these were largely manageable under tightly controlled trial conditions, it is unclear whether similar results would occur in </w:t>
      </w:r>
      <w:r w:rsidRPr="00DF1C7A">
        <w:rPr>
          <w:iCs/>
          <w:snapToGrid w:val="0"/>
        </w:rPr>
        <w:t>the broader Australian PBS population</w:t>
      </w:r>
      <w:r w:rsidRPr="00DF1C7A">
        <w:rPr>
          <w:snapToGrid w:val="0"/>
        </w:rPr>
        <w:t xml:space="preserve">. Further, patients with the implant appear to continue to be at risk for several adverse events even after the post-surgical period. Overall, the evaluation and the ESC considered there are significant safety risks associated with the port delivery system, which suggest it may have inferior safety when compared with intravitreal ranibizumab. The PSCR stated that the rate of adverse events should reduce with experience with the procedure and that amendments have been made to the instructions for use (for example, guidance on the length of the surgical incision). Further, the pre-PBAC response reiterated that </w:t>
      </w:r>
      <w:r w:rsidRPr="00DF1C7A">
        <w:rPr>
          <w:bCs/>
          <w:snapToGrid w:val="0"/>
        </w:rPr>
        <w:t>there were few serious adverse events observed in ARCHWAY, which were consistent with those expected for a novel therapeutic involving ocular implantation surgery and refill procedures.</w:t>
      </w:r>
    </w:p>
    <w:p w14:paraId="5BF219BA" w14:textId="77777777" w:rsidR="00DF1C7A" w:rsidRPr="00DF1C7A" w:rsidRDefault="00DF1C7A" w:rsidP="00975649">
      <w:pPr>
        <w:pStyle w:val="3Bodytext"/>
        <w:numPr>
          <w:ilvl w:val="1"/>
          <w:numId w:val="1"/>
        </w:numPr>
        <w:jc w:val="both"/>
        <w:rPr>
          <w:snapToGrid w:val="0"/>
          <w:lang w:val="en-GB"/>
        </w:rPr>
      </w:pPr>
      <w:r w:rsidRPr="00975649">
        <w:rPr>
          <w:snapToGrid w:val="0"/>
        </w:rPr>
        <w:t>The</w:t>
      </w:r>
      <w:r w:rsidRPr="00DF1C7A">
        <w:rPr>
          <w:snapToGrid w:val="0"/>
          <w:lang w:val="en-GB"/>
        </w:rPr>
        <w:t xml:space="preserve"> PBAC considered that the clinical claim of noninferior effectiveness of ranibizumab PDS compared with intravitreal ranibizumab may be reasonable based on change from baseline in BCVA score, although there was an initial worsening in BVCA associated with the surgical procedure and a small proportion of patients treated with ranibizumab PDS required supplementary treatment with intravitreal ranibizumab in addition to the 24-weekly refill-exchange procedures. The additional data to Week 96 supplied with the PSCR provided further confidence in the noninferiority conclusion, although ultimately the long-term evidence would only be available with the PORTAL extension study.</w:t>
      </w:r>
    </w:p>
    <w:p w14:paraId="71D1EAA8"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szCs w:val="20"/>
        </w:rPr>
        <w:t>The PBAC considered that the majority of the safety concerns associated with ranibizumab PDS were associated with the surgical procedure to implant the ocular device. The PBAC noted that the safety issues are being considered by the TGA, and it considered that a positive Delegate’s Overview would be required to clarify the overall safety profile of the drug.</w:t>
      </w:r>
    </w:p>
    <w:p w14:paraId="1D241310"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Economic analysis</w:t>
      </w:r>
    </w:p>
    <w:p w14:paraId="0BFC132C" w14:textId="77777777" w:rsidR="00DF1C7A" w:rsidRPr="00DF1C7A" w:rsidRDefault="00DF1C7A" w:rsidP="008A169E">
      <w:pPr>
        <w:widowControl w:val="0"/>
        <w:numPr>
          <w:ilvl w:val="1"/>
          <w:numId w:val="1"/>
        </w:numPr>
        <w:spacing w:after="120"/>
        <w:rPr>
          <w:rFonts w:asciiTheme="minorHAnsi" w:hAnsiTheme="minorHAnsi"/>
          <w:snapToGrid w:val="0"/>
        </w:rPr>
      </w:pPr>
      <w:r w:rsidRPr="00DF1C7A">
        <w:rPr>
          <w:rFonts w:asciiTheme="minorHAnsi" w:hAnsiTheme="minorHAnsi"/>
          <w:snapToGrid w:val="0"/>
        </w:rPr>
        <w:t>The submission presented a cost-minimisation</w:t>
      </w:r>
      <w:r w:rsidRPr="00DF1C7A">
        <w:rPr>
          <w:rFonts w:asciiTheme="minorHAnsi" w:hAnsiTheme="minorHAnsi"/>
          <w:i/>
          <w:iCs/>
          <w:snapToGrid w:val="0"/>
        </w:rPr>
        <w:t>/</w:t>
      </w:r>
      <w:r w:rsidRPr="00DF1C7A">
        <w:rPr>
          <w:rFonts w:asciiTheme="minorHAnsi" w:hAnsiTheme="minorHAnsi"/>
          <w:iCs/>
          <w:snapToGrid w:val="0"/>
        </w:rPr>
        <w:t>cost comparison</w:t>
      </w:r>
      <w:r w:rsidRPr="00DF1C7A">
        <w:rPr>
          <w:rFonts w:asciiTheme="minorHAnsi" w:hAnsiTheme="minorHAnsi"/>
          <w:snapToGrid w:val="0"/>
        </w:rPr>
        <w:t xml:space="preserve"> in patients who had previously responded to intravitreal anti-VEGF treatment based on the claim of noninferior efficacy and manageable safety of ranibizumab PDS compared with intravitreal ranibizumab.</w:t>
      </w:r>
    </w:p>
    <w:p w14:paraId="607847F6" w14:textId="77777777" w:rsidR="00DF1C7A" w:rsidRPr="00DF1C7A" w:rsidRDefault="00DF1C7A" w:rsidP="00E5731E">
      <w:pPr>
        <w:widowControl w:val="0"/>
        <w:numPr>
          <w:ilvl w:val="1"/>
          <w:numId w:val="1"/>
        </w:numPr>
        <w:spacing w:after="120"/>
        <w:rPr>
          <w:rFonts w:asciiTheme="minorHAnsi" w:hAnsiTheme="minorHAnsi"/>
          <w:iCs/>
          <w:snapToGrid w:val="0"/>
        </w:rPr>
      </w:pPr>
      <w:r w:rsidRPr="00DF1C7A">
        <w:rPr>
          <w:rFonts w:asciiTheme="minorHAnsi" w:hAnsiTheme="minorHAnsi"/>
          <w:iCs/>
          <w:snapToGrid w:val="0"/>
        </w:rPr>
        <w:t>The submission first calculated its proposed published ex-manufacturer price for ranibizumab PDS based on the published AEMP of intravitreal injection and assuming equi-effective doses of 2.17 PDS administrations per year and 7.09 intravitreal injections per year (</w:t>
      </w:r>
      <w:r w:rsidRPr="00DF1C7A">
        <w:rPr>
          <w:rFonts w:asciiTheme="minorHAnsi" w:hAnsiTheme="minorHAnsi"/>
          <w:iCs/>
          <w:snapToGrid w:val="0"/>
        </w:rPr>
        <w:fldChar w:fldCharType="begin" w:fldLock="1"/>
      </w:r>
      <w:r w:rsidRPr="00DF1C7A">
        <w:rPr>
          <w:rFonts w:asciiTheme="minorHAnsi" w:hAnsiTheme="minorHAnsi"/>
          <w:iCs/>
          <w:snapToGrid w:val="0"/>
        </w:rPr>
        <w:instrText xml:space="preserve"> REF _Ref93415294 \h  \* MERGEFORMAT </w:instrText>
      </w:r>
      <w:r w:rsidRPr="00DF1C7A">
        <w:rPr>
          <w:rFonts w:asciiTheme="minorHAnsi" w:hAnsiTheme="minorHAnsi"/>
          <w:iCs/>
          <w:snapToGrid w:val="0"/>
        </w:rPr>
      </w:r>
      <w:r w:rsidRPr="00DF1C7A">
        <w:rPr>
          <w:rFonts w:asciiTheme="minorHAnsi" w:hAnsiTheme="minorHAnsi"/>
          <w:iCs/>
          <w:snapToGrid w:val="0"/>
        </w:rPr>
        <w:fldChar w:fldCharType="separate"/>
      </w:r>
      <w:r w:rsidRPr="00DF1C7A">
        <w:rPr>
          <w:rFonts w:asciiTheme="minorHAnsi" w:hAnsiTheme="minorHAnsi"/>
          <w:iCs/>
          <w:snapToGrid w:val="0"/>
        </w:rPr>
        <w:t>Table 9</w:t>
      </w:r>
      <w:r w:rsidRPr="00DF1C7A">
        <w:rPr>
          <w:rFonts w:asciiTheme="minorHAnsi" w:hAnsiTheme="minorHAnsi"/>
          <w:iCs/>
          <w:snapToGrid w:val="0"/>
        </w:rPr>
        <w:fldChar w:fldCharType="end"/>
      </w:r>
      <w:r w:rsidRPr="00DF1C7A">
        <w:rPr>
          <w:rFonts w:asciiTheme="minorHAnsi" w:hAnsiTheme="minorHAnsi"/>
          <w:iCs/>
          <w:snapToGrid w:val="0"/>
        </w:rPr>
        <w:t>). The submission then presented a cost-minimisation calculation including other cost consequences (</w:t>
      </w:r>
      <w:r w:rsidRPr="00DF1C7A">
        <w:rPr>
          <w:rFonts w:asciiTheme="minorHAnsi" w:hAnsiTheme="minorHAnsi"/>
          <w:iCs/>
          <w:snapToGrid w:val="0"/>
        </w:rPr>
        <w:fldChar w:fldCharType="begin" w:fldLock="1"/>
      </w:r>
      <w:r w:rsidRPr="00DF1C7A">
        <w:rPr>
          <w:rFonts w:asciiTheme="minorHAnsi" w:hAnsiTheme="minorHAnsi"/>
          <w:iCs/>
          <w:snapToGrid w:val="0"/>
        </w:rPr>
        <w:instrText xml:space="preserve"> REF _Ref93405380 \h  \* MERGEFORMAT </w:instrText>
      </w:r>
      <w:r w:rsidRPr="00DF1C7A">
        <w:rPr>
          <w:rFonts w:asciiTheme="minorHAnsi" w:hAnsiTheme="minorHAnsi"/>
          <w:iCs/>
          <w:snapToGrid w:val="0"/>
        </w:rPr>
      </w:r>
      <w:r w:rsidRPr="00DF1C7A">
        <w:rPr>
          <w:rFonts w:asciiTheme="minorHAnsi" w:hAnsiTheme="minorHAnsi"/>
          <w:iCs/>
          <w:snapToGrid w:val="0"/>
        </w:rPr>
        <w:fldChar w:fldCharType="separate"/>
      </w:r>
      <w:r w:rsidRPr="00DF1C7A">
        <w:rPr>
          <w:rFonts w:asciiTheme="minorHAnsi" w:hAnsiTheme="minorHAnsi"/>
          <w:iCs/>
          <w:snapToGrid w:val="0"/>
        </w:rPr>
        <w:t>Table 10</w:t>
      </w:r>
      <w:r w:rsidRPr="00DF1C7A">
        <w:rPr>
          <w:rFonts w:asciiTheme="minorHAnsi" w:hAnsiTheme="minorHAnsi"/>
          <w:iCs/>
          <w:snapToGrid w:val="0"/>
        </w:rPr>
        <w:fldChar w:fldCharType="end"/>
      </w:r>
      <w:r w:rsidRPr="00DF1C7A">
        <w:rPr>
          <w:rFonts w:asciiTheme="minorHAnsi" w:hAnsiTheme="minorHAnsi"/>
          <w:iCs/>
          <w:snapToGrid w:val="0"/>
        </w:rPr>
        <w:t xml:space="preserve">), which changed the assumed equi-effective doses to 2.17 PDS administrations per year and 10.07 intravitreal </w:t>
      </w:r>
      <w:r w:rsidRPr="00DF1C7A">
        <w:rPr>
          <w:rFonts w:asciiTheme="minorHAnsi" w:hAnsiTheme="minorHAnsi"/>
          <w:iCs/>
          <w:snapToGrid w:val="0"/>
        </w:rPr>
        <w:lastRenderedPageBreak/>
        <w:t>injections per year.</w:t>
      </w:r>
    </w:p>
    <w:p w14:paraId="016DA56D" w14:textId="77777777" w:rsidR="00DF1C7A" w:rsidRPr="00DF1C7A" w:rsidRDefault="00DF1C7A" w:rsidP="00BC06EA">
      <w:pPr>
        <w:widowControl w:val="0"/>
        <w:numPr>
          <w:ilvl w:val="1"/>
          <w:numId w:val="1"/>
        </w:numPr>
        <w:spacing w:after="120"/>
        <w:rPr>
          <w:rFonts w:asciiTheme="minorHAnsi" w:hAnsiTheme="minorHAnsi"/>
          <w:snapToGrid w:val="0"/>
        </w:rPr>
      </w:pPr>
      <w:r w:rsidRPr="00DF1C7A">
        <w:rPr>
          <w:rFonts w:asciiTheme="minorHAnsi" w:hAnsiTheme="minorHAnsi"/>
          <w:snapToGrid w:val="0"/>
        </w:rPr>
        <w:t xml:space="preserve">In these calculations, the estimated number of doses per year of ranibizumab PDS was based on use in the ARCHWAY trial (refill and exchange procedure every 24 weeks) and assuming perfect compliance (2.167=52/24 weeks). For the estimated number of doses per year of intravitreal ranibizumab </w:t>
      </w:r>
      <w:r w:rsidRPr="00DF1C7A">
        <w:rPr>
          <w:rFonts w:asciiTheme="minorHAnsi" w:hAnsiTheme="minorHAnsi"/>
          <w:iCs/>
          <w:snapToGrid w:val="0"/>
        </w:rPr>
        <w:t>in the cost-minimisation calculation</w:t>
      </w:r>
      <w:r w:rsidRPr="00DF1C7A">
        <w:rPr>
          <w:rFonts w:asciiTheme="minorHAnsi" w:hAnsiTheme="minorHAnsi"/>
          <w:snapToGrid w:val="0"/>
        </w:rPr>
        <w:t xml:space="preserve">, it was assumed that 50% of patients would have dosing consistent with the ARCHWAY trial (intravitreal injection every 28 days) and perfect compliance (13.04 doses per year=365.25/28 days); and 50% of patients would receive </w:t>
      </w:r>
      <w:r w:rsidRPr="00DF1C7A">
        <w:rPr>
          <w:rFonts w:asciiTheme="minorHAnsi" w:hAnsiTheme="minorHAnsi"/>
          <w:iCs/>
          <w:snapToGrid w:val="0"/>
        </w:rPr>
        <w:t xml:space="preserve">T&amp;E </w:t>
      </w:r>
      <w:r w:rsidRPr="00DF1C7A">
        <w:rPr>
          <w:rFonts w:asciiTheme="minorHAnsi" w:hAnsiTheme="minorHAnsi"/>
          <w:snapToGrid w:val="0"/>
        </w:rPr>
        <w:t xml:space="preserve">dosing (7.09 intravitreal injections per year, based on the 2018 DUSC analysis of ranibizumab and aflibercept utilisation); resulting in 10.07 injections per patient per year. </w:t>
      </w:r>
      <w:r w:rsidRPr="00DF1C7A">
        <w:rPr>
          <w:rFonts w:asciiTheme="minorHAnsi" w:hAnsiTheme="minorHAnsi"/>
          <w:iCs/>
          <w:snapToGrid w:val="0"/>
        </w:rPr>
        <w:t xml:space="preserve">The 50-50% split was not justified. </w:t>
      </w:r>
      <w:r w:rsidRPr="00DF1C7A">
        <w:rPr>
          <w:rFonts w:asciiTheme="minorHAnsi" w:hAnsiTheme="minorHAnsi"/>
          <w:snapToGrid w:val="0"/>
        </w:rPr>
        <w:t>In the price calculation, the estimated number of doses per year of intravitreal ranibizumab (7.09) was based on the DUSC analysis. The submission noted that the number of injections informing the price calculation (7.09) was lower than the number of injections anticipated to be replaced in clinical practice (10.07) but did not provide further justification for this difference.</w:t>
      </w:r>
    </w:p>
    <w:p w14:paraId="66700024" w14:textId="77777777" w:rsidR="00DF1C7A" w:rsidRPr="00DF1C7A" w:rsidRDefault="00DF1C7A" w:rsidP="00D03762">
      <w:pPr>
        <w:widowControl w:val="0"/>
        <w:numPr>
          <w:ilvl w:val="1"/>
          <w:numId w:val="1"/>
        </w:numPr>
        <w:spacing w:after="120"/>
        <w:rPr>
          <w:rFonts w:asciiTheme="minorHAnsi" w:hAnsiTheme="minorHAnsi"/>
          <w:snapToGrid w:val="0"/>
        </w:rPr>
      </w:pPr>
      <w:r w:rsidRPr="00DF1C7A">
        <w:rPr>
          <w:rFonts w:asciiTheme="minorHAnsi" w:hAnsiTheme="minorHAnsi"/>
          <w:iCs/>
          <w:snapToGrid w:val="0"/>
        </w:rPr>
        <w:t xml:space="preserve">The population in the DUSC analysis included people on both Q4W and T&amp;E regimens, and the submission’s estimated number of intravitreal ranibizumab doses per year would therefore overestimate the average number of doses used by patients on T&amp;E regimens only. </w:t>
      </w:r>
      <w:r w:rsidRPr="00DF1C7A">
        <w:rPr>
          <w:rFonts w:asciiTheme="minorHAnsi" w:hAnsiTheme="minorHAnsi"/>
          <w:snapToGrid w:val="0"/>
        </w:rPr>
        <w:t xml:space="preserve">If it is assumed that 100% of patients receiving intravitreal ranibizumab are dosed according to the </w:t>
      </w:r>
      <w:r w:rsidRPr="00DF1C7A">
        <w:rPr>
          <w:rFonts w:asciiTheme="minorHAnsi" w:hAnsiTheme="minorHAnsi"/>
          <w:iCs/>
          <w:snapToGrid w:val="0"/>
        </w:rPr>
        <w:t>DUSC analyses of ranibizumab and aflibercept utilisation</w:t>
      </w:r>
      <w:r w:rsidRPr="00DF1C7A">
        <w:rPr>
          <w:rFonts w:asciiTheme="minorHAnsi" w:hAnsiTheme="minorHAnsi"/>
          <w:snapToGrid w:val="0"/>
        </w:rPr>
        <w:t>, the equi-effective doses would be:</w:t>
      </w:r>
    </w:p>
    <w:p w14:paraId="71C25219" w14:textId="77777777" w:rsidR="00DF1C7A" w:rsidRPr="00DF1C7A" w:rsidRDefault="00DF1C7A" w:rsidP="00DF1C7A">
      <w:pPr>
        <w:numPr>
          <w:ilvl w:val="0"/>
          <w:numId w:val="5"/>
        </w:numPr>
        <w:spacing w:after="120"/>
        <w:ind w:left="1134" w:hanging="425"/>
        <w:rPr>
          <w:rFonts w:asciiTheme="minorHAnsi" w:hAnsiTheme="minorHAnsi"/>
          <w:iCs/>
          <w:snapToGrid w:val="0"/>
        </w:rPr>
      </w:pPr>
      <w:r w:rsidRPr="00DF1C7A">
        <w:rPr>
          <w:rFonts w:asciiTheme="minorHAnsi" w:hAnsiTheme="minorHAnsi"/>
          <w:snapToGrid w:val="0"/>
        </w:rPr>
        <w:t>2.17 doses of ranibizumab PDS is equivalent to 7.09 injections of intravitreal ranibizumab annually (DUSC 2018 analysis).</w:t>
      </w:r>
    </w:p>
    <w:p w14:paraId="46D47966" w14:textId="77777777" w:rsidR="00DF1C7A" w:rsidRPr="00DF1C7A" w:rsidRDefault="00DF1C7A" w:rsidP="00DF1C7A">
      <w:pPr>
        <w:numPr>
          <w:ilvl w:val="0"/>
          <w:numId w:val="5"/>
        </w:numPr>
        <w:spacing w:after="120"/>
        <w:ind w:left="1134" w:hanging="425"/>
        <w:rPr>
          <w:rFonts w:asciiTheme="minorHAnsi" w:hAnsiTheme="minorHAnsi"/>
          <w:iCs/>
          <w:snapToGrid w:val="0"/>
        </w:rPr>
      </w:pPr>
      <w:r w:rsidRPr="00DF1C7A">
        <w:rPr>
          <w:rFonts w:asciiTheme="minorHAnsi" w:hAnsiTheme="minorHAnsi"/>
          <w:snapToGrid w:val="0"/>
        </w:rPr>
        <w:t xml:space="preserve">2.17 doses of ranibizumab PDS is equivalent to 6.31 injections of intravitreal ranibizumab annually (updated </w:t>
      </w:r>
      <w:r w:rsidRPr="00DF1C7A">
        <w:rPr>
          <w:rFonts w:asciiTheme="minorHAnsi" w:hAnsiTheme="minorHAnsi"/>
          <w:iCs/>
          <w:snapToGrid w:val="0"/>
        </w:rPr>
        <w:t>DUSC Secretariat</w:t>
      </w:r>
      <w:r w:rsidRPr="00DF1C7A">
        <w:rPr>
          <w:rFonts w:asciiTheme="minorHAnsi" w:hAnsiTheme="minorHAnsi"/>
          <w:i/>
          <w:iCs/>
          <w:snapToGrid w:val="0"/>
        </w:rPr>
        <w:t xml:space="preserve"> </w:t>
      </w:r>
      <w:r w:rsidRPr="00DF1C7A">
        <w:rPr>
          <w:rFonts w:asciiTheme="minorHAnsi" w:hAnsiTheme="minorHAnsi"/>
          <w:snapToGrid w:val="0"/>
        </w:rPr>
        <w:t>analysis).</w:t>
      </w:r>
    </w:p>
    <w:p w14:paraId="604222AF" w14:textId="77777777" w:rsidR="00DF1C7A" w:rsidRPr="00DF1C7A" w:rsidRDefault="00DF1C7A" w:rsidP="00FE3094">
      <w:pPr>
        <w:widowControl w:val="0"/>
        <w:numPr>
          <w:ilvl w:val="1"/>
          <w:numId w:val="1"/>
        </w:numPr>
        <w:spacing w:after="120"/>
        <w:rPr>
          <w:rFonts w:asciiTheme="minorHAnsi" w:hAnsiTheme="minorHAnsi"/>
          <w:snapToGrid w:val="0"/>
        </w:rPr>
      </w:pPr>
      <w:r w:rsidRPr="00DF1C7A">
        <w:rPr>
          <w:rFonts w:asciiTheme="minorHAnsi" w:hAnsiTheme="minorHAnsi"/>
          <w:snapToGrid w:val="0"/>
        </w:rPr>
        <w:t>The updated DUSC Secretariat analysis was based on patients who received intravitreal aflibercept and ranibizumab under AMD authority codes and initiated treatment in 2018. The analysis suggested that the average number of scripts per patient in their second year of treatment (as a proxy for stabilised patients) has decreased from 7.09 (for patients initiating treatment in 2015) to 6.31 (for patients initiating treatment in 2018).</w:t>
      </w:r>
    </w:p>
    <w:p w14:paraId="64396B3D" w14:textId="77777777" w:rsidR="00DF1C7A" w:rsidRPr="00DF1C7A" w:rsidRDefault="00DF1C7A" w:rsidP="009D439F">
      <w:pPr>
        <w:widowControl w:val="0"/>
        <w:numPr>
          <w:ilvl w:val="1"/>
          <w:numId w:val="1"/>
        </w:numPr>
        <w:spacing w:after="120"/>
        <w:rPr>
          <w:rFonts w:asciiTheme="minorHAnsi" w:hAnsiTheme="minorHAnsi"/>
          <w:snapToGrid w:val="0"/>
        </w:rPr>
      </w:pPr>
      <w:r w:rsidRPr="00DF1C7A">
        <w:rPr>
          <w:rFonts w:asciiTheme="minorHAnsi" w:hAnsiTheme="minorHAnsi"/>
          <w:snapToGrid w:val="0"/>
        </w:rPr>
        <w:t>Table 9 presents the submission’s basis for calculating its proposed published price for ranibizumab PDS</w:t>
      </w:r>
      <w:r w:rsidRPr="00DF1C7A">
        <w:rPr>
          <w:rFonts w:asciiTheme="minorHAnsi" w:hAnsiTheme="minorHAnsi"/>
          <w:iCs/>
          <w:snapToGrid w:val="0"/>
        </w:rPr>
        <w:t xml:space="preserve"> using the 2015 DUSC analysis (7.09 injections per year)</w:t>
      </w:r>
      <w:r w:rsidRPr="00DF1C7A">
        <w:rPr>
          <w:rFonts w:asciiTheme="minorHAnsi" w:hAnsiTheme="minorHAnsi"/>
          <w:snapToGrid w:val="0"/>
        </w:rPr>
        <w:t xml:space="preserve">. </w:t>
      </w:r>
      <w:r w:rsidRPr="00DF1C7A">
        <w:rPr>
          <w:rFonts w:asciiTheme="minorHAnsi" w:hAnsiTheme="minorHAnsi"/>
          <w:iCs/>
          <w:snapToGrid w:val="0"/>
        </w:rPr>
        <w:t xml:space="preserve">The table also presents the </w:t>
      </w:r>
      <w:r w:rsidRPr="00DF1C7A">
        <w:rPr>
          <w:rFonts w:asciiTheme="minorHAnsi" w:hAnsiTheme="minorHAnsi"/>
          <w:snapToGrid w:val="0"/>
        </w:rPr>
        <w:t xml:space="preserve">evaluation’s basis for the </w:t>
      </w:r>
      <w:r w:rsidRPr="00DF1C7A">
        <w:rPr>
          <w:rFonts w:asciiTheme="minorHAnsi" w:hAnsiTheme="minorHAnsi"/>
          <w:iCs/>
          <w:snapToGrid w:val="0"/>
        </w:rPr>
        <w:t xml:space="preserve">revised price based on </w:t>
      </w:r>
      <w:r w:rsidRPr="00DF1C7A">
        <w:rPr>
          <w:rFonts w:asciiTheme="minorHAnsi" w:hAnsiTheme="minorHAnsi"/>
          <w:snapToGrid w:val="0"/>
        </w:rPr>
        <w:t xml:space="preserve">the same </w:t>
      </w:r>
      <w:r w:rsidRPr="00DF1C7A">
        <w:rPr>
          <w:rFonts w:asciiTheme="minorHAnsi" w:hAnsiTheme="minorHAnsi"/>
          <w:iCs/>
          <w:snapToGrid w:val="0"/>
        </w:rPr>
        <w:t>approach but using the results of the updated DUSC Secretariat analysis (6.31 injections per year)</w:t>
      </w:r>
      <w:r w:rsidRPr="00DF1C7A">
        <w:rPr>
          <w:rFonts w:asciiTheme="minorHAnsi" w:hAnsiTheme="minorHAnsi"/>
          <w:snapToGrid w:val="0"/>
        </w:rPr>
        <w:t>.</w:t>
      </w:r>
    </w:p>
    <w:p w14:paraId="09D3F0EF" w14:textId="77777777" w:rsidR="00DF1C7A" w:rsidRPr="00DF1C7A" w:rsidRDefault="00DF1C7A" w:rsidP="00DF1C7A">
      <w:pPr>
        <w:keepNext/>
        <w:jc w:val="left"/>
        <w:rPr>
          <w:rFonts w:ascii="Arial Narrow" w:eastAsiaTheme="majorEastAsia" w:hAnsi="Arial Narrow" w:cs="Times New Roman"/>
          <w:b/>
          <w:sz w:val="20"/>
          <w:lang w:val="en-US" w:eastAsia="en-US"/>
        </w:rPr>
      </w:pPr>
      <w:r w:rsidRPr="00DF1C7A">
        <w:rPr>
          <w:rFonts w:ascii="Arial Narrow" w:eastAsiaTheme="majorEastAsia" w:hAnsi="Arial Narrow" w:cs="Times New Roman"/>
          <w:b/>
          <w:sz w:val="20"/>
          <w:lang w:val="en-US" w:eastAsia="en-US"/>
        </w:rPr>
        <w:lastRenderedPageBreak/>
        <w:t xml:space="preserve">Table </w:t>
      </w:r>
      <w:r w:rsidRPr="00DF1C7A">
        <w:rPr>
          <w:rFonts w:ascii="Arial Narrow" w:eastAsiaTheme="majorEastAsia" w:hAnsi="Arial Narrow" w:cs="Times New Roman"/>
          <w:b/>
          <w:sz w:val="20"/>
          <w:lang w:val="en-US" w:eastAsia="en-US"/>
        </w:rPr>
        <w:fldChar w:fldCharType="begin" w:fldLock="1"/>
      </w:r>
      <w:r w:rsidRPr="00DF1C7A">
        <w:rPr>
          <w:rFonts w:ascii="Arial Narrow" w:eastAsiaTheme="majorEastAsia" w:hAnsi="Arial Narrow" w:cs="Times New Roman"/>
          <w:b/>
          <w:sz w:val="20"/>
          <w:lang w:val="en-US" w:eastAsia="en-US"/>
        </w:rPr>
        <w:instrText xml:space="preserve"> SEQ Table \* ARABIC </w:instrText>
      </w:r>
      <w:r w:rsidRPr="00DF1C7A">
        <w:rPr>
          <w:rFonts w:ascii="Arial Narrow" w:eastAsiaTheme="majorEastAsia" w:hAnsi="Arial Narrow" w:cs="Times New Roman"/>
          <w:b/>
          <w:sz w:val="20"/>
          <w:lang w:val="en-US" w:eastAsia="en-US"/>
        </w:rPr>
        <w:fldChar w:fldCharType="separate"/>
      </w:r>
      <w:r w:rsidRPr="00DF1C7A">
        <w:rPr>
          <w:rFonts w:ascii="Arial Narrow" w:eastAsiaTheme="majorEastAsia" w:hAnsi="Arial Narrow" w:cs="Times New Roman"/>
          <w:b/>
          <w:noProof/>
          <w:sz w:val="20"/>
          <w:lang w:val="en-US" w:eastAsia="en-US"/>
        </w:rPr>
        <w:t>9</w:t>
      </w:r>
      <w:r w:rsidRPr="00DF1C7A">
        <w:rPr>
          <w:rFonts w:ascii="Arial Narrow" w:eastAsiaTheme="majorEastAsia" w:hAnsi="Arial Narrow" w:cs="Times New Roman"/>
          <w:b/>
          <w:sz w:val="20"/>
          <w:lang w:val="en-US" w:eastAsia="en-US"/>
        </w:rPr>
        <w:fldChar w:fldCharType="end"/>
      </w:r>
      <w:r w:rsidRPr="00DF1C7A">
        <w:rPr>
          <w:rFonts w:ascii="Arial Narrow" w:eastAsiaTheme="majorEastAsia" w:hAnsi="Arial Narrow" w:cs="Times New Roman"/>
          <w:b/>
          <w:sz w:val="20"/>
          <w:lang w:val="en-US" w:eastAsia="en-US"/>
        </w:rPr>
        <w:t>: Basis for the calculation of the proposed price for ranibizumab PDS over two years</w:t>
      </w:r>
    </w:p>
    <w:tbl>
      <w:tblPr>
        <w:tblStyle w:val="TableGrid"/>
        <w:tblW w:w="5000" w:type="pct"/>
        <w:tblLayout w:type="fixed"/>
        <w:tblLook w:val="04A0" w:firstRow="1" w:lastRow="0" w:firstColumn="1" w:lastColumn="0" w:noHBand="0" w:noVBand="1"/>
      </w:tblPr>
      <w:tblGrid>
        <w:gridCol w:w="354"/>
        <w:gridCol w:w="1486"/>
        <w:gridCol w:w="1417"/>
        <w:gridCol w:w="1558"/>
        <w:gridCol w:w="4202"/>
      </w:tblGrid>
      <w:tr w:rsidR="00DF1C7A" w:rsidRPr="00DF1C7A" w14:paraId="7D12D2DB" w14:textId="77777777" w:rsidTr="00ED4BBD">
        <w:tc>
          <w:tcPr>
            <w:tcW w:w="1020" w:type="pct"/>
            <w:gridSpan w:val="2"/>
            <w:tcMar>
              <w:left w:w="28" w:type="dxa"/>
              <w:right w:w="28" w:type="dxa"/>
            </w:tcMar>
          </w:tcPr>
          <w:p w14:paraId="22CEB846" w14:textId="77777777" w:rsidR="00DF1C7A" w:rsidRPr="00DF1C7A" w:rsidRDefault="00DF1C7A" w:rsidP="00DF1C7A">
            <w:pPr>
              <w:keepNext/>
              <w:keepLines/>
              <w:jc w:val="left"/>
              <w:rPr>
                <w:rFonts w:ascii="Arial Narrow" w:hAnsi="Arial Narrow" w:cs="Times New Roman"/>
                <w:b/>
                <w:snapToGrid w:val="0"/>
                <w:sz w:val="20"/>
              </w:rPr>
            </w:pPr>
          </w:p>
        </w:tc>
        <w:tc>
          <w:tcPr>
            <w:tcW w:w="786" w:type="pct"/>
            <w:noWrap/>
            <w:tcMar>
              <w:left w:w="28" w:type="dxa"/>
              <w:right w:w="28" w:type="dxa"/>
            </w:tcMar>
            <w:hideMark/>
          </w:tcPr>
          <w:p w14:paraId="6F8018CA" w14:textId="77777777" w:rsidR="00DF1C7A" w:rsidRPr="00DF1C7A" w:rsidRDefault="00DF1C7A" w:rsidP="00DF1C7A">
            <w:pPr>
              <w:keepNext/>
              <w:keepLines/>
              <w:jc w:val="center"/>
              <w:rPr>
                <w:rFonts w:ascii="Arial Narrow" w:hAnsi="Arial Narrow" w:cs="Times New Roman"/>
                <w:b/>
                <w:snapToGrid w:val="0"/>
                <w:sz w:val="20"/>
              </w:rPr>
            </w:pPr>
            <w:r w:rsidRPr="00DF1C7A">
              <w:rPr>
                <w:rFonts w:ascii="Arial Narrow" w:hAnsi="Arial Narrow" w:cs="Times New Roman"/>
                <w:b/>
                <w:snapToGrid w:val="0"/>
                <w:sz w:val="20"/>
              </w:rPr>
              <w:t>Intravitreal ranibizumab</w:t>
            </w:r>
          </w:p>
        </w:tc>
        <w:tc>
          <w:tcPr>
            <w:tcW w:w="864" w:type="pct"/>
            <w:noWrap/>
            <w:tcMar>
              <w:left w:w="28" w:type="dxa"/>
              <w:right w:w="28" w:type="dxa"/>
            </w:tcMar>
            <w:hideMark/>
          </w:tcPr>
          <w:p w14:paraId="2043E28A" w14:textId="77777777" w:rsidR="00DF1C7A" w:rsidRPr="00DF1C7A" w:rsidRDefault="00DF1C7A" w:rsidP="00DF1C7A">
            <w:pPr>
              <w:keepNext/>
              <w:keepLines/>
              <w:jc w:val="center"/>
              <w:rPr>
                <w:rFonts w:ascii="Arial Narrow" w:hAnsi="Arial Narrow" w:cs="Times New Roman"/>
                <w:b/>
                <w:snapToGrid w:val="0"/>
                <w:sz w:val="20"/>
              </w:rPr>
            </w:pPr>
            <w:r w:rsidRPr="00DF1C7A">
              <w:rPr>
                <w:rFonts w:ascii="Arial Narrow" w:hAnsi="Arial Narrow" w:cs="Times New Roman"/>
                <w:b/>
                <w:snapToGrid w:val="0"/>
                <w:sz w:val="20"/>
              </w:rPr>
              <w:t>Ranibizumab PDS</w:t>
            </w:r>
          </w:p>
        </w:tc>
        <w:tc>
          <w:tcPr>
            <w:tcW w:w="2330" w:type="pct"/>
            <w:tcMar>
              <w:left w:w="28" w:type="dxa"/>
              <w:right w:w="28" w:type="dxa"/>
            </w:tcMar>
            <w:vAlign w:val="center"/>
          </w:tcPr>
          <w:p w14:paraId="67568400" w14:textId="77777777" w:rsidR="00DF1C7A" w:rsidRPr="00DF1C7A" w:rsidRDefault="00DF1C7A" w:rsidP="00DF1C7A">
            <w:pPr>
              <w:keepNext/>
              <w:keepLines/>
              <w:jc w:val="left"/>
              <w:rPr>
                <w:rFonts w:ascii="Arial Narrow" w:hAnsi="Arial Narrow" w:cs="Times New Roman"/>
                <w:b/>
                <w:snapToGrid w:val="0"/>
                <w:sz w:val="20"/>
              </w:rPr>
            </w:pPr>
            <w:r w:rsidRPr="00DF1C7A">
              <w:rPr>
                <w:rFonts w:ascii="Arial Narrow" w:hAnsi="Arial Narrow" w:cs="Times New Roman"/>
                <w:b/>
                <w:snapToGrid w:val="0"/>
                <w:sz w:val="20"/>
              </w:rPr>
              <w:t>Source/calculation</w:t>
            </w:r>
          </w:p>
        </w:tc>
      </w:tr>
      <w:tr w:rsidR="00DF1C7A" w:rsidRPr="00DF1C7A" w14:paraId="0E669C6F" w14:textId="77777777" w:rsidTr="00ED4BBD">
        <w:tc>
          <w:tcPr>
            <w:tcW w:w="5000" w:type="pct"/>
            <w:gridSpan w:val="5"/>
            <w:tcMar>
              <w:left w:w="28" w:type="dxa"/>
              <w:right w:w="28" w:type="dxa"/>
            </w:tcMar>
          </w:tcPr>
          <w:p w14:paraId="56301A1D" w14:textId="77777777" w:rsidR="00DF1C7A" w:rsidRPr="00DF1C7A" w:rsidRDefault="00DF1C7A" w:rsidP="00DF1C7A">
            <w:pPr>
              <w:keepNext/>
              <w:keepLines/>
              <w:jc w:val="left"/>
              <w:rPr>
                <w:rFonts w:ascii="Arial Narrow" w:hAnsi="Arial Narrow" w:cs="Times New Roman"/>
                <w:b/>
                <w:snapToGrid w:val="0"/>
                <w:sz w:val="20"/>
              </w:rPr>
            </w:pPr>
            <w:r w:rsidRPr="00DF1C7A">
              <w:rPr>
                <w:rFonts w:ascii="Arial Narrow" w:hAnsi="Arial Narrow" w:cs="Times New Roman"/>
                <w:b/>
                <w:snapToGrid w:val="0"/>
                <w:sz w:val="20"/>
              </w:rPr>
              <w:t>SUBMISSION</w:t>
            </w:r>
          </w:p>
        </w:tc>
      </w:tr>
      <w:tr w:rsidR="00DF1C7A" w:rsidRPr="00DF1C7A" w14:paraId="1EDE1953" w14:textId="77777777" w:rsidTr="00ED4BBD">
        <w:tc>
          <w:tcPr>
            <w:tcW w:w="196" w:type="pct"/>
            <w:tcMar>
              <w:left w:w="28" w:type="dxa"/>
              <w:right w:w="28" w:type="dxa"/>
            </w:tcMar>
          </w:tcPr>
          <w:p w14:paraId="118C1642"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A</w:t>
            </w:r>
          </w:p>
        </w:tc>
        <w:tc>
          <w:tcPr>
            <w:tcW w:w="823" w:type="pct"/>
            <w:noWrap/>
            <w:tcMar>
              <w:left w:w="28" w:type="dxa"/>
              <w:right w:w="28" w:type="dxa"/>
            </w:tcMar>
            <w:hideMark/>
          </w:tcPr>
          <w:p w14:paraId="463EA3D7"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Ex-manufacturer price (published)</w:t>
            </w:r>
          </w:p>
        </w:tc>
        <w:tc>
          <w:tcPr>
            <w:tcW w:w="786" w:type="pct"/>
            <w:noWrap/>
            <w:tcMar>
              <w:left w:w="28" w:type="dxa"/>
              <w:right w:w="28" w:type="dxa"/>
            </w:tcMar>
            <w:hideMark/>
          </w:tcPr>
          <w:p w14:paraId="6C203BFB"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rPr>
              <w:t>$932.40</w:t>
            </w:r>
          </w:p>
        </w:tc>
        <w:tc>
          <w:tcPr>
            <w:tcW w:w="864" w:type="pct"/>
            <w:noWrap/>
            <w:tcMar>
              <w:left w:w="28" w:type="dxa"/>
              <w:right w:w="28" w:type="dxa"/>
            </w:tcMar>
            <w:hideMark/>
          </w:tcPr>
          <w:p w14:paraId="2BA9F3F6"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rPr>
              <w:t>$3,051.10</w:t>
            </w:r>
          </w:p>
        </w:tc>
        <w:tc>
          <w:tcPr>
            <w:tcW w:w="2330" w:type="pct"/>
            <w:tcMar>
              <w:left w:w="28" w:type="dxa"/>
              <w:right w:w="28" w:type="dxa"/>
            </w:tcMar>
          </w:tcPr>
          <w:p w14:paraId="3200EDDF"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Intravitreal ranibizumab = ex-manufacturer price</w:t>
            </w:r>
          </w:p>
          <w:p w14:paraId="68B2651E"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lang w:val="en-US"/>
              </w:rPr>
              <w:t>Ranibizumab PDS</w:t>
            </w:r>
            <w:r w:rsidRPr="00DF1C7A">
              <w:rPr>
                <w:rFonts w:ascii="Arial Narrow" w:hAnsi="Arial Narrow" w:cs="Times New Roman"/>
                <w:snapToGrid w:val="0"/>
                <w:sz w:val="20"/>
              </w:rPr>
              <w:t xml:space="preserve"> = C / B</w:t>
            </w:r>
          </w:p>
        </w:tc>
      </w:tr>
      <w:tr w:rsidR="00DF1C7A" w:rsidRPr="00DF1C7A" w14:paraId="75AB36F4" w14:textId="77777777" w:rsidTr="00ED4BBD">
        <w:tc>
          <w:tcPr>
            <w:tcW w:w="196" w:type="pct"/>
            <w:tcMar>
              <w:left w:w="28" w:type="dxa"/>
              <w:right w:w="28" w:type="dxa"/>
            </w:tcMar>
          </w:tcPr>
          <w:p w14:paraId="497E4E6F"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B</w:t>
            </w:r>
          </w:p>
        </w:tc>
        <w:tc>
          <w:tcPr>
            <w:tcW w:w="823" w:type="pct"/>
            <w:noWrap/>
            <w:tcMar>
              <w:left w:w="28" w:type="dxa"/>
              <w:right w:w="28" w:type="dxa"/>
            </w:tcMar>
            <w:hideMark/>
          </w:tcPr>
          <w:p w14:paraId="0D93C488"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Injections</w:t>
            </w:r>
          </w:p>
        </w:tc>
        <w:tc>
          <w:tcPr>
            <w:tcW w:w="786" w:type="pct"/>
            <w:noWrap/>
            <w:tcMar>
              <w:left w:w="28" w:type="dxa"/>
              <w:right w:w="28" w:type="dxa"/>
            </w:tcMar>
            <w:hideMark/>
          </w:tcPr>
          <w:p w14:paraId="78E73E77"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7.09 × 2 = 14.18</w:t>
            </w:r>
          </w:p>
        </w:tc>
        <w:tc>
          <w:tcPr>
            <w:tcW w:w="864" w:type="pct"/>
            <w:noWrap/>
            <w:tcMar>
              <w:left w:w="28" w:type="dxa"/>
              <w:right w:w="28" w:type="dxa"/>
            </w:tcMar>
            <w:hideMark/>
          </w:tcPr>
          <w:p w14:paraId="5A5449C0"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2.167 × 2 = 4.334</w:t>
            </w:r>
          </w:p>
        </w:tc>
        <w:tc>
          <w:tcPr>
            <w:tcW w:w="2330" w:type="pct"/>
            <w:tcMar>
              <w:left w:w="28" w:type="dxa"/>
              <w:right w:w="28" w:type="dxa"/>
            </w:tcMar>
          </w:tcPr>
          <w:p w14:paraId="6E9E2197" w14:textId="77777777" w:rsidR="00DF1C7A" w:rsidRPr="00DF1C7A" w:rsidRDefault="00DF1C7A" w:rsidP="00DF1C7A">
            <w:pPr>
              <w:keepNext/>
              <w:keepLines/>
              <w:jc w:val="left"/>
              <w:rPr>
                <w:rFonts w:ascii="Arial Narrow" w:hAnsi="Arial Narrow" w:cs="Times New Roman"/>
                <w:snapToGrid w:val="0"/>
                <w:sz w:val="20"/>
                <w:lang w:val="en-US"/>
              </w:rPr>
            </w:pPr>
            <w:r w:rsidRPr="00DF1C7A">
              <w:rPr>
                <w:rFonts w:ascii="Arial Narrow" w:hAnsi="Arial Narrow" w:cs="Times New Roman"/>
                <w:snapToGrid w:val="0"/>
                <w:sz w:val="20"/>
                <w:lang w:val="en-US"/>
              </w:rPr>
              <w:t xml:space="preserve">Intravitreal ranibizumab = 7.09/year (DUSC analysis) </w:t>
            </w:r>
          </w:p>
          <w:p w14:paraId="437B8BB3"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lang w:val="en-US"/>
              </w:rPr>
              <w:t>Ranibizumab PDS</w:t>
            </w:r>
            <w:r w:rsidRPr="00DF1C7A">
              <w:rPr>
                <w:rFonts w:ascii="Arial Narrow" w:hAnsi="Arial Narrow" w:cs="Times New Roman"/>
                <w:snapToGrid w:val="0"/>
                <w:sz w:val="20"/>
              </w:rPr>
              <w:t xml:space="preserve"> = 2.167/year (</w:t>
            </w:r>
            <w:r w:rsidRPr="00DF1C7A">
              <w:rPr>
                <w:rFonts w:ascii="Arial Narrow" w:hAnsi="Arial Narrow" w:cs="Times New Roman"/>
                <w:snapToGrid w:val="0"/>
                <w:sz w:val="20"/>
                <w:lang w:val="en-US"/>
              </w:rPr>
              <w:t>ARCHWAY trial)</w:t>
            </w:r>
          </w:p>
        </w:tc>
      </w:tr>
      <w:tr w:rsidR="00DF1C7A" w:rsidRPr="00DF1C7A" w14:paraId="4660C70D" w14:textId="77777777" w:rsidTr="00ED4BBD">
        <w:tc>
          <w:tcPr>
            <w:tcW w:w="196" w:type="pct"/>
            <w:tcMar>
              <w:left w:w="28" w:type="dxa"/>
              <w:right w:w="28" w:type="dxa"/>
            </w:tcMar>
          </w:tcPr>
          <w:p w14:paraId="4468222E"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C</w:t>
            </w:r>
          </w:p>
        </w:tc>
        <w:tc>
          <w:tcPr>
            <w:tcW w:w="823" w:type="pct"/>
            <w:noWrap/>
            <w:tcMar>
              <w:left w:w="28" w:type="dxa"/>
              <w:right w:w="28" w:type="dxa"/>
            </w:tcMar>
            <w:hideMark/>
          </w:tcPr>
          <w:p w14:paraId="69F41C25"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Drug cost over 2 years</w:t>
            </w:r>
          </w:p>
        </w:tc>
        <w:tc>
          <w:tcPr>
            <w:tcW w:w="786" w:type="pct"/>
            <w:noWrap/>
            <w:tcMar>
              <w:left w:w="28" w:type="dxa"/>
              <w:right w:w="28" w:type="dxa"/>
            </w:tcMar>
            <w:hideMark/>
          </w:tcPr>
          <w:p w14:paraId="54E8A4B0"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rPr>
              <w:t>$13,221.43</w:t>
            </w:r>
          </w:p>
        </w:tc>
        <w:tc>
          <w:tcPr>
            <w:tcW w:w="864" w:type="pct"/>
            <w:noWrap/>
            <w:tcMar>
              <w:left w:w="28" w:type="dxa"/>
              <w:right w:w="28" w:type="dxa"/>
            </w:tcMar>
            <w:hideMark/>
          </w:tcPr>
          <w:p w14:paraId="7C02C754"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rPr>
              <w:t>$13,221.43</w:t>
            </w:r>
          </w:p>
        </w:tc>
        <w:tc>
          <w:tcPr>
            <w:tcW w:w="2330" w:type="pct"/>
            <w:tcMar>
              <w:left w:w="28" w:type="dxa"/>
              <w:right w:w="28" w:type="dxa"/>
            </w:tcMar>
          </w:tcPr>
          <w:p w14:paraId="11A5E817" w14:textId="77777777" w:rsidR="00DF1C7A" w:rsidRPr="00DF1C7A" w:rsidRDefault="00DF1C7A" w:rsidP="00DF1C7A">
            <w:pPr>
              <w:keepNext/>
              <w:keepLines/>
              <w:jc w:val="left"/>
              <w:rPr>
                <w:rFonts w:ascii="Arial Narrow" w:hAnsi="Arial Narrow" w:cs="Times New Roman"/>
                <w:snapToGrid w:val="0"/>
                <w:sz w:val="20"/>
              </w:rPr>
            </w:pPr>
            <w:r w:rsidRPr="00DF1C7A">
              <w:rPr>
                <w:rFonts w:ascii="Arial Narrow" w:hAnsi="Arial Narrow" w:cs="Times New Roman"/>
                <w:snapToGrid w:val="0"/>
                <w:sz w:val="20"/>
              </w:rPr>
              <w:t>Intravitreal ranibizumab = A × B</w:t>
            </w:r>
          </w:p>
          <w:p w14:paraId="24C57686" w14:textId="77777777" w:rsidR="00DF1C7A" w:rsidRPr="00DF1C7A" w:rsidRDefault="00DF1C7A" w:rsidP="00DF1C7A">
            <w:pPr>
              <w:keepNext/>
              <w:keepLines/>
              <w:jc w:val="left"/>
              <w:rPr>
                <w:rFonts w:ascii="Arial Narrow" w:hAnsi="Arial Narrow" w:cs="Times New Roman"/>
                <w:snapToGrid w:val="0"/>
                <w:sz w:val="20"/>
                <w:highlight w:val="yellow"/>
              </w:rPr>
            </w:pPr>
            <w:r w:rsidRPr="00DF1C7A">
              <w:rPr>
                <w:rFonts w:ascii="Arial Narrow" w:hAnsi="Arial Narrow" w:cs="Times New Roman"/>
                <w:snapToGrid w:val="0"/>
                <w:sz w:val="20"/>
                <w:lang w:val="en-US"/>
              </w:rPr>
              <w:t>Ranibizumab PDS</w:t>
            </w:r>
            <w:r w:rsidRPr="00DF1C7A">
              <w:rPr>
                <w:rFonts w:ascii="Arial Narrow" w:hAnsi="Arial Narrow" w:cs="Times New Roman"/>
                <w:snapToGrid w:val="0"/>
                <w:sz w:val="20"/>
              </w:rPr>
              <w:t xml:space="preserve"> = assumed equal to intravitreal ranibizumab</w:t>
            </w:r>
          </w:p>
        </w:tc>
      </w:tr>
      <w:tr w:rsidR="00DF1C7A" w:rsidRPr="00DF1C7A" w14:paraId="4CFA2048" w14:textId="77777777" w:rsidTr="00ED4BBD">
        <w:tc>
          <w:tcPr>
            <w:tcW w:w="5000" w:type="pct"/>
            <w:gridSpan w:val="5"/>
            <w:tcMar>
              <w:left w:w="28" w:type="dxa"/>
              <w:right w:w="28" w:type="dxa"/>
            </w:tcMar>
          </w:tcPr>
          <w:p w14:paraId="09C1056F" w14:textId="77777777" w:rsidR="00DF1C7A" w:rsidRPr="00DF1C7A" w:rsidRDefault="00DF1C7A" w:rsidP="00DF1C7A">
            <w:pPr>
              <w:keepNext/>
              <w:keepLines/>
              <w:jc w:val="left"/>
              <w:rPr>
                <w:rFonts w:ascii="Arial Narrow" w:hAnsi="Arial Narrow" w:cs="Times New Roman"/>
                <w:b/>
                <w:snapToGrid w:val="0"/>
                <w:sz w:val="20"/>
              </w:rPr>
            </w:pPr>
            <w:r w:rsidRPr="00DF1C7A">
              <w:rPr>
                <w:rFonts w:ascii="Arial Narrow" w:hAnsi="Arial Narrow" w:cs="Times New Roman"/>
                <w:b/>
                <w:snapToGrid w:val="0"/>
                <w:sz w:val="20"/>
              </w:rPr>
              <w:t>EVALUATION</w:t>
            </w:r>
          </w:p>
        </w:tc>
      </w:tr>
      <w:tr w:rsidR="00DF1C7A" w:rsidRPr="00DF1C7A" w14:paraId="18E72B1E" w14:textId="77777777" w:rsidTr="00ED4BBD">
        <w:tc>
          <w:tcPr>
            <w:tcW w:w="196" w:type="pct"/>
            <w:tcMar>
              <w:left w:w="28" w:type="dxa"/>
              <w:right w:w="28" w:type="dxa"/>
            </w:tcMar>
          </w:tcPr>
          <w:p w14:paraId="32B54366"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A</w:t>
            </w:r>
          </w:p>
        </w:tc>
        <w:tc>
          <w:tcPr>
            <w:tcW w:w="823" w:type="pct"/>
            <w:noWrap/>
            <w:tcMar>
              <w:left w:w="28" w:type="dxa"/>
              <w:right w:w="28" w:type="dxa"/>
            </w:tcMar>
          </w:tcPr>
          <w:p w14:paraId="6EE76057"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Ex-manufacturer price (published)</w:t>
            </w:r>
          </w:p>
        </w:tc>
        <w:tc>
          <w:tcPr>
            <w:tcW w:w="786" w:type="pct"/>
            <w:noWrap/>
            <w:tcMar>
              <w:left w:w="28" w:type="dxa"/>
              <w:right w:w="28" w:type="dxa"/>
            </w:tcMar>
          </w:tcPr>
          <w:p w14:paraId="3D67E3F7"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$932.40</w:t>
            </w:r>
          </w:p>
        </w:tc>
        <w:tc>
          <w:tcPr>
            <w:tcW w:w="864" w:type="pct"/>
            <w:noWrap/>
            <w:tcMar>
              <w:left w:w="28" w:type="dxa"/>
              <w:right w:w="28" w:type="dxa"/>
            </w:tcMar>
          </w:tcPr>
          <w:p w14:paraId="55A14608"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$2,715.44</w:t>
            </w:r>
          </w:p>
        </w:tc>
        <w:tc>
          <w:tcPr>
            <w:tcW w:w="2330" w:type="pct"/>
            <w:tcMar>
              <w:left w:w="28" w:type="dxa"/>
              <w:right w:w="28" w:type="dxa"/>
            </w:tcMar>
          </w:tcPr>
          <w:p w14:paraId="27088FCD"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Intravitreal ranibizumab = ex-manufacturer price</w:t>
            </w:r>
          </w:p>
          <w:p w14:paraId="0E817EB9"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lang w:val="en-US"/>
              </w:rPr>
              <w:t>Ranibizumab PDS</w:t>
            </w:r>
            <w:r w:rsidRPr="00DF1C7A">
              <w:rPr>
                <w:rFonts w:ascii="Arial Narrow" w:hAnsi="Arial Narrow" w:cs="Times New Roman"/>
                <w:iCs/>
                <w:snapToGrid w:val="0"/>
                <w:sz w:val="20"/>
              </w:rPr>
              <w:t xml:space="preserve"> = C / B</w:t>
            </w:r>
          </w:p>
        </w:tc>
      </w:tr>
      <w:tr w:rsidR="00DF1C7A" w:rsidRPr="00DF1C7A" w14:paraId="7EDEFD65" w14:textId="77777777" w:rsidTr="00ED4BBD">
        <w:tc>
          <w:tcPr>
            <w:tcW w:w="196" w:type="pct"/>
            <w:tcMar>
              <w:left w:w="28" w:type="dxa"/>
              <w:right w:w="28" w:type="dxa"/>
            </w:tcMar>
          </w:tcPr>
          <w:p w14:paraId="776DE24E"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B</w:t>
            </w:r>
          </w:p>
        </w:tc>
        <w:tc>
          <w:tcPr>
            <w:tcW w:w="823" w:type="pct"/>
            <w:noWrap/>
            <w:tcMar>
              <w:left w:w="28" w:type="dxa"/>
              <w:right w:w="28" w:type="dxa"/>
            </w:tcMar>
          </w:tcPr>
          <w:p w14:paraId="4D8FC452"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Injections</w:t>
            </w:r>
          </w:p>
        </w:tc>
        <w:tc>
          <w:tcPr>
            <w:tcW w:w="786" w:type="pct"/>
            <w:noWrap/>
            <w:tcMar>
              <w:left w:w="28" w:type="dxa"/>
              <w:right w:w="28" w:type="dxa"/>
            </w:tcMar>
          </w:tcPr>
          <w:p w14:paraId="1F6B4C8A" w14:textId="77777777" w:rsidR="00DF1C7A" w:rsidRPr="00DF1C7A" w:rsidRDefault="00DF1C7A" w:rsidP="00DF1C7A">
            <w:pPr>
              <w:keepNext/>
              <w:keepLines/>
              <w:jc w:val="left"/>
              <w:rPr>
                <w:rFonts w:ascii="Arial Narrow" w:eastAsia="Arial Narrow" w:hAnsi="Arial Narrow" w:cs="Arial Narrow"/>
                <w:iCs/>
                <w:snapToGrid w:val="0"/>
                <w:sz w:val="20"/>
              </w:rPr>
            </w:pPr>
            <w:r w:rsidRPr="00DF1C7A">
              <w:rPr>
                <w:rFonts w:ascii="Arial Narrow" w:eastAsia="Arial Narrow" w:hAnsi="Arial Narrow" w:cs="Arial Narrow"/>
                <w:iCs/>
                <w:snapToGrid w:val="0"/>
                <w:sz w:val="20"/>
              </w:rPr>
              <w:t>6.31 × 2 = 12.62</w:t>
            </w:r>
          </w:p>
        </w:tc>
        <w:tc>
          <w:tcPr>
            <w:tcW w:w="864" w:type="pct"/>
            <w:noWrap/>
            <w:tcMar>
              <w:left w:w="28" w:type="dxa"/>
              <w:right w:w="28" w:type="dxa"/>
            </w:tcMar>
          </w:tcPr>
          <w:p w14:paraId="7264204C"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2.167 × 2 = 4.334</w:t>
            </w:r>
          </w:p>
        </w:tc>
        <w:tc>
          <w:tcPr>
            <w:tcW w:w="2330" w:type="pct"/>
            <w:tcMar>
              <w:left w:w="28" w:type="dxa"/>
              <w:right w:w="28" w:type="dxa"/>
            </w:tcMar>
          </w:tcPr>
          <w:p w14:paraId="0637FF78" w14:textId="77777777" w:rsidR="00DF1C7A" w:rsidRPr="00DF1C7A" w:rsidRDefault="00DF1C7A" w:rsidP="00DF1C7A">
            <w:pPr>
              <w:keepNext/>
              <w:keepLines/>
              <w:jc w:val="left"/>
              <w:rPr>
                <w:rFonts w:ascii="Arial Narrow" w:hAnsi="Arial Narrow" w:cs="Times New Roman"/>
                <w:iCs/>
                <w:snapToGrid w:val="0"/>
                <w:sz w:val="20"/>
                <w:lang w:val="en-US"/>
              </w:rPr>
            </w:pPr>
            <w:r w:rsidRPr="00DF1C7A">
              <w:rPr>
                <w:rFonts w:ascii="Arial Narrow" w:hAnsi="Arial Narrow" w:cs="Times New Roman"/>
                <w:iCs/>
                <w:snapToGrid w:val="0"/>
                <w:sz w:val="20"/>
                <w:lang w:val="en-US"/>
              </w:rPr>
              <w:t xml:space="preserve">Intravitreal ranibizumab = 6.31/year (updated DUSC Secretariat analysis) </w:t>
            </w:r>
          </w:p>
          <w:p w14:paraId="2D505BD0"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lang w:val="en-US"/>
              </w:rPr>
              <w:t>Ranibizumab PDS = 2.167/year (ARCHWAY trial)</w:t>
            </w:r>
          </w:p>
        </w:tc>
      </w:tr>
      <w:tr w:rsidR="00DF1C7A" w:rsidRPr="00DF1C7A" w14:paraId="10A2865F" w14:textId="77777777" w:rsidTr="00ED4BBD">
        <w:tc>
          <w:tcPr>
            <w:tcW w:w="196" w:type="pct"/>
            <w:tcMar>
              <w:left w:w="28" w:type="dxa"/>
              <w:right w:w="28" w:type="dxa"/>
            </w:tcMar>
          </w:tcPr>
          <w:p w14:paraId="4BAC0CCB"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C</w:t>
            </w:r>
          </w:p>
        </w:tc>
        <w:tc>
          <w:tcPr>
            <w:tcW w:w="823" w:type="pct"/>
            <w:noWrap/>
            <w:tcMar>
              <w:left w:w="28" w:type="dxa"/>
              <w:right w:w="28" w:type="dxa"/>
            </w:tcMar>
          </w:tcPr>
          <w:p w14:paraId="2273A063"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Drug cost over 2 years</w:t>
            </w:r>
          </w:p>
        </w:tc>
        <w:tc>
          <w:tcPr>
            <w:tcW w:w="786" w:type="pct"/>
            <w:noWrap/>
            <w:tcMar>
              <w:left w:w="28" w:type="dxa"/>
              <w:right w:w="28" w:type="dxa"/>
            </w:tcMar>
          </w:tcPr>
          <w:p w14:paraId="48DCCB3C"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$11,766.89</w:t>
            </w:r>
          </w:p>
        </w:tc>
        <w:tc>
          <w:tcPr>
            <w:tcW w:w="864" w:type="pct"/>
            <w:noWrap/>
            <w:tcMar>
              <w:left w:w="28" w:type="dxa"/>
              <w:right w:w="28" w:type="dxa"/>
            </w:tcMar>
          </w:tcPr>
          <w:p w14:paraId="596D8B65"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$11,766.89</w:t>
            </w:r>
          </w:p>
        </w:tc>
        <w:tc>
          <w:tcPr>
            <w:tcW w:w="2330" w:type="pct"/>
            <w:tcMar>
              <w:left w:w="28" w:type="dxa"/>
              <w:right w:w="28" w:type="dxa"/>
            </w:tcMar>
          </w:tcPr>
          <w:p w14:paraId="5A899049"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rPr>
              <w:t>Intravitreal ranibizumab = A × B</w:t>
            </w:r>
          </w:p>
          <w:p w14:paraId="6A711E41" w14:textId="77777777" w:rsidR="00DF1C7A" w:rsidRPr="00DF1C7A" w:rsidRDefault="00DF1C7A" w:rsidP="00DF1C7A">
            <w:pPr>
              <w:keepNext/>
              <w:keepLines/>
              <w:jc w:val="left"/>
              <w:rPr>
                <w:rFonts w:ascii="Arial Narrow" w:hAnsi="Arial Narrow" w:cs="Times New Roman"/>
                <w:iCs/>
                <w:snapToGrid w:val="0"/>
                <w:sz w:val="20"/>
              </w:rPr>
            </w:pPr>
            <w:r w:rsidRPr="00DF1C7A">
              <w:rPr>
                <w:rFonts w:ascii="Arial Narrow" w:hAnsi="Arial Narrow" w:cs="Times New Roman"/>
                <w:iCs/>
                <w:snapToGrid w:val="0"/>
                <w:sz w:val="20"/>
                <w:lang w:val="en-US"/>
              </w:rPr>
              <w:t>Ranibizumab PDS</w:t>
            </w:r>
            <w:r w:rsidRPr="00DF1C7A">
              <w:rPr>
                <w:rFonts w:ascii="Arial Narrow" w:hAnsi="Arial Narrow" w:cs="Times New Roman"/>
                <w:iCs/>
                <w:snapToGrid w:val="0"/>
                <w:sz w:val="20"/>
              </w:rPr>
              <w:t xml:space="preserve"> = assumed equal to intravitreal ranibizumab</w:t>
            </w:r>
            <w:r w:rsidRPr="00DF1C7A">
              <w:rPr>
                <w:rFonts w:ascii="Arial Narrow" w:hAnsi="Arial Narrow" w:cs="Times New Roman"/>
                <w:iCs/>
                <w:snapToGrid w:val="0"/>
                <w:sz w:val="20"/>
                <w:lang w:val="en-US"/>
              </w:rPr>
              <w:t xml:space="preserve"> </w:t>
            </w:r>
          </w:p>
        </w:tc>
      </w:tr>
    </w:tbl>
    <w:p w14:paraId="4609AD6C"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PDS = port delivery system.</w:t>
      </w:r>
    </w:p>
    <w:p w14:paraId="7C4EE9F0"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Source: ‘Cost minimisation analysis’ spreadsheet</w:t>
      </w:r>
    </w:p>
    <w:p w14:paraId="7A7196FE" w14:textId="77777777" w:rsidR="00DF1C7A" w:rsidRPr="00DF1C7A" w:rsidRDefault="00DF1C7A" w:rsidP="00A046B1">
      <w:pPr>
        <w:widowControl w:val="0"/>
        <w:numPr>
          <w:ilvl w:val="1"/>
          <w:numId w:val="1"/>
        </w:numPr>
        <w:spacing w:after="120"/>
        <w:rPr>
          <w:rFonts w:asciiTheme="minorHAnsi" w:hAnsiTheme="minorHAnsi"/>
          <w:iCs/>
          <w:snapToGrid w:val="0"/>
        </w:rPr>
      </w:pPr>
      <w:r w:rsidRPr="00DF1C7A">
        <w:rPr>
          <w:rFonts w:asciiTheme="minorHAnsi" w:hAnsiTheme="minorHAnsi"/>
          <w:snapToGrid w:val="0"/>
        </w:rPr>
        <w:t xml:space="preserve">Table 10 shows the cost-minimisation calculation as presented in the submission, seeking to establish that the cost per patient for ranibizumab PDS would be no more than the cost per patient of intravitreal ranibizumab. The submission’s analysis included costs for the implant and the procedure of its implantation, drugs (based on DPMQ), administration, monitoring, supplemental intravitreal ranibizumab, adverse events and </w:t>
      </w:r>
      <w:proofErr w:type="spellStart"/>
      <w:r w:rsidRPr="00DF1C7A">
        <w:rPr>
          <w:rFonts w:asciiTheme="minorHAnsi" w:hAnsiTheme="minorHAnsi"/>
          <w:snapToGrid w:val="0"/>
        </w:rPr>
        <w:t>explantation</w:t>
      </w:r>
      <w:proofErr w:type="spellEnd"/>
      <w:r w:rsidRPr="00DF1C7A">
        <w:rPr>
          <w:rFonts w:asciiTheme="minorHAnsi" w:hAnsiTheme="minorHAnsi"/>
          <w:snapToGrid w:val="0"/>
        </w:rPr>
        <w:t xml:space="preserve">. The </w:t>
      </w:r>
      <w:r w:rsidRPr="00DF1C7A">
        <w:rPr>
          <w:rFonts w:asciiTheme="minorHAnsi" w:hAnsiTheme="minorHAnsi"/>
          <w:iCs/>
          <w:snapToGrid w:val="0"/>
        </w:rPr>
        <w:t>published</w:t>
      </w:r>
      <w:r w:rsidRPr="00DF1C7A">
        <w:rPr>
          <w:rFonts w:asciiTheme="minorHAnsi" w:hAnsiTheme="minorHAnsi"/>
          <w:snapToGrid w:val="0"/>
        </w:rPr>
        <w:t xml:space="preserve"> ranibizumab PDS DPMQ ($3,212.32) corresponds to the AEMP calculated using drug costs only ($3,051.10, see </w:t>
      </w:r>
      <w:r w:rsidRPr="00DF1C7A">
        <w:rPr>
          <w:rFonts w:asciiTheme="minorHAnsi" w:hAnsiTheme="minorHAnsi"/>
          <w:snapToGrid w:val="0"/>
        </w:rPr>
        <w:fldChar w:fldCharType="begin" w:fldLock="1"/>
      </w:r>
      <w:r w:rsidRPr="00DF1C7A">
        <w:rPr>
          <w:rFonts w:asciiTheme="minorHAnsi" w:hAnsiTheme="minorHAnsi"/>
          <w:snapToGrid w:val="0"/>
        </w:rPr>
        <w:instrText xml:space="preserve"> REF _Ref93415294 \h </w:instrText>
      </w:r>
      <w:r w:rsidRPr="00DF1C7A">
        <w:rPr>
          <w:rFonts w:asciiTheme="minorHAnsi" w:hAnsiTheme="minorHAnsi"/>
          <w:snapToGrid w:val="0"/>
        </w:rPr>
      </w:r>
      <w:r w:rsidRPr="00DF1C7A">
        <w:rPr>
          <w:rFonts w:asciiTheme="minorHAnsi" w:hAnsiTheme="minorHAnsi"/>
          <w:snapToGrid w:val="0"/>
        </w:rPr>
        <w:fldChar w:fldCharType="separate"/>
      </w:r>
      <w:r w:rsidRPr="00DF1C7A">
        <w:rPr>
          <w:rFonts w:asciiTheme="minorHAnsi" w:hAnsiTheme="minorHAnsi"/>
          <w:snapToGrid w:val="0"/>
        </w:rPr>
        <w:t xml:space="preserve">Table </w:t>
      </w:r>
      <w:r w:rsidRPr="00DF1C7A">
        <w:rPr>
          <w:rFonts w:asciiTheme="minorHAnsi" w:hAnsiTheme="minorHAnsi"/>
          <w:noProof/>
          <w:snapToGrid w:val="0"/>
        </w:rPr>
        <w:t>9</w:t>
      </w:r>
      <w:r w:rsidRPr="00DF1C7A">
        <w:rPr>
          <w:rFonts w:asciiTheme="minorHAnsi" w:hAnsiTheme="minorHAnsi"/>
          <w:snapToGrid w:val="0"/>
        </w:rPr>
        <w:fldChar w:fldCharType="end"/>
      </w:r>
      <w:r w:rsidRPr="00DF1C7A">
        <w:rPr>
          <w:rFonts w:asciiTheme="minorHAnsi" w:hAnsiTheme="minorHAnsi"/>
          <w:snapToGrid w:val="0"/>
        </w:rPr>
        <w:t xml:space="preserve"> above). </w:t>
      </w:r>
      <w:r w:rsidRPr="00DF1C7A">
        <w:rPr>
          <w:rFonts w:asciiTheme="minorHAnsi" w:hAnsiTheme="minorHAnsi"/>
          <w:iCs/>
          <w:snapToGrid w:val="0"/>
        </w:rPr>
        <w:t xml:space="preserve">Costs based on a revised analysis conducted during the evaluation, using drug costs based on the </w:t>
      </w:r>
      <w:r w:rsidRPr="00DF1C7A">
        <w:rPr>
          <w:rFonts w:asciiTheme="minorHAnsi" w:hAnsiTheme="minorHAnsi"/>
          <w:snapToGrid w:val="0"/>
          <w:u w:val="single"/>
        </w:rPr>
        <w:t>published</w:t>
      </w:r>
      <w:r w:rsidRPr="00DF1C7A">
        <w:rPr>
          <w:rFonts w:asciiTheme="minorHAnsi" w:hAnsiTheme="minorHAnsi"/>
          <w:snapToGrid w:val="0"/>
        </w:rPr>
        <w:t xml:space="preserve"> </w:t>
      </w:r>
      <w:r w:rsidRPr="00DF1C7A">
        <w:rPr>
          <w:rFonts w:asciiTheme="minorHAnsi" w:hAnsiTheme="minorHAnsi"/>
          <w:iCs/>
          <w:snapToGrid w:val="0"/>
        </w:rPr>
        <w:t>AEMP, and assuming 2.17 doses of ranibizumab PDS is equivalent to 6.31 injections of intravitreal ranibizumab annually are also presented in the table below.</w:t>
      </w:r>
    </w:p>
    <w:p w14:paraId="72BA8362"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lastRenderedPageBreak/>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10</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Results of the cost-minimisation calculation conducted over a two-year time horizon, based on published prices</w:t>
      </w:r>
    </w:p>
    <w:tbl>
      <w:tblPr>
        <w:tblStyle w:val="TableGrid"/>
        <w:tblW w:w="5000" w:type="pct"/>
        <w:tblLook w:val="04A0" w:firstRow="1" w:lastRow="0" w:firstColumn="1" w:lastColumn="0" w:noHBand="0" w:noVBand="1"/>
      </w:tblPr>
      <w:tblGrid>
        <w:gridCol w:w="1269"/>
        <w:gridCol w:w="1237"/>
        <w:gridCol w:w="1137"/>
        <w:gridCol w:w="5374"/>
      </w:tblGrid>
      <w:tr w:rsidR="00DF1C7A" w:rsidRPr="00DF1C7A" w14:paraId="02B4576A" w14:textId="77777777" w:rsidTr="00ED4BBD">
        <w:tc>
          <w:tcPr>
            <w:tcW w:w="1270" w:type="dxa"/>
            <w:vAlign w:val="center"/>
          </w:tcPr>
          <w:p w14:paraId="784F4334" w14:textId="77777777" w:rsidR="00DF1C7A" w:rsidRPr="00DF1C7A" w:rsidRDefault="00DF1C7A" w:rsidP="00DF1C7A">
            <w:pPr>
              <w:keepNext/>
              <w:jc w:val="left"/>
              <w:rPr>
                <w:rFonts w:ascii="Arial Narrow" w:hAnsi="Arial Narrow"/>
                <w:b/>
                <w:bCs/>
                <w:sz w:val="20"/>
                <w:szCs w:val="20"/>
              </w:rPr>
            </w:pPr>
            <w:r w:rsidRPr="00DF1C7A">
              <w:rPr>
                <w:rFonts w:ascii="Arial Narrow" w:hAnsi="Arial Narrow"/>
                <w:b/>
                <w:bCs/>
                <w:sz w:val="20"/>
                <w:szCs w:val="20"/>
              </w:rPr>
              <w:t>Parameter</w:t>
            </w:r>
          </w:p>
        </w:tc>
        <w:tc>
          <w:tcPr>
            <w:tcW w:w="1237" w:type="dxa"/>
          </w:tcPr>
          <w:p w14:paraId="13D224CB" w14:textId="77777777" w:rsidR="00DF1C7A" w:rsidRPr="00DF1C7A" w:rsidRDefault="00DF1C7A" w:rsidP="00DF1C7A">
            <w:pPr>
              <w:keepNext/>
              <w:jc w:val="center"/>
              <w:rPr>
                <w:rFonts w:ascii="Arial Narrow" w:hAnsi="Arial Narrow"/>
                <w:b/>
                <w:bCs/>
                <w:sz w:val="20"/>
                <w:szCs w:val="20"/>
              </w:rPr>
            </w:pPr>
            <w:r w:rsidRPr="00DF1C7A">
              <w:rPr>
                <w:rFonts w:ascii="Arial Narrow" w:hAnsi="Arial Narrow"/>
                <w:b/>
                <w:bCs/>
                <w:sz w:val="20"/>
                <w:szCs w:val="20"/>
              </w:rPr>
              <w:t>Cost (submission)</w:t>
            </w:r>
          </w:p>
        </w:tc>
        <w:tc>
          <w:tcPr>
            <w:tcW w:w="890" w:type="dxa"/>
          </w:tcPr>
          <w:p w14:paraId="7FDA3FCE" w14:textId="77777777" w:rsidR="00DF1C7A" w:rsidRPr="00DF1C7A" w:rsidRDefault="00DF1C7A" w:rsidP="00DF1C7A">
            <w:pPr>
              <w:keepNext/>
              <w:jc w:val="center"/>
              <w:rPr>
                <w:rFonts w:ascii="Arial Narrow" w:hAnsi="Arial Narrow"/>
                <w:b/>
                <w:bCs/>
                <w:sz w:val="20"/>
                <w:szCs w:val="20"/>
              </w:rPr>
            </w:pPr>
            <w:r w:rsidRPr="00DF1C7A">
              <w:rPr>
                <w:rFonts w:ascii="Arial Narrow" w:hAnsi="Arial Narrow"/>
                <w:b/>
                <w:bCs/>
                <w:sz w:val="20"/>
                <w:szCs w:val="20"/>
              </w:rPr>
              <w:t>Cost (evaluation)</w:t>
            </w:r>
          </w:p>
        </w:tc>
        <w:tc>
          <w:tcPr>
            <w:tcW w:w="5620" w:type="dxa"/>
            <w:vAlign w:val="center"/>
          </w:tcPr>
          <w:p w14:paraId="72CECDA6" w14:textId="77777777" w:rsidR="00DF1C7A" w:rsidRPr="00DF1C7A" w:rsidRDefault="00DF1C7A" w:rsidP="00DF1C7A">
            <w:pPr>
              <w:keepNext/>
              <w:jc w:val="center"/>
              <w:rPr>
                <w:rFonts w:ascii="Arial Narrow" w:hAnsi="Arial Narrow"/>
                <w:b/>
                <w:bCs/>
                <w:sz w:val="20"/>
                <w:szCs w:val="20"/>
              </w:rPr>
            </w:pPr>
            <w:r w:rsidRPr="00DF1C7A">
              <w:rPr>
                <w:rFonts w:ascii="Arial Narrow" w:hAnsi="Arial Narrow"/>
                <w:b/>
                <w:bCs/>
                <w:sz w:val="20"/>
                <w:szCs w:val="20"/>
              </w:rPr>
              <w:t>Source/calculation</w:t>
            </w:r>
          </w:p>
        </w:tc>
      </w:tr>
      <w:tr w:rsidR="00DF1C7A" w:rsidRPr="00DF1C7A" w14:paraId="39B4465B" w14:textId="77777777" w:rsidTr="00ED4BBD">
        <w:tc>
          <w:tcPr>
            <w:tcW w:w="3397" w:type="dxa"/>
            <w:gridSpan w:val="3"/>
            <w:vAlign w:val="center"/>
          </w:tcPr>
          <w:p w14:paraId="5B8A2598" w14:textId="77777777" w:rsidR="00DF1C7A" w:rsidRPr="00DF1C7A" w:rsidRDefault="00DF1C7A" w:rsidP="00DF1C7A">
            <w:pPr>
              <w:keepNext/>
              <w:jc w:val="left"/>
              <w:rPr>
                <w:rFonts w:ascii="Arial Narrow" w:hAnsi="Arial Narrow"/>
                <w:b/>
                <w:bCs/>
                <w:sz w:val="20"/>
                <w:szCs w:val="20"/>
              </w:rPr>
            </w:pPr>
            <w:r w:rsidRPr="00DF1C7A">
              <w:rPr>
                <w:rFonts w:ascii="Arial Narrow" w:hAnsi="Arial Narrow"/>
                <w:b/>
                <w:bCs/>
                <w:sz w:val="20"/>
                <w:szCs w:val="20"/>
              </w:rPr>
              <w:t>Ranibizumab intravitreal injection</w:t>
            </w:r>
          </w:p>
        </w:tc>
        <w:tc>
          <w:tcPr>
            <w:tcW w:w="5620" w:type="dxa"/>
          </w:tcPr>
          <w:p w14:paraId="5DD118E1" w14:textId="77777777" w:rsidR="00DF1C7A" w:rsidRPr="00DF1C7A" w:rsidRDefault="00DF1C7A" w:rsidP="00DF1C7A">
            <w:pPr>
              <w:keepNext/>
              <w:jc w:val="left"/>
              <w:rPr>
                <w:rFonts w:ascii="Arial Narrow" w:hAnsi="Arial Narrow"/>
                <w:b/>
                <w:bCs/>
                <w:sz w:val="20"/>
                <w:szCs w:val="20"/>
              </w:rPr>
            </w:pPr>
          </w:p>
        </w:tc>
      </w:tr>
      <w:tr w:rsidR="00DF1C7A" w:rsidRPr="00DF1C7A" w14:paraId="4B10A95B" w14:textId="77777777" w:rsidTr="00ED4BBD">
        <w:tc>
          <w:tcPr>
            <w:tcW w:w="1270" w:type="dxa"/>
            <w:vAlign w:val="center"/>
          </w:tcPr>
          <w:p w14:paraId="53FBE9FF"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Drug costs</w:t>
            </w:r>
          </w:p>
        </w:tc>
        <w:tc>
          <w:tcPr>
            <w:tcW w:w="1237" w:type="dxa"/>
            <w:vAlign w:val="center"/>
          </w:tcPr>
          <w:p w14:paraId="024CCCC8" w14:textId="77777777" w:rsidR="00DF1C7A" w:rsidRPr="00DF1C7A" w:rsidRDefault="00DF1C7A" w:rsidP="00DF1C7A">
            <w:pPr>
              <w:keepNext/>
              <w:jc w:val="center"/>
              <w:rPr>
                <w:rFonts w:ascii="Arial Narrow" w:hAnsi="Arial Narrow"/>
                <w:sz w:val="20"/>
                <w:szCs w:val="20"/>
              </w:rPr>
            </w:pPr>
            <w:r w:rsidRPr="00DF1C7A">
              <w:rPr>
                <w:rFonts w:ascii="Arial Narrow" w:hAnsi="Arial Narrow"/>
                <w:snapToGrid w:val="0"/>
                <w:sz w:val="20"/>
                <w:szCs w:val="22"/>
                <w:lang w:eastAsia="en-US"/>
              </w:rPr>
              <w:t>$20,999</w:t>
            </w:r>
          </w:p>
        </w:tc>
        <w:tc>
          <w:tcPr>
            <w:tcW w:w="890" w:type="dxa"/>
            <w:vAlign w:val="center"/>
          </w:tcPr>
          <w:p w14:paraId="5758D2C5" w14:textId="77777777" w:rsidR="00DF1C7A" w:rsidRPr="00DF1C7A" w:rsidRDefault="00DF1C7A" w:rsidP="00DF1C7A">
            <w:pPr>
              <w:keepNext/>
              <w:jc w:val="center"/>
              <w:rPr>
                <w:rFonts w:ascii="Arial Narrow" w:hAnsi="Arial Narrow"/>
                <w:iCs/>
                <w:sz w:val="20"/>
                <w:szCs w:val="20"/>
              </w:rPr>
            </w:pPr>
            <w:r w:rsidRPr="00DF1C7A">
              <w:rPr>
                <w:rFonts w:ascii="Arial Narrow" w:hAnsi="Arial Narrow"/>
                <w:iCs/>
                <w:sz w:val="20"/>
                <w:szCs w:val="20"/>
              </w:rPr>
              <w:t>$11,766</w:t>
            </w:r>
          </w:p>
        </w:tc>
        <w:tc>
          <w:tcPr>
            <w:tcW w:w="5620" w:type="dxa"/>
          </w:tcPr>
          <w:p w14:paraId="059ABFAA"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Submission = $1,042.95 per injection (DPMQ) × 10.07 injections per year × 2 years</w:t>
            </w:r>
          </w:p>
          <w:p w14:paraId="1CB79D0C" w14:textId="77777777" w:rsidR="00DF1C7A" w:rsidRPr="00DF1C7A" w:rsidRDefault="00DF1C7A" w:rsidP="00DF1C7A">
            <w:pPr>
              <w:keepNext/>
              <w:jc w:val="left"/>
              <w:rPr>
                <w:rFonts w:ascii="Arial Narrow" w:hAnsi="Arial Narrow"/>
                <w:iCs/>
                <w:sz w:val="20"/>
                <w:szCs w:val="20"/>
              </w:rPr>
            </w:pPr>
            <w:r w:rsidRPr="00DF1C7A">
              <w:rPr>
                <w:rFonts w:ascii="Arial Narrow" w:hAnsi="Arial Narrow"/>
                <w:iCs/>
                <w:sz w:val="20"/>
                <w:szCs w:val="20"/>
              </w:rPr>
              <w:t xml:space="preserve">Evaluation = $932.40 per injection (AEMP) × 6.31 injections per </w:t>
            </w:r>
            <w:proofErr w:type="spellStart"/>
            <w:r w:rsidRPr="00DF1C7A">
              <w:rPr>
                <w:rFonts w:ascii="Arial Narrow" w:hAnsi="Arial Narrow"/>
                <w:iCs/>
                <w:sz w:val="20"/>
                <w:szCs w:val="20"/>
              </w:rPr>
              <w:t>year</w:t>
            </w:r>
            <w:r w:rsidRPr="00DF1C7A">
              <w:rPr>
                <w:rFonts w:ascii="Arial Narrow" w:hAnsi="Arial Narrow"/>
                <w:iCs/>
                <w:sz w:val="20"/>
                <w:szCs w:val="20"/>
                <w:vertAlign w:val="superscript"/>
              </w:rPr>
              <w:t>b</w:t>
            </w:r>
            <w:proofErr w:type="spellEnd"/>
            <w:r w:rsidRPr="00DF1C7A">
              <w:rPr>
                <w:rFonts w:ascii="Arial Narrow" w:hAnsi="Arial Narrow"/>
                <w:iCs/>
                <w:sz w:val="20"/>
                <w:szCs w:val="20"/>
              </w:rPr>
              <w:t xml:space="preserve"> × 2 years</w:t>
            </w:r>
          </w:p>
        </w:tc>
      </w:tr>
      <w:tr w:rsidR="00DF1C7A" w:rsidRPr="00DF1C7A" w14:paraId="14F93885" w14:textId="77777777" w:rsidTr="00ED4BBD">
        <w:tc>
          <w:tcPr>
            <w:tcW w:w="1270" w:type="dxa"/>
            <w:vAlign w:val="center"/>
          </w:tcPr>
          <w:p w14:paraId="593DD349"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Administration costs</w:t>
            </w:r>
          </w:p>
        </w:tc>
        <w:tc>
          <w:tcPr>
            <w:tcW w:w="1237" w:type="dxa"/>
            <w:vAlign w:val="center"/>
          </w:tcPr>
          <w:p w14:paraId="33DF7F72" w14:textId="77777777" w:rsidR="00DF1C7A" w:rsidRPr="00DF1C7A" w:rsidRDefault="00DF1C7A" w:rsidP="00DF1C7A">
            <w:pPr>
              <w:keepNext/>
              <w:jc w:val="center"/>
              <w:rPr>
                <w:rFonts w:ascii="Arial Narrow" w:hAnsi="Arial Narrow"/>
                <w:sz w:val="20"/>
                <w:szCs w:val="20"/>
              </w:rPr>
            </w:pPr>
            <w:r w:rsidRPr="00DF1C7A">
              <w:rPr>
                <w:rFonts w:ascii="Arial Narrow" w:hAnsi="Arial Narrow"/>
                <w:snapToGrid w:val="0"/>
                <w:sz w:val="20"/>
                <w:szCs w:val="22"/>
                <w:lang w:eastAsia="en-US"/>
              </w:rPr>
              <w:t>$6,301</w:t>
            </w:r>
          </w:p>
        </w:tc>
        <w:tc>
          <w:tcPr>
            <w:tcW w:w="890" w:type="dxa"/>
            <w:vAlign w:val="center"/>
          </w:tcPr>
          <w:p w14:paraId="20290FC8" w14:textId="77777777" w:rsidR="00DF1C7A" w:rsidRPr="00DF1C7A" w:rsidRDefault="00DF1C7A" w:rsidP="00DF1C7A">
            <w:pPr>
              <w:keepNext/>
              <w:jc w:val="center"/>
              <w:rPr>
                <w:rFonts w:ascii="Arial Narrow" w:hAnsi="Arial Narrow"/>
                <w:iCs/>
                <w:sz w:val="20"/>
                <w:szCs w:val="20"/>
              </w:rPr>
            </w:pPr>
            <w:r w:rsidRPr="00DF1C7A">
              <w:rPr>
                <w:rFonts w:ascii="Arial Narrow" w:hAnsi="Arial Narrow"/>
                <w:iCs/>
                <w:sz w:val="20"/>
                <w:szCs w:val="20"/>
              </w:rPr>
              <w:t>$3,949</w:t>
            </w:r>
          </w:p>
        </w:tc>
        <w:tc>
          <w:tcPr>
            <w:tcW w:w="5620" w:type="dxa"/>
          </w:tcPr>
          <w:p w14:paraId="624F3D8D"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 xml:space="preserve">Submission </w:t>
            </w:r>
            <w:r w:rsidRPr="00DF1C7A">
              <w:rPr>
                <w:rFonts w:ascii="Arial Narrow" w:hAnsi="Arial Narrow"/>
                <w:iCs/>
                <w:sz w:val="20"/>
                <w:szCs w:val="20"/>
              </w:rPr>
              <w:t xml:space="preserve">[evaluation] </w:t>
            </w:r>
            <w:r w:rsidRPr="00DF1C7A">
              <w:rPr>
                <w:rFonts w:ascii="Arial Narrow" w:hAnsi="Arial Narrow"/>
                <w:sz w:val="20"/>
                <w:szCs w:val="20"/>
              </w:rPr>
              <w:t xml:space="preserve">= $312.95 per administration (MBS item 42738/42739/42740) × 10.07 </w:t>
            </w:r>
            <w:r w:rsidRPr="00DF1C7A">
              <w:rPr>
                <w:rFonts w:ascii="Arial Narrow" w:hAnsi="Arial Narrow"/>
                <w:iCs/>
                <w:sz w:val="20"/>
                <w:szCs w:val="20"/>
              </w:rPr>
              <w:t>[6.31]</w:t>
            </w:r>
            <w:r w:rsidRPr="00DF1C7A">
              <w:rPr>
                <w:rFonts w:ascii="Arial Narrow" w:hAnsi="Arial Narrow"/>
                <w:sz w:val="20"/>
                <w:szCs w:val="20"/>
              </w:rPr>
              <w:t xml:space="preserve"> injections per year × 2 years</w:t>
            </w:r>
          </w:p>
        </w:tc>
      </w:tr>
      <w:tr w:rsidR="00DF1C7A" w:rsidRPr="00DF1C7A" w14:paraId="066B7147" w14:textId="77777777" w:rsidTr="00ED4BBD">
        <w:tc>
          <w:tcPr>
            <w:tcW w:w="1270" w:type="dxa"/>
            <w:vAlign w:val="center"/>
          </w:tcPr>
          <w:p w14:paraId="37FA082E" w14:textId="77777777" w:rsidR="00DF1C7A" w:rsidRPr="00DF1C7A" w:rsidRDefault="00DF1C7A" w:rsidP="00DF1C7A">
            <w:pPr>
              <w:keepNext/>
              <w:jc w:val="left"/>
              <w:rPr>
                <w:rFonts w:ascii="Arial Narrow" w:hAnsi="Arial Narrow"/>
                <w:b/>
                <w:bCs/>
                <w:sz w:val="20"/>
                <w:szCs w:val="20"/>
              </w:rPr>
            </w:pPr>
            <w:r w:rsidRPr="00DF1C7A">
              <w:rPr>
                <w:rFonts w:ascii="Arial Narrow" w:hAnsi="Arial Narrow"/>
                <w:b/>
                <w:bCs/>
                <w:sz w:val="20"/>
                <w:szCs w:val="20"/>
              </w:rPr>
              <w:t>Total costs</w:t>
            </w:r>
          </w:p>
        </w:tc>
        <w:tc>
          <w:tcPr>
            <w:tcW w:w="1237" w:type="dxa"/>
          </w:tcPr>
          <w:p w14:paraId="0E189997" w14:textId="77777777" w:rsidR="00DF1C7A" w:rsidRPr="00DF1C7A" w:rsidRDefault="00DF1C7A" w:rsidP="00DF1C7A">
            <w:pPr>
              <w:keepNext/>
              <w:jc w:val="center"/>
              <w:rPr>
                <w:rFonts w:ascii="Arial Narrow" w:hAnsi="Arial Narrow"/>
                <w:b/>
                <w:bCs/>
                <w:sz w:val="20"/>
                <w:szCs w:val="20"/>
              </w:rPr>
            </w:pPr>
            <w:r w:rsidRPr="00DF1C7A">
              <w:rPr>
                <w:rFonts w:ascii="Arial Narrow" w:hAnsi="Arial Narrow"/>
                <w:b/>
                <w:bCs/>
                <w:sz w:val="20"/>
                <w:szCs w:val="20"/>
              </w:rPr>
              <w:t>$27,301</w:t>
            </w:r>
          </w:p>
        </w:tc>
        <w:tc>
          <w:tcPr>
            <w:tcW w:w="890" w:type="dxa"/>
            <w:vAlign w:val="center"/>
          </w:tcPr>
          <w:p w14:paraId="60C8F744" w14:textId="77777777" w:rsidR="00DF1C7A" w:rsidRPr="00DF1C7A" w:rsidRDefault="00DF1C7A" w:rsidP="00DF1C7A">
            <w:pPr>
              <w:keepNext/>
              <w:jc w:val="center"/>
              <w:rPr>
                <w:rFonts w:ascii="Arial Narrow" w:hAnsi="Arial Narrow"/>
                <w:b/>
                <w:bCs/>
                <w:iCs/>
                <w:sz w:val="20"/>
                <w:szCs w:val="20"/>
              </w:rPr>
            </w:pPr>
            <w:r w:rsidRPr="00DF1C7A">
              <w:rPr>
                <w:rFonts w:ascii="Arial Narrow" w:hAnsi="Arial Narrow"/>
                <w:b/>
                <w:bCs/>
                <w:iCs/>
                <w:sz w:val="20"/>
                <w:szCs w:val="20"/>
              </w:rPr>
              <w:t>$15,716</w:t>
            </w:r>
          </w:p>
        </w:tc>
        <w:tc>
          <w:tcPr>
            <w:tcW w:w="5620" w:type="dxa"/>
          </w:tcPr>
          <w:p w14:paraId="18C2DB80"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Sum of drug and administration costs</w:t>
            </w:r>
          </w:p>
        </w:tc>
      </w:tr>
      <w:tr w:rsidR="00DF1C7A" w:rsidRPr="00DF1C7A" w14:paraId="49C9014B" w14:textId="77777777" w:rsidTr="00ED4BBD">
        <w:tc>
          <w:tcPr>
            <w:tcW w:w="3397" w:type="dxa"/>
            <w:gridSpan w:val="3"/>
            <w:vAlign w:val="center"/>
          </w:tcPr>
          <w:p w14:paraId="62E577F9" w14:textId="77777777" w:rsidR="00DF1C7A" w:rsidRPr="00DF1C7A" w:rsidRDefault="00DF1C7A" w:rsidP="00DF1C7A">
            <w:pPr>
              <w:keepNext/>
              <w:jc w:val="left"/>
              <w:rPr>
                <w:rFonts w:ascii="Arial Narrow" w:hAnsi="Arial Narrow"/>
                <w:b/>
                <w:bCs/>
                <w:sz w:val="20"/>
                <w:szCs w:val="20"/>
              </w:rPr>
            </w:pPr>
            <w:r w:rsidRPr="00DF1C7A">
              <w:rPr>
                <w:rFonts w:ascii="Arial Narrow" w:hAnsi="Arial Narrow"/>
                <w:b/>
                <w:bCs/>
                <w:sz w:val="20"/>
                <w:szCs w:val="20"/>
              </w:rPr>
              <w:t>Ranibizumab PDS</w:t>
            </w:r>
          </w:p>
        </w:tc>
        <w:tc>
          <w:tcPr>
            <w:tcW w:w="5620" w:type="dxa"/>
          </w:tcPr>
          <w:p w14:paraId="18387ABA" w14:textId="77777777" w:rsidR="00DF1C7A" w:rsidRPr="00DF1C7A" w:rsidRDefault="00DF1C7A" w:rsidP="00DF1C7A">
            <w:pPr>
              <w:keepNext/>
              <w:jc w:val="left"/>
              <w:rPr>
                <w:rFonts w:ascii="Arial Narrow" w:hAnsi="Arial Narrow"/>
                <w:b/>
                <w:bCs/>
                <w:sz w:val="20"/>
                <w:szCs w:val="20"/>
              </w:rPr>
            </w:pPr>
          </w:p>
        </w:tc>
      </w:tr>
      <w:tr w:rsidR="00DF1C7A" w:rsidRPr="00DF1C7A" w14:paraId="0D4D58D8" w14:textId="77777777" w:rsidTr="00ED4BBD">
        <w:tc>
          <w:tcPr>
            <w:tcW w:w="1270" w:type="dxa"/>
            <w:vAlign w:val="center"/>
          </w:tcPr>
          <w:p w14:paraId="3F437E47"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Implant cost</w:t>
            </w:r>
          </w:p>
        </w:tc>
        <w:tc>
          <w:tcPr>
            <w:tcW w:w="1237" w:type="dxa"/>
            <w:vAlign w:val="center"/>
          </w:tcPr>
          <w:p w14:paraId="1B503014"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$400</w:t>
            </w:r>
          </w:p>
        </w:tc>
        <w:tc>
          <w:tcPr>
            <w:tcW w:w="890" w:type="dxa"/>
            <w:vAlign w:val="center"/>
          </w:tcPr>
          <w:p w14:paraId="6E513146"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$400</w:t>
            </w:r>
          </w:p>
        </w:tc>
        <w:tc>
          <w:tcPr>
            <w:tcW w:w="5620" w:type="dxa"/>
            <w:vAlign w:val="center"/>
          </w:tcPr>
          <w:p w14:paraId="3BDC4B9B" w14:textId="77777777" w:rsidR="00DF1C7A" w:rsidRPr="00DF1C7A" w:rsidRDefault="00DF1C7A" w:rsidP="00DF1C7A">
            <w:pPr>
              <w:keepNext/>
              <w:jc w:val="left"/>
              <w:rPr>
                <w:rFonts w:ascii="Arial Narrow" w:hAnsi="Arial Narrow"/>
                <w:snapToGrid w:val="0"/>
                <w:sz w:val="20"/>
                <w:szCs w:val="22"/>
                <w:lang w:eastAsia="en-US"/>
              </w:rPr>
            </w:pPr>
            <w:r w:rsidRPr="00DF1C7A">
              <w:rPr>
                <w:rFonts w:ascii="Arial Narrow" w:hAnsi="Arial Narrow"/>
                <w:snapToGrid w:val="0"/>
                <w:sz w:val="20"/>
                <w:szCs w:val="22"/>
                <w:lang w:eastAsia="en-US"/>
              </w:rPr>
              <w:t>Submission stated this was ‘As per the PLAC submission’; ocular implant benefit (one-off cost).</w:t>
            </w:r>
          </w:p>
        </w:tc>
      </w:tr>
      <w:tr w:rsidR="00DF1C7A" w:rsidRPr="00DF1C7A" w14:paraId="542262E6" w14:textId="77777777" w:rsidTr="00ED4BBD">
        <w:tc>
          <w:tcPr>
            <w:tcW w:w="1270" w:type="dxa"/>
            <w:vAlign w:val="center"/>
          </w:tcPr>
          <w:p w14:paraId="6B5620A5"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Drug cost</w:t>
            </w:r>
          </w:p>
        </w:tc>
        <w:tc>
          <w:tcPr>
            <w:tcW w:w="1237" w:type="dxa"/>
            <w:vAlign w:val="center"/>
          </w:tcPr>
          <w:p w14:paraId="622F5366"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$13,920</w:t>
            </w:r>
          </w:p>
        </w:tc>
        <w:tc>
          <w:tcPr>
            <w:tcW w:w="890" w:type="dxa"/>
            <w:vAlign w:val="center"/>
          </w:tcPr>
          <w:p w14:paraId="4C9F5AD4" w14:textId="77777777" w:rsidR="00DF1C7A" w:rsidRPr="00DF1C7A" w:rsidRDefault="00DF1C7A" w:rsidP="00DF1C7A">
            <w:pPr>
              <w:keepNext/>
              <w:jc w:val="center"/>
              <w:rPr>
                <w:rFonts w:ascii="Arial Narrow" w:hAnsi="Arial Narrow"/>
                <w:iCs/>
                <w:sz w:val="20"/>
                <w:szCs w:val="20"/>
              </w:rPr>
            </w:pPr>
            <w:r w:rsidRPr="00DF1C7A">
              <w:rPr>
                <w:rFonts w:ascii="Arial Narrow" w:hAnsi="Arial Narrow"/>
                <w:iCs/>
                <w:sz w:val="20"/>
                <w:szCs w:val="20"/>
              </w:rPr>
              <w:t>$11,766</w:t>
            </w:r>
          </w:p>
        </w:tc>
        <w:tc>
          <w:tcPr>
            <w:tcW w:w="5620" w:type="dxa"/>
          </w:tcPr>
          <w:p w14:paraId="186C4AA3"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Submission = $3,212.32</w:t>
            </w:r>
            <w:r w:rsidRPr="00DF1C7A">
              <w:rPr>
                <w:rFonts w:ascii="Arial Narrow" w:hAnsi="Arial Narrow"/>
                <w:sz w:val="20"/>
                <w:szCs w:val="20"/>
                <w:vertAlign w:val="superscript"/>
              </w:rPr>
              <w:t>a</w:t>
            </w:r>
            <w:r w:rsidRPr="00DF1C7A">
              <w:rPr>
                <w:rFonts w:ascii="Arial Narrow" w:hAnsi="Arial Narrow"/>
                <w:sz w:val="20"/>
                <w:szCs w:val="20"/>
              </w:rPr>
              <w:t xml:space="preserve"> per dose (proposed DPMQ) × 2.167 administrations per year × 2 years</w:t>
            </w:r>
          </w:p>
          <w:p w14:paraId="0D781DF8" w14:textId="77777777" w:rsidR="00DF1C7A" w:rsidRPr="00DF1C7A" w:rsidRDefault="00DF1C7A" w:rsidP="00DF1C7A">
            <w:pPr>
              <w:keepNext/>
              <w:jc w:val="left"/>
              <w:rPr>
                <w:rFonts w:ascii="Arial Narrow" w:hAnsi="Arial Narrow"/>
                <w:iCs/>
                <w:sz w:val="20"/>
                <w:szCs w:val="20"/>
              </w:rPr>
            </w:pPr>
            <w:r w:rsidRPr="00DF1C7A">
              <w:rPr>
                <w:rFonts w:ascii="Arial Narrow" w:hAnsi="Arial Narrow"/>
                <w:iCs/>
                <w:sz w:val="20"/>
                <w:szCs w:val="20"/>
              </w:rPr>
              <w:t>Evaluation = $2,715.44</w:t>
            </w:r>
            <w:r w:rsidRPr="00DF1C7A">
              <w:rPr>
                <w:rFonts w:ascii="Arial Narrow" w:hAnsi="Arial Narrow"/>
                <w:iCs/>
                <w:sz w:val="20"/>
                <w:szCs w:val="20"/>
                <w:vertAlign w:val="superscript"/>
              </w:rPr>
              <w:t>b</w:t>
            </w:r>
            <w:r w:rsidRPr="00DF1C7A">
              <w:rPr>
                <w:rFonts w:ascii="Arial Narrow" w:hAnsi="Arial Narrow"/>
                <w:iCs/>
                <w:sz w:val="20"/>
                <w:szCs w:val="20"/>
              </w:rPr>
              <w:t xml:space="preserve"> per dose (revised AEMP) × 2.167 administrations per year × 2 years</w:t>
            </w:r>
          </w:p>
        </w:tc>
      </w:tr>
      <w:tr w:rsidR="00DF1C7A" w:rsidRPr="00DF1C7A" w14:paraId="6966E4EF" w14:textId="77777777" w:rsidTr="00ED4BBD">
        <w:tc>
          <w:tcPr>
            <w:tcW w:w="1270" w:type="dxa"/>
            <w:vAlign w:val="center"/>
          </w:tcPr>
          <w:p w14:paraId="4638E70C"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Administration cost</w:t>
            </w:r>
          </w:p>
        </w:tc>
        <w:tc>
          <w:tcPr>
            <w:tcW w:w="1237" w:type="dxa"/>
            <w:vAlign w:val="center"/>
          </w:tcPr>
          <w:p w14:paraId="10049ADE"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$2,236</w:t>
            </w:r>
          </w:p>
        </w:tc>
        <w:tc>
          <w:tcPr>
            <w:tcW w:w="890" w:type="dxa"/>
            <w:vAlign w:val="center"/>
          </w:tcPr>
          <w:p w14:paraId="1BB5F285" w14:textId="77777777" w:rsidR="00DF1C7A" w:rsidRPr="00DF1C7A" w:rsidRDefault="00DF1C7A" w:rsidP="00DF1C7A">
            <w:pPr>
              <w:keepNext/>
              <w:jc w:val="center"/>
              <w:rPr>
                <w:rFonts w:ascii="Arial Narrow" w:hAnsi="Arial Narrow"/>
                <w:iCs/>
                <w:sz w:val="20"/>
                <w:szCs w:val="20"/>
              </w:rPr>
            </w:pPr>
            <w:r w:rsidRPr="00DF1C7A">
              <w:rPr>
                <w:rFonts w:ascii="Arial Narrow" w:hAnsi="Arial Narrow"/>
                <w:sz w:val="20"/>
                <w:szCs w:val="20"/>
              </w:rPr>
              <w:t>$2,236</w:t>
            </w:r>
          </w:p>
        </w:tc>
        <w:tc>
          <w:tcPr>
            <w:tcW w:w="5620" w:type="dxa"/>
          </w:tcPr>
          <w:p w14:paraId="2E2590D0" w14:textId="77777777" w:rsidR="00DF1C7A" w:rsidRPr="00DF1C7A" w:rsidRDefault="00DF1C7A" w:rsidP="00DF1C7A">
            <w:pPr>
              <w:keepNext/>
              <w:jc w:val="left"/>
              <w:rPr>
                <w:rFonts w:ascii="Arial Narrow" w:hAnsi="Arial Narrow"/>
                <w:snapToGrid w:val="0"/>
                <w:sz w:val="20"/>
                <w:szCs w:val="20"/>
                <w:lang w:eastAsia="en-US"/>
              </w:rPr>
            </w:pPr>
            <w:r w:rsidRPr="00DF1C7A">
              <w:rPr>
                <w:rFonts w:ascii="Arial Narrow" w:hAnsi="Arial Narrow"/>
                <w:sz w:val="20"/>
                <w:szCs w:val="20"/>
              </w:rPr>
              <w:t>$1,558 in Year 1: $1,193.18 for i</w:t>
            </w:r>
            <w:r w:rsidRPr="00DF1C7A">
              <w:rPr>
                <w:rFonts w:ascii="Arial Narrow" w:hAnsi="Arial Narrow"/>
                <w:snapToGrid w:val="0"/>
                <w:sz w:val="20"/>
                <w:szCs w:val="20"/>
                <w:lang w:eastAsia="en-US"/>
              </w:rPr>
              <w:t>mplantation and initial fill (proposed MBS item) + $312.95 per refill exchange (proposed MBS item) × 1.167 (administration frequency of 2.167 minus the initial fill).</w:t>
            </w:r>
          </w:p>
          <w:p w14:paraId="723153C0"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 xml:space="preserve">$678 in Year 2: $312.95 per </w:t>
            </w:r>
            <w:r w:rsidRPr="00DF1C7A">
              <w:rPr>
                <w:rFonts w:ascii="Arial Narrow" w:hAnsi="Arial Narrow"/>
                <w:snapToGrid w:val="0"/>
                <w:sz w:val="20"/>
                <w:szCs w:val="20"/>
                <w:lang w:eastAsia="en-US"/>
              </w:rPr>
              <w:t>refill exchange (proposed MBS item) × 2.167 administrations per year.</w:t>
            </w:r>
          </w:p>
        </w:tc>
      </w:tr>
      <w:tr w:rsidR="00DF1C7A" w:rsidRPr="00DF1C7A" w14:paraId="46C28BE8" w14:textId="77777777" w:rsidTr="00ED4BBD">
        <w:tc>
          <w:tcPr>
            <w:tcW w:w="1270" w:type="dxa"/>
            <w:vAlign w:val="center"/>
          </w:tcPr>
          <w:p w14:paraId="2B698C27"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Monitoring cost</w:t>
            </w:r>
          </w:p>
        </w:tc>
        <w:tc>
          <w:tcPr>
            <w:tcW w:w="1237" w:type="dxa"/>
            <w:vAlign w:val="center"/>
          </w:tcPr>
          <w:p w14:paraId="0B327A28"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$318</w:t>
            </w:r>
          </w:p>
        </w:tc>
        <w:tc>
          <w:tcPr>
            <w:tcW w:w="890" w:type="dxa"/>
            <w:vAlign w:val="center"/>
          </w:tcPr>
          <w:p w14:paraId="2A84F6AC"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$318</w:t>
            </w:r>
          </w:p>
        </w:tc>
        <w:tc>
          <w:tcPr>
            <w:tcW w:w="5620" w:type="dxa"/>
            <w:vAlign w:val="center"/>
          </w:tcPr>
          <w:p w14:paraId="49F7E96B" w14:textId="77777777" w:rsidR="00DF1C7A" w:rsidRPr="00DF1C7A" w:rsidRDefault="00DF1C7A" w:rsidP="00DF1C7A">
            <w:pPr>
              <w:keepNext/>
              <w:jc w:val="left"/>
              <w:rPr>
                <w:rFonts w:ascii="Arial Narrow" w:hAnsi="Arial Narrow"/>
                <w:snapToGrid w:val="0"/>
                <w:sz w:val="20"/>
                <w:szCs w:val="22"/>
                <w:lang w:eastAsia="en-US"/>
              </w:rPr>
            </w:pPr>
            <w:r w:rsidRPr="00DF1C7A">
              <w:rPr>
                <w:rFonts w:ascii="Arial Narrow" w:hAnsi="Arial Narrow"/>
                <w:snapToGrid w:val="0"/>
                <w:sz w:val="20"/>
                <w:szCs w:val="22"/>
                <w:lang w:eastAsia="en-US"/>
              </w:rPr>
              <w:t>$45.40 per visit (MBS item 105) × 5 visits in Year 1 (Days 1 and 7, Month 1, prior to the first 6 month refill, and then every 3 months in between refills), and 2 visits in Year 2 (every 3 months in between refills).</w:t>
            </w:r>
          </w:p>
        </w:tc>
      </w:tr>
      <w:tr w:rsidR="00DF1C7A" w:rsidRPr="00DF1C7A" w14:paraId="052FE343" w14:textId="77777777" w:rsidTr="00ED4BBD">
        <w:tc>
          <w:tcPr>
            <w:tcW w:w="1270" w:type="dxa"/>
            <w:vAlign w:val="center"/>
          </w:tcPr>
          <w:p w14:paraId="307E1B8C"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Supplemental intravitreal ranibizumab</w:t>
            </w:r>
          </w:p>
        </w:tc>
        <w:tc>
          <w:tcPr>
            <w:tcW w:w="1237" w:type="dxa"/>
            <w:vAlign w:val="center"/>
          </w:tcPr>
          <w:p w14:paraId="70F3A2A6"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$277</w:t>
            </w:r>
          </w:p>
        </w:tc>
        <w:tc>
          <w:tcPr>
            <w:tcW w:w="890" w:type="dxa"/>
            <w:vAlign w:val="center"/>
          </w:tcPr>
          <w:p w14:paraId="4DB39D82" w14:textId="77777777" w:rsidR="00DF1C7A" w:rsidRPr="00DF1C7A" w:rsidRDefault="00DF1C7A" w:rsidP="00DF1C7A">
            <w:pPr>
              <w:keepNext/>
              <w:jc w:val="center"/>
              <w:rPr>
                <w:rFonts w:ascii="Arial Narrow" w:hAnsi="Arial Narrow"/>
                <w:iCs/>
                <w:sz w:val="20"/>
                <w:szCs w:val="20"/>
              </w:rPr>
            </w:pPr>
            <w:r w:rsidRPr="00DF1C7A">
              <w:rPr>
                <w:rFonts w:ascii="Arial Narrow" w:hAnsi="Arial Narrow"/>
                <w:iCs/>
                <w:sz w:val="20"/>
                <w:szCs w:val="20"/>
              </w:rPr>
              <w:t>$255</w:t>
            </w:r>
          </w:p>
        </w:tc>
        <w:tc>
          <w:tcPr>
            <w:tcW w:w="5620" w:type="dxa"/>
          </w:tcPr>
          <w:p w14:paraId="7EAE70F2"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 xml:space="preserve">Submission </w:t>
            </w:r>
            <w:r w:rsidRPr="00DF1C7A">
              <w:rPr>
                <w:rFonts w:ascii="Arial Narrow" w:hAnsi="Arial Narrow"/>
                <w:iCs/>
                <w:sz w:val="20"/>
                <w:szCs w:val="20"/>
              </w:rPr>
              <w:t>[evaluation]</w:t>
            </w:r>
            <w:r w:rsidRPr="00DF1C7A">
              <w:rPr>
                <w:rFonts w:ascii="Arial Narrow" w:hAnsi="Arial Narrow"/>
                <w:sz w:val="20"/>
                <w:szCs w:val="20"/>
              </w:rPr>
              <w:t xml:space="preserve"> = ($1,042.95 (intravitreal ranibizumab DPMQ) </w:t>
            </w:r>
            <w:r w:rsidRPr="00DF1C7A">
              <w:rPr>
                <w:rFonts w:ascii="Arial Narrow" w:hAnsi="Arial Narrow"/>
                <w:iCs/>
                <w:sz w:val="20"/>
                <w:szCs w:val="20"/>
              </w:rPr>
              <w:t>[$932.40 (intravitreal ranibizumab AEMP)</w:t>
            </w:r>
            <w:r w:rsidRPr="00DF1C7A">
              <w:rPr>
                <w:rFonts w:ascii="Arial Narrow" w:hAnsi="Arial Narrow"/>
                <w:sz w:val="20"/>
                <w:szCs w:val="20"/>
              </w:rPr>
              <w:t>] + $312.95 (MBS administration cost items) per injection) × 0.1 supplemental treatments per patient per year (based on 38 supplemental treatments administered over 77.9 weeks in the ARCHWAY trial) × 2 years</w:t>
            </w:r>
          </w:p>
        </w:tc>
      </w:tr>
      <w:tr w:rsidR="00DF1C7A" w:rsidRPr="00DF1C7A" w14:paraId="57CBDD91" w14:textId="77777777" w:rsidTr="00ED4BBD">
        <w:tc>
          <w:tcPr>
            <w:tcW w:w="1270" w:type="dxa"/>
            <w:vAlign w:val="center"/>
          </w:tcPr>
          <w:p w14:paraId="192E31D2"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Adverse event costs</w:t>
            </w:r>
          </w:p>
        </w:tc>
        <w:tc>
          <w:tcPr>
            <w:tcW w:w="1237" w:type="dxa"/>
            <w:vAlign w:val="center"/>
          </w:tcPr>
          <w:p w14:paraId="1C3A0CC6"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$79</w:t>
            </w:r>
          </w:p>
        </w:tc>
        <w:tc>
          <w:tcPr>
            <w:tcW w:w="890" w:type="dxa"/>
            <w:vAlign w:val="center"/>
          </w:tcPr>
          <w:p w14:paraId="7A08C657"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$79</w:t>
            </w:r>
          </w:p>
        </w:tc>
        <w:tc>
          <w:tcPr>
            <w:tcW w:w="5620" w:type="dxa"/>
          </w:tcPr>
          <w:p w14:paraId="3DAE0392" w14:textId="77777777" w:rsidR="00DF1C7A" w:rsidRPr="00DF1C7A" w:rsidRDefault="00DF1C7A" w:rsidP="00DF1C7A">
            <w:pPr>
              <w:keepNext/>
              <w:jc w:val="left"/>
              <w:rPr>
                <w:rFonts w:ascii="Arial Narrow" w:hAnsi="Arial Narrow"/>
                <w:snapToGrid w:val="0"/>
                <w:sz w:val="20"/>
                <w:szCs w:val="22"/>
                <w:lang w:eastAsia="en-US"/>
              </w:rPr>
            </w:pPr>
            <w:r w:rsidRPr="00DF1C7A">
              <w:rPr>
                <w:rFonts w:ascii="Arial Narrow" w:hAnsi="Arial Narrow"/>
                <w:snapToGrid w:val="0"/>
                <w:sz w:val="20"/>
                <w:szCs w:val="22"/>
                <w:lang w:eastAsia="en-US"/>
              </w:rPr>
              <w:t>Based on frequency of adverse events in the ARCHWAY trial multiplied by the costs of treating adverse events.</w:t>
            </w:r>
          </w:p>
        </w:tc>
      </w:tr>
      <w:tr w:rsidR="00DF1C7A" w:rsidRPr="00DF1C7A" w14:paraId="396D43B6" w14:textId="77777777" w:rsidTr="00ED4BBD">
        <w:tc>
          <w:tcPr>
            <w:tcW w:w="1270" w:type="dxa"/>
            <w:vAlign w:val="center"/>
          </w:tcPr>
          <w:p w14:paraId="42FFE23C" w14:textId="77777777" w:rsidR="00DF1C7A" w:rsidRPr="00DF1C7A" w:rsidRDefault="00DF1C7A" w:rsidP="00DF1C7A">
            <w:pPr>
              <w:keepNext/>
              <w:jc w:val="left"/>
              <w:rPr>
                <w:rFonts w:ascii="Arial Narrow" w:hAnsi="Arial Narrow"/>
                <w:sz w:val="20"/>
                <w:szCs w:val="20"/>
              </w:rPr>
            </w:pPr>
            <w:proofErr w:type="spellStart"/>
            <w:r w:rsidRPr="00DF1C7A">
              <w:rPr>
                <w:rFonts w:ascii="Arial Narrow" w:hAnsi="Arial Narrow"/>
                <w:sz w:val="20"/>
                <w:szCs w:val="20"/>
              </w:rPr>
              <w:t>Explantation</w:t>
            </w:r>
            <w:proofErr w:type="spellEnd"/>
            <w:r w:rsidRPr="00DF1C7A">
              <w:rPr>
                <w:rFonts w:ascii="Arial Narrow" w:hAnsi="Arial Narrow"/>
                <w:sz w:val="20"/>
                <w:szCs w:val="20"/>
              </w:rPr>
              <w:t xml:space="preserve"> costs</w:t>
            </w:r>
          </w:p>
        </w:tc>
        <w:tc>
          <w:tcPr>
            <w:tcW w:w="1237" w:type="dxa"/>
            <w:vAlign w:val="center"/>
          </w:tcPr>
          <w:p w14:paraId="6D96FA7A"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$15</w:t>
            </w:r>
          </w:p>
        </w:tc>
        <w:tc>
          <w:tcPr>
            <w:tcW w:w="890" w:type="dxa"/>
            <w:vAlign w:val="center"/>
          </w:tcPr>
          <w:p w14:paraId="5413FCA0" w14:textId="77777777" w:rsidR="00DF1C7A" w:rsidRPr="00DF1C7A" w:rsidRDefault="00DF1C7A" w:rsidP="00DF1C7A">
            <w:pPr>
              <w:keepNext/>
              <w:jc w:val="center"/>
              <w:rPr>
                <w:rFonts w:ascii="Arial Narrow" w:hAnsi="Arial Narrow"/>
                <w:sz w:val="20"/>
                <w:szCs w:val="20"/>
              </w:rPr>
            </w:pPr>
            <w:r w:rsidRPr="00DF1C7A">
              <w:rPr>
                <w:rFonts w:ascii="Arial Narrow" w:hAnsi="Arial Narrow"/>
                <w:sz w:val="20"/>
                <w:szCs w:val="20"/>
              </w:rPr>
              <w:t>$15</w:t>
            </w:r>
          </w:p>
        </w:tc>
        <w:tc>
          <w:tcPr>
            <w:tcW w:w="5620" w:type="dxa"/>
            <w:vAlign w:val="center"/>
          </w:tcPr>
          <w:p w14:paraId="1DCF6BF4" w14:textId="77777777" w:rsidR="00DF1C7A" w:rsidRPr="00DF1C7A" w:rsidRDefault="00DF1C7A" w:rsidP="00DF1C7A">
            <w:pPr>
              <w:keepNext/>
              <w:jc w:val="left"/>
              <w:rPr>
                <w:rFonts w:ascii="Arial Narrow" w:hAnsi="Arial Narrow"/>
                <w:snapToGrid w:val="0"/>
                <w:sz w:val="20"/>
                <w:szCs w:val="22"/>
                <w:lang w:eastAsia="en-US"/>
              </w:rPr>
            </w:pPr>
            <w:r w:rsidRPr="00DF1C7A">
              <w:rPr>
                <w:rFonts w:ascii="Arial Narrow" w:hAnsi="Arial Narrow"/>
                <w:snapToGrid w:val="0"/>
                <w:sz w:val="20"/>
                <w:szCs w:val="22"/>
                <w:lang w:eastAsia="en-US"/>
              </w:rPr>
              <w:t xml:space="preserve">= $400 per </w:t>
            </w:r>
            <w:proofErr w:type="spellStart"/>
            <w:r w:rsidRPr="00DF1C7A">
              <w:rPr>
                <w:rFonts w:ascii="Arial Narrow" w:hAnsi="Arial Narrow"/>
                <w:snapToGrid w:val="0"/>
                <w:sz w:val="20"/>
                <w:szCs w:val="22"/>
                <w:lang w:eastAsia="en-US"/>
              </w:rPr>
              <w:t>explantation</w:t>
            </w:r>
            <w:proofErr w:type="spellEnd"/>
            <w:r w:rsidRPr="00DF1C7A">
              <w:rPr>
                <w:rFonts w:ascii="Arial Narrow" w:hAnsi="Arial Narrow"/>
                <w:snapToGrid w:val="0"/>
                <w:sz w:val="20"/>
                <w:szCs w:val="22"/>
                <w:lang w:eastAsia="en-US"/>
              </w:rPr>
              <w:t xml:space="preserve"> (proposed MBS item: $400) × 0.019 </w:t>
            </w:r>
            <w:proofErr w:type="spellStart"/>
            <w:r w:rsidRPr="00DF1C7A">
              <w:rPr>
                <w:rFonts w:ascii="Arial Narrow" w:hAnsi="Arial Narrow"/>
                <w:snapToGrid w:val="0"/>
                <w:sz w:val="20"/>
                <w:szCs w:val="22"/>
                <w:lang w:eastAsia="en-US"/>
              </w:rPr>
              <w:t>explantations</w:t>
            </w:r>
            <w:proofErr w:type="spellEnd"/>
            <w:r w:rsidRPr="00DF1C7A">
              <w:rPr>
                <w:rFonts w:ascii="Arial Narrow" w:hAnsi="Arial Narrow"/>
                <w:snapToGrid w:val="0"/>
                <w:sz w:val="20"/>
                <w:szCs w:val="22"/>
                <w:lang w:eastAsia="en-US"/>
              </w:rPr>
              <w:t xml:space="preserve"> per year (based on 7 </w:t>
            </w:r>
            <w:proofErr w:type="spellStart"/>
            <w:r w:rsidRPr="00DF1C7A">
              <w:rPr>
                <w:rFonts w:ascii="Arial Narrow" w:hAnsi="Arial Narrow"/>
                <w:snapToGrid w:val="0"/>
                <w:sz w:val="20"/>
                <w:szCs w:val="22"/>
                <w:lang w:eastAsia="en-US"/>
              </w:rPr>
              <w:t>explantations</w:t>
            </w:r>
            <w:proofErr w:type="spellEnd"/>
            <w:r w:rsidRPr="00DF1C7A">
              <w:rPr>
                <w:rFonts w:ascii="Arial Narrow" w:hAnsi="Arial Narrow"/>
                <w:snapToGrid w:val="0"/>
                <w:sz w:val="20"/>
                <w:szCs w:val="22"/>
                <w:lang w:eastAsia="en-US"/>
              </w:rPr>
              <w:t xml:space="preserve"> over 77.9 weeks in the ARCHWAY trial) × 2 years</w:t>
            </w:r>
          </w:p>
        </w:tc>
      </w:tr>
      <w:tr w:rsidR="00DF1C7A" w:rsidRPr="00DF1C7A" w14:paraId="2F573015" w14:textId="77777777" w:rsidTr="00ED4BBD">
        <w:tc>
          <w:tcPr>
            <w:tcW w:w="1270" w:type="dxa"/>
            <w:vAlign w:val="center"/>
          </w:tcPr>
          <w:p w14:paraId="2FCB6F51" w14:textId="77777777" w:rsidR="00DF1C7A" w:rsidRPr="00DF1C7A" w:rsidRDefault="00DF1C7A" w:rsidP="00DF1C7A">
            <w:pPr>
              <w:keepNext/>
              <w:jc w:val="left"/>
              <w:rPr>
                <w:rFonts w:ascii="Arial Narrow" w:hAnsi="Arial Narrow"/>
                <w:b/>
                <w:bCs/>
                <w:sz w:val="20"/>
                <w:szCs w:val="20"/>
              </w:rPr>
            </w:pPr>
            <w:r w:rsidRPr="00DF1C7A">
              <w:rPr>
                <w:rFonts w:ascii="Arial Narrow" w:hAnsi="Arial Narrow"/>
                <w:b/>
                <w:bCs/>
                <w:sz w:val="20"/>
                <w:szCs w:val="20"/>
              </w:rPr>
              <w:t>Total costs</w:t>
            </w:r>
          </w:p>
        </w:tc>
        <w:tc>
          <w:tcPr>
            <w:tcW w:w="1237" w:type="dxa"/>
            <w:vAlign w:val="center"/>
          </w:tcPr>
          <w:p w14:paraId="2A7A33DE" w14:textId="77777777" w:rsidR="00DF1C7A" w:rsidRPr="00DF1C7A" w:rsidRDefault="00DF1C7A" w:rsidP="00DF1C7A">
            <w:pPr>
              <w:keepNext/>
              <w:jc w:val="center"/>
              <w:rPr>
                <w:rFonts w:ascii="Arial Narrow" w:hAnsi="Arial Narrow"/>
                <w:b/>
                <w:bCs/>
                <w:sz w:val="20"/>
                <w:szCs w:val="20"/>
              </w:rPr>
            </w:pPr>
            <w:r w:rsidRPr="00DF1C7A">
              <w:rPr>
                <w:rFonts w:ascii="Arial Narrow" w:hAnsi="Arial Narrow"/>
                <w:b/>
                <w:bCs/>
                <w:sz w:val="20"/>
                <w:szCs w:val="20"/>
              </w:rPr>
              <w:t>$17,246</w:t>
            </w:r>
          </w:p>
        </w:tc>
        <w:tc>
          <w:tcPr>
            <w:tcW w:w="890" w:type="dxa"/>
            <w:vAlign w:val="center"/>
          </w:tcPr>
          <w:p w14:paraId="2D24A364" w14:textId="77777777" w:rsidR="00DF1C7A" w:rsidRPr="00DF1C7A" w:rsidRDefault="00DF1C7A" w:rsidP="00DF1C7A">
            <w:pPr>
              <w:keepNext/>
              <w:jc w:val="center"/>
              <w:rPr>
                <w:rFonts w:ascii="Arial Narrow" w:hAnsi="Arial Narrow"/>
                <w:b/>
                <w:bCs/>
                <w:iCs/>
                <w:sz w:val="20"/>
                <w:szCs w:val="20"/>
              </w:rPr>
            </w:pPr>
            <w:r w:rsidRPr="00DF1C7A">
              <w:rPr>
                <w:rFonts w:ascii="Arial Narrow" w:hAnsi="Arial Narrow"/>
                <w:b/>
                <w:bCs/>
                <w:iCs/>
                <w:sz w:val="20"/>
                <w:szCs w:val="20"/>
              </w:rPr>
              <w:t>$15,070</w:t>
            </w:r>
          </w:p>
        </w:tc>
        <w:tc>
          <w:tcPr>
            <w:tcW w:w="5620" w:type="dxa"/>
          </w:tcPr>
          <w:p w14:paraId="719D01B3" w14:textId="77777777" w:rsidR="00DF1C7A" w:rsidRPr="00DF1C7A" w:rsidRDefault="00DF1C7A" w:rsidP="00DF1C7A">
            <w:pPr>
              <w:keepNext/>
              <w:jc w:val="left"/>
              <w:rPr>
                <w:rFonts w:ascii="Arial Narrow" w:hAnsi="Arial Narrow"/>
                <w:sz w:val="20"/>
                <w:szCs w:val="20"/>
              </w:rPr>
            </w:pPr>
            <w:r w:rsidRPr="00DF1C7A">
              <w:rPr>
                <w:rFonts w:ascii="Arial Narrow" w:hAnsi="Arial Narrow"/>
                <w:sz w:val="20"/>
                <w:szCs w:val="20"/>
              </w:rPr>
              <w:t>Sum of implant, drug, administration, monitoring, supplemental intravitreal ranibizumab, adverse event and explanation costs.</w:t>
            </w:r>
          </w:p>
        </w:tc>
      </w:tr>
      <w:tr w:rsidR="00DF1C7A" w:rsidRPr="00DF1C7A" w14:paraId="716D412E" w14:textId="77777777" w:rsidTr="00ED4BBD">
        <w:tc>
          <w:tcPr>
            <w:tcW w:w="1270" w:type="dxa"/>
            <w:vAlign w:val="center"/>
          </w:tcPr>
          <w:p w14:paraId="3EDC5970" w14:textId="77777777" w:rsidR="00DF1C7A" w:rsidRPr="00DF1C7A" w:rsidRDefault="00DF1C7A" w:rsidP="00DF1C7A">
            <w:pPr>
              <w:jc w:val="left"/>
              <w:rPr>
                <w:rFonts w:ascii="Arial Narrow" w:eastAsia="Arial Narrow" w:hAnsi="Arial Narrow" w:cs="Arial Narrow"/>
                <w:b/>
                <w:bCs/>
                <w:sz w:val="20"/>
                <w:szCs w:val="20"/>
              </w:rPr>
            </w:pPr>
            <w:r w:rsidRPr="00DF1C7A">
              <w:rPr>
                <w:rFonts w:ascii="Arial Narrow" w:eastAsia="Arial Narrow" w:hAnsi="Arial Narrow" w:cs="Arial Narrow"/>
                <w:b/>
                <w:bCs/>
                <w:sz w:val="20"/>
                <w:szCs w:val="20"/>
              </w:rPr>
              <w:t>Incremental costs</w:t>
            </w:r>
          </w:p>
        </w:tc>
        <w:tc>
          <w:tcPr>
            <w:tcW w:w="1237" w:type="dxa"/>
            <w:vAlign w:val="center"/>
          </w:tcPr>
          <w:p w14:paraId="2660064A" w14:textId="77777777" w:rsidR="00DF1C7A" w:rsidRPr="00DF1C7A" w:rsidRDefault="00DF1C7A" w:rsidP="00DF1C7A">
            <w:pPr>
              <w:spacing w:line="259" w:lineRule="auto"/>
              <w:jc w:val="center"/>
              <w:rPr>
                <w:b/>
                <w:bCs/>
              </w:rPr>
            </w:pPr>
            <w:r w:rsidRPr="00DF1C7A">
              <w:rPr>
                <w:rFonts w:ascii="Arial Narrow" w:eastAsia="Arial Narrow" w:hAnsi="Arial Narrow" w:cs="Arial Narrow"/>
                <w:b/>
                <w:bCs/>
                <w:sz w:val="20"/>
                <w:szCs w:val="20"/>
              </w:rPr>
              <w:t>-$10,055</w:t>
            </w:r>
          </w:p>
        </w:tc>
        <w:tc>
          <w:tcPr>
            <w:tcW w:w="890" w:type="dxa"/>
            <w:vAlign w:val="center"/>
          </w:tcPr>
          <w:p w14:paraId="4CDE0E3D" w14:textId="77777777" w:rsidR="00DF1C7A" w:rsidRPr="00DF1C7A" w:rsidRDefault="00DF1C7A" w:rsidP="00DF1C7A">
            <w:pPr>
              <w:spacing w:line="259" w:lineRule="auto"/>
              <w:jc w:val="center"/>
              <w:rPr>
                <w:rFonts w:ascii="Arial Narrow" w:eastAsia="Arial Narrow" w:hAnsi="Arial Narrow" w:cs="Arial Narrow"/>
                <w:b/>
                <w:bCs/>
                <w:iCs/>
                <w:sz w:val="20"/>
                <w:szCs w:val="20"/>
              </w:rPr>
            </w:pPr>
            <w:r w:rsidRPr="00DF1C7A">
              <w:rPr>
                <w:rFonts w:ascii="Arial Narrow" w:eastAsia="Arial Narrow" w:hAnsi="Arial Narrow" w:cs="Arial Narrow"/>
                <w:b/>
                <w:bCs/>
                <w:iCs/>
                <w:sz w:val="20"/>
                <w:szCs w:val="20"/>
              </w:rPr>
              <w:t>-$646</w:t>
            </w:r>
          </w:p>
        </w:tc>
        <w:tc>
          <w:tcPr>
            <w:tcW w:w="5620" w:type="dxa"/>
          </w:tcPr>
          <w:p w14:paraId="7DD50D54" w14:textId="77777777" w:rsidR="00DF1C7A" w:rsidRPr="00DF1C7A" w:rsidRDefault="00DF1C7A" w:rsidP="00DF1C7A">
            <w:pPr>
              <w:spacing w:line="259" w:lineRule="auto"/>
              <w:jc w:val="left"/>
              <w:rPr>
                <w:rFonts w:ascii="Arial Narrow" w:eastAsia="Arial Narrow" w:hAnsi="Arial Narrow" w:cs="Arial Narrow"/>
                <w:sz w:val="20"/>
                <w:szCs w:val="20"/>
              </w:rPr>
            </w:pPr>
            <w:r w:rsidRPr="00DF1C7A">
              <w:rPr>
                <w:rFonts w:ascii="Arial Narrow" w:eastAsia="Arial Narrow" w:hAnsi="Arial Narrow" w:cs="Arial Narrow"/>
                <w:sz w:val="20"/>
                <w:szCs w:val="20"/>
              </w:rPr>
              <w:t>=difference between the total costs of ranibizumab PDS and intravitreal ranibizumab</w:t>
            </w:r>
          </w:p>
        </w:tc>
      </w:tr>
    </w:tbl>
    <w:p w14:paraId="076A70AF"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DPMQ = dispensed price for maximum quantity; PDS = port delivery system.</w:t>
      </w:r>
    </w:p>
    <w:p w14:paraId="19719D81"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Source: ‘Cost minimisation analysis’ spreadsheet and Table 3.7, p.96 of the submission.</w:t>
      </w:r>
    </w:p>
    <w:p w14:paraId="36B40C9F" w14:textId="77777777" w:rsidR="00DF1C7A" w:rsidRPr="00DF1C7A" w:rsidRDefault="00DF1C7A" w:rsidP="00DF1C7A">
      <w:pPr>
        <w:spacing w:after="120"/>
        <w:contextualSpacing/>
        <w:rPr>
          <w:rFonts w:ascii="Arial Narrow" w:hAnsi="Arial Narrow"/>
          <w:snapToGrid w:val="0"/>
          <w:sz w:val="18"/>
          <w:szCs w:val="22"/>
        </w:rPr>
      </w:pPr>
      <w:proofErr w:type="spellStart"/>
      <w:r w:rsidRPr="00DF1C7A">
        <w:rPr>
          <w:rFonts w:ascii="Arial Narrow" w:hAnsi="Arial Narrow"/>
          <w:snapToGrid w:val="0"/>
          <w:sz w:val="18"/>
          <w:szCs w:val="22"/>
          <w:vertAlign w:val="superscript"/>
        </w:rPr>
        <w:t>a</w:t>
      </w:r>
      <w:proofErr w:type="spellEnd"/>
      <w:r w:rsidRPr="00DF1C7A">
        <w:rPr>
          <w:rFonts w:ascii="Arial Narrow" w:hAnsi="Arial Narrow"/>
          <w:snapToGrid w:val="0"/>
          <w:sz w:val="18"/>
          <w:szCs w:val="22"/>
        </w:rPr>
        <w:t xml:space="preserve"> The proposed published DPMQ of $3,212.32 for ranibizumab PDS corresponds to an ex-manufacturer price of $3,051.10, which was derived using 7.09 injections of intravitreal ranibizumab annually (</w:t>
      </w:r>
      <w:r w:rsidRPr="00DF1C7A">
        <w:rPr>
          <w:rFonts w:ascii="Arial Narrow" w:hAnsi="Arial Narrow"/>
          <w:snapToGrid w:val="0"/>
          <w:sz w:val="18"/>
          <w:szCs w:val="22"/>
        </w:rPr>
        <w:fldChar w:fldCharType="begin" w:fldLock="1"/>
      </w:r>
      <w:r w:rsidRPr="00DF1C7A">
        <w:rPr>
          <w:rFonts w:ascii="Arial Narrow" w:hAnsi="Arial Narrow"/>
          <w:snapToGrid w:val="0"/>
          <w:sz w:val="18"/>
          <w:szCs w:val="22"/>
        </w:rPr>
        <w:instrText xml:space="preserve"> REF _Ref93415294 \h  \* MERGEFORMAT </w:instrText>
      </w:r>
      <w:r w:rsidRPr="00DF1C7A">
        <w:rPr>
          <w:rFonts w:ascii="Arial Narrow" w:hAnsi="Arial Narrow"/>
          <w:snapToGrid w:val="0"/>
          <w:sz w:val="18"/>
          <w:szCs w:val="22"/>
        </w:rPr>
      </w:r>
      <w:r w:rsidRPr="00DF1C7A">
        <w:rPr>
          <w:rFonts w:ascii="Arial Narrow" w:hAnsi="Arial Narrow"/>
          <w:snapToGrid w:val="0"/>
          <w:sz w:val="18"/>
          <w:szCs w:val="22"/>
        </w:rPr>
        <w:fldChar w:fldCharType="separate"/>
      </w:r>
      <w:r w:rsidRPr="00DF1C7A">
        <w:rPr>
          <w:rFonts w:ascii="Arial Narrow" w:hAnsi="Arial Narrow"/>
          <w:snapToGrid w:val="0"/>
          <w:sz w:val="18"/>
          <w:szCs w:val="22"/>
        </w:rPr>
        <w:t xml:space="preserve">Table </w:t>
      </w:r>
      <w:r w:rsidRPr="00DF1C7A">
        <w:rPr>
          <w:rFonts w:ascii="Arial Narrow" w:hAnsi="Arial Narrow"/>
          <w:noProof/>
          <w:snapToGrid w:val="0"/>
          <w:sz w:val="18"/>
          <w:szCs w:val="22"/>
        </w:rPr>
        <w:t>9</w:t>
      </w:r>
      <w:r w:rsidRPr="00DF1C7A">
        <w:rPr>
          <w:rFonts w:ascii="Arial Narrow" w:hAnsi="Arial Narrow"/>
          <w:snapToGrid w:val="0"/>
          <w:sz w:val="18"/>
          <w:szCs w:val="22"/>
        </w:rPr>
        <w:fldChar w:fldCharType="end"/>
      </w:r>
      <w:r w:rsidRPr="00DF1C7A">
        <w:rPr>
          <w:rFonts w:ascii="Arial Narrow" w:hAnsi="Arial Narrow"/>
          <w:snapToGrid w:val="0"/>
          <w:sz w:val="18"/>
          <w:szCs w:val="22"/>
        </w:rPr>
        <w:t>).</w:t>
      </w:r>
    </w:p>
    <w:p w14:paraId="3454F06D"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vertAlign w:val="superscript"/>
        </w:rPr>
        <w:t>b</w:t>
      </w:r>
      <w:r w:rsidRPr="00DF1C7A">
        <w:rPr>
          <w:rFonts w:ascii="Arial Narrow" w:hAnsi="Arial Narrow"/>
          <w:snapToGrid w:val="0"/>
          <w:sz w:val="18"/>
          <w:szCs w:val="22"/>
        </w:rPr>
        <w:t xml:space="preserve"> The evaluation considered that patients may receive 6.31 injections of intravitreal ranibizumab annually in line with the updated DUSC Secretariat analysis, and that this figure should be used across both the calculation for the proposed price for ranibizumab PDS (</w:t>
      </w:r>
      <w:r w:rsidRPr="00DF1C7A">
        <w:rPr>
          <w:rFonts w:ascii="Arial Narrow" w:hAnsi="Arial Narrow"/>
          <w:snapToGrid w:val="0"/>
          <w:sz w:val="18"/>
          <w:szCs w:val="22"/>
        </w:rPr>
        <w:fldChar w:fldCharType="begin" w:fldLock="1"/>
      </w:r>
      <w:r w:rsidRPr="00DF1C7A">
        <w:rPr>
          <w:rFonts w:ascii="Arial Narrow" w:hAnsi="Arial Narrow"/>
          <w:snapToGrid w:val="0"/>
          <w:sz w:val="18"/>
          <w:szCs w:val="22"/>
        </w:rPr>
        <w:instrText xml:space="preserve"> REF _Ref93415294 \h  \* MERGEFORMAT </w:instrText>
      </w:r>
      <w:r w:rsidRPr="00DF1C7A">
        <w:rPr>
          <w:rFonts w:ascii="Arial Narrow" w:hAnsi="Arial Narrow"/>
          <w:snapToGrid w:val="0"/>
          <w:sz w:val="18"/>
          <w:szCs w:val="22"/>
        </w:rPr>
      </w:r>
      <w:r w:rsidRPr="00DF1C7A">
        <w:rPr>
          <w:rFonts w:ascii="Arial Narrow" w:hAnsi="Arial Narrow"/>
          <w:snapToGrid w:val="0"/>
          <w:sz w:val="18"/>
          <w:szCs w:val="22"/>
        </w:rPr>
        <w:fldChar w:fldCharType="separate"/>
      </w:r>
      <w:r w:rsidRPr="00DF1C7A">
        <w:rPr>
          <w:rFonts w:ascii="Arial Narrow" w:hAnsi="Arial Narrow"/>
          <w:snapToGrid w:val="0"/>
          <w:sz w:val="18"/>
          <w:szCs w:val="22"/>
        </w:rPr>
        <w:t xml:space="preserve">Table </w:t>
      </w:r>
      <w:r w:rsidRPr="00DF1C7A">
        <w:rPr>
          <w:rFonts w:ascii="Arial Narrow" w:hAnsi="Arial Narrow"/>
          <w:noProof/>
          <w:snapToGrid w:val="0"/>
          <w:sz w:val="18"/>
          <w:szCs w:val="22"/>
        </w:rPr>
        <w:t>9</w:t>
      </w:r>
      <w:r w:rsidRPr="00DF1C7A">
        <w:rPr>
          <w:rFonts w:ascii="Arial Narrow" w:hAnsi="Arial Narrow"/>
          <w:snapToGrid w:val="0"/>
          <w:sz w:val="18"/>
          <w:szCs w:val="22"/>
        </w:rPr>
        <w:fldChar w:fldCharType="end"/>
      </w:r>
      <w:r w:rsidRPr="00DF1C7A">
        <w:rPr>
          <w:rFonts w:ascii="Arial Narrow" w:hAnsi="Arial Narrow"/>
          <w:snapToGrid w:val="0"/>
          <w:sz w:val="18"/>
          <w:szCs w:val="22"/>
        </w:rPr>
        <w:t>) and the cost analysis (</w:t>
      </w:r>
      <w:r w:rsidRPr="00DF1C7A">
        <w:rPr>
          <w:rFonts w:ascii="Arial Narrow" w:hAnsi="Arial Narrow"/>
          <w:snapToGrid w:val="0"/>
          <w:sz w:val="18"/>
          <w:szCs w:val="22"/>
        </w:rPr>
        <w:fldChar w:fldCharType="begin" w:fldLock="1"/>
      </w:r>
      <w:r w:rsidRPr="00DF1C7A">
        <w:rPr>
          <w:rFonts w:ascii="Arial Narrow" w:hAnsi="Arial Narrow"/>
          <w:snapToGrid w:val="0"/>
          <w:sz w:val="18"/>
          <w:szCs w:val="22"/>
        </w:rPr>
        <w:instrText xml:space="preserve"> REF _Ref93405380 \h  \* MERGEFORMAT </w:instrText>
      </w:r>
      <w:r w:rsidRPr="00DF1C7A">
        <w:rPr>
          <w:rFonts w:ascii="Arial Narrow" w:hAnsi="Arial Narrow"/>
          <w:snapToGrid w:val="0"/>
          <w:sz w:val="18"/>
          <w:szCs w:val="22"/>
        </w:rPr>
      </w:r>
      <w:r w:rsidRPr="00DF1C7A">
        <w:rPr>
          <w:rFonts w:ascii="Arial Narrow" w:hAnsi="Arial Narrow"/>
          <w:snapToGrid w:val="0"/>
          <w:sz w:val="18"/>
          <w:szCs w:val="22"/>
        </w:rPr>
        <w:fldChar w:fldCharType="separate"/>
      </w:r>
      <w:r w:rsidRPr="00DF1C7A">
        <w:rPr>
          <w:rFonts w:ascii="Arial Narrow" w:hAnsi="Arial Narrow"/>
          <w:snapToGrid w:val="0"/>
          <w:sz w:val="18"/>
          <w:szCs w:val="22"/>
        </w:rPr>
        <w:t xml:space="preserve">Table </w:t>
      </w:r>
      <w:r w:rsidRPr="00DF1C7A">
        <w:rPr>
          <w:rFonts w:ascii="Arial Narrow" w:hAnsi="Arial Narrow"/>
          <w:noProof/>
          <w:snapToGrid w:val="0"/>
          <w:sz w:val="18"/>
          <w:szCs w:val="22"/>
        </w:rPr>
        <w:t>10</w:t>
      </w:r>
      <w:r w:rsidRPr="00DF1C7A">
        <w:rPr>
          <w:rFonts w:ascii="Arial Narrow" w:hAnsi="Arial Narrow"/>
          <w:snapToGrid w:val="0"/>
          <w:sz w:val="18"/>
          <w:szCs w:val="22"/>
        </w:rPr>
        <w:fldChar w:fldCharType="end"/>
      </w:r>
      <w:r w:rsidRPr="00DF1C7A">
        <w:rPr>
          <w:rFonts w:ascii="Arial Narrow" w:hAnsi="Arial Narrow"/>
          <w:snapToGrid w:val="0"/>
          <w:sz w:val="18"/>
          <w:szCs w:val="22"/>
        </w:rPr>
        <w:t>).</w:t>
      </w:r>
    </w:p>
    <w:p w14:paraId="39985612" w14:textId="77777777" w:rsidR="00DF1C7A" w:rsidRPr="00DF1C7A" w:rsidRDefault="00DF1C7A" w:rsidP="00303868">
      <w:pPr>
        <w:widowControl w:val="0"/>
        <w:numPr>
          <w:ilvl w:val="1"/>
          <w:numId w:val="1"/>
        </w:numPr>
        <w:spacing w:after="120"/>
        <w:rPr>
          <w:rFonts w:asciiTheme="minorHAnsi" w:eastAsiaTheme="minorEastAsia" w:hAnsiTheme="minorHAnsi" w:cstheme="minorBidi"/>
          <w:snapToGrid w:val="0"/>
        </w:rPr>
      </w:pPr>
      <w:r w:rsidRPr="00DF1C7A">
        <w:rPr>
          <w:rFonts w:asciiTheme="minorHAnsi" w:hAnsiTheme="minorHAnsi"/>
          <w:snapToGrid w:val="0"/>
        </w:rPr>
        <w:t xml:space="preserve">The submission estimated that the ranibizumab PDS would be cost saving over a two-year time horizon ($17,246 compared with $27,301 for intravitreal ranibizumab). </w:t>
      </w:r>
      <w:r w:rsidRPr="00DF1C7A">
        <w:rPr>
          <w:rFonts w:asciiTheme="minorHAnsi" w:hAnsiTheme="minorHAnsi"/>
          <w:iCs/>
          <w:snapToGrid w:val="0"/>
        </w:rPr>
        <w:t>The ESC considered</w:t>
      </w:r>
      <w:r w:rsidRPr="00DF1C7A">
        <w:rPr>
          <w:rFonts w:asciiTheme="minorHAnsi" w:hAnsiTheme="minorHAnsi"/>
          <w:i/>
          <w:iCs/>
          <w:snapToGrid w:val="0"/>
        </w:rPr>
        <w:t xml:space="preserve"> </w:t>
      </w:r>
      <w:r w:rsidRPr="00DF1C7A">
        <w:rPr>
          <w:rFonts w:asciiTheme="minorHAnsi" w:hAnsiTheme="minorHAnsi"/>
          <w:iCs/>
          <w:snapToGrid w:val="0"/>
        </w:rPr>
        <w:t>it is likely that the net cost savings attributed to ranibizumab PDS compared with intravitreal anti-VEGF have been substantially overestimated, due to the following issues:</w:t>
      </w:r>
    </w:p>
    <w:p w14:paraId="242ACD87" w14:textId="77777777" w:rsidR="00DF1C7A" w:rsidRPr="00DF1C7A" w:rsidRDefault="00DF1C7A" w:rsidP="00DF1C7A">
      <w:pPr>
        <w:numPr>
          <w:ilvl w:val="1"/>
          <w:numId w:val="4"/>
        </w:numPr>
        <w:spacing w:after="120"/>
        <w:ind w:left="1077" w:hanging="357"/>
        <w:rPr>
          <w:rFonts w:asciiTheme="minorHAnsi" w:hAnsiTheme="minorHAnsi"/>
          <w:iCs/>
          <w:snapToGrid w:val="0"/>
        </w:rPr>
      </w:pPr>
      <w:r w:rsidRPr="00DF1C7A">
        <w:rPr>
          <w:rFonts w:asciiTheme="minorHAnsi" w:hAnsiTheme="minorHAnsi"/>
          <w:iCs/>
          <w:snapToGrid w:val="0"/>
        </w:rPr>
        <w:lastRenderedPageBreak/>
        <w:t xml:space="preserve">The analysis is highly dependent upon the use </w:t>
      </w:r>
      <w:r w:rsidRPr="00DF1C7A">
        <w:rPr>
          <w:rFonts w:asciiTheme="minorHAnsi" w:hAnsiTheme="minorHAnsi"/>
          <w:snapToGrid w:val="0"/>
        </w:rPr>
        <w:t>and frequency</w:t>
      </w:r>
      <w:r w:rsidRPr="00DF1C7A">
        <w:rPr>
          <w:rFonts w:asciiTheme="minorHAnsi" w:hAnsiTheme="minorHAnsi"/>
          <w:i/>
          <w:snapToGrid w:val="0"/>
        </w:rPr>
        <w:t xml:space="preserve"> </w:t>
      </w:r>
      <w:r w:rsidRPr="00DF1C7A">
        <w:rPr>
          <w:rFonts w:asciiTheme="minorHAnsi" w:hAnsiTheme="minorHAnsi"/>
          <w:iCs/>
          <w:snapToGrid w:val="0"/>
        </w:rPr>
        <w:t xml:space="preserve">of intravitreal anti-VEGF medicines in practice. This may not have been accurately estimated and is likely to vary, particularly if the proportion of patients maintained on T&amp;E regimens has increased in recent years. This is reflected in the results of the updated DUSC Secretariat analysis, indicating that the average number of intravitreal aflibercept and ranibizumab injections in the second year of treatment has decreased from 7.09 (for patients initiating treatment in 2015) to 6.31 (for patients initiating treatment in 2018). </w:t>
      </w:r>
      <w:r w:rsidRPr="00DF1C7A">
        <w:rPr>
          <w:rFonts w:asciiTheme="minorHAnsi" w:hAnsiTheme="minorHAnsi"/>
          <w:snapToGrid w:val="0"/>
        </w:rPr>
        <w:t>The submission’s estimate (10.07 injections per year) would overestimate the number of injections replaced as it included 50% of patients on Q4W injections, who are already accounted for in the DUSC analysis, which comprises all patients including those on Q4W injections and on a T&amp;E regimen.</w:t>
      </w:r>
      <w:r w:rsidRPr="00DF1C7A">
        <w:rPr>
          <w:rFonts w:asciiTheme="minorHAnsi" w:hAnsiTheme="minorHAnsi"/>
          <w:iCs/>
          <w:snapToGrid w:val="0"/>
        </w:rPr>
        <w:t xml:space="preserve"> The cost savings are significantly reduced when the cost of intravitreal ranibizumab </w:t>
      </w:r>
      <w:r w:rsidRPr="00DF1C7A">
        <w:rPr>
          <w:rFonts w:asciiTheme="minorHAnsi" w:hAnsiTheme="minorHAnsi"/>
          <w:snapToGrid w:val="0"/>
        </w:rPr>
        <w:t xml:space="preserve">(for both the price calculation and the cost minimisation calculation) </w:t>
      </w:r>
      <w:r w:rsidRPr="00DF1C7A">
        <w:rPr>
          <w:rFonts w:asciiTheme="minorHAnsi" w:hAnsiTheme="minorHAnsi"/>
          <w:iCs/>
          <w:snapToGrid w:val="0"/>
        </w:rPr>
        <w:t>is based on 6.31 injections per year. The PBAC agreed with the ESC that the submission did not adequately justify the proportion of patients on Q4W or T&amp;E regimens expected to transition to ranibizumab PDS, or the median number of intravitreal injections they would have been receiving and considered that the PBS-based contemporary estimate of 6.31 injections per year was a more reliable estimate.</w:t>
      </w:r>
    </w:p>
    <w:p w14:paraId="191B777B" w14:textId="77777777" w:rsidR="00DF1C7A" w:rsidRPr="00DF1C7A" w:rsidRDefault="00DF1C7A" w:rsidP="00DF1C7A">
      <w:pPr>
        <w:numPr>
          <w:ilvl w:val="1"/>
          <w:numId w:val="4"/>
        </w:numPr>
        <w:spacing w:after="120"/>
        <w:ind w:left="1077" w:hanging="357"/>
        <w:rPr>
          <w:rFonts w:asciiTheme="minorHAnsi" w:hAnsiTheme="minorHAnsi"/>
          <w:iCs/>
          <w:snapToGrid w:val="0"/>
        </w:rPr>
      </w:pPr>
      <w:r w:rsidRPr="00DF1C7A">
        <w:rPr>
          <w:rFonts w:asciiTheme="minorHAnsi" w:hAnsiTheme="minorHAnsi"/>
          <w:iCs/>
          <w:snapToGrid w:val="0"/>
        </w:rPr>
        <w:t>Additional costs, in particular the cost of adverse events associated with the implant, may have been underestimated, as a number of serious adverse events and adverse events of special interest observed in the trial, which may require surgical or medical intervention, were not included in the economic analysis.</w:t>
      </w:r>
    </w:p>
    <w:p w14:paraId="4DC36F71" w14:textId="77777777" w:rsidR="00DF1C7A" w:rsidRPr="00DF1C7A" w:rsidRDefault="00DF1C7A" w:rsidP="00DF1C7A">
      <w:pPr>
        <w:numPr>
          <w:ilvl w:val="1"/>
          <w:numId w:val="4"/>
        </w:numPr>
        <w:spacing w:after="120"/>
        <w:ind w:left="1077" w:hanging="357"/>
        <w:rPr>
          <w:rFonts w:asciiTheme="minorHAnsi" w:hAnsiTheme="minorHAnsi"/>
          <w:snapToGrid w:val="0"/>
        </w:rPr>
      </w:pPr>
      <w:r w:rsidRPr="00DF1C7A">
        <w:rPr>
          <w:rFonts w:asciiTheme="minorHAnsi" w:hAnsiTheme="minorHAnsi"/>
          <w:iCs/>
          <w:snapToGrid w:val="0"/>
        </w:rPr>
        <w:t xml:space="preserve">The extent of use of supplemental intravitreal ranibizumab in practice may differ from that observed in the trial. </w:t>
      </w:r>
      <w:r w:rsidRPr="00DF1C7A">
        <w:rPr>
          <w:rFonts w:asciiTheme="minorHAnsi" w:hAnsiTheme="minorHAnsi"/>
          <w:snapToGrid w:val="0"/>
        </w:rPr>
        <w:t>The PBAC agreed with the ESC that there was a small population (likely ~5%) that requires ongoing supplementary intravitreal ranibizumab. It is possible that these patients would be managed by shortening the time interval between refills, rather than using supplemental intravitreal therapy.</w:t>
      </w:r>
    </w:p>
    <w:p w14:paraId="5D972002" w14:textId="6D5BFB14" w:rsidR="00DF1C7A" w:rsidRPr="00DF1C7A" w:rsidRDefault="00DF1C7A" w:rsidP="00DF1C7A">
      <w:pPr>
        <w:numPr>
          <w:ilvl w:val="1"/>
          <w:numId w:val="4"/>
        </w:numPr>
        <w:spacing w:after="120"/>
        <w:ind w:left="1077" w:hanging="357"/>
        <w:rPr>
          <w:rFonts w:asciiTheme="minorHAnsi" w:hAnsiTheme="minorHAnsi"/>
          <w:iCs/>
          <w:snapToGrid w:val="0"/>
        </w:rPr>
      </w:pPr>
      <w:r w:rsidRPr="00DF1C7A">
        <w:rPr>
          <w:rFonts w:asciiTheme="minorHAnsi" w:hAnsiTheme="minorHAnsi"/>
          <w:iCs/>
          <w:snapToGrid w:val="0"/>
        </w:rPr>
        <w:t>The appropriate number of monitoring visits is yet to be determined. In the ARCHWAY trial, patients in both treatment arms attended monthly appointments, so the PDS treatment arm aligned with the visit schedule of the monthly ranibizumab comparator arm in order to maintain visual acuity examiner masking and reduce the risk of ascertainment bias. The frequency of monitoring required in clinical practice to address potential adverse events as early as possible is yet to be determined, and the ESC noted that monitoring costs may be increased for ranibizumab PDS in the initial stages of treatment. The PBAC noted that, if the frequency of monitoring visits in patients receiving ranibizumab PDS was not significantly reduced compared to those receiving intravitreal ranibizumab, then some of the perceived patient preference for PDS would no longer be present</w:t>
      </w:r>
      <w:r w:rsidR="00150801" w:rsidRPr="00DF1C7A">
        <w:rPr>
          <w:rFonts w:asciiTheme="minorHAnsi" w:hAnsiTheme="minorHAnsi"/>
          <w:iCs/>
          <w:snapToGrid w:val="0"/>
        </w:rPr>
        <w:t xml:space="preserve">. </w:t>
      </w:r>
    </w:p>
    <w:p w14:paraId="09B3E464" w14:textId="77777777" w:rsidR="00DF1C7A" w:rsidRPr="00DF1C7A" w:rsidRDefault="00DF1C7A" w:rsidP="00B804DA">
      <w:pPr>
        <w:widowControl w:val="0"/>
        <w:numPr>
          <w:ilvl w:val="1"/>
          <w:numId w:val="1"/>
        </w:numPr>
        <w:spacing w:after="120"/>
        <w:rPr>
          <w:rFonts w:asciiTheme="minorHAnsi" w:hAnsiTheme="minorHAnsi"/>
          <w:iCs/>
        </w:rPr>
      </w:pPr>
      <w:r w:rsidRPr="00DF1C7A">
        <w:rPr>
          <w:rFonts w:asciiTheme="minorHAnsi" w:hAnsiTheme="minorHAnsi"/>
          <w:iCs/>
        </w:rPr>
        <w:t xml:space="preserve">The PSCR provided additional cost scenarios around replaced intravitreal ranibizumab. </w:t>
      </w:r>
      <w:r w:rsidRPr="00DF1C7A">
        <w:rPr>
          <w:rFonts w:asciiTheme="minorHAnsi" w:hAnsiTheme="minorHAnsi"/>
          <w:iCs/>
        </w:rPr>
        <w:lastRenderedPageBreak/>
        <w:t xml:space="preserve">The PSCR </w:t>
      </w:r>
      <w:r w:rsidRPr="00DF1C7A">
        <w:rPr>
          <w:rFonts w:asciiTheme="minorHAnsi" w:hAnsiTheme="minorHAnsi"/>
          <w:iCs/>
          <w:snapToGrid w:val="0"/>
        </w:rPr>
        <w:t xml:space="preserve">acknowledged the uncertainty in dose relativity due to the uncertain average number of additional intravitreal VEGF inhibitor injections required for patients who would switch to ranibizumab PDS but maintained that, in all of the scenarios at published prices, ranibizumab PDS was largely cost neutral or associated with net cost savings. </w:t>
      </w:r>
      <w:r w:rsidRPr="00DF1C7A">
        <w:rPr>
          <w:rFonts w:asciiTheme="minorHAnsi" w:hAnsiTheme="minorHAnsi"/>
          <w:bCs/>
          <w:iCs/>
          <w:snapToGrid w:val="0"/>
        </w:rPr>
        <w:t xml:space="preserve">The response updated the submission’s base case number of intravitreal ranibizumab injections per year from 10.07 injections to 9.68 injections informed by the updated DUSC Secretariat analysis (50% of patients with 4-weekly injections; 50% on treat and extend regimens receiving 6.31 injections per year). However, the PSCR did not update the price estimate of ranibizumab PDS in this analysis, and stated the sponsor’s concerns about </w:t>
      </w:r>
      <w:r w:rsidRPr="00CE6A52">
        <w:rPr>
          <w:rFonts w:asciiTheme="minorHAnsi" w:hAnsiTheme="minorHAnsi"/>
          <w:bCs/>
          <w:iCs/>
          <w:snapToGrid w:val="0"/>
          <w:color w:val="000000"/>
          <w:w w:val="15"/>
          <w:shd w:val="solid" w:color="000000" w:fill="000000"/>
          <w:fitText w:val="-20" w:id="-1502350592"/>
          <w14:textFill>
            <w14:solidFill>
              <w14:srgbClr w14:val="000000">
                <w14:alpha w14:val="100000"/>
              </w14:srgbClr>
            </w14:solidFill>
          </w14:textFill>
        </w:rPr>
        <w:t xml:space="preserve">|  </w:t>
      </w:r>
      <w:r w:rsidRPr="00CE6A52">
        <w:rPr>
          <w:rFonts w:asciiTheme="minorHAnsi" w:hAnsiTheme="minorHAnsi"/>
          <w:bCs/>
          <w:iCs/>
          <w:snapToGrid w:val="0"/>
          <w:color w:val="000000"/>
          <w:spacing w:val="-69"/>
          <w:w w:val="15"/>
          <w:shd w:val="solid" w:color="000000" w:fill="000000"/>
          <w:fitText w:val="-20" w:id="-1502350592"/>
          <w14:textFill>
            <w14:solidFill>
              <w14:srgbClr w14:val="000000">
                <w14:alpha w14:val="100000"/>
              </w14:srgbClr>
            </w14:solidFill>
          </w14:textFill>
        </w:rPr>
        <w:t>|</w:t>
      </w:r>
      <w:r w:rsidRPr="00DF1C7A">
        <w:rPr>
          <w:rFonts w:asciiTheme="minorHAnsi" w:hAnsiTheme="minorHAnsi"/>
          <w:bCs/>
          <w:iCs/>
          <w:snapToGrid w:val="0"/>
        </w:rPr>
        <w:t xml:space="preserve">. Following the ESC Advice, the pre-PBAC response accepted </w:t>
      </w:r>
      <w:r w:rsidRPr="00DF1C7A">
        <w:rPr>
          <w:rFonts w:cs="Calibri"/>
          <w:bCs/>
          <w:snapToGrid w:val="0"/>
          <w:szCs w:val="22"/>
        </w:rPr>
        <w:t xml:space="preserve">the effective price determination for ranibizumab PDS to be underpinned by 2.17 doses of ranibizumab PDS equivalent to 6.31 injections of intravitreal ranibizumab annually, although the sponsor reiterated </w:t>
      </w:r>
      <w:r w:rsidRPr="00CE6A52">
        <w:rPr>
          <w:rFonts w:cs="Calibri"/>
          <w:bCs/>
          <w:snapToGrid w:val="0"/>
          <w:color w:val="000000"/>
          <w:w w:val="15"/>
          <w:szCs w:val="22"/>
          <w:shd w:val="solid" w:color="000000" w:fill="000000"/>
          <w:fitText w:val="-20" w:id="-1502350591"/>
          <w14:textFill>
            <w14:solidFill>
              <w14:srgbClr w14:val="000000">
                <w14:alpha w14:val="100000"/>
              </w14:srgbClr>
            </w14:solidFill>
          </w14:textFill>
        </w:rPr>
        <w:t xml:space="preserve">|  </w:t>
      </w:r>
      <w:r w:rsidRPr="00CE6A52">
        <w:rPr>
          <w:rFonts w:cs="Calibri"/>
          <w:bCs/>
          <w:snapToGrid w:val="0"/>
          <w:color w:val="000000"/>
          <w:spacing w:val="-69"/>
          <w:w w:val="15"/>
          <w:szCs w:val="22"/>
          <w:shd w:val="solid" w:color="000000" w:fill="000000"/>
          <w:fitText w:val="-20" w:id="-1502350591"/>
          <w14:textFill>
            <w14:solidFill>
              <w14:srgbClr w14:val="000000">
                <w14:alpha w14:val="100000"/>
              </w14:srgbClr>
            </w14:solidFill>
          </w14:textFill>
        </w:rPr>
        <w:t>|</w:t>
      </w:r>
      <w:r w:rsidRPr="00DF1C7A">
        <w:rPr>
          <w:rFonts w:cs="Calibri"/>
          <w:bCs/>
          <w:snapToGrid w:val="0"/>
          <w:szCs w:val="22"/>
        </w:rPr>
        <w:t>.</w:t>
      </w:r>
    </w:p>
    <w:p w14:paraId="554D86E0" w14:textId="77777777" w:rsidR="00DF1C7A" w:rsidRPr="00DF1C7A" w:rsidRDefault="00DF1C7A" w:rsidP="00B804DA">
      <w:pPr>
        <w:widowControl w:val="0"/>
        <w:numPr>
          <w:ilvl w:val="1"/>
          <w:numId w:val="1"/>
        </w:numPr>
        <w:spacing w:after="120"/>
        <w:rPr>
          <w:rFonts w:asciiTheme="minorHAnsi" w:hAnsiTheme="minorHAnsi"/>
        </w:rPr>
      </w:pPr>
      <w:r w:rsidRPr="00DF1C7A">
        <w:rPr>
          <w:rFonts w:asciiTheme="minorHAnsi" w:hAnsiTheme="minorHAnsi"/>
          <w:snapToGrid w:val="0"/>
        </w:rPr>
        <w:t>The PBAC noted that this cost-minimisation approach was unable to use the confidential effective price of intravitreal ranibizumab, and therefore it favoured ranibizumab PDS. The PBAC also confirmed that a guiding principle in the cost-minimisation approach is that the Australian Government should not bear the financial risk of any uncertainty because the Australian population already has access to therapy that is at least as effective and safe. Thus, the PBAC considered that inputs to the cost-minimisation calculation should favour the government when uncertain.</w:t>
      </w:r>
    </w:p>
    <w:p w14:paraId="1A3C2235"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Drug cost/patient/year</w:t>
      </w:r>
    </w:p>
    <w:p w14:paraId="0FF91523" w14:textId="77777777" w:rsidR="00DF1C7A" w:rsidRPr="00DF1C7A" w:rsidRDefault="00DF1C7A" w:rsidP="00B804DA">
      <w:pPr>
        <w:widowControl w:val="0"/>
        <w:numPr>
          <w:ilvl w:val="1"/>
          <w:numId w:val="1"/>
        </w:numPr>
        <w:spacing w:after="120"/>
        <w:rPr>
          <w:rFonts w:asciiTheme="minorHAnsi" w:eastAsiaTheme="minorEastAsia" w:hAnsiTheme="minorHAnsi" w:cstheme="minorBidi"/>
        </w:rPr>
      </w:pPr>
      <w:r w:rsidRPr="00DF1C7A">
        <w:rPr>
          <w:rFonts w:asciiTheme="minorHAnsi" w:hAnsiTheme="minorHAnsi"/>
        </w:rPr>
        <w:t xml:space="preserve">The submission estimated that the </w:t>
      </w:r>
      <w:r w:rsidRPr="00DF1C7A">
        <w:rPr>
          <w:rFonts w:asciiTheme="minorHAnsi" w:hAnsiTheme="minorHAnsi"/>
          <w:iCs/>
        </w:rPr>
        <w:t>published</w:t>
      </w:r>
      <w:r w:rsidRPr="00DF1C7A">
        <w:rPr>
          <w:rFonts w:asciiTheme="minorHAnsi" w:hAnsiTheme="minorHAnsi"/>
          <w:i/>
          <w:iCs/>
        </w:rPr>
        <w:t xml:space="preserve"> </w:t>
      </w:r>
      <w:r w:rsidRPr="00DF1C7A">
        <w:rPr>
          <w:rFonts w:asciiTheme="minorHAnsi" w:hAnsiTheme="minorHAnsi"/>
        </w:rPr>
        <w:t>drug cost per patient per year for ranibizumab PDS is $6,960 (=2.167 administrations per year × DPMQ $3,212.32); compared with $</w:t>
      </w:r>
      <w:r w:rsidRPr="00DF1C7A" w:rsidDel="00A313A6">
        <w:rPr>
          <w:rFonts w:asciiTheme="minorHAnsi" w:hAnsiTheme="minorHAnsi"/>
          <w:snapToGrid w:val="0"/>
        </w:rPr>
        <w:t>10,500</w:t>
      </w:r>
      <w:r w:rsidRPr="00DF1C7A">
        <w:rPr>
          <w:rFonts w:asciiTheme="minorHAnsi" w:hAnsiTheme="minorHAnsi"/>
        </w:rPr>
        <w:t xml:space="preserve"> per patient per year for intravitreal ranibizumab (=</w:t>
      </w:r>
      <w:r w:rsidRPr="00DF1C7A" w:rsidDel="00A313A6">
        <w:rPr>
          <w:rFonts w:asciiTheme="minorHAnsi" w:hAnsiTheme="minorHAnsi"/>
          <w:snapToGrid w:val="0"/>
        </w:rPr>
        <w:t>10.07</w:t>
      </w:r>
      <w:r w:rsidRPr="00DF1C7A">
        <w:rPr>
          <w:rFonts w:asciiTheme="minorHAnsi" w:hAnsiTheme="minorHAnsi"/>
        </w:rPr>
        <w:t xml:space="preserve"> administrations per year ×</w:t>
      </w:r>
      <w:r w:rsidRPr="00DF1C7A">
        <w:rPr>
          <w:rFonts w:asciiTheme="minorHAnsi" w:hAnsiTheme="minorHAnsi"/>
          <w:snapToGrid w:val="0"/>
        </w:rPr>
        <w:t xml:space="preserve"> </w:t>
      </w:r>
      <w:r w:rsidRPr="00DF1C7A">
        <w:rPr>
          <w:rFonts w:asciiTheme="minorHAnsi" w:hAnsiTheme="minorHAnsi"/>
        </w:rPr>
        <w:t>DPMQ $1,042.95). Based on the updated DUSC Secretariat analysis,</w:t>
      </w:r>
      <w:r w:rsidRPr="00DF1C7A">
        <w:rPr>
          <w:rFonts w:asciiTheme="minorHAnsi" w:hAnsiTheme="minorHAnsi"/>
          <w:snapToGrid w:val="0"/>
        </w:rPr>
        <w:t xml:space="preserve"> the </w:t>
      </w:r>
      <w:r w:rsidRPr="00DF1C7A">
        <w:rPr>
          <w:rFonts w:asciiTheme="minorHAnsi" w:hAnsiTheme="minorHAnsi"/>
          <w:snapToGrid w:val="0"/>
          <w:u w:val="single"/>
        </w:rPr>
        <w:t>published</w:t>
      </w:r>
      <w:r w:rsidRPr="00DF1C7A">
        <w:rPr>
          <w:rFonts w:asciiTheme="minorHAnsi" w:hAnsiTheme="minorHAnsi"/>
          <w:i/>
          <w:iCs/>
          <w:snapToGrid w:val="0"/>
        </w:rPr>
        <w:t xml:space="preserve"> </w:t>
      </w:r>
      <w:r w:rsidRPr="00DF1C7A">
        <w:rPr>
          <w:rFonts w:asciiTheme="minorHAnsi" w:hAnsiTheme="minorHAnsi"/>
          <w:snapToGrid w:val="0"/>
        </w:rPr>
        <w:t>drug cost per patient per year for ranibizumab PDS is $6,233 (=2.167 administrations per year × DPMQ $2,876.66); compared with $6,581 per patient per year for intravitreal ranibizumab (=6.31 administrations per year × DPMQ $1,042.95).</w:t>
      </w:r>
      <w:r w:rsidRPr="00DF1C7A">
        <w:rPr>
          <w:rFonts w:asciiTheme="minorHAnsi" w:hAnsiTheme="minorHAnsi"/>
        </w:rPr>
        <w:t xml:space="preserve"> </w:t>
      </w:r>
      <w:r w:rsidRPr="00DF1C7A">
        <w:rPr>
          <w:rFonts w:asciiTheme="minorHAnsi" w:hAnsiTheme="minorHAnsi"/>
          <w:snapToGrid w:val="0"/>
        </w:rPr>
        <w:t>The economic evaluation and financial implications used a consistent approach to estimating drug costs, assuming full compliance.</w:t>
      </w:r>
    </w:p>
    <w:p w14:paraId="61AC96EF" w14:textId="77777777" w:rsidR="00DF1C7A" w:rsidRPr="00DF1C7A" w:rsidRDefault="00DF1C7A" w:rsidP="00DF1C7A">
      <w:pPr>
        <w:keepNext/>
        <w:keepLines/>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Estimated PBS usage &amp; financial implications</w:t>
      </w:r>
    </w:p>
    <w:p w14:paraId="35274A02" w14:textId="77777777" w:rsidR="00DF1C7A" w:rsidRPr="00DF1C7A" w:rsidRDefault="00DF1C7A" w:rsidP="00B804DA">
      <w:pPr>
        <w:widowControl w:val="0"/>
        <w:numPr>
          <w:ilvl w:val="1"/>
          <w:numId w:val="1"/>
        </w:numPr>
        <w:spacing w:after="120"/>
        <w:rPr>
          <w:rFonts w:asciiTheme="minorHAnsi" w:hAnsiTheme="minorHAnsi"/>
          <w:snapToGrid w:val="0"/>
        </w:rPr>
      </w:pPr>
      <w:r w:rsidRPr="00DF1C7A">
        <w:rPr>
          <w:rFonts w:asciiTheme="minorHAnsi" w:hAnsiTheme="minorHAnsi"/>
          <w:snapToGrid w:val="0"/>
        </w:rPr>
        <w:t>This submission was not considered by DUSC.</w:t>
      </w:r>
    </w:p>
    <w:p w14:paraId="3F4EF9E1" w14:textId="77777777" w:rsidR="00DF1C7A" w:rsidRPr="00DF1C7A" w:rsidRDefault="00DF1C7A" w:rsidP="00B804DA">
      <w:pPr>
        <w:widowControl w:val="0"/>
        <w:numPr>
          <w:ilvl w:val="1"/>
          <w:numId w:val="1"/>
        </w:numPr>
        <w:spacing w:after="120"/>
        <w:rPr>
          <w:rFonts w:asciiTheme="minorHAnsi" w:hAnsiTheme="minorHAnsi"/>
          <w:snapToGrid w:val="0"/>
        </w:rPr>
      </w:pPr>
      <w:r w:rsidRPr="00DF1C7A">
        <w:rPr>
          <w:rFonts w:asciiTheme="minorHAnsi" w:hAnsiTheme="minorHAnsi"/>
          <w:snapToGrid w:val="0"/>
        </w:rPr>
        <w:t>The financial implications presented by the submission were based on published prices. Key inputs are summarised in Table 11.</w:t>
      </w:r>
    </w:p>
    <w:p w14:paraId="53D50DB2"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eastAsia="en-US"/>
        </w:rPr>
        <w:lastRenderedPageBreak/>
        <w:t xml:space="preserve">Table </w:t>
      </w:r>
      <w:r w:rsidRPr="00DF1C7A">
        <w:rPr>
          <w:rFonts w:ascii="Arial Narrow" w:eastAsiaTheme="majorEastAsia" w:hAnsi="Arial Narrow" w:cs="Times New Roman"/>
          <w:b/>
          <w:sz w:val="20"/>
          <w:lang w:eastAsia="en-US"/>
        </w:rPr>
        <w:fldChar w:fldCharType="begin" w:fldLock="1"/>
      </w:r>
      <w:r w:rsidRPr="00DF1C7A">
        <w:rPr>
          <w:rFonts w:ascii="Arial Narrow" w:eastAsiaTheme="majorEastAsia" w:hAnsi="Arial Narrow" w:cs="Times New Roman"/>
          <w:b/>
          <w:sz w:val="20"/>
          <w:lang w:eastAsia="en-US"/>
        </w:rPr>
        <w:instrText xml:space="preserve"> SEQ Table \* ARABIC </w:instrText>
      </w:r>
      <w:r w:rsidRPr="00DF1C7A">
        <w:rPr>
          <w:rFonts w:ascii="Arial Narrow" w:eastAsiaTheme="majorEastAsia" w:hAnsi="Arial Narrow" w:cs="Times New Roman"/>
          <w:b/>
          <w:sz w:val="20"/>
          <w:lang w:eastAsia="en-US"/>
        </w:rPr>
        <w:fldChar w:fldCharType="separate"/>
      </w:r>
      <w:r w:rsidRPr="00DF1C7A">
        <w:rPr>
          <w:rFonts w:ascii="Arial Narrow" w:eastAsiaTheme="majorEastAsia" w:hAnsi="Arial Narrow" w:cs="Times New Roman"/>
          <w:b/>
          <w:noProof/>
          <w:sz w:val="20"/>
          <w:lang w:eastAsia="en-US"/>
        </w:rPr>
        <w:t>11</w:t>
      </w:r>
      <w:r w:rsidRPr="00DF1C7A">
        <w:rPr>
          <w:rFonts w:ascii="Arial Narrow" w:eastAsiaTheme="majorEastAsia" w:hAnsi="Arial Narrow" w:cs="Times New Roman"/>
          <w:b/>
          <w:sz w:val="20"/>
          <w:lang w:eastAsia="en-US"/>
        </w:rPr>
        <w:fldChar w:fldCharType="end"/>
      </w:r>
      <w:r w:rsidRPr="00DF1C7A">
        <w:rPr>
          <w:rFonts w:ascii="Arial Narrow" w:eastAsiaTheme="majorEastAsia" w:hAnsi="Arial Narrow" w:cs="Times New Roman"/>
          <w:b/>
          <w:sz w:val="20"/>
          <w:lang w:eastAsia="en-US"/>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856"/>
        <w:gridCol w:w="3798"/>
      </w:tblGrid>
      <w:tr w:rsidR="00DF1C7A" w:rsidRPr="00DF1C7A" w14:paraId="39142595" w14:textId="77777777" w:rsidTr="00ED4BBD">
        <w:trPr>
          <w:tblHeader/>
        </w:trPr>
        <w:tc>
          <w:tcPr>
            <w:tcW w:w="1526" w:type="dxa"/>
            <w:vAlign w:val="center"/>
          </w:tcPr>
          <w:p w14:paraId="2F7B4127" w14:textId="77777777" w:rsidR="00DF1C7A" w:rsidRPr="00DF1C7A" w:rsidRDefault="00DF1C7A" w:rsidP="00DF1C7A">
            <w:pPr>
              <w:keepNext/>
              <w:jc w:val="center"/>
              <w:rPr>
                <w:rFonts w:ascii="Arial Narrow" w:eastAsiaTheme="majorEastAsia" w:hAnsi="Arial Narrow" w:cs="Times New Roman"/>
                <w:b/>
                <w:sz w:val="20"/>
              </w:rPr>
            </w:pPr>
            <w:r w:rsidRPr="00DF1C7A">
              <w:rPr>
                <w:rFonts w:ascii="Arial Narrow" w:eastAsiaTheme="majorEastAsia" w:hAnsi="Arial Narrow" w:cs="Times New Roman"/>
                <w:b/>
                <w:sz w:val="20"/>
              </w:rPr>
              <w:t>Parameter</w:t>
            </w:r>
          </w:p>
        </w:tc>
        <w:tc>
          <w:tcPr>
            <w:tcW w:w="3856" w:type="dxa"/>
            <w:vAlign w:val="center"/>
          </w:tcPr>
          <w:p w14:paraId="267F46B1" w14:textId="77777777" w:rsidR="00DF1C7A" w:rsidRPr="00DF1C7A" w:rsidRDefault="00DF1C7A" w:rsidP="00DF1C7A">
            <w:pPr>
              <w:keepNext/>
              <w:jc w:val="center"/>
              <w:rPr>
                <w:rFonts w:ascii="Arial Narrow" w:eastAsiaTheme="majorEastAsia" w:hAnsi="Arial Narrow" w:cs="Times New Roman"/>
                <w:b/>
                <w:sz w:val="20"/>
              </w:rPr>
            </w:pPr>
            <w:r w:rsidRPr="00DF1C7A">
              <w:rPr>
                <w:rFonts w:ascii="Arial Narrow" w:eastAsiaTheme="majorEastAsia" w:hAnsi="Arial Narrow" w:cs="Times New Roman"/>
                <w:b/>
                <w:sz w:val="20"/>
              </w:rPr>
              <w:t>Value applied and source</w:t>
            </w:r>
          </w:p>
        </w:tc>
        <w:tc>
          <w:tcPr>
            <w:tcW w:w="3798" w:type="dxa"/>
            <w:vAlign w:val="center"/>
          </w:tcPr>
          <w:p w14:paraId="7BC7BFC0" w14:textId="77777777" w:rsidR="00DF1C7A" w:rsidRPr="00DF1C7A" w:rsidRDefault="00DF1C7A" w:rsidP="00DF1C7A">
            <w:pPr>
              <w:keepNext/>
              <w:jc w:val="center"/>
              <w:rPr>
                <w:rFonts w:ascii="Arial Narrow" w:eastAsiaTheme="majorEastAsia" w:hAnsi="Arial Narrow" w:cs="Times New Roman"/>
                <w:b/>
                <w:sz w:val="20"/>
              </w:rPr>
            </w:pPr>
            <w:r w:rsidRPr="00DF1C7A">
              <w:rPr>
                <w:rFonts w:ascii="Arial Narrow" w:eastAsiaTheme="majorEastAsia" w:hAnsi="Arial Narrow" w:cs="Times New Roman"/>
                <w:b/>
                <w:sz w:val="20"/>
              </w:rPr>
              <w:t>Comment</w:t>
            </w:r>
          </w:p>
        </w:tc>
      </w:tr>
      <w:tr w:rsidR="00DF1C7A" w:rsidRPr="00DF1C7A" w14:paraId="2B16AEC7" w14:textId="77777777" w:rsidTr="00ED4BBD">
        <w:tc>
          <w:tcPr>
            <w:tcW w:w="1526" w:type="dxa"/>
            <w:vAlign w:val="center"/>
          </w:tcPr>
          <w:p w14:paraId="54F29048"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Proportion of AMD that is </w:t>
            </w:r>
            <w:proofErr w:type="spellStart"/>
            <w:r w:rsidRPr="00DF1C7A">
              <w:rPr>
                <w:rFonts w:ascii="Arial Narrow" w:eastAsiaTheme="majorEastAsia" w:hAnsi="Arial Narrow" w:cstheme="majorBidi"/>
                <w:bCs/>
                <w:sz w:val="20"/>
              </w:rPr>
              <w:t>nAMD</w:t>
            </w:r>
            <w:proofErr w:type="spellEnd"/>
          </w:p>
        </w:tc>
        <w:tc>
          <w:tcPr>
            <w:tcW w:w="3856" w:type="dxa"/>
            <w:vAlign w:val="center"/>
          </w:tcPr>
          <w:p w14:paraId="7895FB1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 xml:space="preserve">87%; DUSC report into the utilisation of ranibizumab and aflibercept showed that 87% of AMD is </w:t>
            </w:r>
            <w:proofErr w:type="spellStart"/>
            <w:r w:rsidRPr="00DF1C7A">
              <w:rPr>
                <w:rFonts w:ascii="Arial Narrow" w:eastAsiaTheme="majorEastAsia" w:hAnsi="Arial Narrow" w:cstheme="majorBidi"/>
                <w:bCs/>
                <w:sz w:val="20"/>
              </w:rPr>
              <w:t>nAMD</w:t>
            </w:r>
            <w:proofErr w:type="spellEnd"/>
            <w:r w:rsidRPr="00DF1C7A">
              <w:rPr>
                <w:rFonts w:ascii="Arial Narrow" w:eastAsiaTheme="majorEastAsia" w:hAnsi="Arial Narrow" w:cstheme="majorBidi"/>
                <w:bCs/>
                <w:sz w:val="20"/>
              </w:rPr>
              <w:t xml:space="preserve"> (Ranibizumab and aflibercept: analysis of use for AMD, DMO, BRVO and CRVO: Drug Utilisation Sub-Committee (DUSC), May 2018).</w:t>
            </w:r>
          </w:p>
        </w:tc>
        <w:tc>
          <w:tcPr>
            <w:tcW w:w="3798" w:type="dxa"/>
            <w:vAlign w:val="center"/>
          </w:tcPr>
          <w:p w14:paraId="2CCF6306" w14:textId="77777777" w:rsidR="00DF1C7A" w:rsidRPr="00DF1C7A" w:rsidRDefault="00DF1C7A" w:rsidP="00DF1C7A">
            <w:pPr>
              <w:keepNext/>
              <w:jc w:val="left"/>
              <w:rPr>
                <w:rFonts w:ascii="Arial Narrow" w:eastAsiaTheme="majorEastAsia" w:hAnsi="Arial Narrow" w:cstheme="majorBidi"/>
                <w:bCs/>
                <w:iCs/>
                <w:sz w:val="20"/>
              </w:rPr>
            </w:pPr>
            <w:r w:rsidRPr="00DF1C7A">
              <w:rPr>
                <w:rFonts w:ascii="Arial Narrow" w:eastAsiaTheme="majorEastAsia" w:hAnsi="Arial Narrow" w:cstheme="majorBidi"/>
                <w:bCs/>
                <w:iCs/>
                <w:sz w:val="20"/>
              </w:rPr>
              <w:t xml:space="preserve">This estimate could not be identified during the evaluation. The 2018 DUSC report states that 10-15% of AMD is wet (neovascular) AMD, however the current PBS listings are for </w:t>
            </w:r>
            <w:proofErr w:type="spellStart"/>
            <w:r w:rsidRPr="00DF1C7A">
              <w:rPr>
                <w:rFonts w:ascii="Arial Narrow" w:eastAsiaTheme="majorEastAsia" w:hAnsi="Arial Narrow" w:cstheme="majorBidi"/>
                <w:bCs/>
                <w:iCs/>
                <w:sz w:val="20"/>
              </w:rPr>
              <w:t>nAMD</w:t>
            </w:r>
            <w:proofErr w:type="spellEnd"/>
            <w:r w:rsidRPr="00DF1C7A">
              <w:rPr>
                <w:rFonts w:ascii="Arial Narrow" w:eastAsiaTheme="majorEastAsia" w:hAnsi="Arial Narrow" w:cstheme="majorBidi"/>
                <w:bCs/>
                <w:iCs/>
                <w:sz w:val="20"/>
              </w:rPr>
              <w:t xml:space="preserve">; the treatment of dry AMD with anti-VEGF inhibitors is not recommended. Therefore, it may have been appropriate to assume 100% of scripts were for </w:t>
            </w:r>
            <w:proofErr w:type="spellStart"/>
            <w:r w:rsidRPr="00DF1C7A">
              <w:rPr>
                <w:rFonts w:ascii="Arial Narrow" w:eastAsiaTheme="majorEastAsia" w:hAnsi="Arial Narrow" w:cstheme="majorBidi"/>
                <w:bCs/>
                <w:iCs/>
                <w:sz w:val="20"/>
              </w:rPr>
              <w:t>nAMD</w:t>
            </w:r>
            <w:proofErr w:type="spellEnd"/>
            <w:r w:rsidRPr="00DF1C7A">
              <w:rPr>
                <w:rFonts w:ascii="Arial Narrow" w:eastAsiaTheme="majorEastAsia" w:hAnsi="Arial Narrow" w:cstheme="majorBidi"/>
                <w:bCs/>
                <w:iCs/>
                <w:sz w:val="20"/>
              </w:rPr>
              <w:t>.</w:t>
            </w:r>
          </w:p>
        </w:tc>
      </w:tr>
      <w:tr w:rsidR="00DF1C7A" w:rsidRPr="00DF1C7A" w14:paraId="73863230" w14:textId="77777777" w:rsidTr="00ED4BBD">
        <w:tc>
          <w:tcPr>
            <w:tcW w:w="1526" w:type="dxa"/>
            <w:vAlign w:val="center"/>
          </w:tcPr>
          <w:p w14:paraId="203BDAB7"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Patient numbers (derived using average number of scripts per person)</w:t>
            </w:r>
          </w:p>
        </w:tc>
        <w:tc>
          <w:tcPr>
            <w:tcW w:w="3856" w:type="dxa"/>
            <w:vAlign w:val="center"/>
          </w:tcPr>
          <w:p w14:paraId="334270D4"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7.09 scripts per year; DUSC report into the utilisation of ranibizumab 10 mg/mL and aflibercept showed that a patient has on average 7.09 injections per year. The total number of scripts was divided by 7.09 to obtain the equivalent number of patients.</w:t>
            </w:r>
          </w:p>
        </w:tc>
        <w:tc>
          <w:tcPr>
            <w:tcW w:w="3798" w:type="dxa"/>
            <w:vAlign w:val="center"/>
          </w:tcPr>
          <w:p w14:paraId="16EF4065"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iCs/>
                <w:sz w:val="20"/>
              </w:rPr>
              <w:t>This value was based on patients initiating treatment in 2015. The recent shift in treatment algorithms towards treat and extend regimes may have reduced this number in more recent years, as indicated by the updated DUSC Secretariat analysis which estimated 6.31 scripts per year for patients initiating treatment in 2018</w:t>
            </w:r>
            <w:r w:rsidRPr="00DF1C7A">
              <w:rPr>
                <w:rFonts w:ascii="Arial Narrow" w:eastAsiaTheme="majorEastAsia" w:hAnsi="Arial Narrow" w:cstheme="majorBidi"/>
                <w:bCs/>
                <w:sz w:val="20"/>
              </w:rPr>
              <w:t>.</w:t>
            </w:r>
          </w:p>
        </w:tc>
      </w:tr>
      <w:tr w:rsidR="00DF1C7A" w:rsidRPr="00DF1C7A" w14:paraId="78AC37DC" w14:textId="77777777" w:rsidTr="00ED4BBD">
        <w:tc>
          <w:tcPr>
            <w:tcW w:w="1526" w:type="dxa"/>
            <w:vAlign w:val="center"/>
          </w:tcPr>
          <w:p w14:paraId="7E4050EC"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Script equivalence/ substitution rate</w:t>
            </w:r>
          </w:p>
        </w:tc>
        <w:tc>
          <w:tcPr>
            <w:tcW w:w="3856" w:type="dxa"/>
            <w:vAlign w:val="center"/>
          </w:tcPr>
          <w:p w14:paraId="046D66BF"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0.22 (2.17 prescriptions per year for ranibizumab 100 mg/mL/ 10.07 scripts per year for existing standard of care).</w:t>
            </w:r>
          </w:p>
          <w:p w14:paraId="740B6E59" w14:textId="77777777" w:rsidR="00DF1C7A" w:rsidRPr="00DF1C7A" w:rsidRDefault="00DF1C7A" w:rsidP="00DF1C7A">
            <w:pPr>
              <w:keepNext/>
              <w:jc w:val="left"/>
              <w:rPr>
                <w:rFonts w:ascii="Arial Narrow" w:eastAsiaTheme="majorEastAsia" w:hAnsi="Arial Narrow" w:cstheme="majorBidi"/>
                <w:bCs/>
                <w:sz w:val="20"/>
              </w:rPr>
            </w:pPr>
            <w:r w:rsidRPr="00DF1C7A">
              <w:rPr>
                <w:rFonts w:ascii="Arial Narrow" w:eastAsiaTheme="majorEastAsia" w:hAnsi="Arial Narrow" w:cstheme="majorBidi"/>
                <w:bCs/>
                <w:sz w:val="20"/>
              </w:rPr>
              <w:t>Based on the equi-effective doses described in the economic evaluation. Assumes that 50% of the treated population will have the highest treatment burden (monthly; 13.04 injections per year) and 50% will prefer the port delivery system and be on an average number of injections per year (DUSC estimate; 7.09 injections).</w:t>
            </w:r>
          </w:p>
        </w:tc>
        <w:tc>
          <w:tcPr>
            <w:tcW w:w="3798" w:type="dxa"/>
            <w:vAlign w:val="center"/>
          </w:tcPr>
          <w:p w14:paraId="759538AD" w14:textId="77777777" w:rsidR="00DF1C7A" w:rsidRPr="00DF1C7A" w:rsidRDefault="00DF1C7A" w:rsidP="00DF1C7A">
            <w:pPr>
              <w:keepNext/>
              <w:jc w:val="left"/>
              <w:rPr>
                <w:rFonts w:ascii="Arial Narrow" w:eastAsiaTheme="majorEastAsia" w:hAnsi="Arial Narrow" w:cstheme="majorBidi"/>
                <w:bCs/>
                <w:iCs/>
                <w:sz w:val="20"/>
              </w:rPr>
            </w:pPr>
            <w:r w:rsidRPr="00DF1C7A">
              <w:rPr>
                <w:rFonts w:ascii="Arial Narrow" w:eastAsiaTheme="majorEastAsia" w:hAnsi="Arial Narrow" w:cstheme="majorBidi"/>
                <w:bCs/>
                <w:iCs/>
                <w:sz w:val="20"/>
              </w:rPr>
              <w:t>The DUSC estimate includes all currently treated patients, representing a distribution of dose numbers. Although patients with the highest treatment burden may be more likely to prefer treatment with the port delivery system, the proportion is an assumption which was not justified. Script substitutions in practice are likely to vary substantially.</w:t>
            </w:r>
          </w:p>
        </w:tc>
      </w:tr>
    </w:tbl>
    <w:p w14:paraId="01E7EC3C"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 xml:space="preserve">BRVO = branch retinal vein occlusion; CRVO = central retinal vein occlusion; DMO = diabetic macular oedema; DUSC = Drug Utilisation Sub-Committee; </w:t>
      </w:r>
      <w:proofErr w:type="spellStart"/>
      <w:r w:rsidRPr="00DF1C7A">
        <w:rPr>
          <w:rFonts w:ascii="Arial Narrow" w:hAnsi="Arial Narrow"/>
          <w:snapToGrid w:val="0"/>
          <w:sz w:val="18"/>
          <w:szCs w:val="22"/>
        </w:rPr>
        <w:t>nAMD</w:t>
      </w:r>
      <w:proofErr w:type="spellEnd"/>
      <w:r w:rsidRPr="00DF1C7A">
        <w:rPr>
          <w:rFonts w:ascii="Arial Narrow" w:hAnsi="Arial Narrow"/>
          <w:snapToGrid w:val="0"/>
          <w:sz w:val="18"/>
          <w:szCs w:val="22"/>
        </w:rPr>
        <w:t xml:space="preserve"> = neovascular age-related macular degeneration; VEGF = vascular endothelial growth factor.</w:t>
      </w:r>
    </w:p>
    <w:p w14:paraId="395E7045" w14:textId="77777777" w:rsidR="00DF1C7A" w:rsidRPr="00DF1C7A" w:rsidRDefault="00DF1C7A" w:rsidP="00DF1C7A">
      <w:pPr>
        <w:spacing w:after="120"/>
        <w:contextualSpacing/>
        <w:rPr>
          <w:rFonts w:ascii="Arial Narrow" w:hAnsi="Arial Narrow"/>
          <w:snapToGrid w:val="0"/>
          <w:sz w:val="20"/>
          <w:szCs w:val="22"/>
        </w:rPr>
      </w:pPr>
      <w:r w:rsidRPr="00DF1C7A">
        <w:rPr>
          <w:rFonts w:ascii="Arial Narrow" w:hAnsi="Arial Narrow"/>
          <w:snapToGrid w:val="0"/>
          <w:sz w:val="18"/>
          <w:szCs w:val="22"/>
        </w:rPr>
        <w:t>Source: Table 4.2, p.102; Table 4.3, p.103-104 of the submission</w:t>
      </w:r>
    </w:p>
    <w:p w14:paraId="7705E2EE" w14:textId="77777777" w:rsidR="00DF1C7A" w:rsidRPr="00DF1C7A" w:rsidRDefault="00DF1C7A" w:rsidP="00B804DA">
      <w:pPr>
        <w:widowControl w:val="0"/>
        <w:numPr>
          <w:ilvl w:val="1"/>
          <w:numId w:val="1"/>
        </w:numPr>
        <w:spacing w:after="120"/>
        <w:rPr>
          <w:rFonts w:asciiTheme="minorHAnsi" w:hAnsiTheme="minorHAnsi"/>
          <w:snapToGrid w:val="0"/>
        </w:rPr>
      </w:pPr>
      <w:r w:rsidRPr="00DF1C7A">
        <w:rPr>
          <w:rFonts w:asciiTheme="minorHAnsi" w:hAnsiTheme="minorHAnsi"/>
          <w:snapToGrid w:val="0"/>
        </w:rPr>
        <w:t>The estimated utilisation and financial impact of listing ranibizumab PDS are summarised in Table 12.</w:t>
      </w:r>
    </w:p>
    <w:p w14:paraId="37DFA977" w14:textId="77777777" w:rsidR="00DF1C7A" w:rsidRPr="00DF1C7A" w:rsidRDefault="00DF1C7A" w:rsidP="00DF1C7A">
      <w:pPr>
        <w:keepNext/>
        <w:jc w:val="left"/>
        <w:rPr>
          <w:rFonts w:ascii="Arial Narrow" w:eastAsiaTheme="majorEastAsia" w:hAnsi="Arial Narrow" w:cs="Times New Roman"/>
          <w:b/>
          <w:sz w:val="20"/>
          <w:lang w:eastAsia="en-US"/>
        </w:rPr>
      </w:pPr>
      <w:r w:rsidRPr="00DF1C7A">
        <w:rPr>
          <w:rFonts w:ascii="Arial Narrow" w:eastAsiaTheme="majorEastAsia" w:hAnsi="Arial Narrow" w:cs="Times New Roman"/>
          <w:b/>
          <w:sz w:val="20"/>
          <w:lang w:val="en-US" w:eastAsia="en-US"/>
        </w:rPr>
        <w:lastRenderedPageBreak/>
        <w:t xml:space="preserve">Table </w:t>
      </w:r>
      <w:r w:rsidRPr="00DF1C7A">
        <w:rPr>
          <w:rFonts w:ascii="Arial Narrow" w:eastAsiaTheme="majorEastAsia" w:hAnsi="Arial Narrow" w:cs="Times New Roman"/>
          <w:b/>
          <w:sz w:val="20"/>
          <w:lang w:val="en-US" w:eastAsia="en-US"/>
        </w:rPr>
        <w:fldChar w:fldCharType="begin" w:fldLock="1"/>
      </w:r>
      <w:r w:rsidRPr="00DF1C7A">
        <w:rPr>
          <w:rFonts w:ascii="Arial Narrow" w:eastAsiaTheme="majorEastAsia" w:hAnsi="Arial Narrow" w:cs="Times New Roman"/>
          <w:b/>
          <w:sz w:val="20"/>
          <w:lang w:val="en-US" w:eastAsia="en-US"/>
        </w:rPr>
        <w:instrText xml:space="preserve"> SEQ Table \* ARABIC </w:instrText>
      </w:r>
      <w:r w:rsidRPr="00DF1C7A">
        <w:rPr>
          <w:rFonts w:ascii="Arial Narrow" w:eastAsiaTheme="majorEastAsia" w:hAnsi="Arial Narrow" w:cs="Times New Roman"/>
          <w:b/>
          <w:sz w:val="20"/>
          <w:lang w:val="en-US" w:eastAsia="en-US"/>
        </w:rPr>
        <w:fldChar w:fldCharType="separate"/>
      </w:r>
      <w:r w:rsidRPr="00DF1C7A">
        <w:rPr>
          <w:rFonts w:ascii="Arial Narrow" w:eastAsiaTheme="majorEastAsia" w:hAnsi="Arial Narrow" w:cs="Times New Roman"/>
          <w:b/>
          <w:noProof/>
          <w:sz w:val="20"/>
          <w:lang w:val="en-US" w:eastAsia="en-US"/>
        </w:rPr>
        <w:t>12</w:t>
      </w:r>
      <w:r w:rsidRPr="00DF1C7A">
        <w:rPr>
          <w:rFonts w:ascii="Arial Narrow" w:eastAsiaTheme="majorEastAsia" w:hAnsi="Arial Narrow" w:cs="Times New Roman"/>
          <w:b/>
          <w:sz w:val="20"/>
          <w:lang w:val="en-US" w:eastAsia="en-US"/>
        </w:rPr>
        <w:fldChar w:fldCharType="end"/>
      </w:r>
      <w:r w:rsidRPr="00DF1C7A">
        <w:rPr>
          <w:rFonts w:ascii="Arial Narrow" w:eastAsiaTheme="majorEastAsia" w:hAnsi="Arial Narrow" w:cs="Times New Roman"/>
          <w:b/>
          <w:sz w:val="20"/>
          <w:lang w:eastAsia="en-US"/>
        </w:rPr>
        <w:t>: Estimated use and financial implications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17"/>
        <w:gridCol w:w="1126"/>
        <w:gridCol w:w="1125"/>
        <w:gridCol w:w="1126"/>
        <w:gridCol w:w="1126"/>
      </w:tblGrid>
      <w:tr w:rsidR="00DF1C7A" w:rsidRPr="00DF1C7A" w14:paraId="49150ABA" w14:textId="77777777" w:rsidTr="00ED4BBD">
        <w:trPr>
          <w:cantSplit/>
          <w:tblHeader/>
        </w:trPr>
        <w:tc>
          <w:tcPr>
            <w:tcW w:w="2263" w:type="dxa"/>
            <w:vAlign w:val="center"/>
          </w:tcPr>
          <w:p w14:paraId="1A750E61" w14:textId="77777777" w:rsidR="00DF1C7A" w:rsidRPr="00DF1C7A" w:rsidRDefault="00DF1C7A" w:rsidP="00DF1C7A">
            <w:pPr>
              <w:keepNext/>
              <w:widowControl w:val="0"/>
              <w:jc w:val="left"/>
              <w:rPr>
                <w:rFonts w:ascii="Arial Narrow" w:eastAsiaTheme="majorEastAsia" w:hAnsi="Arial Narrow" w:cstheme="majorBidi"/>
                <w:b/>
                <w:bCs/>
                <w:sz w:val="20"/>
                <w:szCs w:val="20"/>
                <w:lang w:eastAsia="en-US"/>
              </w:rPr>
            </w:pPr>
          </w:p>
        </w:tc>
        <w:tc>
          <w:tcPr>
            <w:tcW w:w="1134" w:type="dxa"/>
            <w:vAlign w:val="center"/>
          </w:tcPr>
          <w:p w14:paraId="17B5520B"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1</w:t>
            </w:r>
          </w:p>
        </w:tc>
        <w:tc>
          <w:tcPr>
            <w:tcW w:w="1117" w:type="dxa"/>
            <w:vAlign w:val="center"/>
          </w:tcPr>
          <w:p w14:paraId="22192952"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2</w:t>
            </w:r>
          </w:p>
        </w:tc>
        <w:tc>
          <w:tcPr>
            <w:tcW w:w="1126" w:type="dxa"/>
            <w:vAlign w:val="center"/>
          </w:tcPr>
          <w:p w14:paraId="3A52E08B"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3</w:t>
            </w:r>
          </w:p>
        </w:tc>
        <w:tc>
          <w:tcPr>
            <w:tcW w:w="1125" w:type="dxa"/>
            <w:vAlign w:val="center"/>
          </w:tcPr>
          <w:p w14:paraId="187CFF5A"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4</w:t>
            </w:r>
          </w:p>
        </w:tc>
        <w:tc>
          <w:tcPr>
            <w:tcW w:w="1126" w:type="dxa"/>
            <w:vAlign w:val="center"/>
          </w:tcPr>
          <w:p w14:paraId="0E5CE4C8"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5</w:t>
            </w:r>
          </w:p>
        </w:tc>
        <w:tc>
          <w:tcPr>
            <w:tcW w:w="1126" w:type="dxa"/>
            <w:vAlign w:val="center"/>
          </w:tcPr>
          <w:p w14:paraId="1CC19244" w14:textId="77777777" w:rsidR="00DF1C7A" w:rsidRPr="00DF1C7A" w:rsidRDefault="00DF1C7A" w:rsidP="00DF1C7A">
            <w:pPr>
              <w:keepNext/>
              <w:keepLines/>
              <w:widowControl w:val="0"/>
              <w:jc w:val="center"/>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Year 6</w:t>
            </w:r>
          </w:p>
        </w:tc>
      </w:tr>
      <w:tr w:rsidR="00DF1C7A" w:rsidRPr="00DF1C7A" w14:paraId="64391D55" w14:textId="77777777" w:rsidTr="00ED4BBD">
        <w:trPr>
          <w:cantSplit/>
        </w:trPr>
        <w:tc>
          <w:tcPr>
            <w:tcW w:w="9017" w:type="dxa"/>
            <w:gridSpan w:val="7"/>
            <w:shd w:val="clear" w:color="auto" w:fill="D9D9D9" w:themeFill="background1" w:themeFillShade="D9"/>
            <w:vAlign w:val="center"/>
          </w:tcPr>
          <w:p w14:paraId="47495B1C" w14:textId="77777777" w:rsidR="00DF1C7A" w:rsidRPr="00DF1C7A" w:rsidRDefault="00DF1C7A" w:rsidP="00DF1C7A">
            <w:pPr>
              <w:keepNext/>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 xml:space="preserve">Submission analysis: </w:t>
            </w:r>
            <w:r w:rsidRPr="00DF1C7A">
              <w:rPr>
                <w:rFonts w:ascii="Arial Narrow" w:eastAsiaTheme="majorEastAsia" w:hAnsi="Arial Narrow"/>
                <w:b/>
                <w:iCs/>
                <w:sz w:val="20"/>
                <w:szCs w:val="20"/>
              </w:rPr>
              <w:t xml:space="preserve">using 7.09 scripts per patient for intravitreal ranibizumab and a published DPMQ of </w:t>
            </w:r>
            <w:r w:rsidRPr="00DF1C7A">
              <w:rPr>
                <w:rFonts w:ascii="Arial Narrow" w:eastAsiaTheme="majorEastAsia" w:hAnsi="Arial Narrow" w:cstheme="majorBidi"/>
                <w:b/>
                <w:bCs/>
                <w:sz w:val="20"/>
                <w:szCs w:val="20"/>
              </w:rPr>
              <w:t>$3,212.32</w:t>
            </w:r>
            <w:r w:rsidRPr="00DF1C7A">
              <w:rPr>
                <w:rFonts w:ascii="Arial Narrow" w:eastAsiaTheme="majorEastAsia" w:hAnsi="Arial Narrow" w:cstheme="majorBidi"/>
                <w:bCs/>
                <w:sz w:val="20"/>
                <w:szCs w:val="20"/>
              </w:rPr>
              <w:t xml:space="preserve"> </w:t>
            </w:r>
            <w:r w:rsidRPr="00DF1C7A">
              <w:rPr>
                <w:rFonts w:ascii="Arial Narrow" w:eastAsiaTheme="majorEastAsia" w:hAnsi="Arial Narrow"/>
                <w:b/>
                <w:iCs/>
                <w:sz w:val="20"/>
                <w:szCs w:val="20"/>
              </w:rPr>
              <w:t>for ranibizumab PDS</w:t>
            </w:r>
          </w:p>
        </w:tc>
      </w:tr>
      <w:tr w:rsidR="00DF1C7A" w:rsidRPr="00DF1C7A" w14:paraId="405FCBD7" w14:textId="77777777" w:rsidTr="00ED4BBD">
        <w:trPr>
          <w:cantSplit/>
        </w:trPr>
        <w:tc>
          <w:tcPr>
            <w:tcW w:w="9017" w:type="dxa"/>
            <w:gridSpan w:val="7"/>
            <w:vAlign w:val="center"/>
          </w:tcPr>
          <w:p w14:paraId="7E272FC0" w14:textId="77777777" w:rsidR="00DF1C7A" w:rsidRPr="00DF1C7A" w:rsidRDefault="00DF1C7A" w:rsidP="00DF1C7A">
            <w:pPr>
              <w:keepNext/>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Estimated use and financial implications of ranibizumab PDS</w:t>
            </w:r>
          </w:p>
        </w:tc>
      </w:tr>
      <w:tr w:rsidR="00DF1C7A" w:rsidRPr="00DF1C7A" w14:paraId="1AB2FF43" w14:textId="77777777" w:rsidTr="00ED4BBD">
        <w:trPr>
          <w:cantSplit/>
        </w:trPr>
        <w:tc>
          <w:tcPr>
            <w:tcW w:w="2263" w:type="dxa"/>
            <w:tcBorders>
              <w:bottom w:val="single" w:sz="4" w:space="0" w:color="auto"/>
            </w:tcBorders>
            <w:vAlign w:val="center"/>
          </w:tcPr>
          <w:p w14:paraId="361BD0F2"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Projected number of scripts using intravitreal therapies</w:t>
            </w:r>
          </w:p>
        </w:tc>
        <w:tc>
          <w:tcPr>
            <w:tcW w:w="1134" w:type="dxa"/>
            <w:shd w:val="clear" w:color="auto" w:fill="FFFFFF" w:themeFill="background1"/>
            <w:vAlign w:val="center"/>
          </w:tcPr>
          <w:p w14:paraId="642BA596"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vertAlign w:val="superscript"/>
                <w:lang w:eastAsia="en-US"/>
              </w:rPr>
            </w:pPr>
            <w:r w:rsidRPr="00DF1C7A">
              <w:rPr>
                <w:rFonts w:ascii="Arial Narrow" w:eastAsiaTheme="majorEastAsia" w:hAnsi="Arial Narrow" w:cstheme="majorBidi"/>
                <w:color w:val="00000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4"/>
                <w14:textFill>
                  <w14:solidFill>
                    <w14:srgbClr w14:val="000000">
                      <w14:alpha w14:val="100000"/>
                    </w14:srgbClr>
                  </w14:solidFill>
                </w14:textFill>
              </w:rPr>
              <w:t>|</w:t>
            </w:r>
            <w:r w:rsidRPr="00DF1C7A">
              <w:rPr>
                <w:rFonts w:ascii="Arial Narrow" w:eastAsiaTheme="majorEastAsia" w:hAnsi="Arial Narrow" w:cstheme="majorBidi"/>
                <w:color w:val="000000"/>
                <w:spacing w:val="-3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1</w:t>
            </w:r>
          </w:p>
        </w:tc>
        <w:tc>
          <w:tcPr>
            <w:tcW w:w="1117" w:type="dxa"/>
            <w:shd w:val="clear" w:color="auto" w:fill="FFFFFF" w:themeFill="background1"/>
            <w:vAlign w:val="center"/>
          </w:tcPr>
          <w:p w14:paraId="797C44E1"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cstheme="majorBidi"/>
                <w:color w:val="000000"/>
                <w:spacing w:val="-3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1</w:t>
            </w:r>
          </w:p>
        </w:tc>
        <w:tc>
          <w:tcPr>
            <w:tcW w:w="1126" w:type="dxa"/>
            <w:shd w:val="clear" w:color="auto" w:fill="FFFFFF" w:themeFill="background1"/>
            <w:vAlign w:val="center"/>
          </w:tcPr>
          <w:p w14:paraId="2F6B6054"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color w:val="000000"/>
                <w:w w:val="16"/>
                <w:sz w:val="20"/>
                <w:szCs w:val="20"/>
                <w:shd w:val="solid" w:color="000000" w:fill="000000"/>
                <w:fitText w:val="75" w:id="-416074482"/>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2"/>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5" w:type="dxa"/>
            <w:shd w:val="clear" w:color="auto" w:fill="FFFFFF" w:themeFill="background1"/>
            <w:vAlign w:val="center"/>
          </w:tcPr>
          <w:p w14:paraId="455B4245"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color w:val="000000"/>
                <w:w w:val="16"/>
                <w:sz w:val="20"/>
                <w:szCs w:val="20"/>
                <w:shd w:val="solid" w:color="000000" w:fill="000000"/>
                <w:fitText w:val="75" w:id="-416074481"/>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1"/>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6" w:type="dxa"/>
            <w:shd w:val="clear" w:color="auto" w:fill="FFFFFF" w:themeFill="background1"/>
            <w:vAlign w:val="center"/>
          </w:tcPr>
          <w:p w14:paraId="590A1D0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color w:val="000000"/>
                <w:w w:val="16"/>
                <w:sz w:val="20"/>
                <w:szCs w:val="20"/>
                <w:shd w:val="solid" w:color="000000" w:fill="000000"/>
                <w:fitText w:val="75" w:id="-416074480"/>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0"/>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6" w:type="dxa"/>
            <w:shd w:val="clear" w:color="auto" w:fill="FFFFFF" w:themeFill="background1"/>
            <w:vAlign w:val="center"/>
          </w:tcPr>
          <w:p w14:paraId="74090FE0"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color w:val="000000"/>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6"/>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r>
      <w:tr w:rsidR="00DF1C7A" w:rsidRPr="00DF1C7A" w14:paraId="449EC64A" w14:textId="77777777" w:rsidTr="00ED4BBD">
        <w:trPr>
          <w:cantSplit/>
        </w:trPr>
        <w:tc>
          <w:tcPr>
            <w:tcW w:w="2263" w:type="dxa"/>
            <w:vAlign w:val="center"/>
          </w:tcPr>
          <w:p w14:paraId="5FF75C9E"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Number of patients using intravitreal therapies (scripts/7.09)</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FA90AD7"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vertAlign w:val="superscript"/>
                <w:lang w:eastAsia="en-US"/>
              </w:rPr>
            </w:pPr>
            <w:r w:rsidRPr="00DF1C7A">
              <w:rPr>
                <w:rFonts w:ascii="Arial Narrow" w:eastAsiaTheme="majorEastAsia" w:hAnsi="Arial Narrow" w:cstheme="majorBidi"/>
                <w:bCs/>
                <w:color w:val="00000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95"/>
                <w14:textFill>
                  <w14:solidFill>
                    <w14:srgbClr w14:val="000000">
                      <w14:alpha w14:val="100000"/>
                    </w14:srgbClr>
                  </w14:solidFill>
                </w14:textFill>
              </w:rPr>
              <w:t>|</w:t>
            </w:r>
            <w:r w:rsidRPr="00DF1C7A">
              <w:rPr>
                <w:rFonts w:ascii="Arial Narrow" w:eastAsiaTheme="majorEastAsia" w:hAnsi="Arial Narrow" w:cstheme="majorBidi"/>
                <w:bCs/>
                <w:color w:val="000000"/>
                <w:spacing w:val="-3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1B419"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cstheme="majorBidi"/>
                <w:bCs/>
                <w:color w:val="000000"/>
                <w:spacing w:val="-3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6DC53"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F53AB"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2"/>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986BC"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2BC4D"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21</w:t>
            </w:r>
          </w:p>
        </w:tc>
      </w:tr>
      <w:tr w:rsidR="00DF1C7A" w:rsidRPr="00DF1C7A" w14:paraId="216BCE83" w14:textId="77777777" w:rsidTr="00ED4BBD">
        <w:trPr>
          <w:cantSplit/>
        </w:trPr>
        <w:tc>
          <w:tcPr>
            <w:tcW w:w="2263" w:type="dxa"/>
            <w:vAlign w:val="center"/>
          </w:tcPr>
          <w:p w14:paraId="1A29E984"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Uptake of ranibizumab implant</w:t>
            </w:r>
          </w:p>
        </w:tc>
        <w:tc>
          <w:tcPr>
            <w:tcW w:w="1134" w:type="dxa"/>
            <w:tcBorders>
              <w:bottom w:val="single" w:sz="4" w:space="0" w:color="auto"/>
            </w:tcBorders>
            <w:vAlign w:val="center"/>
          </w:tcPr>
          <w:p w14:paraId="54F01E41"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5%</w:t>
            </w:r>
          </w:p>
        </w:tc>
        <w:tc>
          <w:tcPr>
            <w:tcW w:w="1117" w:type="dxa"/>
            <w:tcBorders>
              <w:bottom w:val="single" w:sz="4" w:space="0" w:color="auto"/>
            </w:tcBorders>
            <w:vAlign w:val="center"/>
          </w:tcPr>
          <w:p w14:paraId="1AC59163"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10%</w:t>
            </w:r>
          </w:p>
        </w:tc>
        <w:tc>
          <w:tcPr>
            <w:tcW w:w="1126" w:type="dxa"/>
            <w:tcBorders>
              <w:bottom w:val="single" w:sz="4" w:space="0" w:color="auto"/>
            </w:tcBorders>
            <w:vAlign w:val="center"/>
          </w:tcPr>
          <w:p w14:paraId="28673A6A"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15%</w:t>
            </w:r>
          </w:p>
        </w:tc>
        <w:tc>
          <w:tcPr>
            <w:tcW w:w="1125" w:type="dxa"/>
            <w:tcBorders>
              <w:bottom w:val="single" w:sz="4" w:space="0" w:color="auto"/>
            </w:tcBorders>
            <w:vAlign w:val="center"/>
          </w:tcPr>
          <w:p w14:paraId="1B38B7DF"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15%</w:t>
            </w:r>
          </w:p>
        </w:tc>
        <w:tc>
          <w:tcPr>
            <w:tcW w:w="1126" w:type="dxa"/>
            <w:tcBorders>
              <w:bottom w:val="single" w:sz="4" w:space="0" w:color="auto"/>
            </w:tcBorders>
            <w:vAlign w:val="center"/>
          </w:tcPr>
          <w:p w14:paraId="69F2A4CD"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15%</w:t>
            </w:r>
          </w:p>
        </w:tc>
        <w:tc>
          <w:tcPr>
            <w:tcW w:w="1126" w:type="dxa"/>
            <w:tcBorders>
              <w:bottom w:val="single" w:sz="4" w:space="0" w:color="auto"/>
            </w:tcBorders>
            <w:vAlign w:val="center"/>
          </w:tcPr>
          <w:p w14:paraId="1CA92E8E"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r w:rsidRPr="00DF1C7A">
              <w:rPr>
                <w:rFonts w:ascii="Arial Narrow" w:eastAsiaTheme="majorEastAsia" w:hAnsi="Arial Narrow" w:cstheme="majorBidi"/>
                <w:sz w:val="20"/>
                <w:szCs w:val="20"/>
                <w:lang w:eastAsia="en-US"/>
              </w:rPr>
              <w:t>15%</w:t>
            </w:r>
          </w:p>
        </w:tc>
      </w:tr>
      <w:tr w:rsidR="00DF1C7A" w:rsidRPr="00DF1C7A" w14:paraId="355D25C7" w14:textId="77777777" w:rsidTr="00ED4BBD">
        <w:trPr>
          <w:cantSplit/>
        </w:trPr>
        <w:tc>
          <w:tcPr>
            <w:tcW w:w="2263" w:type="dxa"/>
            <w:vAlign w:val="center"/>
          </w:tcPr>
          <w:p w14:paraId="3FDE31A9"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Patients electing treatment with ranibizumab implant</w:t>
            </w:r>
          </w:p>
        </w:tc>
        <w:tc>
          <w:tcPr>
            <w:tcW w:w="1134" w:type="dxa"/>
            <w:tcBorders>
              <w:top w:val="single" w:sz="4" w:space="0" w:color="auto"/>
              <w:left w:val="single" w:sz="4" w:space="0" w:color="auto"/>
              <w:bottom w:val="single" w:sz="4" w:space="0" w:color="auto"/>
              <w:right w:val="single" w:sz="4" w:space="0" w:color="auto"/>
            </w:tcBorders>
            <w:vAlign w:val="center"/>
          </w:tcPr>
          <w:p w14:paraId="4A23F177"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vertAlign w:val="superscript"/>
                <w:lang w:eastAsia="en-US"/>
              </w:rPr>
            </w:pPr>
            <w:r w:rsidRPr="00DF1C7A">
              <w:rPr>
                <w:rFonts w:ascii="Arial Narrow" w:eastAsiaTheme="majorEastAsia" w:hAnsi="Arial Narrow" w:cstheme="majorBidi"/>
                <w:bCs/>
                <w:color w:val="000000"/>
                <w:w w:val="15"/>
                <w:sz w:val="20"/>
                <w:szCs w:val="20"/>
                <w:shd w:val="solid" w:color="000000" w:fill="000000"/>
                <w:fitText w:val="45" w:id="-416074489"/>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9"/>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3</w:t>
            </w:r>
          </w:p>
        </w:tc>
        <w:tc>
          <w:tcPr>
            <w:tcW w:w="1117" w:type="dxa"/>
            <w:tcBorders>
              <w:top w:val="single" w:sz="4" w:space="0" w:color="auto"/>
              <w:left w:val="single" w:sz="4" w:space="0" w:color="auto"/>
              <w:bottom w:val="single" w:sz="4" w:space="0" w:color="auto"/>
              <w:right w:val="single" w:sz="4" w:space="0" w:color="auto"/>
            </w:tcBorders>
            <w:vAlign w:val="center"/>
          </w:tcPr>
          <w:p w14:paraId="5FF35099"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8"/>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8"/>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8"/>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4</w:t>
            </w:r>
          </w:p>
        </w:tc>
        <w:tc>
          <w:tcPr>
            <w:tcW w:w="1126" w:type="dxa"/>
            <w:tcBorders>
              <w:top w:val="single" w:sz="4" w:space="0" w:color="auto"/>
              <w:left w:val="single" w:sz="4" w:space="0" w:color="auto"/>
              <w:bottom w:val="single" w:sz="4" w:space="0" w:color="auto"/>
              <w:right w:val="single" w:sz="4" w:space="0" w:color="auto"/>
            </w:tcBorders>
            <w:vAlign w:val="center"/>
          </w:tcPr>
          <w:p w14:paraId="1467ECC7"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7"/>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5" w:type="dxa"/>
            <w:tcBorders>
              <w:top w:val="single" w:sz="4" w:space="0" w:color="auto"/>
              <w:left w:val="single" w:sz="4" w:space="0" w:color="auto"/>
              <w:bottom w:val="single" w:sz="4" w:space="0" w:color="auto"/>
              <w:right w:val="single" w:sz="4" w:space="0" w:color="auto"/>
            </w:tcBorders>
            <w:vAlign w:val="center"/>
          </w:tcPr>
          <w:p w14:paraId="71F3570C"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single" w:sz="4" w:space="0" w:color="auto"/>
              <w:bottom w:val="single" w:sz="4" w:space="0" w:color="auto"/>
              <w:right w:val="single" w:sz="4" w:space="0" w:color="auto"/>
            </w:tcBorders>
            <w:vAlign w:val="center"/>
          </w:tcPr>
          <w:p w14:paraId="1F5F4F83"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single" w:sz="4" w:space="0" w:color="auto"/>
              <w:bottom w:val="single" w:sz="4" w:space="0" w:color="auto"/>
              <w:right w:val="single" w:sz="4" w:space="0" w:color="auto"/>
            </w:tcBorders>
            <w:vAlign w:val="center"/>
          </w:tcPr>
          <w:p w14:paraId="267A1AA6"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r>
      <w:tr w:rsidR="00DF1C7A" w:rsidRPr="00DF1C7A" w14:paraId="57E772E1" w14:textId="77777777" w:rsidTr="00ED4BBD">
        <w:trPr>
          <w:cantSplit/>
        </w:trPr>
        <w:tc>
          <w:tcPr>
            <w:tcW w:w="2263" w:type="dxa"/>
            <w:vAlign w:val="center"/>
          </w:tcPr>
          <w:p w14:paraId="517F041B"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Total ranibizumab 100 mg/mL scripts (patients × 2.2143)</w:t>
            </w:r>
            <w:r w:rsidRPr="00DF1C7A">
              <w:rPr>
                <w:rFonts w:ascii="Arial Narrow" w:eastAsiaTheme="majorEastAsia" w:hAnsi="Arial Narrow" w:cstheme="majorBidi"/>
                <w:bCs/>
                <w:sz w:val="20"/>
                <w:szCs w:val="20"/>
                <w:vertAlign w:val="superscript"/>
                <w:lang w:eastAsia="en-US"/>
              </w:rPr>
              <w:t>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D5E39"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vertAlign w:val="superscript"/>
              </w:rPr>
            </w:pPr>
            <w:r w:rsidRPr="00DF1C7A">
              <w:rPr>
                <w:rFonts w:ascii="Arial Narrow" w:eastAsiaTheme="majorEastAsia" w:hAnsi="Arial Narrow" w:cstheme="majorBidi"/>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4</w:t>
            </w:r>
          </w:p>
        </w:tc>
        <w:tc>
          <w:tcPr>
            <w:tcW w:w="1117" w:type="dxa"/>
            <w:tcBorders>
              <w:top w:val="single" w:sz="4" w:space="0" w:color="auto"/>
              <w:left w:val="nil"/>
              <w:bottom w:val="single" w:sz="4" w:space="0" w:color="auto"/>
              <w:right w:val="single" w:sz="4" w:space="0" w:color="auto"/>
            </w:tcBorders>
            <w:shd w:val="clear" w:color="auto" w:fill="FFFFFF" w:themeFill="background1"/>
            <w:vAlign w:val="center"/>
          </w:tcPr>
          <w:p w14:paraId="31A45F17"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2"/>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09E0B98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1"/>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1"/>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5" w:type="dxa"/>
            <w:tcBorders>
              <w:top w:val="single" w:sz="4" w:space="0" w:color="auto"/>
              <w:left w:val="nil"/>
              <w:bottom w:val="single" w:sz="4" w:space="0" w:color="auto"/>
              <w:right w:val="single" w:sz="4" w:space="0" w:color="auto"/>
            </w:tcBorders>
            <w:shd w:val="clear" w:color="auto" w:fill="FFFFFF" w:themeFill="background1"/>
            <w:vAlign w:val="center"/>
          </w:tcPr>
          <w:p w14:paraId="0D3AC837"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0"/>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0"/>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231F9AB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6"/>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0E7FCCF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5"/>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r>
      <w:tr w:rsidR="00DF1C7A" w:rsidRPr="00DF1C7A" w14:paraId="1E2433EE" w14:textId="77777777" w:rsidTr="00ED4BBD">
        <w:trPr>
          <w:cantSplit/>
        </w:trPr>
        <w:tc>
          <w:tcPr>
            <w:tcW w:w="2263" w:type="dxa"/>
            <w:tcBorders>
              <w:top w:val="single" w:sz="4" w:space="0" w:color="auto"/>
              <w:bottom w:val="single" w:sz="4" w:space="0" w:color="auto"/>
              <w:right w:val="single" w:sz="4" w:space="0" w:color="auto"/>
            </w:tcBorders>
            <w:vAlign w:val="center"/>
          </w:tcPr>
          <w:p w14:paraId="652EF655"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Cost to PBS/RPBS ($)</w:t>
            </w:r>
          </w:p>
        </w:tc>
        <w:tc>
          <w:tcPr>
            <w:tcW w:w="1134" w:type="dxa"/>
            <w:tcBorders>
              <w:top w:val="single" w:sz="4" w:space="0" w:color="auto"/>
              <w:left w:val="single" w:sz="4" w:space="0" w:color="auto"/>
              <w:bottom w:val="single" w:sz="4" w:space="0" w:color="auto"/>
              <w:right w:val="single" w:sz="4" w:space="0" w:color="auto"/>
            </w:tcBorders>
            <w:vAlign w:val="center"/>
          </w:tcPr>
          <w:p w14:paraId="55ACF77D"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vertAlign w:val="superscript"/>
              </w:rPr>
            </w:pPr>
            <w:r w:rsidRPr="00DF1C7A">
              <w:rPr>
                <w:rFonts w:ascii="Arial Narrow" w:eastAsiaTheme="majorEastAsia" w:hAnsi="Arial Narrow" w:cstheme="majorBidi"/>
                <w:bCs/>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5</w:t>
            </w:r>
          </w:p>
        </w:tc>
        <w:tc>
          <w:tcPr>
            <w:tcW w:w="1117" w:type="dxa"/>
            <w:tcBorders>
              <w:top w:val="single" w:sz="4" w:space="0" w:color="auto"/>
              <w:left w:val="single" w:sz="4" w:space="0" w:color="auto"/>
              <w:bottom w:val="single" w:sz="4" w:space="0" w:color="auto"/>
              <w:right w:val="single" w:sz="4" w:space="0" w:color="auto"/>
            </w:tcBorders>
            <w:vAlign w:val="center"/>
          </w:tcPr>
          <w:p w14:paraId="679F63BA"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13</w:t>
            </w:r>
          </w:p>
        </w:tc>
        <w:tc>
          <w:tcPr>
            <w:tcW w:w="1126" w:type="dxa"/>
            <w:tcBorders>
              <w:top w:val="single" w:sz="4" w:space="0" w:color="auto"/>
              <w:left w:val="single" w:sz="4" w:space="0" w:color="auto"/>
              <w:bottom w:val="single" w:sz="4" w:space="0" w:color="auto"/>
              <w:right w:val="single" w:sz="4" w:space="0" w:color="auto"/>
            </w:tcBorders>
            <w:vAlign w:val="center"/>
          </w:tcPr>
          <w:p w14:paraId="68C1D74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2"/>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15</w:t>
            </w:r>
          </w:p>
        </w:tc>
        <w:tc>
          <w:tcPr>
            <w:tcW w:w="1125" w:type="dxa"/>
            <w:tcBorders>
              <w:top w:val="single" w:sz="4" w:space="0" w:color="auto"/>
              <w:left w:val="single" w:sz="4" w:space="0" w:color="auto"/>
              <w:bottom w:val="single" w:sz="4" w:space="0" w:color="auto"/>
              <w:right w:val="single" w:sz="4" w:space="0" w:color="auto"/>
            </w:tcBorders>
            <w:vAlign w:val="center"/>
          </w:tcPr>
          <w:p w14:paraId="6F6D5AB2"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vAlign w:val="center"/>
          </w:tcPr>
          <w:p w14:paraId="513D4192"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vAlign w:val="center"/>
          </w:tcPr>
          <w:p w14:paraId="36094EE3"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89"/>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r>
      <w:tr w:rsidR="00DF1C7A" w:rsidRPr="00DF1C7A" w14:paraId="163EFC91" w14:textId="77777777" w:rsidTr="00ED4BBD">
        <w:trPr>
          <w:cantSplit/>
        </w:trPr>
        <w:tc>
          <w:tcPr>
            <w:tcW w:w="2263" w:type="dxa"/>
            <w:tcBorders>
              <w:top w:val="single" w:sz="4" w:space="0" w:color="auto"/>
              <w:bottom w:val="single" w:sz="4" w:space="0" w:color="auto"/>
              <w:right w:val="single" w:sz="4" w:space="0" w:color="auto"/>
            </w:tcBorders>
            <w:vAlign w:val="center"/>
          </w:tcPr>
          <w:p w14:paraId="6DE906A7" w14:textId="77777777" w:rsidR="00DF1C7A" w:rsidRPr="00DF1C7A" w:rsidRDefault="00DF1C7A" w:rsidP="00DF1C7A">
            <w:pPr>
              <w:keepNext/>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Copayments ($12.92/script) ($)</w:t>
            </w:r>
          </w:p>
        </w:tc>
        <w:tc>
          <w:tcPr>
            <w:tcW w:w="1134" w:type="dxa"/>
            <w:tcBorders>
              <w:top w:val="single" w:sz="4" w:space="0" w:color="auto"/>
              <w:left w:val="single" w:sz="4" w:space="0" w:color="auto"/>
              <w:bottom w:val="single" w:sz="4" w:space="0" w:color="auto"/>
              <w:right w:val="single" w:sz="4" w:space="0" w:color="auto"/>
            </w:tcBorders>
            <w:vAlign w:val="center"/>
          </w:tcPr>
          <w:p w14:paraId="1FB122AA"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vertAlign w:val="superscript"/>
              </w:rPr>
            </w:pPr>
            <w:r w:rsidRPr="00DF1C7A">
              <w:rPr>
                <w:rFonts w:ascii="Arial Narrow" w:eastAsiaTheme="majorEastAsia" w:hAnsi="Arial Narrow" w:cstheme="majorBidi"/>
                <w:bCs/>
                <w:color w:val="000000"/>
                <w:w w:val="15"/>
                <w:sz w:val="20"/>
                <w:szCs w:val="20"/>
                <w:shd w:val="solid" w:color="000000" w:fill="000000"/>
                <w:fitText w:val="45" w:id="-416074488"/>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8"/>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698BA01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7"/>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2C8A2F89"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5" w:type="dxa"/>
            <w:tcBorders>
              <w:top w:val="single" w:sz="4" w:space="0" w:color="auto"/>
              <w:left w:val="single" w:sz="4" w:space="0" w:color="auto"/>
              <w:bottom w:val="single" w:sz="4" w:space="0" w:color="auto"/>
              <w:right w:val="single" w:sz="4" w:space="0" w:color="auto"/>
            </w:tcBorders>
            <w:vAlign w:val="center"/>
          </w:tcPr>
          <w:p w14:paraId="4C4E5AA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74F9C316"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2CBE2931"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r>
      <w:tr w:rsidR="00DF1C7A" w:rsidRPr="00DF1C7A" w14:paraId="46DA5020" w14:textId="77777777" w:rsidTr="00ED4BBD">
        <w:trPr>
          <w:cantSplit/>
        </w:trPr>
        <w:tc>
          <w:tcPr>
            <w:tcW w:w="2263" w:type="dxa"/>
            <w:vAlign w:val="center"/>
          </w:tcPr>
          <w:p w14:paraId="096C1042" w14:textId="77777777" w:rsidR="00DF1C7A" w:rsidRPr="00DF1C7A" w:rsidRDefault="00DF1C7A" w:rsidP="00DF1C7A">
            <w:pPr>
              <w:keepNext/>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Cost to PBS/RPBS (less copayment)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875B1"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vertAlign w:val="superscript"/>
              </w:rPr>
            </w:pPr>
            <w:r w:rsidRPr="00DF1C7A">
              <w:rPr>
                <w:rFonts w:ascii="Arial Narrow" w:eastAsiaTheme="majorEastAsia" w:hAnsi="Arial Narrow" w:cstheme="majorBidi"/>
                <w:b/>
                <w:bCs/>
                <w:color w:val="000000"/>
                <w:w w:val="20"/>
                <w:sz w:val="20"/>
                <w:szCs w:val="20"/>
                <w:shd w:val="solid" w:color="000000" w:fill="000000"/>
                <w:fitText w:val="90" w:id="-416074482"/>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0"/>
                <w:sz w:val="20"/>
                <w:szCs w:val="20"/>
                <w:shd w:val="solid" w:color="000000" w:fill="000000"/>
                <w:fitText w:val="90" w:id="-416074482"/>
                <w14:textFill>
                  <w14:solidFill>
                    <w14:srgbClr w14:val="000000">
                      <w14:alpha w14:val="100000"/>
                    </w14:srgbClr>
                  </w14:solidFill>
                </w14:textFill>
              </w:rPr>
              <w:t>|</w:t>
            </w:r>
            <w:r w:rsidRPr="00DF1C7A">
              <w:rPr>
                <w:rFonts w:ascii="Arial Narrow" w:eastAsiaTheme="majorEastAsia" w:hAnsi="Arial Narrow" w:cstheme="majorBidi"/>
                <w:b/>
                <w:bCs/>
                <w:color w:val="000000"/>
                <w:spacing w:val="2"/>
                <w:w w:val="20"/>
                <w:sz w:val="20"/>
                <w:szCs w:val="20"/>
                <w:shd w:val="solid" w:color="000000" w:fill="000000"/>
                <w:fitText w:val="90" w:id="-416074482"/>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c>
          <w:tcPr>
            <w:tcW w:w="1117" w:type="dxa"/>
            <w:tcBorders>
              <w:top w:val="single" w:sz="4" w:space="0" w:color="auto"/>
              <w:left w:val="nil"/>
              <w:bottom w:val="single" w:sz="4" w:space="0" w:color="auto"/>
              <w:right w:val="single" w:sz="4" w:space="0" w:color="auto"/>
            </w:tcBorders>
            <w:shd w:val="clear" w:color="auto" w:fill="FFFFFF" w:themeFill="background1"/>
            <w:vAlign w:val="center"/>
          </w:tcPr>
          <w:p w14:paraId="6C87C63D"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bCs/>
                <w:color w:val="000000"/>
                <w:w w:val="23"/>
                <w:sz w:val="20"/>
                <w:szCs w:val="20"/>
                <w:shd w:val="solid" w:color="000000" w:fill="000000"/>
                <w:fitText w:val="105" w:id="-416074481"/>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3"/>
                <w:sz w:val="20"/>
                <w:szCs w:val="20"/>
                <w:shd w:val="solid" w:color="000000" w:fill="000000"/>
                <w:fitText w:val="105" w:id="-416074481"/>
                <w14:textFill>
                  <w14:solidFill>
                    <w14:srgbClr w14:val="000000">
                      <w14:alpha w14:val="100000"/>
                    </w14:srgbClr>
                  </w14:solidFill>
                </w14:textFill>
              </w:rPr>
              <w:t>|</w:t>
            </w:r>
            <w:r w:rsidRPr="00DF1C7A">
              <w:rPr>
                <w:rFonts w:ascii="Arial Narrow" w:eastAsiaTheme="majorEastAsia" w:hAnsi="Arial Narrow" w:cstheme="majorBidi"/>
                <w:b/>
                <w:bCs/>
                <w:color w:val="000000"/>
                <w:spacing w:val="3"/>
                <w:w w:val="23"/>
                <w:sz w:val="20"/>
                <w:szCs w:val="20"/>
                <w:shd w:val="solid" w:color="000000" w:fill="000000"/>
                <w:fitText w:val="10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13</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2FCD022E"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bCs/>
                <w:color w:val="000000"/>
                <w:w w:val="23"/>
                <w:sz w:val="20"/>
                <w:szCs w:val="20"/>
                <w:shd w:val="solid" w:color="000000" w:fill="000000"/>
                <w:fitText w:val="105" w:id="-416074480"/>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3"/>
                <w:sz w:val="20"/>
                <w:szCs w:val="20"/>
                <w:shd w:val="solid" w:color="000000" w:fill="000000"/>
                <w:fitText w:val="105" w:id="-416074480"/>
                <w14:textFill>
                  <w14:solidFill>
                    <w14:srgbClr w14:val="000000">
                      <w14:alpha w14:val="100000"/>
                    </w14:srgbClr>
                  </w14:solidFill>
                </w14:textFill>
              </w:rPr>
              <w:t>|</w:t>
            </w:r>
            <w:r w:rsidRPr="00DF1C7A">
              <w:rPr>
                <w:rFonts w:ascii="Arial Narrow" w:eastAsiaTheme="majorEastAsia" w:hAnsi="Arial Narrow" w:cstheme="majorBidi"/>
                <w:b/>
                <w:bCs/>
                <w:color w:val="000000"/>
                <w:spacing w:val="3"/>
                <w:w w:val="23"/>
                <w:sz w:val="20"/>
                <w:szCs w:val="20"/>
                <w:shd w:val="solid" w:color="000000" w:fill="000000"/>
                <w:fitText w:val="10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15</w:t>
            </w:r>
          </w:p>
        </w:tc>
        <w:tc>
          <w:tcPr>
            <w:tcW w:w="1125" w:type="dxa"/>
            <w:tcBorders>
              <w:top w:val="single" w:sz="4" w:space="0" w:color="auto"/>
              <w:left w:val="nil"/>
              <w:bottom w:val="single" w:sz="4" w:space="0" w:color="auto"/>
              <w:right w:val="single" w:sz="4" w:space="0" w:color="auto"/>
            </w:tcBorders>
            <w:shd w:val="clear" w:color="auto" w:fill="FFFFFF" w:themeFill="background1"/>
            <w:vAlign w:val="center"/>
          </w:tcPr>
          <w:p w14:paraId="66D96777"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bCs/>
                <w:color w:val="000000"/>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3"/>
                <w:sz w:val="20"/>
                <w:szCs w:val="20"/>
                <w:shd w:val="solid" w:color="000000" w:fill="000000"/>
                <w:fitText w:val="105" w:id="-416074496"/>
                <w14:textFill>
                  <w14:solidFill>
                    <w14:srgbClr w14:val="000000">
                      <w14:alpha w14:val="100000"/>
                    </w14:srgbClr>
                  </w14:solidFill>
                </w14:textFill>
              </w:rPr>
              <w:t>|</w:t>
            </w:r>
            <w:r w:rsidRPr="00DF1C7A">
              <w:rPr>
                <w:rFonts w:ascii="Arial Narrow" w:eastAsiaTheme="majorEastAsia" w:hAnsi="Arial Narrow" w:cstheme="majorBidi"/>
                <w:b/>
                <w:bCs/>
                <w:color w:val="000000"/>
                <w:spacing w:val="3"/>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3D632862"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bCs/>
                <w:color w:val="000000"/>
                <w:w w:val="23"/>
                <w:sz w:val="20"/>
                <w:szCs w:val="20"/>
                <w:shd w:val="solid" w:color="000000" w:fill="000000"/>
                <w:fitText w:val="105" w:id="-416074495"/>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3"/>
                <w:sz w:val="20"/>
                <w:szCs w:val="20"/>
                <w:shd w:val="solid" w:color="000000" w:fill="000000"/>
                <w:fitText w:val="105" w:id="-416074495"/>
                <w14:textFill>
                  <w14:solidFill>
                    <w14:srgbClr w14:val="000000">
                      <w14:alpha w14:val="100000"/>
                    </w14:srgbClr>
                  </w14:solidFill>
                </w14:textFill>
              </w:rPr>
              <w:t>|</w:t>
            </w:r>
            <w:r w:rsidRPr="00DF1C7A">
              <w:rPr>
                <w:rFonts w:ascii="Arial Narrow" w:eastAsiaTheme="majorEastAsia" w:hAnsi="Arial Narrow" w:cstheme="majorBidi"/>
                <w:b/>
                <w:bCs/>
                <w:color w:val="000000"/>
                <w:spacing w:val="3"/>
                <w:w w:val="23"/>
                <w:sz w:val="20"/>
                <w:szCs w:val="20"/>
                <w:shd w:val="solid" w:color="000000" w:fill="000000"/>
                <w:fitText w:val="10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2010FD83"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bCs/>
                <w:color w:val="000000"/>
                <w:w w:val="23"/>
                <w:sz w:val="20"/>
                <w:szCs w:val="20"/>
                <w:shd w:val="solid" w:color="000000" w:fill="000000"/>
                <w:fitText w:val="105" w:id="-416074494"/>
                <w14:textFill>
                  <w14:solidFill>
                    <w14:srgbClr w14:val="000000">
                      <w14:alpha w14:val="100000"/>
                    </w14:srgbClr>
                  </w14:solidFill>
                </w14:textFill>
              </w:rPr>
              <w:t xml:space="preserve">　</w:t>
            </w:r>
            <w:r w:rsidRPr="00DF1C7A">
              <w:rPr>
                <w:rFonts w:ascii="Arial Narrow" w:eastAsiaTheme="majorEastAsia" w:hAnsi="Arial Narrow" w:cstheme="majorBidi"/>
                <w:b/>
                <w:bCs/>
                <w:color w:val="000000"/>
                <w:w w:val="23"/>
                <w:sz w:val="20"/>
                <w:szCs w:val="20"/>
                <w:shd w:val="solid" w:color="000000" w:fill="000000"/>
                <w:fitText w:val="105" w:id="-416074494"/>
                <w14:textFill>
                  <w14:solidFill>
                    <w14:srgbClr w14:val="000000">
                      <w14:alpha w14:val="100000"/>
                    </w14:srgbClr>
                  </w14:solidFill>
                </w14:textFill>
              </w:rPr>
              <w:t>|</w:t>
            </w:r>
            <w:r w:rsidRPr="00DF1C7A">
              <w:rPr>
                <w:rFonts w:ascii="Arial Narrow" w:eastAsiaTheme="majorEastAsia" w:hAnsi="Arial Narrow" w:cstheme="majorBidi"/>
                <w:b/>
                <w:bCs/>
                <w:color w:val="000000"/>
                <w:spacing w:val="3"/>
                <w:w w:val="23"/>
                <w:sz w:val="20"/>
                <w:szCs w:val="20"/>
                <w:shd w:val="solid" w:color="000000" w:fill="000000"/>
                <w:fitText w:val="10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r>
      <w:tr w:rsidR="00DF1C7A" w:rsidRPr="00DF1C7A" w14:paraId="0AFA84E0" w14:textId="77777777" w:rsidTr="00ED4BBD">
        <w:trPr>
          <w:cantSplit/>
        </w:trPr>
        <w:tc>
          <w:tcPr>
            <w:tcW w:w="9017" w:type="dxa"/>
            <w:gridSpan w:val="7"/>
            <w:tcBorders>
              <w:right w:val="single" w:sz="4" w:space="0" w:color="auto"/>
            </w:tcBorders>
            <w:vAlign w:val="center"/>
          </w:tcPr>
          <w:p w14:paraId="4040A4AE" w14:textId="77777777" w:rsidR="00DF1C7A" w:rsidRPr="00DF1C7A" w:rsidRDefault="00DF1C7A" w:rsidP="00DF1C7A">
            <w:pPr>
              <w:keepNext/>
              <w:keepLines/>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
                <w:sz w:val="20"/>
                <w:szCs w:val="20"/>
                <w:lang w:eastAsia="en-US"/>
              </w:rPr>
              <w:t>Estimated changes in use and financial implications of intravitreal therapies</w:t>
            </w:r>
          </w:p>
        </w:tc>
      </w:tr>
      <w:tr w:rsidR="00DF1C7A" w:rsidRPr="00DF1C7A" w14:paraId="7D7FAD49" w14:textId="77777777" w:rsidTr="00ED4BBD">
        <w:trPr>
          <w:cantSplit/>
        </w:trPr>
        <w:tc>
          <w:tcPr>
            <w:tcW w:w="2263" w:type="dxa"/>
            <w:vAlign w:val="center"/>
          </w:tcPr>
          <w:p w14:paraId="47C83ACC"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Changes in script numbers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9181"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c>
          <w:tcPr>
            <w:tcW w:w="1117" w:type="dxa"/>
            <w:tcBorders>
              <w:top w:val="single" w:sz="4" w:space="0" w:color="auto"/>
              <w:left w:val="nil"/>
              <w:bottom w:val="single" w:sz="4" w:space="0" w:color="auto"/>
              <w:right w:val="single" w:sz="4" w:space="0" w:color="auto"/>
            </w:tcBorders>
            <w:shd w:val="clear" w:color="auto" w:fill="FFFFFF" w:themeFill="background1"/>
            <w:vAlign w:val="center"/>
          </w:tcPr>
          <w:p w14:paraId="63CEE331"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12EECD22"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c>
          <w:tcPr>
            <w:tcW w:w="1125" w:type="dxa"/>
            <w:tcBorders>
              <w:top w:val="single" w:sz="4" w:space="0" w:color="auto"/>
              <w:left w:val="nil"/>
              <w:bottom w:val="single" w:sz="4" w:space="0" w:color="auto"/>
              <w:right w:val="single" w:sz="4" w:space="0" w:color="auto"/>
            </w:tcBorders>
            <w:shd w:val="clear" w:color="auto" w:fill="FFFFFF" w:themeFill="background1"/>
            <w:vAlign w:val="center"/>
          </w:tcPr>
          <w:p w14:paraId="6E404E44"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34077A65"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c>
          <w:tcPr>
            <w:tcW w:w="1126" w:type="dxa"/>
            <w:tcBorders>
              <w:top w:val="single" w:sz="4" w:space="0" w:color="auto"/>
              <w:left w:val="nil"/>
              <w:bottom w:val="single" w:sz="4" w:space="0" w:color="auto"/>
              <w:right w:val="single" w:sz="4" w:space="0" w:color="auto"/>
            </w:tcBorders>
            <w:shd w:val="clear" w:color="auto" w:fill="FFFFFF" w:themeFill="background1"/>
            <w:vAlign w:val="center"/>
          </w:tcPr>
          <w:p w14:paraId="1DEF398E" w14:textId="77777777" w:rsidR="00DF1C7A" w:rsidRPr="00DF1C7A" w:rsidRDefault="00DF1C7A" w:rsidP="00DF1C7A">
            <w:pPr>
              <w:keepNext/>
              <w:keepLines/>
              <w:widowControl w:val="0"/>
              <w:jc w:val="center"/>
              <w:rPr>
                <w:rFonts w:ascii="Arial Narrow" w:eastAsiaTheme="majorEastAsia" w:hAnsi="Arial Narrow" w:cstheme="majorBidi"/>
                <w:sz w:val="20"/>
                <w:szCs w:val="20"/>
                <w:lang w:eastAsia="en-US"/>
              </w:rPr>
            </w:pPr>
          </w:p>
        </w:tc>
      </w:tr>
      <w:tr w:rsidR="00DF1C7A" w:rsidRPr="00DF1C7A" w14:paraId="24B04238" w14:textId="77777777" w:rsidTr="00ED4BBD">
        <w:trPr>
          <w:cantSplit/>
        </w:trPr>
        <w:tc>
          <w:tcPr>
            <w:tcW w:w="2263" w:type="dxa"/>
            <w:vAlign w:val="center"/>
          </w:tcPr>
          <w:p w14:paraId="2627CC45"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 ranibizumab intravitreal</w:t>
            </w:r>
          </w:p>
        </w:tc>
        <w:tc>
          <w:tcPr>
            <w:tcW w:w="1134" w:type="dxa"/>
            <w:tcBorders>
              <w:top w:val="single" w:sz="4" w:space="0" w:color="auto"/>
              <w:left w:val="nil"/>
              <w:bottom w:val="single" w:sz="4" w:space="0" w:color="auto"/>
              <w:right w:val="single" w:sz="4" w:space="0" w:color="auto"/>
            </w:tcBorders>
            <w:vAlign w:val="center"/>
          </w:tcPr>
          <w:p w14:paraId="5FD44B8E"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93"/>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17" w:type="dxa"/>
            <w:tcBorders>
              <w:top w:val="single" w:sz="4" w:space="0" w:color="auto"/>
              <w:left w:val="single" w:sz="4" w:space="0" w:color="auto"/>
              <w:bottom w:val="single" w:sz="4" w:space="0" w:color="auto"/>
              <w:right w:val="single" w:sz="4" w:space="0" w:color="auto"/>
            </w:tcBorders>
            <w:vAlign w:val="center"/>
          </w:tcPr>
          <w:p w14:paraId="6E637447"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2"/>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6" w:type="dxa"/>
            <w:tcBorders>
              <w:top w:val="single" w:sz="4" w:space="0" w:color="auto"/>
              <w:left w:val="single" w:sz="4" w:space="0" w:color="auto"/>
              <w:bottom w:val="single" w:sz="4" w:space="0" w:color="auto"/>
              <w:right w:val="single" w:sz="4" w:space="0" w:color="auto"/>
            </w:tcBorders>
            <w:vAlign w:val="center"/>
          </w:tcPr>
          <w:p w14:paraId="7870C4F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14</w:t>
            </w:r>
          </w:p>
        </w:tc>
        <w:tc>
          <w:tcPr>
            <w:tcW w:w="1125" w:type="dxa"/>
            <w:tcBorders>
              <w:top w:val="single" w:sz="4" w:space="0" w:color="auto"/>
              <w:left w:val="single" w:sz="4" w:space="0" w:color="auto"/>
              <w:bottom w:val="single" w:sz="4" w:space="0" w:color="auto"/>
              <w:right w:val="single" w:sz="4" w:space="0" w:color="auto"/>
            </w:tcBorders>
            <w:vAlign w:val="center"/>
          </w:tcPr>
          <w:p w14:paraId="1942588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14</w:t>
            </w:r>
          </w:p>
        </w:tc>
        <w:tc>
          <w:tcPr>
            <w:tcW w:w="1126" w:type="dxa"/>
            <w:tcBorders>
              <w:top w:val="single" w:sz="4" w:space="0" w:color="auto"/>
              <w:left w:val="single" w:sz="4" w:space="0" w:color="auto"/>
              <w:bottom w:val="single" w:sz="4" w:space="0" w:color="auto"/>
              <w:right w:val="single" w:sz="4" w:space="0" w:color="auto"/>
            </w:tcBorders>
            <w:vAlign w:val="center"/>
          </w:tcPr>
          <w:p w14:paraId="214C2B69"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9"/>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14</w:t>
            </w:r>
          </w:p>
        </w:tc>
        <w:tc>
          <w:tcPr>
            <w:tcW w:w="1126" w:type="dxa"/>
            <w:tcBorders>
              <w:top w:val="single" w:sz="4" w:space="0" w:color="auto"/>
              <w:left w:val="single" w:sz="4" w:space="0" w:color="auto"/>
              <w:bottom w:val="single" w:sz="4" w:space="0" w:color="auto"/>
              <w:right w:val="single" w:sz="4" w:space="0" w:color="auto"/>
            </w:tcBorders>
            <w:vAlign w:val="center"/>
          </w:tcPr>
          <w:p w14:paraId="022A1D3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8"/>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14</w:t>
            </w:r>
          </w:p>
        </w:tc>
      </w:tr>
      <w:tr w:rsidR="00DF1C7A" w:rsidRPr="00DF1C7A" w14:paraId="0D007A54" w14:textId="77777777" w:rsidTr="00ED4BBD">
        <w:trPr>
          <w:cantSplit/>
        </w:trPr>
        <w:tc>
          <w:tcPr>
            <w:tcW w:w="2263" w:type="dxa"/>
            <w:vAlign w:val="center"/>
          </w:tcPr>
          <w:p w14:paraId="18E91366"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 aflibercept intravitreal</w:t>
            </w:r>
          </w:p>
        </w:tc>
        <w:tc>
          <w:tcPr>
            <w:tcW w:w="1134" w:type="dxa"/>
            <w:tcBorders>
              <w:top w:val="single" w:sz="4" w:space="0" w:color="auto"/>
              <w:left w:val="nil"/>
              <w:bottom w:val="single" w:sz="4" w:space="0" w:color="auto"/>
              <w:right w:val="single" w:sz="4" w:space="0" w:color="auto"/>
            </w:tcBorders>
            <w:vAlign w:val="center"/>
          </w:tcPr>
          <w:p w14:paraId="4099EB40"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7"/>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17" w:type="dxa"/>
            <w:tcBorders>
              <w:top w:val="single" w:sz="4" w:space="0" w:color="auto"/>
              <w:left w:val="single" w:sz="4" w:space="0" w:color="auto"/>
              <w:bottom w:val="single" w:sz="4" w:space="0" w:color="auto"/>
              <w:right w:val="single" w:sz="4" w:space="0" w:color="auto"/>
            </w:tcBorders>
            <w:vAlign w:val="center"/>
          </w:tcPr>
          <w:p w14:paraId="6BE2BCC1"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6"/>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14</w:t>
            </w:r>
          </w:p>
        </w:tc>
        <w:tc>
          <w:tcPr>
            <w:tcW w:w="1126" w:type="dxa"/>
            <w:tcBorders>
              <w:top w:val="single" w:sz="4" w:space="0" w:color="auto"/>
              <w:left w:val="single" w:sz="4" w:space="0" w:color="auto"/>
              <w:bottom w:val="single" w:sz="4" w:space="0" w:color="auto"/>
              <w:right w:val="single" w:sz="4" w:space="0" w:color="auto"/>
            </w:tcBorders>
            <w:vAlign w:val="center"/>
          </w:tcPr>
          <w:p w14:paraId="74703564"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85"/>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w:t>
            </w:r>
          </w:p>
        </w:tc>
        <w:tc>
          <w:tcPr>
            <w:tcW w:w="1125" w:type="dxa"/>
            <w:tcBorders>
              <w:top w:val="single" w:sz="4" w:space="0" w:color="auto"/>
              <w:left w:val="single" w:sz="4" w:space="0" w:color="auto"/>
              <w:bottom w:val="single" w:sz="4" w:space="0" w:color="auto"/>
              <w:right w:val="single" w:sz="4" w:space="0" w:color="auto"/>
            </w:tcBorders>
            <w:vAlign w:val="center"/>
          </w:tcPr>
          <w:p w14:paraId="0FBD3225"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4"/>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4"/>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6" w:type="dxa"/>
            <w:tcBorders>
              <w:top w:val="single" w:sz="4" w:space="0" w:color="auto"/>
              <w:left w:val="single" w:sz="4" w:space="0" w:color="auto"/>
              <w:bottom w:val="single" w:sz="4" w:space="0" w:color="auto"/>
              <w:right w:val="single" w:sz="4" w:space="0" w:color="auto"/>
            </w:tcBorders>
            <w:vAlign w:val="center"/>
          </w:tcPr>
          <w:p w14:paraId="68396FC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3"/>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3"/>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6" w:type="dxa"/>
            <w:tcBorders>
              <w:top w:val="single" w:sz="4" w:space="0" w:color="auto"/>
              <w:left w:val="single" w:sz="4" w:space="0" w:color="auto"/>
              <w:bottom w:val="single" w:sz="4" w:space="0" w:color="auto"/>
              <w:right w:val="single" w:sz="4" w:space="0" w:color="auto"/>
            </w:tcBorders>
            <w:vAlign w:val="center"/>
          </w:tcPr>
          <w:p w14:paraId="7E834524"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82"/>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82"/>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r>
      <w:tr w:rsidR="00DF1C7A" w:rsidRPr="00DF1C7A" w14:paraId="4B6AAE1E" w14:textId="77777777" w:rsidTr="00ED4BBD">
        <w:trPr>
          <w:cantSplit/>
        </w:trPr>
        <w:tc>
          <w:tcPr>
            <w:tcW w:w="2263" w:type="dxa"/>
            <w:vAlign w:val="center"/>
          </w:tcPr>
          <w:p w14:paraId="6661B2EB"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Total displaced scripts</w:t>
            </w:r>
          </w:p>
        </w:tc>
        <w:tc>
          <w:tcPr>
            <w:tcW w:w="1134" w:type="dxa"/>
            <w:tcBorders>
              <w:top w:val="single" w:sz="4" w:space="0" w:color="auto"/>
              <w:left w:val="nil"/>
              <w:bottom w:val="single" w:sz="4" w:space="0" w:color="auto"/>
              <w:right w:val="single" w:sz="4" w:space="0" w:color="auto"/>
            </w:tcBorders>
            <w:vAlign w:val="center"/>
          </w:tcPr>
          <w:p w14:paraId="4D19C95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1"/>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8</w:t>
            </w:r>
          </w:p>
        </w:tc>
        <w:tc>
          <w:tcPr>
            <w:tcW w:w="1117" w:type="dxa"/>
            <w:tcBorders>
              <w:top w:val="single" w:sz="4" w:space="0" w:color="auto"/>
              <w:left w:val="single" w:sz="4" w:space="0" w:color="auto"/>
              <w:bottom w:val="single" w:sz="4" w:space="0" w:color="auto"/>
              <w:right w:val="single" w:sz="4" w:space="0" w:color="auto"/>
            </w:tcBorders>
            <w:vAlign w:val="center"/>
          </w:tcPr>
          <w:p w14:paraId="714F1FD8"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0"/>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w:t>
            </w:r>
          </w:p>
        </w:tc>
        <w:tc>
          <w:tcPr>
            <w:tcW w:w="1126" w:type="dxa"/>
            <w:tcBorders>
              <w:top w:val="single" w:sz="4" w:space="0" w:color="auto"/>
              <w:left w:val="single" w:sz="4" w:space="0" w:color="auto"/>
              <w:bottom w:val="single" w:sz="4" w:space="0" w:color="auto"/>
              <w:right w:val="single" w:sz="4" w:space="0" w:color="auto"/>
            </w:tcBorders>
            <w:vAlign w:val="center"/>
          </w:tcPr>
          <w:p w14:paraId="0385959D"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6"/>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18</w:t>
            </w:r>
          </w:p>
        </w:tc>
        <w:tc>
          <w:tcPr>
            <w:tcW w:w="1125" w:type="dxa"/>
            <w:tcBorders>
              <w:top w:val="single" w:sz="4" w:space="0" w:color="auto"/>
              <w:left w:val="single" w:sz="4" w:space="0" w:color="auto"/>
              <w:bottom w:val="single" w:sz="4" w:space="0" w:color="auto"/>
              <w:right w:val="single" w:sz="4" w:space="0" w:color="auto"/>
            </w:tcBorders>
            <w:vAlign w:val="center"/>
          </w:tcPr>
          <w:p w14:paraId="36C94A21"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5"/>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18</w:t>
            </w:r>
          </w:p>
        </w:tc>
        <w:tc>
          <w:tcPr>
            <w:tcW w:w="1126" w:type="dxa"/>
            <w:tcBorders>
              <w:top w:val="single" w:sz="4" w:space="0" w:color="auto"/>
              <w:left w:val="single" w:sz="4" w:space="0" w:color="auto"/>
              <w:bottom w:val="single" w:sz="4" w:space="0" w:color="auto"/>
              <w:right w:val="single" w:sz="4" w:space="0" w:color="auto"/>
            </w:tcBorders>
            <w:vAlign w:val="center"/>
          </w:tcPr>
          <w:p w14:paraId="632DA043"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4"/>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18</w:t>
            </w:r>
          </w:p>
        </w:tc>
        <w:tc>
          <w:tcPr>
            <w:tcW w:w="1126" w:type="dxa"/>
            <w:tcBorders>
              <w:top w:val="single" w:sz="4" w:space="0" w:color="auto"/>
              <w:left w:val="single" w:sz="4" w:space="0" w:color="auto"/>
              <w:bottom w:val="single" w:sz="4" w:space="0" w:color="auto"/>
              <w:right w:val="single" w:sz="4" w:space="0" w:color="auto"/>
            </w:tcBorders>
            <w:vAlign w:val="center"/>
          </w:tcPr>
          <w:p w14:paraId="686A2718"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lang w:eastAsia="en-US"/>
              </w:rPr>
            </w:pP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3"/>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18</w:t>
            </w:r>
          </w:p>
        </w:tc>
      </w:tr>
      <w:tr w:rsidR="00DF1C7A" w:rsidRPr="00DF1C7A" w14:paraId="70F1E4AD" w14:textId="77777777" w:rsidTr="00ED4BBD">
        <w:trPr>
          <w:cantSplit/>
        </w:trPr>
        <w:tc>
          <w:tcPr>
            <w:tcW w:w="2263" w:type="dxa"/>
            <w:vAlign w:val="center"/>
          </w:tcPr>
          <w:p w14:paraId="56A68C0A"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Offsets to PBS/RPBS ($)</w:t>
            </w:r>
          </w:p>
        </w:tc>
        <w:tc>
          <w:tcPr>
            <w:tcW w:w="1134" w:type="dxa"/>
            <w:tcBorders>
              <w:top w:val="single" w:sz="4" w:space="0" w:color="auto"/>
              <w:left w:val="nil"/>
              <w:bottom w:val="single" w:sz="4" w:space="0" w:color="auto"/>
              <w:right w:val="single" w:sz="4" w:space="0" w:color="auto"/>
            </w:tcBorders>
            <w:vAlign w:val="center"/>
          </w:tcPr>
          <w:p w14:paraId="4E573EFD"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92"/>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92"/>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17" w:type="dxa"/>
            <w:tcBorders>
              <w:top w:val="single" w:sz="4" w:space="0" w:color="auto"/>
              <w:left w:val="single" w:sz="4" w:space="0" w:color="auto"/>
              <w:bottom w:val="single" w:sz="4" w:space="0" w:color="auto"/>
              <w:right w:val="single" w:sz="4" w:space="0" w:color="auto"/>
            </w:tcBorders>
            <w:vAlign w:val="center"/>
          </w:tcPr>
          <w:p w14:paraId="04184435"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15</w:t>
            </w:r>
          </w:p>
        </w:tc>
        <w:tc>
          <w:tcPr>
            <w:tcW w:w="1126" w:type="dxa"/>
            <w:tcBorders>
              <w:top w:val="single" w:sz="4" w:space="0" w:color="auto"/>
              <w:left w:val="single" w:sz="4" w:space="0" w:color="auto"/>
              <w:bottom w:val="single" w:sz="4" w:space="0" w:color="auto"/>
              <w:right w:val="single" w:sz="4" w:space="0" w:color="auto"/>
            </w:tcBorders>
            <w:vAlign w:val="center"/>
          </w:tcPr>
          <w:p w14:paraId="31FD65FE"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5" w:type="dxa"/>
            <w:tcBorders>
              <w:top w:val="single" w:sz="4" w:space="0" w:color="auto"/>
              <w:left w:val="single" w:sz="4" w:space="0" w:color="auto"/>
              <w:bottom w:val="single" w:sz="4" w:space="0" w:color="auto"/>
              <w:right w:val="single" w:sz="4" w:space="0" w:color="auto"/>
            </w:tcBorders>
            <w:vAlign w:val="center"/>
          </w:tcPr>
          <w:p w14:paraId="613E98B7"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89"/>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6" w:type="dxa"/>
            <w:tcBorders>
              <w:top w:val="single" w:sz="4" w:space="0" w:color="auto"/>
              <w:left w:val="single" w:sz="4" w:space="0" w:color="auto"/>
              <w:bottom w:val="single" w:sz="4" w:space="0" w:color="auto"/>
              <w:right w:val="single" w:sz="4" w:space="0" w:color="auto"/>
            </w:tcBorders>
            <w:vAlign w:val="center"/>
          </w:tcPr>
          <w:p w14:paraId="39757D59"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88"/>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6" w:type="dxa"/>
            <w:tcBorders>
              <w:top w:val="single" w:sz="4" w:space="0" w:color="auto"/>
              <w:left w:val="single" w:sz="4" w:space="0" w:color="auto"/>
              <w:bottom w:val="single" w:sz="4" w:space="0" w:color="auto"/>
              <w:right w:val="single" w:sz="4" w:space="0" w:color="auto"/>
            </w:tcBorders>
            <w:vAlign w:val="center"/>
          </w:tcPr>
          <w:p w14:paraId="6B568324"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6"/>
                <w:sz w:val="20"/>
                <w:szCs w:val="20"/>
                <w:shd w:val="solid" w:color="000000" w:fill="000000"/>
                <w:fitText w:val="75" w:id="-416074487"/>
                <w14:textFill>
                  <w14:solidFill>
                    <w14:srgbClr w14:val="000000">
                      <w14:alpha w14:val="100000"/>
                    </w14:srgbClr>
                  </w14:solidFill>
                </w14:textFill>
              </w:rPr>
              <w:t>|</w:t>
            </w:r>
            <w:r w:rsidRPr="00DF1C7A">
              <w:rPr>
                <w:rFonts w:ascii="Arial Narrow" w:eastAsiaTheme="majorEastAsia" w:hAnsi="Arial Narrow" w:cstheme="majorBidi"/>
                <w:bCs/>
                <w:color w:val="000000"/>
                <w:spacing w:val="5"/>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r>
      <w:tr w:rsidR="00DF1C7A" w:rsidRPr="00DF1C7A" w14:paraId="10E52B8C" w14:textId="77777777" w:rsidTr="00ED4BBD">
        <w:trPr>
          <w:cantSplit/>
        </w:trPr>
        <w:tc>
          <w:tcPr>
            <w:tcW w:w="2263" w:type="dxa"/>
            <w:tcBorders>
              <w:bottom w:val="single" w:sz="4" w:space="0" w:color="auto"/>
            </w:tcBorders>
            <w:vAlign w:val="center"/>
          </w:tcPr>
          <w:p w14:paraId="0ADEB092"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Patient copayments ($12.92 per script) ($)</w:t>
            </w:r>
          </w:p>
        </w:tc>
        <w:tc>
          <w:tcPr>
            <w:tcW w:w="1134" w:type="dxa"/>
            <w:tcBorders>
              <w:top w:val="single" w:sz="4" w:space="0" w:color="auto"/>
              <w:left w:val="nil"/>
              <w:bottom w:val="single" w:sz="4" w:space="0" w:color="auto"/>
              <w:right w:val="single" w:sz="4" w:space="0" w:color="auto"/>
            </w:tcBorders>
            <w:vAlign w:val="center"/>
          </w:tcPr>
          <w:p w14:paraId="1C287DE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6"/>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58739901"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5"/>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65C1A622"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4"/>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5" w:type="dxa"/>
            <w:tcBorders>
              <w:top w:val="single" w:sz="4" w:space="0" w:color="auto"/>
              <w:left w:val="single" w:sz="4" w:space="0" w:color="auto"/>
              <w:bottom w:val="single" w:sz="4" w:space="0" w:color="auto"/>
              <w:right w:val="single" w:sz="4" w:space="0" w:color="auto"/>
            </w:tcBorders>
            <w:vAlign w:val="center"/>
          </w:tcPr>
          <w:p w14:paraId="510F6056"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55EF91FE"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2"/>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62C09370"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Cs/>
                <w:color w:val="00000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color w:val="000000"/>
                <w:w w:val="15"/>
                <w:sz w:val="20"/>
                <w:szCs w:val="20"/>
                <w:shd w:val="solid" w:color="000000" w:fill="000000"/>
                <w:fitText w:val="45" w:id="-416074481"/>
                <w14:textFill>
                  <w14:solidFill>
                    <w14:srgbClr w14:val="000000">
                      <w14:alpha w14:val="100000"/>
                    </w14:srgbClr>
                  </w14:solidFill>
                </w14:textFill>
              </w:rPr>
              <w:t>|</w:t>
            </w:r>
            <w:r w:rsidRPr="00DF1C7A">
              <w:rPr>
                <w:rFonts w:ascii="Arial Narrow" w:eastAsiaTheme="majorEastAsia" w:hAnsi="Arial Narrow" w:cstheme="majorBidi"/>
                <w:bCs/>
                <w:color w:val="000000"/>
                <w:spacing w:val="-2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r>
      <w:tr w:rsidR="00DF1C7A" w:rsidRPr="00DF1C7A" w14:paraId="1D337E9D" w14:textId="77777777" w:rsidTr="00ED4BBD">
        <w:trPr>
          <w:cantSplit/>
        </w:trPr>
        <w:tc>
          <w:tcPr>
            <w:tcW w:w="2263" w:type="dxa"/>
            <w:tcBorders>
              <w:top w:val="single" w:sz="4" w:space="0" w:color="auto"/>
              <w:bottom w:val="single" w:sz="4" w:space="0" w:color="auto"/>
              <w:right w:val="single" w:sz="4" w:space="0" w:color="auto"/>
            </w:tcBorders>
            <w:vAlign w:val="center"/>
          </w:tcPr>
          <w:p w14:paraId="42C45700" w14:textId="77777777" w:rsidR="00DF1C7A" w:rsidRPr="00DF1C7A" w:rsidRDefault="00DF1C7A" w:rsidP="00DF1C7A">
            <w:pPr>
              <w:keepNext/>
              <w:keepLines/>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
                <w:sz w:val="20"/>
                <w:szCs w:val="20"/>
                <w:lang w:eastAsia="en-US"/>
              </w:rPr>
              <w:t>Offsets to PBS/RPBS (less copayment) ($)</w:t>
            </w:r>
          </w:p>
        </w:tc>
        <w:tc>
          <w:tcPr>
            <w:tcW w:w="1134" w:type="dxa"/>
            <w:tcBorders>
              <w:top w:val="single" w:sz="4" w:space="0" w:color="auto"/>
              <w:left w:val="nil"/>
              <w:bottom w:val="single" w:sz="4" w:space="0" w:color="auto"/>
              <w:right w:val="single" w:sz="4" w:space="0" w:color="auto"/>
            </w:tcBorders>
            <w:vAlign w:val="center"/>
          </w:tcPr>
          <w:p w14:paraId="014A7D3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0"/>
                <w:sz w:val="20"/>
                <w:szCs w:val="20"/>
                <w:shd w:val="solid" w:color="000000" w:fill="000000"/>
                <w:fitText w:val="90" w:id="-416074480"/>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0"/>
                <w:sz w:val="20"/>
                <w:szCs w:val="20"/>
                <w:shd w:val="solid" w:color="000000" w:fill="000000"/>
                <w:fitText w:val="90" w:id="-416074480"/>
                <w14:textFill>
                  <w14:solidFill>
                    <w14:srgbClr w14:val="000000">
                      <w14:alpha w14:val="100000"/>
                    </w14:srgbClr>
                  </w14:solidFill>
                </w14:textFill>
              </w:rPr>
              <w:t>|</w:t>
            </w:r>
            <w:r w:rsidRPr="00DF1C7A">
              <w:rPr>
                <w:rFonts w:ascii="Arial Narrow" w:eastAsiaTheme="majorEastAsia" w:hAnsi="Arial Narrow" w:cstheme="majorBidi"/>
                <w:b/>
                <w:color w:val="000000"/>
                <w:spacing w:val="2"/>
                <w:w w:val="20"/>
                <w:sz w:val="20"/>
                <w:szCs w:val="20"/>
                <w:shd w:val="solid" w:color="000000" w:fill="000000"/>
                <w:fitText w:val="90"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17" w:type="dxa"/>
            <w:tcBorders>
              <w:top w:val="single" w:sz="4" w:space="0" w:color="auto"/>
              <w:left w:val="single" w:sz="4" w:space="0" w:color="auto"/>
              <w:bottom w:val="single" w:sz="4" w:space="0" w:color="auto"/>
              <w:right w:val="single" w:sz="4" w:space="0" w:color="auto"/>
            </w:tcBorders>
            <w:vAlign w:val="center"/>
          </w:tcPr>
          <w:p w14:paraId="21B31F4C"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96"/>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16</w:t>
            </w:r>
          </w:p>
        </w:tc>
        <w:tc>
          <w:tcPr>
            <w:tcW w:w="1126" w:type="dxa"/>
            <w:tcBorders>
              <w:top w:val="single" w:sz="4" w:space="0" w:color="auto"/>
              <w:left w:val="single" w:sz="4" w:space="0" w:color="auto"/>
              <w:bottom w:val="single" w:sz="4" w:space="0" w:color="auto"/>
              <w:right w:val="single" w:sz="4" w:space="0" w:color="auto"/>
            </w:tcBorders>
            <w:vAlign w:val="center"/>
          </w:tcPr>
          <w:p w14:paraId="6FC4586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95"/>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95"/>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5" w:type="dxa"/>
            <w:tcBorders>
              <w:top w:val="single" w:sz="4" w:space="0" w:color="auto"/>
              <w:left w:val="single" w:sz="4" w:space="0" w:color="auto"/>
              <w:bottom w:val="single" w:sz="4" w:space="0" w:color="auto"/>
              <w:right w:val="single" w:sz="4" w:space="0" w:color="auto"/>
            </w:tcBorders>
            <w:vAlign w:val="center"/>
          </w:tcPr>
          <w:p w14:paraId="5A819E02"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94"/>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94"/>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6" w:type="dxa"/>
            <w:tcBorders>
              <w:top w:val="single" w:sz="4" w:space="0" w:color="auto"/>
              <w:left w:val="single" w:sz="4" w:space="0" w:color="auto"/>
              <w:bottom w:val="single" w:sz="4" w:space="0" w:color="auto"/>
              <w:right w:val="single" w:sz="4" w:space="0" w:color="auto"/>
            </w:tcBorders>
            <w:vAlign w:val="center"/>
          </w:tcPr>
          <w:p w14:paraId="3997A8BD"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93"/>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93"/>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c>
          <w:tcPr>
            <w:tcW w:w="1126" w:type="dxa"/>
            <w:tcBorders>
              <w:top w:val="single" w:sz="4" w:space="0" w:color="auto"/>
              <w:left w:val="single" w:sz="4" w:space="0" w:color="auto"/>
              <w:bottom w:val="single" w:sz="4" w:space="0" w:color="auto"/>
              <w:right w:val="single" w:sz="4" w:space="0" w:color="auto"/>
            </w:tcBorders>
            <w:vAlign w:val="center"/>
          </w:tcPr>
          <w:p w14:paraId="0A3137BA"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92"/>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92"/>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19</w:t>
            </w:r>
          </w:p>
        </w:tc>
      </w:tr>
      <w:tr w:rsidR="00DF1C7A" w:rsidRPr="00DF1C7A" w14:paraId="4D78BAD2" w14:textId="77777777" w:rsidTr="00ED4BBD">
        <w:trPr>
          <w:cantSplit/>
        </w:trPr>
        <w:tc>
          <w:tcPr>
            <w:tcW w:w="9017" w:type="dxa"/>
            <w:gridSpan w:val="7"/>
            <w:tcBorders>
              <w:right w:val="single" w:sz="4" w:space="0" w:color="auto"/>
            </w:tcBorders>
            <w:vAlign w:val="center"/>
          </w:tcPr>
          <w:p w14:paraId="5B8D0EAC"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
                <w:sz w:val="20"/>
                <w:szCs w:val="20"/>
                <w:lang w:eastAsia="en-US"/>
              </w:rPr>
              <w:t>Net financial implications to the PBS/RPBS (cost of ranibizumab implant minus cost offsets)</w:t>
            </w:r>
          </w:p>
        </w:tc>
      </w:tr>
      <w:tr w:rsidR="00DF1C7A" w:rsidRPr="00DF1C7A" w14:paraId="266C527F" w14:textId="77777777" w:rsidTr="00ED4BBD">
        <w:trPr>
          <w:cantSplit/>
        </w:trPr>
        <w:tc>
          <w:tcPr>
            <w:tcW w:w="2263" w:type="dxa"/>
            <w:vAlign w:val="center"/>
          </w:tcPr>
          <w:p w14:paraId="2BA3D811" w14:textId="77777777" w:rsidR="00DF1C7A" w:rsidRPr="00DF1C7A" w:rsidRDefault="00DF1C7A" w:rsidP="00DF1C7A">
            <w:pPr>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
                <w:sz w:val="20"/>
                <w:szCs w:val="20"/>
                <w:lang w:eastAsia="en-US"/>
              </w:rPr>
              <w:t>Net cost to PBS/RPBS ($)</w:t>
            </w:r>
          </w:p>
        </w:tc>
        <w:tc>
          <w:tcPr>
            <w:tcW w:w="1134" w:type="dxa"/>
            <w:tcBorders>
              <w:top w:val="single" w:sz="4" w:space="0" w:color="auto"/>
              <w:left w:val="nil"/>
              <w:bottom w:val="single" w:sz="4" w:space="0" w:color="auto"/>
              <w:right w:val="single" w:sz="4" w:space="0" w:color="auto"/>
            </w:tcBorders>
            <w:vAlign w:val="center"/>
          </w:tcPr>
          <w:p w14:paraId="47A4CC7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6"/>
                <w:sz w:val="20"/>
                <w:szCs w:val="20"/>
                <w:shd w:val="solid" w:color="000000" w:fill="000000"/>
                <w:fitText w:val="120" w:id="-416074491"/>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6"/>
                <w:sz w:val="20"/>
                <w:szCs w:val="20"/>
                <w:shd w:val="solid" w:color="000000" w:fill="000000"/>
                <w:fitText w:val="120" w:id="-416074491"/>
                <w14:textFill>
                  <w14:solidFill>
                    <w14:srgbClr w14:val="000000">
                      <w14:alpha w14:val="100000"/>
                    </w14:srgbClr>
                  </w14:solidFill>
                </w14:textFill>
              </w:rPr>
              <w:t>|</w:t>
            </w:r>
            <w:r w:rsidRPr="00DF1C7A">
              <w:rPr>
                <w:rFonts w:ascii="Arial Narrow" w:eastAsiaTheme="majorEastAsia" w:hAnsi="Arial Narrow" w:cstheme="majorBidi"/>
                <w:b/>
                <w:color w:val="000000"/>
                <w:spacing w:val="4"/>
                <w:w w:val="26"/>
                <w:sz w:val="20"/>
                <w:szCs w:val="20"/>
                <w:shd w:val="solid" w:color="000000" w:fill="000000"/>
                <w:fitText w:val="120"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10</w:t>
            </w:r>
          </w:p>
        </w:tc>
        <w:tc>
          <w:tcPr>
            <w:tcW w:w="1117" w:type="dxa"/>
            <w:tcBorders>
              <w:top w:val="single" w:sz="4" w:space="0" w:color="auto"/>
              <w:left w:val="single" w:sz="4" w:space="0" w:color="auto"/>
              <w:bottom w:val="single" w:sz="4" w:space="0" w:color="auto"/>
              <w:right w:val="single" w:sz="4" w:space="0" w:color="auto"/>
            </w:tcBorders>
            <w:vAlign w:val="center"/>
          </w:tcPr>
          <w:p w14:paraId="18456F64"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0"/>
                <w:sz w:val="20"/>
                <w:szCs w:val="20"/>
                <w:shd w:val="solid" w:color="000000" w:fill="000000"/>
                <w:fitText w:val="90" w:id="-416074490"/>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0"/>
                <w:sz w:val="20"/>
                <w:szCs w:val="20"/>
                <w:shd w:val="solid" w:color="000000" w:fill="000000"/>
                <w:fitText w:val="90" w:id="-416074490"/>
                <w14:textFill>
                  <w14:solidFill>
                    <w14:srgbClr w14:val="000000">
                      <w14:alpha w14:val="100000"/>
                    </w14:srgbClr>
                  </w14:solidFill>
                </w14:textFill>
              </w:rPr>
              <w:t>|</w:t>
            </w:r>
            <w:r w:rsidRPr="00DF1C7A">
              <w:rPr>
                <w:rFonts w:ascii="Arial Narrow" w:eastAsiaTheme="majorEastAsia" w:hAnsi="Arial Narrow" w:cstheme="majorBidi"/>
                <w:b/>
                <w:color w:val="000000"/>
                <w:spacing w:val="2"/>
                <w:w w:val="20"/>
                <w:sz w:val="20"/>
                <w:szCs w:val="20"/>
                <w:shd w:val="solid" w:color="000000" w:fill="000000"/>
                <w:fitText w:val="90"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5</w:t>
            </w:r>
          </w:p>
        </w:tc>
        <w:tc>
          <w:tcPr>
            <w:tcW w:w="1126" w:type="dxa"/>
            <w:tcBorders>
              <w:top w:val="single" w:sz="4" w:space="0" w:color="auto"/>
              <w:left w:val="single" w:sz="4" w:space="0" w:color="auto"/>
              <w:bottom w:val="single" w:sz="4" w:space="0" w:color="auto"/>
              <w:right w:val="single" w:sz="4" w:space="0" w:color="auto"/>
            </w:tcBorders>
            <w:vAlign w:val="center"/>
          </w:tcPr>
          <w:p w14:paraId="3ACF079A"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16"/>
                <w:sz w:val="20"/>
                <w:szCs w:val="20"/>
                <w:shd w:val="solid" w:color="000000" w:fill="000000"/>
                <w:fitText w:val="75" w:id="-416074489"/>
                <w14:textFill>
                  <w14:solidFill>
                    <w14:srgbClr w14:val="000000">
                      <w14:alpha w14:val="100000"/>
                    </w14:srgbClr>
                  </w14:solidFill>
                </w14:textFill>
              </w:rPr>
              <w:t>|</w:t>
            </w:r>
            <w:r w:rsidRPr="00DF1C7A">
              <w:rPr>
                <w:rFonts w:ascii="Arial Narrow" w:eastAsiaTheme="majorEastAsia" w:hAnsi="Arial Narrow" w:cstheme="majorBidi"/>
                <w:b/>
                <w:color w:val="000000"/>
                <w:spacing w:val="5"/>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25" w:type="dxa"/>
            <w:tcBorders>
              <w:top w:val="single" w:sz="4" w:space="0" w:color="auto"/>
              <w:left w:val="single" w:sz="4" w:space="0" w:color="auto"/>
              <w:bottom w:val="single" w:sz="4" w:space="0" w:color="auto"/>
              <w:right w:val="single" w:sz="4" w:space="0" w:color="auto"/>
            </w:tcBorders>
            <w:vAlign w:val="center"/>
          </w:tcPr>
          <w:p w14:paraId="3363623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16"/>
                <w:sz w:val="20"/>
                <w:szCs w:val="20"/>
                <w:shd w:val="solid" w:color="000000" w:fill="000000"/>
                <w:fitText w:val="75" w:id="-416074488"/>
                <w14:textFill>
                  <w14:solidFill>
                    <w14:srgbClr w14:val="000000">
                      <w14:alpha w14:val="100000"/>
                    </w14:srgbClr>
                  </w14:solidFill>
                </w14:textFill>
              </w:rPr>
              <w:t>|</w:t>
            </w:r>
            <w:r w:rsidRPr="00DF1C7A">
              <w:rPr>
                <w:rFonts w:ascii="Arial Narrow" w:eastAsiaTheme="majorEastAsia" w:hAnsi="Arial Narrow" w:cstheme="majorBidi"/>
                <w:b/>
                <w:color w:val="000000"/>
                <w:spacing w:val="5"/>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26" w:type="dxa"/>
            <w:tcBorders>
              <w:top w:val="single" w:sz="4" w:space="0" w:color="auto"/>
              <w:left w:val="single" w:sz="4" w:space="0" w:color="auto"/>
              <w:bottom w:val="single" w:sz="4" w:space="0" w:color="auto"/>
              <w:right w:val="single" w:sz="4" w:space="0" w:color="auto"/>
            </w:tcBorders>
            <w:vAlign w:val="center"/>
          </w:tcPr>
          <w:p w14:paraId="06BC4F9F"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16"/>
                <w:sz w:val="20"/>
                <w:szCs w:val="20"/>
                <w:shd w:val="solid" w:color="000000" w:fill="000000"/>
                <w:fitText w:val="75" w:id="-416074487"/>
                <w14:textFill>
                  <w14:solidFill>
                    <w14:srgbClr w14:val="000000">
                      <w14:alpha w14:val="100000"/>
                    </w14:srgbClr>
                  </w14:solidFill>
                </w14:textFill>
              </w:rPr>
              <w:t>|</w:t>
            </w:r>
            <w:r w:rsidRPr="00DF1C7A">
              <w:rPr>
                <w:rFonts w:ascii="Arial Narrow" w:eastAsiaTheme="majorEastAsia" w:hAnsi="Arial Narrow" w:cstheme="majorBidi"/>
                <w:b/>
                <w:color w:val="000000"/>
                <w:spacing w:val="5"/>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26" w:type="dxa"/>
            <w:tcBorders>
              <w:top w:val="single" w:sz="4" w:space="0" w:color="auto"/>
              <w:left w:val="single" w:sz="4" w:space="0" w:color="auto"/>
              <w:bottom w:val="single" w:sz="4" w:space="0" w:color="auto"/>
              <w:right w:val="single" w:sz="4" w:space="0" w:color="auto"/>
            </w:tcBorders>
            <w:vAlign w:val="center"/>
          </w:tcPr>
          <w:p w14:paraId="0147469B" w14:textId="77777777" w:rsidR="00DF1C7A" w:rsidRPr="00DF1C7A" w:rsidRDefault="00DF1C7A" w:rsidP="00DF1C7A">
            <w:pPr>
              <w:keepNext/>
              <w:keepLines/>
              <w:widowControl w:val="0"/>
              <w:jc w:val="center"/>
              <w:rPr>
                <w:rFonts w:ascii="Arial Narrow" w:eastAsiaTheme="majorEastAsia" w:hAnsi="Arial Narrow" w:cstheme="majorBidi"/>
                <w:sz w:val="20"/>
                <w:szCs w:val="20"/>
                <w:highlight w:val="yellow"/>
              </w:rPr>
            </w:pPr>
            <w:r w:rsidRPr="00DF1C7A">
              <w:rPr>
                <w:rFonts w:ascii="Arial Narrow" w:eastAsiaTheme="majorEastAsia" w:hAnsi="Arial Narrow" w:cstheme="majorBidi"/>
                <w:b/>
                <w:color w:val="000000"/>
                <w:w w:val="23"/>
                <w:sz w:val="20"/>
                <w:szCs w:val="20"/>
                <w:shd w:val="solid" w:color="000000" w:fill="000000"/>
                <w:fitText w:val="105" w:id="-416074486"/>
                <w14:textFill>
                  <w14:solidFill>
                    <w14:srgbClr w14:val="000000">
                      <w14:alpha w14:val="100000"/>
                    </w14:srgbClr>
                  </w14:solidFill>
                </w14:textFill>
              </w:rPr>
              <w:t xml:space="preserve">　</w:t>
            </w:r>
            <w:r w:rsidRPr="00DF1C7A">
              <w:rPr>
                <w:rFonts w:ascii="Arial Narrow" w:eastAsiaTheme="majorEastAsia" w:hAnsi="Arial Narrow" w:cstheme="majorBidi"/>
                <w:b/>
                <w:color w:val="000000"/>
                <w:w w:val="23"/>
                <w:sz w:val="20"/>
                <w:szCs w:val="20"/>
                <w:shd w:val="solid" w:color="000000" w:fill="000000"/>
                <w:fitText w:val="105" w:id="-416074486"/>
                <w14:textFill>
                  <w14:solidFill>
                    <w14:srgbClr w14:val="000000">
                      <w14:alpha w14:val="100000"/>
                    </w14:srgbClr>
                  </w14:solidFill>
                </w14:textFill>
              </w:rPr>
              <w:t>|</w:t>
            </w:r>
            <w:r w:rsidRPr="00DF1C7A">
              <w:rPr>
                <w:rFonts w:ascii="Arial Narrow" w:eastAsiaTheme="majorEastAsia" w:hAnsi="Arial Narrow" w:cstheme="majorBidi"/>
                <w:b/>
                <w:color w:val="000000"/>
                <w:spacing w:val="3"/>
                <w:w w:val="23"/>
                <w:sz w:val="20"/>
                <w:szCs w:val="20"/>
                <w:shd w:val="solid" w:color="000000" w:fill="000000"/>
                <w:fitText w:val="10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13</w:t>
            </w:r>
          </w:p>
        </w:tc>
      </w:tr>
      <w:tr w:rsidR="00DF1C7A" w:rsidRPr="00DF1C7A" w14:paraId="7E87C3BF" w14:textId="77777777" w:rsidTr="00ED4BBD">
        <w:trPr>
          <w:cantSplit/>
        </w:trPr>
        <w:tc>
          <w:tcPr>
            <w:tcW w:w="9017" w:type="dxa"/>
            <w:gridSpan w:val="7"/>
            <w:tcBorders>
              <w:right w:val="single" w:sz="4" w:space="0" w:color="auto"/>
            </w:tcBorders>
            <w:vAlign w:val="center"/>
          </w:tcPr>
          <w:p w14:paraId="24A58FBB" w14:textId="77777777" w:rsidR="00DF1C7A" w:rsidRPr="00DF1C7A" w:rsidRDefault="00DF1C7A" w:rsidP="00DF1C7A">
            <w:pPr>
              <w:widowControl w:val="0"/>
              <w:jc w:val="left"/>
              <w:rPr>
                <w:rFonts w:ascii="Arial Narrow" w:eastAsiaTheme="majorEastAsia" w:hAnsi="Arial Narrow" w:cstheme="majorBidi"/>
                <w:bCs/>
                <w:sz w:val="20"/>
                <w:szCs w:val="20"/>
              </w:rPr>
            </w:pPr>
            <w:r w:rsidRPr="00DF1C7A">
              <w:rPr>
                <w:rFonts w:ascii="Arial Narrow" w:eastAsiaTheme="majorEastAsia" w:hAnsi="Arial Narrow" w:cstheme="majorBidi"/>
                <w:b/>
                <w:sz w:val="20"/>
                <w:szCs w:val="20"/>
                <w:lang w:eastAsia="en-US"/>
              </w:rPr>
              <w:t>Net financial implications to the Government, including MBS costs</w:t>
            </w:r>
          </w:p>
        </w:tc>
      </w:tr>
      <w:tr w:rsidR="00DF1C7A" w:rsidRPr="00DF1C7A" w14:paraId="04EBC890" w14:textId="77777777" w:rsidTr="00ED4BBD">
        <w:trPr>
          <w:cantSplit/>
        </w:trPr>
        <w:tc>
          <w:tcPr>
            <w:tcW w:w="2263" w:type="dxa"/>
            <w:vAlign w:val="center"/>
          </w:tcPr>
          <w:p w14:paraId="396D7188" w14:textId="77777777" w:rsidR="00DF1C7A" w:rsidRPr="00DF1C7A" w:rsidRDefault="00DF1C7A" w:rsidP="00DF1C7A">
            <w:pPr>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Cost to MBS  ($)</w:t>
            </w:r>
          </w:p>
        </w:tc>
        <w:tc>
          <w:tcPr>
            <w:tcW w:w="1134" w:type="dxa"/>
            <w:tcBorders>
              <w:top w:val="single" w:sz="4" w:space="0" w:color="auto"/>
              <w:left w:val="single" w:sz="4" w:space="0" w:color="auto"/>
              <w:bottom w:val="single" w:sz="4" w:space="0" w:color="auto"/>
              <w:right w:val="single" w:sz="4" w:space="0" w:color="auto"/>
            </w:tcBorders>
            <w:vAlign w:val="center"/>
          </w:tcPr>
          <w:p w14:paraId="36A9494C"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5"/>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single" w:sz="4" w:space="0" w:color="auto"/>
              <w:left w:val="nil"/>
              <w:bottom w:val="single" w:sz="4" w:space="0" w:color="auto"/>
              <w:right w:val="single" w:sz="4" w:space="0" w:color="auto"/>
            </w:tcBorders>
            <w:vAlign w:val="center"/>
          </w:tcPr>
          <w:p w14:paraId="176DA8C0"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4"/>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64EF93CE"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5" w:type="dxa"/>
            <w:tcBorders>
              <w:top w:val="single" w:sz="4" w:space="0" w:color="auto"/>
              <w:left w:val="nil"/>
              <w:bottom w:val="single" w:sz="4" w:space="0" w:color="auto"/>
              <w:right w:val="single" w:sz="4" w:space="0" w:color="auto"/>
            </w:tcBorders>
            <w:vAlign w:val="center"/>
          </w:tcPr>
          <w:p w14:paraId="56063FAB"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2"/>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48C56A4C"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1"/>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588BC405"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80"/>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r>
      <w:tr w:rsidR="00DF1C7A" w:rsidRPr="00DF1C7A" w14:paraId="5A97D0D4" w14:textId="77777777" w:rsidTr="00ED4BBD">
        <w:trPr>
          <w:cantSplit/>
        </w:trPr>
        <w:tc>
          <w:tcPr>
            <w:tcW w:w="2263" w:type="dxa"/>
            <w:vAlign w:val="center"/>
          </w:tcPr>
          <w:p w14:paraId="647A007F" w14:textId="77777777" w:rsidR="00DF1C7A" w:rsidRPr="00DF1C7A" w:rsidRDefault="00DF1C7A" w:rsidP="00DF1C7A">
            <w:pPr>
              <w:widowControl w:val="0"/>
              <w:jc w:val="left"/>
              <w:rPr>
                <w:rFonts w:ascii="Arial Narrow" w:eastAsiaTheme="majorEastAsia" w:hAnsi="Arial Narrow" w:cstheme="majorBidi"/>
                <w:bCs/>
                <w:sz w:val="20"/>
                <w:szCs w:val="20"/>
                <w:lang w:eastAsia="en-US"/>
              </w:rPr>
            </w:pPr>
            <w:r w:rsidRPr="00DF1C7A">
              <w:rPr>
                <w:rFonts w:ascii="Arial Narrow" w:eastAsiaTheme="majorEastAsia" w:hAnsi="Arial Narrow" w:cstheme="majorBidi"/>
                <w:bCs/>
                <w:sz w:val="20"/>
                <w:szCs w:val="20"/>
                <w:lang w:eastAsia="en-US"/>
              </w:rPr>
              <w:t>Offsets to MBS ($)</w:t>
            </w:r>
          </w:p>
        </w:tc>
        <w:tc>
          <w:tcPr>
            <w:tcW w:w="1134" w:type="dxa"/>
            <w:tcBorders>
              <w:top w:val="nil"/>
              <w:left w:val="single" w:sz="4" w:space="0" w:color="auto"/>
              <w:bottom w:val="single" w:sz="4" w:space="0" w:color="auto"/>
              <w:right w:val="single" w:sz="4" w:space="0" w:color="auto"/>
            </w:tcBorders>
            <w:vAlign w:val="center"/>
          </w:tcPr>
          <w:p w14:paraId="3771ED37"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96"/>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nil"/>
              <w:left w:val="nil"/>
              <w:bottom w:val="single" w:sz="4" w:space="0" w:color="auto"/>
              <w:right w:val="single" w:sz="4" w:space="0" w:color="auto"/>
            </w:tcBorders>
            <w:vAlign w:val="center"/>
          </w:tcPr>
          <w:p w14:paraId="28A63218"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bCs/>
                <w:color w:val="000000"/>
                <w:w w:val="16"/>
                <w:sz w:val="20"/>
                <w:szCs w:val="20"/>
                <w:shd w:val="solid" w:color="000000" w:fill="000000"/>
                <w:fitText w:val="75" w:id="-416074495"/>
                <w14:textFill>
                  <w14:solidFill>
                    <w14:srgbClr w14:val="000000">
                      <w14:alpha w14:val="100000"/>
                    </w14:srgbClr>
                  </w14:solidFill>
                </w14:textFill>
              </w:rPr>
              <w:t>|</w:t>
            </w:r>
            <w:r w:rsidRPr="00DF1C7A">
              <w:rPr>
                <w:rFonts w:ascii="Arial Narrow" w:eastAsiaTheme="majorEastAsia" w:hAnsi="Arial Narrow"/>
                <w:bCs/>
                <w:color w:val="000000"/>
                <w:spacing w:val="5"/>
                <w:w w:val="16"/>
                <w:sz w:val="20"/>
                <w:szCs w:val="20"/>
                <w:shd w:val="solid" w:color="000000" w:fill="000000"/>
                <w:fitText w:val="7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10</w:t>
            </w:r>
          </w:p>
        </w:tc>
        <w:tc>
          <w:tcPr>
            <w:tcW w:w="1126" w:type="dxa"/>
            <w:tcBorders>
              <w:top w:val="nil"/>
              <w:left w:val="nil"/>
              <w:bottom w:val="single" w:sz="4" w:space="0" w:color="auto"/>
              <w:right w:val="single" w:sz="4" w:space="0" w:color="auto"/>
            </w:tcBorders>
            <w:vAlign w:val="center"/>
          </w:tcPr>
          <w:p w14:paraId="0ADC97C4"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c>
          <w:tcPr>
            <w:tcW w:w="1125" w:type="dxa"/>
            <w:tcBorders>
              <w:top w:val="nil"/>
              <w:left w:val="nil"/>
              <w:bottom w:val="single" w:sz="4" w:space="0" w:color="auto"/>
              <w:right w:val="single" w:sz="4" w:space="0" w:color="auto"/>
            </w:tcBorders>
            <w:vAlign w:val="center"/>
          </w:tcPr>
          <w:p w14:paraId="4BB6F3E6"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93"/>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c>
          <w:tcPr>
            <w:tcW w:w="1126" w:type="dxa"/>
            <w:tcBorders>
              <w:top w:val="nil"/>
              <w:left w:val="nil"/>
              <w:bottom w:val="single" w:sz="4" w:space="0" w:color="auto"/>
              <w:right w:val="single" w:sz="4" w:space="0" w:color="auto"/>
            </w:tcBorders>
            <w:vAlign w:val="center"/>
          </w:tcPr>
          <w:p w14:paraId="44B79326"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92"/>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92"/>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26" w:type="dxa"/>
            <w:tcBorders>
              <w:top w:val="nil"/>
              <w:left w:val="nil"/>
              <w:bottom w:val="single" w:sz="4" w:space="0" w:color="auto"/>
              <w:right w:val="single" w:sz="4" w:space="0" w:color="auto"/>
            </w:tcBorders>
            <w:vAlign w:val="center"/>
          </w:tcPr>
          <w:p w14:paraId="5194F56A" w14:textId="77777777" w:rsidR="00DF1C7A" w:rsidRPr="00DF1C7A" w:rsidRDefault="00DF1C7A" w:rsidP="00DF1C7A">
            <w:pPr>
              <w:keepNext/>
              <w:keepLines/>
              <w:widowControl w:val="0"/>
              <w:jc w:val="center"/>
              <w:rPr>
                <w:rFonts w:ascii="Arial Narrow" w:eastAsiaTheme="majorEastAsia" w:hAnsi="Arial Narrow" w:cstheme="majorBidi"/>
                <w:bCs/>
                <w:sz w:val="20"/>
                <w:szCs w:val="20"/>
                <w:highlight w:val="yellow"/>
              </w:rPr>
            </w:pPr>
            <w:r w:rsidRPr="00DF1C7A">
              <w:rPr>
                <w:rFonts w:ascii="Arial Narrow" w:eastAsiaTheme="majorEastAsia" w:hAnsi="Arial Narrow"/>
                <w:bCs/>
                <w:color w:val="000000"/>
                <w:w w:val="15"/>
                <w:sz w:val="20"/>
                <w:szCs w:val="20"/>
                <w:shd w:val="solid" w:color="000000" w:fill="000000"/>
                <w:fitText w:val="45" w:id="-416074491"/>
                <w14:textFill>
                  <w14:solidFill>
                    <w14:srgbClr w14:val="000000">
                      <w14:alpha w14:val="100000"/>
                    </w14:srgbClr>
                  </w14:solidFill>
                </w14:textFill>
              </w:rPr>
              <w:t xml:space="preserve">　</w:t>
            </w:r>
            <w:r w:rsidRPr="00DF1C7A">
              <w:rPr>
                <w:rFonts w:ascii="Arial Narrow" w:eastAsiaTheme="majorEastAsia" w:hAnsi="Arial Narrow"/>
                <w:bCs/>
                <w:color w:val="000000"/>
                <w:w w:val="15"/>
                <w:sz w:val="20"/>
                <w:szCs w:val="20"/>
                <w:shd w:val="solid" w:color="000000" w:fill="000000"/>
                <w:fitText w:val="45" w:id="-416074491"/>
                <w14:textFill>
                  <w14:solidFill>
                    <w14:srgbClr w14:val="000000">
                      <w14:alpha w14:val="100000"/>
                    </w14:srgbClr>
                  </w14:solidFill>
                </w14:textFill>
              </w:rPr>
              <w:t>|</w:t>
            </w:r>
            <w:r w:rsidRPr="00DF1C7A">
              <w:rPr>
                <w:rFonts w:ascii="Arial Narrow" w:eastAsiaTheme="majorEastAsia" w:hAnsi="Arial Narrow"/>
                <w:bCs/>
                <w:color w:val="000000"/>
                <w:spacing w:val="-20"/>
                <w:w w:val="15"/>
                <w:sz w:val="20"/>
                <w:szCs w:val="20"/>
                <w:shd w:val="solid" w:color="000000" w:fill="000000"/>
                <w:fitText w:val="4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r>
      <w:tr w:rsidR="00DF1C7A" w:rsidRPr="00DF1C7A" w14:paraId="488934B4" w14:textId="77777777" w:rsidTr="00ED4BBD">
        <w:trPr>
          <w:cantSplit/>
        </w:trPr>
        <w:tc>
          <w:tcPr>
            <w:tcW w:w="2263" w:type="dxa"/>
            <w:vAlign w:val="center"/>
          </w:tcPr>
          <w:p w14:paraId="0D332F62"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
                <w:sz w:val="20"/>
                <w:szCs w:val="20"/>
                <w:lang w:eastAsia="en-US"/>
              </w:rPr>
              <w:t>Net cost to MBS ($)</w:t>
            </w:r>
          </w:p>
        </w:tc>
        <w:tc>
          <w:tcPr>
            <w:tcW w:w="1134" w:type="dxa"/>
            <w:tcBorders>
              <w:top w:val="nil"/>
              <w:left w:val="single" w:sz="4" w:space="0" w:color="auto"/>
              <w:bottom w:val="single" w:sz="4" w:space="0" w:color="auto"/>
              <w:right w:val="single" w:sz="4" w:space="0" w:color="auto"/>
            </w:tcBorders>
            <w:vAlign w:val="center"/>
          </w:tcPr>
          <w:p w14:paraId="7FAD7852"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0"/>
                <w:sz w:val="20"/>
                <w:szCs w:val="20"/>
                <w:shd w:val="solid" w:color="000000" w:fill="000000"/>
                <w:fitText w:val="90" w:id="-416074490"/>
                <w14:textFill>
                  <w14:solidFill>
                    <w14:srgbClr w14:val="000000">
                      <w14:alpha w14:val="100000"/>
                    </w14:srgbClr>
                  </w14:solidFill>
                </w14:textFill>
              </w:rPr>
              <w:t xml:space="preserve">　</w:t>
            </w:r>
            <w:r w:rsidRPr="00DF1C7A">
              <w:rPr>
                <w:rFonts w:ascii="Arial Narrow" w:eastAsiaTheme="majorEastAsia" w:hAnsi="Arial Narrow"/>
                <w:b/>
                <w:color w:val="000000"/>
                <w:w w:val="20"/>
                <w:sz w:val="20"/>
                <w:szCs w:val="20"/>
                <w:shd w:val="solid" w:color="000000" w:fill="000000"/>
                <w:fitText w:val="90" w:id="-416074490"/>
                <w14:textFill>
                  <w14:solidFill>
                    <w14:srgbClr w14:val="000000">
                      <w14:alpha w14:val="100000"/>
                    </w14:srgbClr>
                  </w14:solidFill>
                </w14:textFill>
              </w:rPr>
              <w:t>|</w:t>
            </w:r>
            <w:r w:rsidRPr="00DF1C7A">
              <w:rPr>
                <w:rFonts w:ascii="Arial Narrow" w:eastAsiaTheme="majorEastAsia" w:hAnsi="Arial Narrow"/>
                <w:b/>
                <w:color w:val="000000"/>
                <w:spacing w:val="2"/>
                <w:w w:val="20"/>
                <w:sz w:val="20"/>
                <w:szCs w:val="20"/>
                <w:shd w:val="solid" w:color="000000" w:fill="000000"/>
                <w:fitText w:val="90"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nil"/>
              <w:left w:val="nil"/>
              <w:bottom w:val="single" w:sz="4" w:space="0" w:color="auto"/>
              <w:right w:val="single" w:sz="4" w:space="0" w:color="auto"/>
            </w:tcBorders>
            <w:vAlign w:val="center"/>
          </w:tcPr>
          <w:p w14:paraId="3CEDEB0F"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0"/>
                <w:sz w:val="20"/>
                <w:szCs w:val="20"/>
                <w:shd w:val="solid" w:color="000000" w:fill="000000"/>
                <w:fitText w:val="90" w:id="-416074489"/>
                <w14:textFill>
                  <w14:solidFill>
                    <w14:srgbClr w14:val="000000">
                      <w14:alpha w14:val="100000"/>
                    </w14:srgbClr>
                  </w14:solidFill>
                </w14:textFill>
              </w:rPr>
              <w:t xml:space="preserve">　</w:t>
            </w:r>
            <w:r w:rsidRPr="00DF1C7A">
              <w:rPr>
                <w:rFonts w:ascii="Arial Narrow" w:eastAsiaTheme="majorEastAsia" w:hAnsi="Arial Narrow"/>
                <w:b/>
                <w:color w:val="000000"/>
                <w:w w:val="20"/>
                <w:sz w:val="20"/>
                <w:szCs w:val="20"/>
                <w:shd w:val="solid" w:color="000000" w:fill="000000"/>
                <w:fitText w:val="90" w:id="-416074489"/>
                <w14:textFill>
                  <w14:solidFill>
                    <w14:srgbClr w14:val="000000">
                      <w14:alpha w14:val="100000"/>
                    </w14:srgbClr>
                  </w14:solidFill>
                </w14:textFill>
              </w:rPr>
              <w:t>|</w:t>
            </w:r>
            <w:r w:rsidRPr="00DF1C7A">
              <w:rPr>
                <w:rFonts w:ascii="Arial Narrow" w:eastAsiaTheme="majorEastAsia" w:hAnsi="Arial Narrow"/>
                <w:b/>
                <w:color w:val="000000"/>
                <w:spacing w:val="2"/>
                <w:w w:val="20"/>
                <w:sz w:val="20"/>
                <w:szCs w:val="20"/>
                <w:shd w:val="solid" w:color="000000" w:fill="000000"/>
                <w:fitText w:val="90"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nil"/>
              <w:left w:val="nil"/>
              <w:bottom w:val="single" w:sz="4" w:space="0" w:color="auto"/>
              <w:right w:val="single" w:sz="4" w:space="0" w:color="auto"/>
            </w:tcBorders>
            <w:vAlign w:val="center"/>
          </w:tcPr>
          <w:p w14:paraId="0E5F6F4D"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3"/>
                <w:sz w:val="20"/>
                <w:szCs w:val="20"/>
                <w:shd w:val="solid" w:color="000000" w:fill="000000"/>
                <w:fitText w:val="105" w:id="-416074488"/>
                <w14:textFill>
                  <w14:solidFill>
                    <w14:srgbClr w14:val="000000">
                      <w14:alpha w14:val="100000"/>
                    </w14:srgbClr>
                  </w14:solidFill>
                </w14:textFill>
              </w:rPr>
              <w:t xml:space="preserve">　</w:t>
            </w:r>
            <w:r w:rsidRPr="00DF1C7A">
              <w:rPr>
                <w:rFonts w:ascii="Arial Narrow" w:eastAsiaTheme="majorEastAsia" w:hAnsi="Arial Narrow"/>
                <w:b/>
                <w:color w:val="000000"/>
                <w:w w:val="23"/>
                <w:sz w:val="20"/>
                <w:szCs w:val="20"/>
                <w:shd w:val="solid" w:color="000000" w:fill="000000"/>
                <w:fitText w:val="105" w:id="-416074488"/>
                <w14:textFill>
                  <w14:solidFill>
                    <w14:srgbClr w14:val="000000">
                      <w14:alpha w14:val="100000"/>
                    </w14:srgbClr>
                  </w14:solidFill>
                </w14:textFill>
              </w:rPr>
              <w:t>|</w:t>
            </w:r>
            <w:r w:rsidRPr="00DF1C7A">
              <w:rPr>
                <w:rFonts w:ascii="Arial Narrow" w:eastAsiaTheme="majorEastAsia" w:hAnsi="Arial Narrow"/>
                <w:b/>
                <w:color w:val="000000"/>
                <w:spacing w:val="3"/>
                <w:w w:val="23"/>
                <w:sz w:val="20"/>
                <w:szCs w:val="20"/>
                <w:shd w:val="solid" w:color="000000" w:fill="000000"/>
                <w:fitText w:val="10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10</w:t>
            </w:r>
          </w:p>
        </w:tc>
        <w:tc>
          <w:tcPr>
            <w:tcW w:w="1125" w:type="dxa"/>
            <w:tcBorders>
              <w:top w:val="nil"/>
              <w:left w:val="nil"/>
              <w:bottom w:val="single" w:sz="4" w:space="0" w:color="auto"/>
              <w:right w:val="single" w:sz="4" w:space="0" w:color="auto"/>
            </w:tcBorders>
            <w:vAlign w:val="center"/>
          </w:tcPr>
          <w:p w14:paraId="7E3D9012"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b/>
                <w:color w:val="000000"/>
                <w:w w:val="16"/>
                <w:sz w:val="20"/>
                <w:szCs w:val="20"/>
                <w:shd w:val="solid" w:color="000000" w:fill="000000"/>
                <w:fitText w:val="75" w:id="-416074487"/>
                <w14:textFill>
                  <w14:solidFill>
                    <w14:srgbClr w14:val="000000">
                      <w14:alpha w14:val="100000"/>
                    </w14:srgbClr>
                  </w14:solidFill>
                </w14:textFill>
              </w:rPr>
              <w:t>|</w:t>
            </w:r>
            <w:r w:rsidRPr="00DF1C7A">
              <w:rPr>
                <w:rFonts w:ascii="Arial Narrow" w:eastAsiaTheme="majorEastAsia" w:hAnsi="Arial Narrow"/>
                <w:b/>
                <w:color w:val="000000"/>
                <w:spacing w:val="5"/>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c>
          <w:tcPr>
            <w:tcW w:w="1126" w:type="dxa"/>
            <w:tcBorders>
              <w:top w:val="nil"/>
              <w:left w:val="nil"/>
              <w:bottom w:val="single" w:sz="4" w:space="0" w:color="auto"/>
              <w:right w:val="single" w:sz="4" w:space="0" w:color="auto"/>
            </w:tcBorders>
            <w:vAlign w:val="center"/>
          </w:tcPr>
          <w:p w14:paraId="1ACCFE19"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b/>
                <w:color w:val="000000"/>
                <w:w w:val="16"/>
                <w:sz w:val="20"/>
                <w:szCs w:val="20"/>
                <w:shd w:val="solid" w:color="000000" w:fill="000000"/>
                <w:fitText w:val="75" w:id="-416074486"/>
                <w14:textFill>
                  <w14:solidFill>
                    <w14:srgbClr w14:val="000000">
                      <w14:alpha w14:val="100000"/>
                    </w14:srgbClr>
                  </w14:solidFill>
                </w14:textFill>
              </w:rPr>
              <w:t>|</w:t>
            </w:r>
            <w:r w:rsidRPr="00DF1C7A">
              <w:rPr>
                <w:rFonts w:ascii="Arial Narrow" w:eastAsiaTheme="majorEastAsia" w:hAnsi="Arial Narrow"/>
                <w:b/>
                <w:color w:val="000000"/>
                <w:spacing w:val="5"/>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c>
          <w:tcPr>
            <w:tcW w:w="1126" w:type="dxa"/>
            <w:tcBorders>
              <w:top w:val="nil"/>
              <w:left w:val="nil"/>
              <w:bottom w:val="single" w:sz="4" w:space="0" w:color="auto"/>
              <w:right w:val="single" w:sz="4" w:space="0" w:color="auto"/>
            </w:tcBorders>
            <w:vAlign w:val="center"/>
          </w:tcPr>
          <w:p w14:paraId="453CCCCA"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16"/>
                <w:sz w:val="20"/>
                <w:szCs w:val="20"/>
                <w:shd w:val="solid" w:color="000000" w:fill="000000"/>
                <w:fitText w:val="75" w:id="-416074485"/>
                <w14:textFill>
                  <w14:solidFill>
                    <w14:srgbClr w14:val="000000">
                      <w14:alpha w14:val="100000"/>
                    </w14:srgbClr>
                  </w14:solidFill>
                </w14:textFill>
              </w:rPr>
              <w:t xml:space="preserve">　</w:t>
            </w:r>
            <w:r w:rsidRPr="00DF1C7A">
              <w:rPr>
                <w:rFonts w:ascii="Arial Narrow" w:eastAsiaTheme="majorEastAsia" w:hAnsi="Arial Narrow"/>
                <w:b/>
                <w:color w:val="000000"/>
                <w:w w:val="16"/>
                <w:sz w:val="20"/>
                <w:szCs w:val="20"/>
                <w:shd w:val="solid" w:color="000000" w:fill="000000"/>
                <w:fitText w:val="75" w:id="-416074485"/>
                <w14:textFill>
                  <w14:solidFill>
                    <w14:srgbClr w14:val="000000">
                      <w14:alpha w14:val="100000"/>
                    </w14:srgbClr>
                  </w14:solidFill>
                </w14:textFill>
              </w:rPr>
              <w:t>|</w:t>
            </w:r>
            <w:r w:rsidRPr="00DF1C7A">
              <w:rPr>
                <w:rFonts w:ascii="Arial Narrow" w:eastAsiaTheme="majorEastAsia" w:hAnsi="Arial Narrow"/>
                <w:b/>
                <w:color w:val="000000"/>
                <w:spacing w:val="5"/>
                <w:w w:val="16"/>
                <w:sz w:val="20"/>
                <w:szCs w:val="20"/>
                <w:shd w:val="solid" w:color="000000" w:fill="000000"/>
                <w:fitText w:val="75" w:id="-416074485"/>
                <w14:textFill>
                  <w14:solidFill>
                    <w14:srgbClr w14:val="000000">
                      <w14:alpha w14:val="100000"/>
                    </w14:srgbClr>
                  </w14:solidFill>
                </w14:textFill>
              </w:rPr>
              <w:t xml:space="preserve">　</w:t>
            </w:r>
            <w:r w:rsidRPr="00DF1C7A">
              <w:rPr>
                <w:rFonts w:ascii="Arial Narrow" w:eastAsiaTheme="majorEastAsia" w:hAnsi="Arial Narrow" w:cstheme="majorBidi"/>
                <w:b/>
                <w:bCs/>
                <w:sz w:val="20"/>
                <w:szCs w:val="20"/>
                <w:vertAlign w:val="superscript"/>
              </w:rPr>
              <w:t>5</w:t>
            </w:r>
          </w:p>
        </w:tc>
      </w:tr>
      <w:tr w:rsidR="00DF1C7A" w:rsidRPr="00DF1C7A" w14:paraId="1333BA1B" w14:textId="77777777" w:rsidTr="00ED4BBD">
        <w:trPr>
          <w:cantSplit/>
        </w:trPr>
        <w:tc>
          <w:tcPr>
            <w:tcW w:w="2263" w:type="dxa"/>
            <w:tcBorders>
              <w:bottom w:val="single" w:sz="4" w:space="0" w:color="auto"/>
            </w:tcBorders>
            <w:vAlign w:val="center"/>
          </w:tcPr>
          <w:p w14:paraId="52B7B6A1"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
                <w:sz w:val="20"/>
                <w:szCs w:val="20"/>
                <w:lang w:eastAsia="en-US"/>
              </w:rPr>
              <w:t>Overall net cost to Government ($)</w:t>
            </w:r>
          </w:p>
        </w:tc>
        <w:tc>
          <w:tcPr>
            <w:tcW w:w="1134" w:type="dxa"/>
            <w:tcBorders>
              <w:top w:val="single" w:sz="4" w:space="0" w:color="auto"/>
              <w:left w:val="single" w:sz="4" w:space="0" w:color="auto"/>
              <w:bottom w:val="single" w:sz="4" w:space="0" w:color="auto"/>
              <w:right w:val="single" w:sz="4" w:space="0" w:color="auto"/>
            </w:tcBorders>
            <w:vAlign w:val="center"/>
          </w:tcPr>
          <w:p w14:paraId="6CE62523"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6"/>
                <w:sz w:val="20"/>
                <w:szCs w:val="20"/>
                <w:shd w:val="solid" w:color="000000" w:fill="000000"/>
                <w:fitText w:val="120" w:id="-416074484"/>
                <w14:textFill>
                  <w14:solidFill>
                    <w14:srgbClr w14:val="000000">
                      <w14:alpha w14:val="100000"/>
                    </w14:srgbClr>
                  </w14:solidFill>
                </w14:textFill>
              </w:rPr>
              <w:t xml:space="preserve">　</w:t>
            </w:r>
            <w:r w:rsidRPr="00DF1C7A">
              <w:rPr>
                <w:rFonts w:ascii="Arial Narrow" w:eastAsiaTheme="majorEastAsia" w:hAnsi="Arial Narrow"/>
                <w:b/>
                <w:color w:val="000000"/>
                <w:w w:val="26"/>
                <w:sz w:val="20"/>
                <w:szCs w:val="20"/>
                <w:shd w:val="solid" w:color="000000" w:fill="000000"/>
                <w:fitText w:val="120" w:id="-416074484"/>
                <w14:textFill>
                  <w14:solidFill>
                    <w14:srgbClr w14:val="000000">
                      <w14:alpha w14:val="100000"/>
                    </w14:srgbClr>
                  </w14:solidFill>
                </w14:textFill>
              </w:rPr>
              <w:t>|</w:t>
            </w:r>
            <w:r w:rsidRPr="00DF1C7A">
              <w:rPr>
                <w:rFonts w:ascii="Arial Narrow" w:eastAsiaTheme="majorEastAsia" w:hAnsi="Arial Narrow"/>
                <w:b/>
                <w:color w:val="000000"/>
                <w:spacing w:val="4"/>
                <w:w w:val="26"/>
                <w:sz w:val="20"/>
                <w:szCs w:val="20"/>
                <w:shd w:val="solid" w:color="000000" w:fill="000000"/>
                <w:fitText w:val="120"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10</w:t>
            </w:r>
          </w:p>
        </w:tc>
        <w:tc>
          <w:tcPr>
            <w:tcW w:w="1117" w:type="dxa"/>
            <w:tcBorders>
              <w:top w:val="single" w:sz="4" w:space="0" w:color="auto"/>
              <w:left w:val="nil"/>
              <w:bottom w:val="single" w:sz="4" w:space="0" w:color="auto"/>
              <w:right w:val="single" w:sz="4" w:space="0" w:color="auto"/>
            </w:tcBorders>
            <w:vAlign w:val="center"/>
          </w:tcPr>
          <w:p w14:paraId="542BAA12"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0"/>
                <w:sz w:val="20"/>
                <w:szCs w:val="20"/>
                <w:shd w:val="solid" w:color="000000" w:fill="000000"/>
                <w:fitText w:val="90" w:id="-416074483"/>
                <w14:textFill>
                  <w14:solidFill>
                    <w14:srgbClr w14:val="000000">
                      <w14:alpha w14:val="100000"/>
                    </w14:srgbClr>
                  </w14:solidFill>
                </w14:textFill>
              </w:rPr>
              <w:t xml:space="preserve">　</w:t>
            </w:r>
            <w:r w:rsidRPr="00DF1C7A">
              <w:rPr>
                <w:rFonts w:ascii="Arial Narrow" w:eastAsiaTheme="majorEastAsia" w:hAnsi="Arial Narrow"/>
                <w:b/>
                <w:color w:val="000000"/>
                <w:w w:val="20"/>
                <w:sz w:val="20"/>
                <w:szCs w:val="20"/>
                <w:shd w:val="solid" w:color="000000" w:fill="000000"/>
                <w:fitText w:val="90" w:id="-416074483"/>
                <w14:textFill>
                  <w14:solidFill>
                    <w14:srgbClr w14:val="000000">
                      <w14:alpha w14:val="100000"/>
                    </w14:srgbClr>
                  </w14:solidFill>
                </w14:textFill>
              </w:rPr>
              <w:t>|</w:t>
            </w:r>
            <w:r w:rsidRPr="00DF1C7A">
              <w:rPr>
                <w:rFonts w:ascii="Arial Narrow" w:eastAsiaTheme="majorEastAsia" w:hAnsi="Arial Narrow"/>
                <w:b/>
                <w:color w:val="000000"/>
                <w:spacing w:val="2"/>
                <w:w w:val="20"/>
                <w:sz w:val="20"/>
                <w:szCs w:val="20"/>
                <w:shd w:val="solid" w:color="000000" w:fill="000000"/>
                <w:fitText w:val="90"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9</w:t>
            </w:r>
          </w:p>
        </w:tc>
        <w:tc>
          <w:tcPr>
            <w:tcW w:w="1126" w:type="dxa"/>
            <w:tcBorders>
              <w:top w:val="single" w:sz="4" w:space="0" w:color="auto"/>
              <w:left w:val="nil"/>
              <w:bottom w:val="single" w:sz="4" w:space="0" w:color="auto"/>
              <w:right w:val="single" w:sz="4" w:space="0" w:color="auto"/>
            </w:tcBorders>
            <w:vAlign w:val="center"/>
          </w:tcPr>
          <w:p w14:paraId="2A286635"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3"/>
                <w:sz w:val="20"/>
                <w:szCs w:val="20"/>
                <w:shd w:val="solid" w:color="000000" w:fill="000000"/>
                <w:fitText w:val="105" w:id="-416074482"/>
                <w14:textFill>
                  <w14:solidFill>
                    <w14:srgbClr w14:val="000000">
                      <w14:alpha w14:val="100000"/>
                    </w14:srgbClr>
                  </w14:solidFill>
                </w14:textFill>
              </w:rPr>
              <w:t xml:space="preserve">　</w:t>
            </w:r>
            <w:r w:rsidRPr="00DF1C7A">
              <w:rPr>
                <w:rFonts w:ascii="Arial Narrow" w:eastAsiaTheme="majorEastAsia" w:hAnsi="Arial Narrow"/>
                <w:b/>
                <w:color w:val="000000"/>
                <w:w w:val="23"/>
                <w:sz w:val="20"/>
                <w:szCs w:val="20"/>
                <w:shd w:val="solid" w:color="000000" w:fill="000000"/>
                <w:fitText w:val="105" w:id="-416074482"/>
                <w14:textFill>
                  <w14:solidFill>
                    <w14:srgbClr w14:val="000000">
                      <w14:alpha w14:val="100000"/>
                    </w14:srgbClr>
                  </w14:solidFill>
                </w14:textFill>
              </w:rPr>
              <w:t>|</w:t>
            </w:r>
            <w:r w:rsidRPr="00DF1C7A">
              <w:rPr>
                <w:rFonts w:ascii="Arial Narrow" w:eastAsiaTheme="majorEastAsia" w:hAnsi="Arial Narrow"/>
                <w:b/>
                <w:color w:val="000000"/>
                <w:spacing w:val="3"/>
                <w:w w:val="23"/>
                <w:sz w:val="20"/>
                <w:szCs w:val="20"/>
                <w:shd w:val="solid" w:color="000000" w:fill="000000"/>
                <w:fitText w:val="10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20</w:t>
            </w:r>
          </w:p>
        </w:tc>
        <w:tc>
          <w:tcPr>
            <w:tcW w:w="1125" w:type="dxa"/>
            <w:tcBorders>
              <w:top w:val="single" w:sz="4" w:space="0" w:color="auto"/>
              <w:left w:val="nil"/>
              <w:bottom w:val="single" w:sz="4" w:space="0" w:color="auto"/>
              <w:right w:val="single" w:sz="4" w:space="0" w:color="auto"/>
            </w:tcBorders>
            <w:vAlign w:val="center"/>
          </w:tcPr>
          <w:p w14:paraId="6AE5C7C8"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3"/>
                <w:sz w:val="20"/>
                <w:szCs w:val="20"/>
                <w:shd w:val="solid" w:color="000000" w:fill="000000"/>
                <w:fitText w:val="105" w:id="-416074481"/>
                <w14:textFill>
                  <w14:solidFill>
                    <w14:srgbClr w14:val="000000">
                      <w14:alpha w14:val="100000"/>
                    </w14:srgbClr>
                  </w14:solidFill>
                </w14:textFill>
              </w:rPr>
              <w:t xml:space="preserve">　</w:t>
            </w:r>
            <w:r w:rsidRPr="00DF1C7A">
              <w:rPr>
                <w:rFonts w:ascii="Arial Narrow" w:eastAsiaTheme="majorEastAsia" w:hAnsi="Arial Narrow"/>
                <w:b/>
                <w:color w:val="000000"/>
                <w:w w:val="23"/>
                <w:sz w:val="20"/>
                <w:szCs w:val="20"/>
                <w:shd w:val="solid" w:color="000000" w:fill="000000"/>
                <w:fitText w:val="105" w:id="-416074481"/>
                <w14:textFill>
                  <w14:solidFill>
                    <w14:srgbClr w14:val="000000">
                      <w14:alpha w14:val="100000"/>
                    </w14:srgbClr>
                  </w14:solidFill>
                </w14:textFill>
              </w:rPr>
              <w:t>|</w:t>
            </w:r>
            <w:r w:rsidRPr="00DF1C7A">
              <w:rPr>
                <w:rFonts w:ascii="Arial Narrow" w:eastAsiaTheme="majorEastAsia" w:hAnsi="Arial Narrow"/>
                <w:b/>
                <w:color w:val="000000"/>
                <w:spacing w:val="3"/>
                <w:w w:val="23"/>
                <w:sz w:val="20"/>
                <w:szCs w:val="20"/>
                <w:shd w:val="solid" w:color="000000" w:fill="000000"/>
                <w:fitText w:val="10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20</w:t>
            </w:r>
          </w:p>
        </w:tc>
        <w:tc>
          <w:tcPr>
            <w:tcW w:w="1126" w:type="dxa"/>
            <w:tcBorders>
              <w:top w:val="single" w:sz="4" w:space="0" w:color="auto"/>
              <w:left w:val="nil"/>
              <w:bottom w:val="single" w:sz="4" w:space="0" w:color="auto"/>
              <w:right w:val="single" w:sz="4" w:space="0" w:color="auto"/>
            </w:tcBorders>
            <w:vAlign w:val="center"/>
          </w:tcPr>
          <w:p w14:paraId="0C2E3D45"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3"/>
                <w:sz w:val="20"/>
                <w:szCs w:val="20"/>
                <w:shd w:val="solid" w:color="000000" w:fill="000000"/>
                <w:fitText w:val="105" w:id="-416074480"/>
                <w14:textFill>
                  <w14:solidFill>
                    <w14:srgbClr w14:val="000000">
                      <w14:alpha w14:val="100000"/>
                    </w14:srgbClr>
                  </w14:solidFill>
                </w14:textFill>
              </w:rPr>
              <w:t xml:space="preserve">　</w:t>
            </w:r>
            <w:r w:rsidRPr="00DF1C7A">
              <w:rPr>
                <w:rFonts w:ascii="Arial Narrow" w:eastAsiaTheme="majorEastAsia" w:hAnsi="Arial Narrow"/>
                <w:b/>
                <w:color w:val="000000"/>
                <w:w w:val="23"/>
                <w:sz w:val="20"/>
                <w:szCs w:val="20"/>
                <w:shd w:val="solid" w:color="000000" w:fill="000000"/>
                <w:fitText w:val="105" w:id="-416074480"/>
                <w14:textFill>
                  <w14:solidFill>
                    <w14:srgbClr w14:val="000000">
                      <w14:alpha w14:val="100000"/>
                    </w14:srgbClr>
                  </w14:solidFill>
                </w14:textFill>
              </w:rPr>
              <w:t>|</w:t>
            </w:r>
            <w:r w:rsidRPr="00DF1C7A">
              <w:rPr>
                <w:rFonts w:ascii="Arial Narrow" w:eastAsiaTheme="majorEastAsia" w:hAnsi="Arial Narrow"/>
                <w:b/>
                <w:color w:val="000000"/>
                <w:spacing w:val="3"/>
                <w:w w:val="23"/>
                <w:sz w:val="20"/>
                <w:szCs w:val="20"/>
                <w:shd w:val="solid" w:color="000000" w:fill="000000"/>
                <w:fitText w:val="10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16</w:t>
            </w:r>
          </w:p>
        </w:tc>
        <w:tc>
          <w:tcPr>
            <w:tcW w:w="1126" w:type="dxa"/>
            <w:tcBorders>
              <w:top w:val="single" w:sz="4" w:space="0" w:color="auto"/>
              <w:left w:val="nil"/>
              <w:bottom w:val="single" w:sz="4" w:space="0" w:color="auto"/>
              <w:right w:val="single" w:sz="4" w:space="0" w:color="auto"/>
            </w:tcBorders>
            <w:vAlign w:val="center"/>
          </w:tcPr>
          <w:p w14:paraId="64F12C0C" w14:textId="77777777" w:rsidR="00DF1C7A" w:rsidRPr="00DF1C7A" w:rsidRDefault="00DF1C7A" w:rsidP="00DF1C7A">
            <w:pPr>
              <w:keepNext/>
              <w:keepLines/>
              <w:widowControl w:val="0"/>
              <w:jc w:val="center"/>
              <w:rPr>
                <w:rFonts w:ascii="Arial Narrow" w:eastAsiaTheme="majorEastAsia" w:hAnsi="Arial Narrow" w:cstheme="majorBidi"/>
                <w:b/>
                <w:sz w:val="20"/>
                <w:szCs w:val="20"/>
                <w:highlight w:val="yellow"/>
              </w:rPr>
            </w:pPr>
            <w:r w:rsidRPr="00DF1C7A">
              <w:rPr>
                <w:rFonts w:ascii="Arial Narrow" w:eastAsiaTheme="majorEastAsia" w:hAnsi="Arial Narrow"/>
                <w:b/>
                <w:color w:val="000000"/>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b/>
                <w:color w:val="000000"/>
                <w:w w:val="23"/>
                <w:sz w:val="20"/>
                <w:szCs w:val="20"/>
                <w:shd w:val="solid" w:color="000000" w:fill="000000"/>
                <w:fitText w:val="105" w:id="-416074496"/>
                <w14:textFill>
                  <w14:solidFill>
                    <w14:srgbClr w14:val="000000">
                      <w14:alpha w14:val="100000"/>
                    </w14:srgbClr>
                  </w14:solidFill>
                </w14:textFill>
              </w:rPr>
              <w:t>|</w:t>
            </w:r>
            <w:r w:rsidRPr="00DF1C7A">
              <w:rPr>
                <w:rFonts w:ascii="Arial Narrow" w:eastAsiaTheme="majorEastAsia" w:hAnsi="Arial Narrow"/>
                <w:b/>
                <w:color w:val="000000"/>
                <w:spacing w:val="3"/>
                <w:w w:val="23"/>
                <w:sz w:val="20"/>
                <w:szCs w:val="20"/>
                <w:shd w:val="solid" w:color="000000" w:fill="000000"/>
                <w:fitText w:val="10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16</w:t>
            </w:r>
          </w:p>
        </w:tc>
      </w:tr>
      <w:tr w:rsidR="00DF1C7A" w:rsidRPr="00DF1C7A" w14:paraId="74E98109" w14:textId="77777777" w:rsidTr="00ED4BBD">
        <w:trPr>
          <w:cantSplit/>
        </w:trPr>
        <w:tc>
          <w:tcPr>
            <w:tcW w:w="9017" w:type="dxa"/>
            <w:gridSpan w:val="7"/>
            <w:tcBorders>
              <w:right w:val="single" w:sz="4" w:space="0" w:color="auto"/>
            </w:tcBorders>
            <w:shd w:val="clear" w:color="auto" w:fill="D9D9D9" w:themeFill="background1" w:themeFillShade="D9"/>
            <w:vAlign w:val="center"/>
          </w:tcPr>
          <w:p w14:paraId="427746F2" w14:textId="77777777" w:rsidR="00DF1C7A" w:rsidRPr="00DF1C7A" w:rsidRDefault="00DF1C7A" w:rsidP="00DF1C7A">
            <w:pPr>
              <w:widowControl w:val="0"/>
              <w:jc w:val="left"/>
              <w:rPr>
                <w:rFonts w:ascii="Arial Narrow" w:eastAsiaTheme="majorEastAsia" w:hAnsi="Arial Narrow"/>
                <w:b/>
                <w:bCs/>
                <w:sz w:val="20"/>
                <w:szCs w:val="20"/>
              </w:rPr>
            </w:pPr>
            <w:r w:rsidRPr="00DF1C7A">
              <w:rPr>
                <w:rFonts w:ascii="Arial Narrow" w:eastAsiaTheme="majorEastAsia" w:hAnsi="Arial Narrow"/>
                <w:b/>
                <w:iCs/>
                <w:sz w:val="20"/>
                <w:szCs w:val="20"/>
              </w:rPr>
              <w:t>Alternative analysis conducted during the evaluation: substituting 6.31 scripts per patient for intravitreal ranibizumab (updated DUSC Secretariat analysis) and a published DPMQ of $2,876.66 for ranibizumab PDS</w:t>
            </w:r>
          </w:p>
        </w:tc>
      </w:tr>
      <w:tr w:rsidR="00DF1C7A" w:rsidRPr="00DF1C7A" w14:paraId="7E0A9E1E" w14:textId="77777777" w:rsidTr="00ED4BBD">
        <w:trPr>
          <w:cantSplit/>
        </w:trPr>
        <w:tc>
          <w:tcPr>
            <w:tcW w:w="9017" w:type="dxa"/>
            <w:gridSpan w:val="7"/>
            <w:tcBorders>
              <w:right w:val="single" w:sz="4" w:space="0" w:color="auto"/>
            </w:tcBorders>
            <w:vAlign w:val="center"/>
          </w:tcPr>
          <w:p w14:paraId="3D082F47" w14:textId="77777777" w:rsidR="00DF1C7A" w:rsidRPr="00DF1C7A" w:rsidRDefault="00DF1C7A" w:rsidP="00DF1C7A">
            <w:pPr>
              <w:widowControl w:val="0"/>
              <w:jc w:val="left"/>
              <w:rPr>
                <w:rFonts w:ascii="Arial Narrow" w:eastAsiaTheme="majorEastAsia" w:hAnsi="Arial Narrow"/>
                <w:b/>
                <w:sz w:val="20"/>
                <w:szCs w:val="20"/>
              </w:rPr>
            </w:pPr>
            <w:r w:rsidRPr="00DF1C7A">
              <w:rPr>
                <w:rFonts w:ascii="Arial Narrow" w:eastAsiaTheme="majorEastAsia" w:hAnsi="Arial Narrow"/>
                <w:b/>
                <w:sz w:val="20"/>
                <w:szCs w:val="20"/>
              </w:rPr>
              <w:t>Estimated use and financial implications of ranibizumab PDS</w:t>
            </w:r>
          </w:p>
        </w:tc>
      </w:tr>
      <w:tr w:rsidR="00DF1C7A" w:rsidRPr="00DF1C7A" w14:paraId="62EBC121" w14:textId="77777777" w:rsidTr="00ED4BBD">
        <w:trPr>
          <w:cantSplit/>
        </w:trPr>
        <w:tc>
          <w:tcPr>
            <w:tcW w:w="2263" w:type="dxa"/>
            <w:vAlign w:val="center"/>
          </w:tcPr>
          <w:p w14:paraId="7860D13E"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Cs/>
                <w:sz w:val="20"/>
                <w:szCs w:val="20"/>
                <w:lang w:eastAsia="en-US"/>
              </w:rPr>
              <w:t>Projected number of scripts using intravitreal therapies</w:t>
            </w:r>
          </w:p>
        </w:tc>
        <w:tc>
          <w:tcPr>
            <w:tcW w:w="1134" w:type="dxa"/>
            <w:vAlign w:val="center"/>
          </w:tcPr>
          <w:p w14:paraId="35482A8A"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95"/>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1</w:t>
            </w:r>
          </w:p>
        </w:tc>
        <w:tc>
          <w:tcPr>
            <w:tcW w:w="1117" w:type="dxa"/>
            <w:vAlign w:val="center"/>
          </w:tcPr>
          <w:p w14:paraId="2C94C314"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cstheme="majorBidi"/>
                <w:color w:val="000000"/>
                <w:spacing w:val="-2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1</w:t>
            </w:r>
          </w:p>
        </w:tc>
        <w:tc>
          <w:tcPr>
            <w:tcW w:w="1126" w:type="dxa"/>
            <w:vAlign w:val="center"/>
          </w:tcPr>
          <w:p w14:paraId="620CB306"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3"/>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5" w:type="dxa"/>
            <w:vAlign w:val="center"/>
          </w:tcPr>
          <w:p w14:paraId="1C3CE870"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2"/>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6" w:type="dxa"/>
            <w:vAlign w:val="center"/>
          </w:tcPr>
          <w:p w14:paraId="67ADE2CF"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c>
          <w:tcPr>
            <w:tcW w:w="1126" w:type="dxa"/>
            <w:vAlign w:val="center"/>
          </w:tcPr>
          <w:p w14:paraId="14E2FC0A"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cstheme="majorBidi"/>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17</w:t>
            </w:r>
          </w:p>
        </w:tc>
      </w:tr>
      <w:tr w:rsidR="00DF1C7A" w:rsidRPr="00DF1C7A" w14:paraId="75CD9DC9" w14:textId="77777777" w:rsidTr="00ED4BBD">
        <w:trPr>
          <w:cantSplit/>
        </w:trPr>
        <w:tc>
          <w:tcPr>
            <w:tcW w:w="2263" w:type="dxa"/>
            <w:vAlign w:val="center"/>
          </w:tcPr>
          <w:p w14:paraId="095D035B"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Cs/>
                <w:sz w:val="20"/>
                <w:szCs w:val="20"/>
                <w:lang w:eastAsia="en-US"/>
              </w:rPr>
              <w:t>Number of patients using intravitreal therapies (scripts/</w:t>
            </w:r>
            <w:r w:rsidRPr="00DF1C7A">
              <w:rPr>
                <w:rFonts w:ascii="Arial Narrow" w:eastAsiaTheme="majorEastAsia" w:hAnsi="Arial Narrow" w:cstheme="majorBidi"/>
                <w:bCs/>
                <w:iCs/>
                <w:sz w:val="20"/>
                <w:szCs w:val="20"/>
                <w:lang w:eastAsia="en-US"/>
              </w:rPr>
              <w:t>6.31</w:t>
            </w:r>
            <w:r w:rsidRPr="00DF1C7A">
              <w:rPr>
                <w:rFonts w:ascii="Arial Narrow" w:eastAsiaTheme="majorEastAsia" w:hAnsi="Arial Narrow" w:cstheme="majorBidi"/>
                <w:bCs/>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05670E8"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9"/>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17" w:type="dxa"/>
            <w:tcBorders>
              <w:top w:val="single" w:sz="4" w:space="0" w:color="auto"/>
              <w:left w:val="nil"/>
              <w:bottom w:val="single" w:sz="4" w:space="0" w:color="auto"/>
              <w:right w:val="single" w:sz="4" w:space="0" w:color="auto"/>
            </w:tcBorders>
            <w:vAlign w:val="center"/>
          </w:tcPr>
          <w:p w14:paraId="1F364CA0"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8"/>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11</w:t>
            </w:r>
          </w:p>
        </w:tc>
        <w:tc>
          <w:tcPr>
            <w:tcW w:w="1126" w:type="dxa"/>
            <w:tcBorders>
              <w:top w:val="single" w:sz="4" w:space="0" w:color="auto"/>
              <w:left w:val="nil"/>
              <w:bottom w:val="single" w:sz="4" w:space="0" w:color="auto"/>
              <w:right w:val="single" w:sz="4" w:space="0" w:color="auto"/>
            </w:tcBorders>
            <w:vAlign w:val="center"/>
          </w:tcPr>
          <w:p w14:paraId="01264F86"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7"/>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7"/>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21</w:t>
            </w:r>
          </w:p>
        </w:tc>
        <w:tc>
          <w:tcPr>
            <w:tcW w:w="1125" w:type="dxa"/>
            <w:tcBorders>
              <w:top w:val="single" w:sz="4" w:space="0" w:color="auto"/>
              <w:left w:val="nil"/>
              <w:bottom w:val="single" w:sz="4" w:space="0" w:color="auto"/>
              <w:right w:val="single" w:sz="4" w:space="0" w:color="auto"/>
            </w:tcBorders>
            <w:vAlign w:val="center"/>
          </w:tcPr>
          <w:p w14:paraId="35C58067"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6"/>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21</w:t>
            </w:r>
          </w:p>
        </w:tc>
        <w:tc>
          <w:tcPr>
            <w:tcW w:w="1126" w:type="dxa"/>
            <w:tcBorders>
              <w:top w:val="single" w:sz="4" w:space="0" w:color="auto"/>
              <w:left w:val="nil"/>
              <w:bottom w:val="single" w:sz="4" w:space="0" w:color="auto"/>
              <w:right w:val="single" w:sz="4" w:space="0" w:color="auto"/>
            </w:tcBorders>
            <w:vAlign w:val="center"/>
          </w:tcPr>
          <w:p w14:paraId="74DBB626"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5"/>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5"/>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21</w:t>
            </w:r>
          </w:p>
        </w:tc>
        <w:tc>
          <w:tcPr>
            <w:tcW w:w="1126" w:type="dxa"/>
            <w:tcBorders>
              <w:top w:val="single" w:sz="4" w:space="0" w:color="auto"/>
              <w:left w:val="nil"/>
              <w:bottom w:val="single" w:sz="4" w:space="0" w:color="auto"/>
              <w:right w:val="single" w:sz="4" w:space="0" w:color="auto"/>
            </w:tcBorders>
            <w:vAlign w:val="center"/>
          </w:tcPr>
          <w:p w14:paraId="2BE7C718"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iCs/>
                <w:color w:val="000000"/>
                <w:w w:val="16"/>
                <w:sz w:val="20"/>
                <w:szCs w:val="20"/>
                <w:shd w:val="solid" w:color="000000" w:fill="000000"/>
                <w:fitText w:val="75" w:id="-416074484"/>
                <w14:textFill>
                  <w14:solidFill>
                    <w14:srgbClr w14:val="000000">
                      <w14:alpha w14:val="100000"/>
                    </w14:srgbClr>
                  </w14:solidFill>
                </w14:textFill>
              </w:rPr>
              <w:t xml:space="preserve">　</w:t>
            </w:r>
            <w:r w:rsidRPr="00DF1C7A">
              <w:rPr>
                <w:rFonts w:ascii="Arial Narrow" w:eastAsiaTheme="majorEastAsia" w:hAnsi="Arial Narrow" w:cstheme="majorBidi"/>
                <w:iCs/>
                <w:color w:val="000000"/>
                <w:w w:val="16"/>
                <w:sz w:val="20"/>
                <w:szCs w:val="20"/>
                <w:shd w:val="solid" w:color="000000" w:fill="000000"/>
                <w:fitText w:val="75" w:id="-416074484"/>
                <w14:textFill>
                  <w14:solidFill>
                    <w14:srgbClr w14:val="000000">
                      <w14:alpha w14:val="100000"/>
                    </w14:srgbClr>
                  </w14:solidFill>
                </w14:textFill>
              </w:rPr>
              <w:t>|</w:t>
            </w:r>
            <w:r w:rsidRPr="00DF1C7A">
              <w:rPr>
                <w:rFonts w:ascii="Arial Narrow" w:eastAsiaTheme="majorEastAsia" w:hAnsi="Arial Narrow" w:cstheme="majorBidi"/>
                <w:iCs/>
                <w:color w:val="000000"/>
                <w:spacing w:val="5"/>
                <w:w w:val="16"/>
                <w:sz w:val="20"/>
                <w:szCs w:val="20"/>
                <w:shd w:val="solid" w:color="000000" w:fill="000000"/>
                <w:fitText w:val="75" w:id="-41607448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24</w:t>
            </w:r>
          </w:p>
        </w:tc>
      </w:tr>
      <w:tr w:rsidR="00DF1C7A" w:rsidRPr="00DF1C7A" w14:paraId="38C9CC5F" w14:textId="77777777" w:rsidTr="00ED4BBD">
        <w:trPr>
          <w:cantSplit/>
        </w:trPr>
        <w:tc>
          <w:tcPr>
            <w:tcW w:w="2263" w:type="dxa"/>
            <w:vAlign w:val="center"/>
          </w:tcPr>
          <w:p w14:paraId="6C2B1F74"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Cs/>
                <w:sz w:val="20"/>
                <w:szCs w:val="20"/>
                <w:lang w:eastAsia="en-US"/>
              </w:rPr>
              <w:t>Uptake of ranibizumab implant</w:t>
            </w:r>
          </w:p>
        </w:tc>
        <w:tc>
          <w:tcPr>
            <w:tcW w:w="1134" w:type="dxa"/>
            <w:tcBorders>
              <w:top w:val="single" w:sz="4" w:space="0" w:color="auto"/>
              <w:left w:val="single" w:sz="4" w:space="0" w:color="auto"/>
              <w:bottom w:val="single" w:sz="4" w:space="0" w:color="auto"/>
              <w:right w:val="single" w:sz="4" w:space="0" w:color="auto"/>
            </w:tcBorders>
            <w:vAlign w:val="center"/>
          </w:tcPr>
          <w:p w14:paraId="4D6293A9"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5%</w:t>
            </w:r>
          </w:p>
        </w:tc>
        <w:tc>
          <w:tcPr>
            <w:tcW w:w="1117" w:type="dxa"/>
            <w:tcBorders>
              <w:top w:val="single" w:sz="4" w:space="0" w:color="auto"/>
              <w:left w:val="nil"/>
              <w:bottom w:val="single" w:sz="4" w:space="0" w:color="auto"/>
              <w:right w:val="single" w:sz="4" w:space="0" w:color="auto"/>
            </w:tcBorders>
            <w:vAlign w:val="center"/>
          </w:tcPr>
          <w:p w14:paraId="59C7913C"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10%</w:t>
            </w:r>
          </w:p>
        </w:tc>
        <w:tc>
          <w:tcPr>
            <w:tcW w:w="1126" w:type="dxa"/>
            <w:tcBorders>
              <w:top w:val="single" w:sz="4" w:space="0" w:color="auto"/>
              <w:left w:val="nil"/>
              <w:bottom w:val="single" w:sz="4" w:space="0" w:color="auto"/>
              <w:right w:val="single" w:sz="4" w:space="0" w:color="auto"/>
            </w:tcBorders>
            <w:vAlign w:val="center"/>
          </w:tcPr>
          <w:p w14:paraId="581B98A4"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15%</w:t>
            </w:r>
          </w:p>
        </w:tc>
        <w:tc>
          <w:tcPr>
            <w:tcW w:w="1125" w:type="dxa"/>
            <w:tcBorders>
              <w:top w:val="single" w:sz="4" w:space="0" w:color="auto"/>
              <w:left w:val="nil"/>
              <w:bottom w:val="single" w:sz="4" w:space="0" w:color="auto"/>
              <w:right w:val="single" w:sz="4" w:space="0" w:color="auto"/>
            </w:tcBorders>
            <w:vAlign w:val="center"/>
          </w:tcPr>
          <w:p w14:paraId="35BBB05C"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15%</w:t>
            </w:r>
          </w:p>
        </w:tc>
        <w:tc>
          <w:tcPr>
            <w:tcW w:w="1126" w:type="dxa"/>
            <w:tcBorders>
              <w:top w:val="single" w:sz="4" w:space="0" w:color="auto"/>
              <w:left w:val="nil"/>
              <w:bottom w:val="single" w:sz="4" w:space="0" w:color="auto"/>
              <w:right w:val="single" w:sz="4" w:space="0" w:color="auto"/>
            </w:tcBorders>
            <w:vAlign w:val="center"/>
          </w:tcPr>
          <w:p w14:paraId="7C6978A8"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15%</w:t>
            </w:r>
          </w:p>
        </w:tc>
        <w:tc>
          <w:tcPr>
            <w:tcW w:w="1126" w:type="dxa"/>
            <w:tcBorders>
              <w:top w:val="single" w:sz="4" w:space="0" w:color="auto"/>
              <w:left w:val="nil"/>
              <w:bottom w:val="single" w:sz="4" w:space="0" w:color="auto"/>
              <w:right w:val="single" w:sz="4" w:space="0" w:color="auto"/>
            </w:tcBorders>
            <w:vAlign w:val="center"/>
          </w:tcPr>
          <w:p w14:paraId="7546D0EB" w14:textId="77777777" w:rsidR="00DF1C7A" w:rsidRPr="00DF1C7A" w:rsidRDefault="00DF1C7A" w:rsidP="00DF1C7A">
            <w:pPr>
              <w:keepNext/>
              <w:keepLines/>
              <w:widowControl w:val="0"/>
              <w:jc w:val="center"/>
              <w:rPr>
                <w:rFonts w:ascii="Arial Narrow" w:eastAsiaTheme="majorEastAsia" w:hAnsi="Arial Narrow"/>
                <w:b/>
                <w:sz w:val="20"/>
                <w:szCs w:val="20"/>
              </w:rPr>
            </w:pPr>
            <w:r w:rsidRPr="00DF1C7A">
              <w:rPr>
                <w:rFonts w:ascii="Arial Narrow" w:eastAsiaTheme="majorEastAsia" w:hAnsi="Arial Narrow" w:cstheme="majorBidi"/>
                <w:sz w:val="20"/>
                <w:szCs w:val="20"/>
                <w:lang w:eastAsia="en-US"/>
              </w:rPr>
              <w:t>15%</w:t>
            </w:r>
          </w:p>
        </w:tc>
      </w:tr>
      <w:tr w:rsidR="00DF1C7A" w:rsidRPr="00DF1C7A" w14:paraId="76B96FDB" w14:textId="77777777" w:rsidTr="00ED4BBD">
        <w:trPr>
          <w:cantSplit/>
        </w:trPr>
        <w:tc>
          <w:tcPr>
            <w:tcW w:w="2263" w:type="dxa"/>
            <w:vAlign w:val="center"/>
          </w:tcPr>
          <w:p w14:paraId="30B21BE0"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sz w:val="20"/>
                <w:szCs w:val="20"/>
                <w:lang w:eastAsia="en-US"/>
              </w:rPr>
              <w:t>Patients electing treatment with ranibizumab implant</w:t>
            </w:r>
          </w:p>
        </w:tc>
        <w:tc>
          <w:tcPr>
            <w:tcW w:w="1134" w:type="dxa"/>
            <w:tcBorders>
              <w:top w:val="single" w:sz="4" w:space="0" w:color="auto"/>
              <w:left w:val="single" w:sz="4" w:space="0" w:color="auto"/>
              <w:bottom w:val="single" w:sz="4" w:space="0" w:color="auto"/>
              <w:right w:val="single" w:sz="4" w:space="0" w:color="auto"/>
            </w:tcBorders>
            <w:vAlign w:val="center"/>
          </w:tcPr>
          <w:p w14:paraId="3BE41F2A"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83"/>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8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3</w:t>
            </w:r>
          </w:p>
        </w:tc>
        <w:tc>
          <w:tcPr>
            <w:tcW w:w="1117" w:type="dxa"/>
            <w:tcBorders>
              <w:top w:val="single" w:sz="4" w:space="0" w:color="auto"/>
              <w:left w:val="nil"/>
              <w:bottom w:val="single" w:sz="4" w:space="0" w:color="auto"/>
              <w:right w:val="single" w:sz="4" w:space="0" w:color="auto"/>
            </w:tcBorders>
            <w:vAlign w:val="center"/>
          </w:tcPr>
          <w:p w14:paraId="398C7057"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82"/>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4</w:t>
            </w:r>
          </w:p>
        </w:tc>
        <w:tc>
          <w:tcPr>
            <w:tcW w:w="1126" w:type="dxa"/>
            <w:tcBorders>
              <w:top w:val="single" w:sz="4" w:space="0" w:color="auto"/>
              <w:left w:val="nil"/>
              <w:bottom w:val="single" w:sz="4" w:space="0" w:color="auto"/>
              <w:right w:val="single" w:sz="4" w:space="0" w:color="auto"/>
            </w:tcBorders>
            <w:vAlign w:val="center"/>
          </w:tcPr>
          <w:p w14:paraId="5BBE8A87"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81"/>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5" w:type="dxa"/>
            <w:tcBorders>
              <w:top w:val="single" w:sz="4" w:space="0" w:color="auto"/>
              <w:left w:val="nil"/>
              <w:bottom w:val="single" w:sz="4" w:space="0" w:color="auto"/>
              <w:right w:val="single" w:sz="4" w:space="0" w:color="auto"/>
            </w:tcBorders>
            <w:vAlign w:val="center"/>
          </w:tcPr>
          <w:p w14:paraId="37D53D7A"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80"/>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nil"/>
              <w:bottom w:val="single" w:sz="4" w:space="0" w:color="auto"/>
              <w:right w:val="single" w:sz="4" w:space="0" w:color="auto"/>
            </w:tcBorders>
            <w:vAlign w:val="center"/>
          </w:tcPr>
          <w:p w14:paraId="0AA44265"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96"/>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nil"/>
              <w:bottom w:val="single" w:sz="4" w:space="0" w:color="auto"/>
              <w:right w:val="single" w:sz="4" w:space="0" w:color="auto"/>
            </w:tcBorders>
            <w:vAlign w:val="center"/>
          </w:tcPr>
          <w:p w14:paraId="5A93E4B2"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cstheme="majorBidi"/>
                <w:bCs/>
                <w:iCs/>
                <w:color w:val="00000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bCs/>
                <w:iCs/>
                <w:color w:val="000000"/>
                <w:w w:val="15"/>
                <w:sz w:val="20"/>
                <w:szCs w:val="20"/>
                <w:shd w:val="solid" w:color="000000" w:fill="000000"/>
                <w:fitText w:val="45" w:id="-416074495"/>
                <w14:textFill>
                  <w14:solidFill>
                    <w14:srgbClr w14:val="000000">
                      <w14:alpha w14:val="100000"/>
                    </w14:srgbClr>
                  </w14:solidFill>
                </w14:textFill>
              </w:rPr>
              <w:t>|</w:t>
            </w:r>
            <w:r w:rsidRPr="00DF1C7A">
              <w:rPr>
                <w:rFonts w:ascii="Arial Narrow" w:eastAsiaTheme="majorEastAsia" w:hAnsi="Arial Narrow" w:cstheme="majorBidi"/>
                <w:bCs/>
                <w:iCs/>
                <w:color w:val="000000"/>
                <w:spacing w:val="-2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r>
      <w:tr w:rsidR="00DF1C7A" w:rsidRPr="00DF1C7A" w14:paraId="2D531C17" w14:textId="77777777" w:rsidTr="00ED4BBD">
        <w:trPr>
          <w:cantSplit/>
        </w:trPr>
        <w:tc>
          <w:tcPr>
            <w:tcW w:w="2263" w:type="dxa"/>
            <w:vAlign w:val="center"/>
          </w:tcPr>
          <w:p w14:paraId="430513AD"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sz w:val="20"/>
                <w:szCs w:val="20"/>
                <w:lang w:eastAsia="en-US"/>
              </w:rPr>
              <w:t>Total ranibizumab 100 mg/mL scripts (patients × 2.2143)</w:t>
            </w:r>
            <w:r w:rsidRPr="00DF1C7A">
              <w:rPr>
                <w:rFonts w:ascii="Arial Narrow" w:eastAsiaTheme="majorEastAsia" w:hAnsi="Arial Narrow" w:cstheme="majorBidi"/>
                <w:bCs/>
                <w:sz w:val="20"/>
                <w:szCs w:val="20"/>
                <w:vertAlign w:val="superscript"/>
                <w:lang w:eastAsia="en-US"/>
              </w:rPr>
              <w:t>a</w:t>
            </w:r>
          </w:p>
        </w:tc>
        <w:tc>
          <w:tcPr>
            <w:tcW w:w="1134" w:type="dxa"/>
            <w:tcBorders>
              <w:top w:val="single" w:sz="4" w:space="0" w:color="auto"/>
              <w:left w:val="single" w:sz="4" w:space="0" w:color="auto"/>
              <w:bottom w:val="single" w:sz="4" w:space="0" w:color="auto"/>
              <w:right w:val="single" w:sz="4" w:space="0" w:color="auto"/>
            </w:tcBorders>
            <w:vAlign w:val="center"/>
          </w:tcPr>
          <w:p w14:paraId="34D0BC13"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sz w:val="20"/>
                <w:szCs w:val="20"/>
                <w:vertAlign w:val="superscript"/>
              </w:rPr>
              <w:t>4</w:t>
            </w:r>
          </w:p>
        </w:tc>
        <w:tc>
          <w:tcPr>
            <w:tcW w:w="1117" w:type="dxa"/>
            <w:tcBorders>
              <w:top w:val="single" w:sz="4" w:space="0" w:color="auto"/>
              <w:left w:val="nil"/>
              <w:bottom w:val="single" w:sz="4" w:space="0" w:color="auto"/>
              <w:right w:val="single" w:sz="4" w:space="0" w:color="auto"/>
            </w:tcBorders>
            <w:vAlign w:val="center"/>
          </w:tcPr>
          <w:p w14:paraId="46CBF1C7"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93"/>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7</w:t>
            </w:r>
          </w:p>
        </w:tc>
        <w:tc>
          <w:tcPr>
            <w:tcW w:w="1126" w:type="dxa"/>
            <w:tcBorders>
              <w:top w:val="single" w:sz="4" w:space="0" w:color="auto"/>
              <w:left w:val="nil"/>
              <w:bottom w:val="single" w:sz="4" w:space="0" w:color="auto"/>
              <w:right w:val="single" w:sz="4" w:space="0" w:color="auto"/>
            </w:tcBorders>
            <w:vAlign w:val="center"/>
          </w:tcPr>
          <w:p w14:paraId="19074712"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bCs/>
                <w:iCs/>
                <w:color w:val="000000"/>
                <w:w w:val="16"/>
                <w:sz w:val="20"/>
                <w:szCs w:val="20"/>
                <w:shd w:val="solid" w:color="000000" w:fill="000000"/>
                <w:fitText w:val="75" w:id="-416074492"/>
                <w14:textFill>
                  <w14:solidFill>
                    <w14:srgbClr w14:val="000000">
                      <w14:alpha w14:val="100000"/>
                    </w14:srgbClr>
                  </w14:solidFill>
                </w14:textFill>
              </w:rPr>
              <w:t>|</w:t>
            </w:r>
            <w:r w:rsidRPr="00DF1C7A">
              <w:rPr>
                <w:rFonts w:ascii="Arial Narrow" w:eastAsiaTheme="majorEastAsia" w:hAnsi="Arial Narrow"/>
                <w:bCs/>
                <w:iCs/>
                <w:color w:val="000000"/>
                <w:spacing w:val="5"/>
                <w:w w:val="16"/>
                <w:sz w:val="20"/>
                <w:szCs w:val="20"/>
                <w:shd w:val="solid" w:color="000000" w:fill="000000"/>
                <w:fitText w:val="7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5" w:type="dxa"/>
            <w:tcBorders>
              <w:top w:val="single" w:sz="4" w:space="0" w:color="auto"/>
              <w:left w:val="nil"/>
              <w:bottom w:val="single" w:sz="4" w:space="0" w:color="auto"/>
              <w:right w:val="single" w:sz="4" w:space="0" w:color="auto"/>
            </w:tcBorders>
            <w:vAlign w:val="center"/>
          </w:tcPr>
          <w:p w14:paraId="473E46F8"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bCs/>
                <w:iCs/>
                <w:color w:val="000000"/>
                <w:w w:val="16"/>
                <w:sz w:val="20"/>
                <w:szCs w:val="20"/>
                <w:shd w:val="solid" w:color="000000" w:fill="000000"/>
                <w:fitText w:val="75" w:id="-416074491"/>
                <w14:textFill>
                  <w14:solidFill>
                    <w14:srgbClr w14:val="000000">
                      <w14:alpha w14:val="100000"/>
                    </w14:srgbClr>
                  </w14:solidFill>
                </w14:textFill>
              </w:rPr>
              <w:t>|</w:t>
            </w:r>
            <w:r w:rsidRPr="00DF1C7A">
              <w:rPr>
                <w:rFonts w:ascii="Arial Narrow" w:eastAsiaTheme="majorEastAsia" w:hAnsi="Arial Narrow"/>
                <w:bCs/>
                <w:iCs/>
                <w:color w:val="000000"/>
                <w:spacing w:val="5"/>
                <w:w w:val="16"/>
                <w:sz w:val="20"/>
                <w:szCs w:val="20"/>
                <w:shd w:val="solid" w:color="000000" w:fill="000000"/>
                <w:fitText w:val="7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6" w:type="dxa"/>
            <w:tcBorders>
              <w:top w:val="single" w:sz="4" w:space="0" w:color="auto"/>
              <w:left w:val="nil"/>
              <w:bottom w:val="single" w:sz="4" w:space="0" w:color="auto"/>
              <w:right w:val="single" w:sz="4" w:space="0" w:color="auto"/>
            </w:tcBorders>
            <w:vAlign w:val="center"/>
          </w:tcPr>
          <w:p w14:paraId="3B35723C"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bCs/>
                <w:iCs/>
                <w:color w:val="000000"/>
                <w:w w:val="16"/>
                <w:sz w:val="20"/>
                <w:szCs w:val="20"/>
                <w:shd w:val="solid" w:color="000000" w:fill="000000"/>
                <w:fitText w:val="75" w:id="-416074490"/>
                <w14:textFill>
                  <w14:solidFill>
                    <w14:srgbClr w14:val="000000">
                      <w14:alpha w14:val="100000"/>
                    </w14:srgbClr>
                  </w14:solidFill>
                </w14:textFill>
              </w:rPr>
              <w:t>|</w:t>
            </w:r>
            <w:r w:rsidRPr="00DF1C7A">
              <w:rPr>
                <w:rFonts w:ascii="Arial Narrow" w:eastAsiaTheme="majorEastAsia" w:hAnsi="Arial Narrow"/>
                <w:bCs/>
                <w:iCs/>
                <w:color w:val="000000"/>
                <w:spacing w:val="5"/>
                <w:w w:val="16"/>
                <w:sz w:val="20"/>
                <w:szCs w:val="20"/>
                <w:shd w:val="solid" w:color="000000" w:fill="000000"/>
                <w:fitText w:val="7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12</w:t>
            </w:r>
          </w:p>
        </w:tc>
        <w:tc>
          <w:tcPr>
            <w:tcW w:w="1126" w:type="dxa"/>
            <w:tcBorders>
              <w:top w:val="single" w:sz="4" w:space="0" w:color="auto"/>
              <w:left w:val="nil"/>
              <w:bottom w:val="single" w:sz="4" w:space="0" w:color="auto"/>
              <w:right w:val="single" w:sz="4" w:space="0" w:color="auto"/>
            </w:tcBorders>
            <w:vAlign w:val="center"/>
          </w:tcPr>
          <w:p w14:paraId="0C6C2EFB"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89"/>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89"/>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8</w:t>
            </w:r>
          </w:p>
        </w:tc>
      </w:tr>
      <w:tr w:rsidR="00DF1C7A" w:rsidRPr="00DF1C7A" w14:paraId="7C6A46E3" w14:textId="77777777" w:rsidTr="00ED4BBD">
        <w:trPr>
          <w:cantSplit/>
        </w:trPr>
        <w:tc>
          <w:tcPr>
            <w:tcW w:w="2263" w:type="dxa"/>
            <w:vAlign w:val="center"/>
          </w:tcPr>
          <w:p w14:paraId="68696E14"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sz w:val="20"/>
                <w:szCs w:val="20"/>
                <w:lang w:eastAsia="en-US"/>
              </w:rPr>
              <w:t>Cost to PBS/RPBS ($)</w:t>
            </w:r>
          </w:p>
        </w:tc>
        <w:tc>
          <w:tcPr>
            <w:tcW w:w="1134" w:type="dxa"/>
            <w:tcBorders>
              <w:top w:val="single" w:sz="4" w:space="0" w:color="auto"/>
              <w:left w:val="nil"/>
              <w:bottom w:val="single" w:sz="4" w:space="0" w:color="auto"/>
              <w:right w:val="single" w:sz="4" w:space="0" w:color="auto"/>
            </w:tcBorders>
            <w:vAlign w:val="center"/>
          </w:tcPr>
          <w:p w14:paraId="2FB0D94C"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8"/>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8"/>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5</w:t>
            </w:r>
          </w:p>
        </w:tc>
        <w:tc>
          <w:tcPr>
            <w:tcW w:w="1117" w:type="dxa"/>
            <w:tcBorders>
              <w:top w:val="single" w:sz="4" w:space="0" w:color="auto"/>
              <w:left w:val="single" w:sz="4" w:space="0" w:color="auto"/>
              <w:bottom w:val="single" w:sz="4" w:space="0" w:color="auto"/>
              <w:right w:val="single" w:sz="4" w:space="0" w:color="auto"/>
            </w:tcBorders>
            <w:vAlign w:val="center"/>
          </w:tcPr>
          <w:p w14:paraId="2E8CFEE5"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7"/>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7"/>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13</w:t>
            </w:r>
          </w:p>
        </w:tc>
        <w:tc>
          <w:tcPr>
            <w:tcW w:w="1126" w:type="dxa"/>
            <w:tcBorders>
              <w:top w:val="single" w:sz="4" w:space="0" w:color="auto"/>
              <w:left w:val="single" w:sz="4" w:space="0" w:color="auto"/>
              <w:bottom w:val="single" w:sz="4" w:space="0" w:color="auto"/>
              <w:right w:val="single" w:sz="4" w:space="0" w:color="auto"/>
            </w:tcBorders>
            <w:vAlign w:val="center"/>
          </w:tcPr>
          <w:p w14:paraId="721B5933"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6"/>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6"/>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15</w:t>
            </w:r>
          </w:p>
        </w:tc>
        <w:tc>
          <w:tcPr>
            <w:tcW w:w="1125" w:type="dxa"/>
            <w:tcBorders>
              <w:top w:val="single" w:sz="4" w:space="0" w:color="auto"/>
              <w:left w:val="single" w:sz="4" w:space="0" w:color="auto"/>
              <w:bottom w:val="single" w:sz="4" w:space="0" w:color="auto"/>
              <w:right w:val="single" w:sz="4" w:space="0" w:color="auto"/>
            </w:tcBorders>
            <w:vAlign w:val="center"/>
          </w:tcPr>
          <w:p w14:paraId="1E39FAB5"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5"/>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5"/>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15</w:t>
            </w:r>
          </w:p>
        </w:tc>
        <w:tc>
          <w:tcPr>
            <w:tcW w:w="1126" w:type="dxa"/>
            <w:tcBorders>
              <w:top w:val="single" w:sz="4" w:space="0" w:color="auto"/>
              <w:left w:val="single" w:sz="4" w:space="0" w:color="auto"/>
              <w:bottom w:val="single" w:sz="4" w:space="0" w:color="auto"/>
              <w:right w:val="single" w:sz="4" w:space="0" w:color="auto"/>
            </w:tcBorders>
            <w:vAlign w:val="center"/>
          </w:tcPr>
          <w:p w14:paraId="3153AAED"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4"/>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4"/>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vAlign w:val="center"/>
          </w:tcPr>
          <w:p w14:paraId="71D11046" w14:textId="77777777" w:rsidR="00DF1C7A" w:rsidRPr="00DF1C7A" w:rsidRDefault="00DF1C7A" w:rsidP="00DF1C7A">
            <w:pPr>
              <w:jc w:val="left"/>
              <w:rPr>
                <w:rFonts w:ascii="Arial Narrow" w:hAnsi="Arial Narrow" w:cs="Times New Roman"/>
                <w:b/>
                <w:snapToGrid w:val="0"/>
                <w:sz w:val="20"/>
                <w:highlight w:val="yellow"/>
              </w:rPr>
            </w:pPr>
            <w:r w:rsidRPr="00CE6A52">
              <w:rPr>
                <w:rFonts w:ascii="Arial Narrow" w:hAnsi="Arial Narrow" w:cs="Times New Roman"/>
                <w:snapToGrid w:val="0"/>
                <w:color w:val="000000"/>
                <w:spacing w:val="53"/>
                <w:sz w:val="20"/>
                <w:shd w:val="solid" w:color="000000" w:fill="000000"/>
                <w:fitText w:val="330" w:id="-416074483"/>
                <w14:textFill>
                  <w14:solidFill>
                    <w14:srgbClr w14:val="000000">
                      <w14:alpha w14:val="100000"/>
                    </w14:srgbClr>
                  </w14:solidFill>
                </w14:textFill>
              </w:rPr>
              <w:t>|||</w:t>
            </w:r>
            <w:r w:rsidRPr="00CE6A52">
              <w:rPr>
                <w:rFonts w:ascii="Arial Narrow" w:hAnsi="Arial Narrow" w:cs="Times New Roman"/>
                <w:snapToGrid w:val="0"/>
                <w:color w:val="000000"/>
                <w:spacing w:val="1"/>
                <w:sz w:val="20"/>
                <w:shd w:val="solid" w:color="000000" w:fill="000000"/>
                <w:fitText w:val="330" w:id="-416074483"/>
                <w14:textFill>
                  <w14:solidFill>
                    <w14:srgbClr w14:val="000000">
                      <w14:alpha w14:val="100000"/>
                    </w14:srgbClr>
                  </w14:solidFill>
                </w14:textFill>
              </w:rPr>
              <w:t>|</w:t>
            </w:r>
            <w:r w:rsidRPr="00DF1C7A">
              <w:rPr>
                <w:rFonts w:ascii="Arial Narrow" w:hAnsi="Arial Narrow" w:cs="Times New Roman"/>
                <w:snapToGrid w:val="0"/>
                <w:sz w:val="20"/>
                <w:szCs w:val="20"/>
                <w:vertAlign w:val="superscript"/>
              </w:rPr>
              <w:t>22</w:t>
            </w:r>
          </w:p>
        </w:tc>
      </w:tr>
      <w:tr w:rsidR="00DF1C7A" w:rsidRPr="00DF1C7A" w14:paraId="2F33EA95" w14:textId="77777777" w:rsidTr="00ED4BBD">
        <w:trPr>
          <w:cantSplit/>
        </w:trPr>
        <w:tc>
          <w:tcPr>
            <w:tcW w:w="2263" w:type="dxa"/>
            <w:vAlign w:val="center"/>
          </w:tcPr>
          <w:p w14:paraId="142E5D3E"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sz w:val="20"/>
                <w:szCs w:val="20"/>
                <w:lang w:eastAsia="en-US"/>
              </w:rPr>
              <w:lastRenderedPageBreak/>
              <w:t xml:space="preserve">Copayments ($12.92/script)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1BBC0DB"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82"/>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8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17" w:type="dxa"/>
            <w:tcBorders>
              <w:top w:val="single" w:sz="4" w:space="0" w:color="auto"/>
              <w:left w:val="nil"/>
              <w:bottom w:val="single" w:sz="4" w:space="0" w:color="auto"/>
              <w:right w:val="single" w:sz="4" w:space="0" w:color="auto"/>
            </w:tcBorders>
            <w:vAlign w:val="center"/>
          </w:tcPr>
          <w:p w14:paraId="2AE26747"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81"/>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8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4AA0E0D7"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80"/>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8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5" w:type="dxa"/>
            <w:tcBorders>
              <w:top w:val="single" w:sz="4" w:space="0" w:color="auto"/>
              <w:left w:val="nil"/>
              <w:bottom w:val="single" w:sz="4" w:space="0" w:color="auto"/>
              <w:right w:val="single" w:sz="4" w:space="0" w:color="auto"/>
            </w:tcBorders>
            <w:vAlign w:val="center"/>
          </w:tcPr>
          <w:p w14:paraId="18DE6DFA"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96"/>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96"/>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282DC971"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95"/>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95"/>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7F95C1AC" w14:textId="77777777" w:rsidR="00DF1C7A" w:rsidRPr="00DF1C7A" w:rsidRDefault="00DF1C7A" w:rsidP="00DF1C7A">
            <w:pPr>
              <w:keepNext/>
              <w:keepLines/>
              <w:widowControl w:val="0"/>
              <w:jc w:val="center"/>
              <w:rPr>
                <w:rFonts w:ascii="Arial Narrow" w:eastAsiaTheme="majorEastAsia" w:hAnsi="Arial Narrow"/>
                <w:bCs/>
                <w:sz w:val="20"/>
                <w:szCs w:val="20"/>
                <w:highlight w:val="yellow"/>
              </w:rPr>
            </w:pPr>
            <w:r w:rsidRPr="00DF1C7A">
              <w:rPr>
                <w:rFonts w:ascii="Arial Narrow" w:eastAsiaTheme="majorEastAsia" w:hAnsi="Arial Narrow"/>
                <w:bCs/>
                <w:iCs/>
                <w:color w:val="00000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bCs/>
                <w:iCs/>
                <w:color w:val="000000"/>
                <w:w w:val="15"/>
                <w:sz w:val="20"/>
                <w:szCs w:val="20"/>
                <w:shd w:val="solid" w:color="000000" w:fill="000000"/>
                <w:fitText w:val="45" w:id="-416074494"/>
                <w14:textFill>
                  <w14:solidFill>
                    <w14:srgbClr w14:val="000000">
                      <w14:alpha w14:val="100000"/>
                    </w14:srgbClr>
                  </w14:solidFill>
                </w14:textFill>
              </w:rPr>
              <w:t>|</w:t>
            </w:r>
            <w:r w:rsidRPr="00DF1C7A">
              <w:rPr>
                <w:rFonts w:ascii="Arial Narrow" w:eastAsiaTheme="majorEastAsia" w:hAnsi="Arial Narrow"/>
                <w:bCs/>
                <w:iCs/>
                <w:color w:val="000000"/>
                <w:spacing w:val="-20"/>
                <w:w w:val="15"/>
                <w:sz w:val="20"/>
                <w:szCs w:val="20"/>
                <w:shd w:val="solid" w:color="000000" w:fill="000000"/>
                <w:fitText w:val="45" w:id="-416074494"/>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6</w:t>
            </w:r>
          </w:p>
        </w:tc>
      </w:tr>
      <w:tr w:rsidR="00DF1C7A" w:rsidRPr="00DF1C7A" w14:paraId="7B383E3F" w14:textId="77777777" w:rsidTr="00ED4BBD">
        <w:trPr>
          <w:cantSplit/>
        </w:trPr>
        <w:tc>
          <w:tcPr>
            <w:tcW w:w="2263" w:type="dxa"/>
            <w:vAlign w:val="center"/>
          </w:tcPr>
          <w:p w14:paraId="75BB1CC9"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
                <w:sz w:val="20"/>
                <w:szCs w:val="20"/>
                <w:lang w:eastAsia="en-US"/>
              </w:rPr>
              <w:t>Cost to PBS/RPBS (less copayment) ($)</w:t>
            </w:r>
          </w:p>
        </w:tc>
        <w:tc>
          <w:tcPr>
            <w:tcW w:w="1134" w:type="dxa"/>
            <w:tcBorders>
              <w:top w:val="single" w:sz="4" w:space="0" w:color="auto"/>
              <w:left w:val="single" w:sz="4" w:space="0" w:color="auto"/>
              <w:bottom w:val="single" w:sz="4" w:space="0" w:color="auto"/>
              <w:right w:val="single" w:sz="4" w:space="0" w:color="auto"/>
            </w:tcBorders>
            <w:vAlign w:val="center"/>
          </w:tcPr>
          <w:p w14:paraId="264C2FE0"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0"/>
                <w:sz w:val="20"/>
                <w:szCs w:val="20"/>
                <w:shd w:val="solid" w:color="000000" w:fill="000000"/>
                <w:fitText w:val="90" w:id="-416074493"/>
                <w14:textFill>
                  <w14:solidFill>
                    <w14:srgbClr w14:val="000000">
                      <w14:alpha w14:val="100000"/>
                    </w14:srgbClr>
                  </w14:solidFill>
                </w14:textFill>
              </w:rPr>
              <w:t xml:space="preserve">　</w:t>
            </w:r>
            <w:r w:rsidRPr="00DF1C7A">
              <w:rPr>
                <w:rFonts w:ascii="Arial Narrow" w:eastAsiaTheme="majorEastAsia" w:hAnsi="Arial Narrow"/>
                <w:b/>
                <w:iCs/>
                <w:color w:val="000000"/>
                <w:w w:val="20"/>
                <w:sz w:val="20"/>
                <w:szCs w:val="20"/>
                <w:shd w:val="solid" w:color="000000" w:fill="000000"/>
                <w:fitText w:val="90" w:id="-416074493"/>
                <w14:textFill>
                  <w14:solidFill>
                    <w14:srgbClr w14:val="000000">
                      <w14:alpha w14:val="100000"/>
                    </w14:srgbClr>
                  </w14:solidFill>
                </w14:textFill>
              </w:rPr>
              <w:t>|</w:t>
            </w:r>
            <w:r w:rsidRPr="00DF1C7A">
              <w:rPr>
                <w:rFonts w:ascii="Arial Narrow" w:eastAsiaTheme="majorEastAsia" w:hAnsi="Arial Narrow"/>
                <w:b/>
                <w:iCs/>
                <w:color w:val="000000"/>
                <w:spacing w:val="2"/>
                <w:w w:val="20"/>
                <w:sz w:val="20"/>
                <w:szCs w:val="20"/>
                <w:shd w:val="solid" w:color="000000" w:fill="000000"/>
                <w:fitText w:val="90" w:id="-416074493"/>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5</w:t>
            </w:r>
          </w:p>
        </w:tc>
        <w:tc>
          <w:tcPr>
            <w:tcW w:w="1117" w:type="dxa"/>
            <w:tcBorders>
              <w:top w:val="single" w:sz="4" w:space="0" w:color="auto"/>
              <w:left w:val="nil"/>
              <w:bottom w:val="single" w:sz="4" w:space="0" w:color="auto"/>
              <w:right w:val="single" w:sz="4" w:space="0" w:color="auto"/>
            </w:tcBorders>
            <w:vAlign w:val="center"/>
          </w:tcPr>
          <w:p w14:paraId="53D56ABB"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3"/>
                <w:sz w:val="20"/>
                <w:szCs w:val="20"/>
                <w:shd w:val="solid" w:color="000000" w:fill="000000"/>
                <w:fitText w:val="105" w:id="-416074492"/>
                <w14:textFill>
                  <w14:solidFill>
                    <w14:srgbClr w14:val="000000">
                      <w14:alpha w14:val="100000"/>
                    </w14:srgbClr>
                  </w14:solidFill>
                </w14:textFill>
              </w:rPr>
              <w:t xml:space="preserve">　</w:t>
            </w:r>
            <w:r w:rsidRPr="00DF1C7A">
              <w:rPr>
                <w:rFonts w:ascii="Arial Narrow" w:eastAsiaTheme="majorEastAsia" w:hAnsi="Arial Narrow"/>
                <w:b/>
                <w:iCs/>
                <w:color w:val="000000"/>
                <w:w w:val="23"/>
                <w:sz w:val="20"/>
                <w:szCs w:val="20"/>
                <w:shd w:val="solid" w:color="000000" w:fill="000000"/>
                <w:fitText w:val="105" w:id="-416074492"/>
                <w14:textFill>
                  <w14:solidFill>
                    <w14:srgbClr w14:val="000000">
                      <w14:alpha w14:val="100000"/>
                    </w14:srgbClr>
                  </w14:solidFill>
                </w14:textFill>
              </w:rPr>
              <w:t>|</w:t>
            </w:r>
            <w:r w:rsidRPr="00DF1C7A">
              <w:rPr>
                <w:rFonts w:ascii="Arial Narrow" w:eastAsiaTheme="majorEastAsia" w:hAnsi="Arial Narrow"/>
                <w:b/>
                <w:iCs/>
                <w:color w:val="000000"/>
                <w:spacing w:val="3"/>
                <w:w w:val="23"/>
                <w:sz w:val="20"/>
                <w:szCs w:val="20"/>
                <w:shd w:val="solid" w:color="000000" w:fill="000000"/>
                <w:fitText w:val="105" w:id="-416074492"/>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13</w:t>
            </w:r>
          </w:p>
        </w:tc>
        <w:tc>
          <w:tcPr>
            <w:tcW w:w="1126" w:type="dxa"/>
            <w:tcBorders>
              <w:top w:val="single" w:sz="4" w:space="0" w:color="auto"/>
              <w:left w:val="nil"/>
              <w:bottom w:val="single" w:sz="4" w:space="0" w:color="auto"/>
              <w:right w:val="single" w:sz="4" w:space="0" w:color="auto"/>
            </w:tcBorders>
            <w:vAlign w:val="center"/>
          </w:tcPr>
          <w:p w14:paraId="3D6C7747"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3"/>
                <w:sz w:val="20"/>
                <w:szCs w:val="20"/>
                <w:shd w:val="solid" w:color="000000" w:fill="000000"/>
                <w:fitText w:val="105" w:id="-416074491"/>
                <w14:textFill>
                  <w14:solidFill>
                    <w14:srgbClr w14:val="000000">
                      <w14:alpha w14:val="100000"/>
                    </w14:srgbClr>
                  </w14:solidFill>
                </w14:textFill>
              </w:rPr>
              <w:t xml:space="preserve">　</w:t>
            </w:r>
            <w:r w:rsidRPr="00DF1C7A">
              <w:rPr>
                <w:rFonts w:ascii="Arial Narrow" w:eastAsiaTheme="majorEastAsia" w:hAnsi="Arial Narrow"/>
                <w:b/>
                <w:iCs/>
                <w:color w:val="000000"/>
                <w:w w:val="23"/>
                <w:sz w:val="20"/>
                <w:szCs w:val="20"/>
                <w:shd w:val="solid" w:color="000000" w:fill="000000"/>
                <w:fitText w:val="105" w:id="-416074491"/>
                <w14:textFill>
                  <w14:solidFill>
                    <w14:srgbClr w14:val="000000">
                      <w14:alpha w14:val="100000"/>
                    </w14:srgbClr>
                  </w14:solidFill>
                </w14:textFill>
              </w:rPr>
              <w:t>|</w:t>
            </w:r>
            <w:r w:rsidRPr="00DF1C7A">
              <w:rPr>
                <w:rFonts w:ascii="Arial Narrow" w:eastAsiaTheme="majorEastAsia" w:hAnsi="Arial Narrow"/>
                <w:b/>
                <w:iCs/>
                <w:color w:val="000000"/>
                <w:spacing w:val="3"/>
                <w:w w:val="23"/>
                <w:sz w:val="20"/>
                <w:szCs w:val="20"/>
                <w:shd w:val="solid" w:color="000000" w:fill="000000"/>
                <w:fitText w:val="105" w:id="-416074491"/>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15</w:t>
            </w:r>
          </w:p>
        </w:tc>
        <w:tc>
          <w:tcPr>
            <w:tcW w:w="1125" w:type="dxa"/>
            <w:tcBorders>
              <w:top w:val="single" w:sz="4" w:space="0" w:color="auto"/>
              <w:left w:val="nil"/>
              <w:bottom w:val="single" w:sz="4" w:space="0" w:color="auto"/>
              <w:right w:val="single" w:sz="4" w:space="0" w:color="auto"/>
            </w:tcBorders>
            <w:vAlign w:val="center"/>
          </w:tcPr>
          <w:p w14:paraId="0528B57D"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3"/>
                <w:sz w:val="20"/>
                <w:szCs w:val="20"/>
                <w:shd w:val="solid" w:color="000000" w:fill="000000"/>
                <w:fitText w:val="105" w:id="-416074490"/>
                <w14:textFill>
                  <w14:solidFill>
                    <w14:srgbClr w14:val="000000">
                      <w14:alpha w14:val="100000"/>
                    </w14:srgbClr>
                  </w14:solidFill>
                </w14:textFill>
              </w:rPr>
              <w:t xml:space="preserve">　</w:t>
            </w:r>
            <w:r w:rsidRPr="00DF1C7A">
              <w:rPr>
                <w:rFonts w:ascii="Arial Narrow" w:eastAsiaTheme="majorEastAsia" w:hAnsi="Arial Narrow"/>
                <w:b/>
                <w:iCs/>
                <w:color w:val="000000"/>
                <w:w w:val="23"/>
                <w:sz w:val="20"/>
                <w:szCs w:val="20"/>
                <w:shd w:val="solid" w:color="000000" w:fill="000000"/>
                <w:fitText w:val="105" w:id="-416074490"/>
                <w14:textFill>
                  <w14:solidFill>
                    <w14:srgbClr w14:val="000000">
                      <w14:alpha w14:val="100000"/>
                    </w14:srgbClr>
                  </w14:solidFill>
                </w14:textFill>
              </w:rPr>
              <w:t>|</w:t>
            </w:r>
            <w:r w:rsidRPr="00DF1C7A">
              <w:rPr>
                <w:rFonts w:ascii="Arial Narrow" w:eastAsiaTheme="majorEastAsia" w:hAnsi="Arial Narrow"/>
                <w:b/>
                <w:iCs/>
                <w:color w:val="000000"/>
                <w:spacing w:val="3"/>
                <w:w w:val="23"/>
                <w:sz w:val="20"/>
                <w:szCs w:val="20"/>
                <w:shd w:val="solid" w:color="000000" w:fill="000000"/>
                <w:fitText w:val="105" w:id="-416074490"/>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15</w:t>
            </w:r>
          </w:p>
        </w:tc>
        <w:tc>
          <w:tcPr>
            <w:tcW w:w="1126" w:type="dxa"/>
            <w:tcBorders>
              <w:top w:val="single" w:sz="4" w:space="0" w:color="auto"/>
              <w:left w:val="nil"/>
              <w:bottom w:val="single" w:sz="4" w:space="0" w:color="auto"/>
              <w:right w:val="single" w:sz="4" w:space="0" w:color="auto"/>
            </w:tcBorders>
            <w:vAlign w:val="center"/>
          </w:tcPr>
          <w:p w14:paraId="05C735F5"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3"/>
                <w:sz w:val="20"/>
                <w:szCs w:val="20"/>
                <w:shd w:val="solid" w:color="000000" w:fill="000000"/>
                <w:fitText w:val="105" w:id="-416074489"/>
                <w14:textFill>
                  <w14:solidFill>
                    <w14:srgbClr w14:val="000000">
                      <w14:alpha w14:val="100000"/>
                    </w14:srgbClr>
                  </w14:solidFill>
                </w14:textFill>
              </w:rPr>
              <w:t xml:space="preserve">　</w:t>
            </w:r>
            <w:r w:rsidRPr="00DF1C7A">
              <w:rPr>
                <w:rFonts w:ascii="Arial Narrow" w:eastAsiaTheme="majorEastAsia" w:hAnsi="Arial Narrow"/>
                <w:b/>
                <w:iCs/>
                <w:color w:val="000000"/>
                <w:w w:val="23"/>
                <w:sz w:val="20"/>
                <w:szCs w:val="20"/>
                <w:shd w:val="solid" w:color="000000" w:fill="000000"/>
                <w:fitText w:val="105" w:id="-416074489"/>
                <w14:textFill>
                  <w14:solidFill>
                    <w14:srgbClr w14:val="000000">
                      <w14:alpha w14:val="100000"/>
                    </w14:srgbClr>
                  </w14:solidFill>
                </w14:textFill>
              </w:rPr>
              <w:t>|</w:t>
            </w:r>
            <w:r w:rsidRPr="00DF1C7A">
              <w:rPr>
                <w:rFonts w:ascii="Arial Narrow" w:eastAsiaTheme="majorEastAsia" w:hAnsi="Arial Narrow"/>
                <w:b/>
                <w:iCs/>
                <w:color w:val="000000"/>
                <w:spacing w:val="3"/>
                <w:w w:val="23"/>
                <w:sz w:val="20"/>
                <w:szCs w:val="20"/>
                <w:shd w:val="solid" w:color="000000" w:fill="000000"/>
                <w:fitText w:val="105" w:id="-416074489"/>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c>
          <w:tcPr>
            <w:tcW w:w="1126" w:type="dxa"/>
            <w:tcBorders>
              <w:top w:val="single" w:sz="4" w:space="0" w:color="auto"/>
              <w:left w:val="nil"/>
              <w:bottom w:val="single" w:sz="4" w:space="0" w:color="auto"/>
              <w:right w:val="single" w:sz="4" w:space="0" w:color="auto"/>
            </w:tcBorders>
            <w:vAlign w:val="center"/>
          </w:tcPr>
          <w:p w14:paraId="466DBEA9" w14:textId="77777777" w:rsidR="00DF1C7A" w:rsidRPr="00DF1C7A" w:rsidRDefault="00DF1C7A" w:rsidP="00DF1C7A">
            <w:pPr>
              <w:keepNext/>
              <w:keepLines/>
              <w:widowControl w:val="0"/>
              <w:jc w:val="center"/>
              <w:rPr>
                <w:rFonts w:ascii="Arial Narrow" w:eastAsiaTheme="majorEastAsia" w:hAnsi="Arial Narrow"/>
                <w:b/>
                <w:sz w:val="20"/>
                <w:szCs w:val="20"/>
                <w:highlight w:val="yellow"/>
              </w:rPr>
            </w:pPr>
            <w:r w:rsidRPr="00DF1C7A">
              <w:rPr>
                <w:rFonts w:ascii="Arial Narrow" w:eastAsiaTheme="majorEastAsia" w:hAnsi="Arial Narrow"/>
                <w:b/>
                <w:iCs/>
                <w:color w:val="000000"/>
                <w:w w:val="23"/>
                <w:sz w:val="20"/>
                <w:szCs w:val="20"/>
                <w:shd w:val="solid" w:color="000000" w:fill="000000"/>
                <w:fitText w:val="105" w:id="-416074488"/>
                <w14:textFill>
                  <w14:solidFill>
                    <w14:srgbClr w14:val="000000">
                      <w14:alpha w14:val="100000"/>
                    </w14:srgbClr>
                  </w14:solidFill>
                </w14:textFill>
              </w:rPr>
              <w:t xml:space="preserve">　</w:t>
            </w:r>
            <w:r w:rsidRPr="00DF1C7A">
              <w:rPr>
                <w:rFonts w:ascii="Arial Narrow" w:eastAsiaTheme="majorEastAsia" w:hAnsi="Arial Narrow"/>
                <w:b/>
                <w:iCs/>
                <w:color w:val="000000"/>
                <w:w w:val="23"/>
                <w:sz w:val="20"/>
                <w:szCs w:val="20"/>
                <w:shd w:val="solid" w:color="000000" w:fill="000000"/>
                <w:fitText w:val="105" w:id="-416074488"/>
                <w14:textFill>
                  <w14:solidFill>
                    <w14:srgbClr w14:val="000000">
                      <w14:alpha w14:val="100000"/>
                    </w14:srgbClr>
                  </w14:solidFill>
                </w14:textFill>
              </w:rPr>
              <w:t>|</w:t>
            </w:r>
            <w:r w:rsidRPr="00DF1C7A">
              <w:rPr>
                <w:rFonts w:ascii="Arial Narrow" w:eastAsiaTheme="majorEastAsia" w:hAnsi="Arial Narrow"/>
                <w:b/>
                <w:iCs/>
                <w:color w:val="000000"/>
                <w:spacing w:val="3"/>
                <w:w w:val="23"/>
                <w:sz w:val="20"/>
                <w:szCs w:val="20"/>
                <w:shd w:val="solid" w:color="000000" w:fill="000000"/>
                <w:fitText w:val="105" w:id="-416074488"/>
                <w14:textFill>
                  <w14:solidFill>
                    <w14:srgbClr w14:val="000000">
                      <w14:alpha w14:val="100000"/>
                    </w14:srgbClr>
                  </w14:solidFill>
                </w14:textFill>
              </w:rPr>
              <w:t xml:space="preserve">　</w:t>
            </w:r>
            <w:r w:rsidRPr="00DF1C7A">
              <w:rPr>
                <w:rFonts w:ascii="Arial Narrow" w:eastAsiaTheme="majorEastAsia" w:hAnsi="Arial Narrow" w:cstheme="majorBidi"/>
                <w:bCs/>
                <w:sz w:val="20"/>
                <w:szCs w:val="20"/>
                <w:vertAlign w:val="superscript"/>
              </w:rPr>
              <w:t>22</w:t>
            </w:r>
          </w:p>
        </w:tc>
      </w:tr>
      <w:tr w:rsidR="00DF1C7A" w:rsidRPr="00DF1C7A" w14:paraId="4AFAE0FC" w14:textId="77777777" w:rsidTr="00ED4BBD">
        <w:trPr>
          <w:cantSplit/>
        </w:trPr>
        <w:tc>
          <w:tcPr>
            <w:tcW w:w="9017" w:type="dxa"/>
            <w:gridSpan w:val="7"/>
            <w:tcBorders>
              <w:right w:val="single" w:sz="4" w:space="0" w:color="auto"/>
            </w:tcBorders>
            <w:vAlign w:val="center"/>
          </w:tcPr>
          <w:p w14:paraId="37B8E375" w14:textId="77777777" w:rsidR="00DF1C7A" w:rsidRPr="00DF1C7A" w:rsidRDefault="00DF1C7A" w:rsidP="00DF1C7A">
            <w:pPr>
              <w:widowControl w:val="0"/>
              <w:jc w:val="left"/>
              <w:rPr>
                <w:rFonts w:ascii="Arial Narrow" w:eastAsiaTheme="majorEastAsia" w:hAnsi="Arial Narrow"/>
                <w:b/>
                <w:bCs/>
                <w:sz w:val="20"/>
                <w:szCs w:val="20"/>
              </w:rPr>
            </w:pPr>
            <w:r w:rsidRPr="00DF1C7A">
              <w:rPr>
                <w:rFonts w:ascii="Arial Narrow" w:eastAsiaTheme="majorEastAsia" w:hAnsi="Arial Narrow" w:cstheme="majorBidi"/>
                <w:b/>
                <w:iCs/>
                <w:sz w:val="20"/>
                <w:szCs w:val="20"/>
                <w:lang w:eastAsia="en-US"/>
              </w:rPr>
              <w:t>Estimated changes in use and financial implications of intravitreal therapies</w:t>
            </w:r>
          </w:p>
        </w:tc>
      </w:tr>
      <w:tr w:rsidR="00DF1C7A" w:rsidRPr="00DF1C7A" w14:paraId="29CB4426" w14:textId="77777777" w:rsidTr="00ED4BBD">
        <w:trPr>
          <w:cantSplit/>
        </w:trPr>
        <w:tc>
          <w:tcPr>
            <w:tcW w:w="2263" w:type="dxa"/>
            <w:vAlign w:val="center"/>
          </w:tcPr>
          <w:p w14:paraId="15960974"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Changes in script numbers</w:t>
            </w:r>
          </w:p>
        </w:tc>
        <w:tc>
          <w:tcPr>
            <w:tcW w:w="1134" w:type="dxa"/>
            <w:tcBorders>
              <w:top w:val="single" w:sz="4" w:space="0" w:color="auto"/>
              <w:left w:val="single" w:sz="4" w:space="0" w:color="auto"/>
              <w:bottom w:val="single" w:sz="4" w:space="0" w:color="auto"/>
              <w:right w:val="single" w:sz="4" w:space="0" w:color="auto"/>
            </w:tcBorders>
            <w:vAlign w:val="center"/>
          </w:tcPr>
          <w:p w14:paraId="37F55BD1" w14:textId="77777777" w:rsidR="00DF1C7A" w:rsidRPr="00DF1C7A" w:rsidRDefault="00DF1C7A" w:rsidP="00DF1C7A">
            <w:pPr>
              <w:keepNext/>
              <w:keepLines/>
              <w:widowControl w:val="0"/>
              <w:jc w:val="center"/>
              <w:rPr>
                <w:rFonts w:ascii="Arial Narrow" w:eastAsiaTheme="majorEastAsia" w:hAnsi="Arial Narrow"/>
                <w:b/>
                <w:bCs/>
                <w:sz w:val="20"/>
                <w:szCs w:val="20"/>
              </w:rPr>
            </w:pPr>
          </w:p>
        </w:tc>
        <w:tc>
          <w:tcPr>
            <w:tcW w:w="1117" w:type="dxa"/>
            <w:tcBorders>
              <w:top w:val="single" w:sz="4" w:space="0" w:color="auto"/>
              <w:left w:val="nil"/>
              <w:bottom w:val="single" w:sz="4" w:space="0" w:color="auto"/>
              <w:right w:val="single" w:sz="4" w:space="0" w:color="auto"/>
            </w:tcBorders>
            <w:vAlign w:val="center"/>
          </w:tcPr>
          <w:p w14:paraId="5AD02F00" w14:textId="77777777" w:rsidR="00DF1C7A" w:rsidRPr="00DF1C7A" w:rsidRDefault="00DF1C7A" w:rsidP="00DF1C7A">
            <w:pPr>
              <w:keepNext/>
              <w:keepLines/>
              <w:widowControl w:val="0"/>
              <w:jc w:val="center"/>
              <w:rPr>
                <w:rFonts w:ascii="Arial Narrow" w:eastAsiaTheme="majorEastAsia" w:hAnsi="Arial Narrow"/>
                <w:b/>
                <w:bCs/>
                <w:sz w:val="20"/>
                <w:szCs w:val="20"/>
              </w:rPr>
            </w:pPr>
          </w:p>
        </w:tc>
        <w:tc>
          <w:tcPr>
            <w:tcW w:w="1126" w:type="dxa"/>
            <w:tcBorders>
              <w:top w:val="single" w:sz="4" w:space="0" w:color="auto"/>
              <w:left w:val="nil"/>
              <w:bottom w:val="single" w:sz="4" w:space="0" w:color="auto"/>
              <w:right w:val="single" w:sz="4" w:space="0" w:color="auto"/>
            </w:tcBorders>
            <w:vAlign w:val="center"/>
          </w:tcPr>
          <w:p w14:paraId="7FA7F72D" w14:textId="77777777" w:rsidR="00DF1C7A" w:rsidRPr="00DF1C7A" w:rsidRDefault="00DF1C7A" w:rsidP="00DF1C7A">
            <w:pPr>
              <w:keepNext/>
              <w:keepLines/>
              <w:widowControl w:val="0"/>
              <w:jc w:val="center"/>
              <w:rPr>
                <w:rFonts w:ascii="Arial Narrow" w:eastAsiaTheme="majorEastAsia" w:hAnsi="Arial Narrow"/>
                <w:b/>
                <w:bCs/>
                <w:sz w:val="20"/>
                <w:szCs w:val="20"/>
              </w:rPr>
            </w:pPr>
          </w:p>
        </w:tc>
        <w:tc>
          <w:tcPr>
            <w:tcW w:w="1125" w:type="dxa"/>
            <w:tcBorders>
              <w:top w:val="single" w:sz="4" w:space="0" w:color="auto"/>
              <w:left w:val="nil"/>
              <w:bottom w:val="single" w:sz="4" w:space="0" w:color="auto"/>
              <w:right w:val="single" w:sz="4" w:space="0" w:color="auto"/>
            </w:tcBorders>
            <w:vAlign w:val="center"/>
          </w:tcPr>
          <w:p w14:paraId="69C273EE" w14:textId="77777777" w:rsidR="00DF1C7A" w:rsidRPr="00DF1C7A" w:rsidRDefault="00DF1C7A" w:rsidP="00DF1C7A">
            <w:pPr>
              <w:keepNext/>
              <w:keepLines/>
              <w:widowControl w:val="0"/>
              <w:jc w:val="center"/>
              <w:rPr>
                <w:rFonts w:ascii="Arial Narrow" w:eastAsiaTheme="majorEastAsia" w:hAnsi="Arial Narrow"/>
                <w:b/>
                <w:bCs/>
                <w:sz w:val="20"/>
                <w:szCs w:val="20"/>
              </w:rPr>
            </w:pPr>
          </w:p>
        </w:tc>
        <w:tc>
          <w:tcPr>
            <w:tcW w:w="1126" w:type="dxa"/>
            <w:tcBorders>
              <w:top w:val="single" w:sz="4" w:space="0" w:color="auto"/>
              <w:left w:val="nil"/>
              <w:bottom w:val="single" w:sz="4" w:space="0" w:color="auto"/>
              <w:right w:val="single" w:sz="4" w:space="0" w:color="auto"/>
            </w:tcBorders>
            <w:vAlign w:val="center"/>
          </w:tcPr>
          <w:p w14:paraId="63E65198" w14:textId="77777777" w:rsidR="00DF1C7A" w:rsidRPr="00DF1C7A" w:rsidRDefault="00DF1C7A" w:rsidP="00DF1C7A">
            <w:pPr>
              <w:keepNext/>
              <w:keepLines/>
              <w:widowControl w:val="0"/>
              <w:jc w:val="center"/>
              <w:rPr>
                <w:rFonts w:ascii="Arial Narrow" w:eastAsiaTheme="majorEastAsia" w:hAnsi="Arial Narrow"/>
                <w:b/>
                <w:bCs/>
                <w:sz w:val="20"/>
                <w:szCs w:val="20"/>
              </w:rPr>
            </w:pPr>
          </w:p>
        </w:tc>
        <w:tc>
          <w:tcPr>
            <w:tcW w:w="1126" w:type="dxa"/>
            <w:tcBorders>
              <w:top w:val="single" w:sz="4" w:space="0" w:color="auto"/>
              <w:left w:val="nil"/>
              <w:bottom w:val="single" w:sz="4" w:space="0" w:color="auto"/>
              <w:right w:val="single" w:sz="4" w:space="0" w:color="auto"/>
            </w:tcBorders>
            <w:vAlign w:val="center"/>
          </w:tcPr>
          <w:p w14:paraId="15D50FC9" w14:textId="77777777" w:rsidR="00DF1C7A" w:rsidRPr="00DF1C7A" w:rsidRDefault="00DF1C7A" w:rsidP="00DF1C7A">
            <w:pPr>
              <w:keepNext/>
              <w:keepLines/>
              <w:widowControl w:val="0"/>
              <w:jc w:val="center"/>
              <w:rPr>
                <w:rFonts w:ascii="Arial Narrow" w:eastAsiaTheme="majorEastAsia" w:hAnsi="Arial Narrow"/>
                <w:b/>
                <w:bCs/>
                <w:sz w:val="20"/>
                <w:szCs w:val="20"/>
              </w:rPr>
            </w:pPr>
          </w:p>
        </w:tc>
      </w:tr>
      <w:tr w:rsidR="00DF1C7A" w:rsidRPr="00DF1C7A" w14:paraId="5C225C3F" w14:textId="77777777" w:rsidTr="00ED4BBD">
        <w:trPr>
          <w:cantSplit/>
        </w:trPr>
        <w:tc>
          <w:tcPr>
            <w:tcW w:w="2263" w:type="dxa"/>
            <w:vAlign w:val="center"/>
          </w:tcPr>
          <w:p w14:paraId="76022D22"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 ranibizumab intravitreal</w:t>
            </w:r>
          </w:p>
        </w:tc>
        <w:tc>
          <w:tcPr>
            <w:tcW w:w="1134" w:type="dxa"/>
            <w:tcBorders>
              <w:top w:val="single" w:sz="4" w:space="0" w:color="auto"/>
              <w:left w:val="nil"/>
              <w:bottom w:val="single" w:sz="4" w:space="0" w:color="auto"/>
              <w:right w:val="single" w:sz="4" w:space="0" w:color="auto"/>
            </w:tcBorders>
            <w:vAlign w:val="center"/>
          </w:tcPr>
          <w:p w14:paraId="4C8A6E8E"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7"/>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7"/>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7"/>
                <w14:textFill>
                  <w14:solidFill>
                    <w14:srgbClr w14:val="000000">
                      <w14:alpha w14:val="100000"/>
                    </w14:srgbClr>
                  </w14:solidFill>
                </w14:textFill>
              </w:rPr>
              <w:t xml:space="preserve">　</w:t>
            </w:r>
            <w:r w:rsidRPr="00DF1C7A">
              <w:rPr>
                <w:rFonts w:ascii="Arial Narrow" w:hAnsi="Arial Narrow" w:cs="Times New Roman"/>
                <w:bCs/>
                <w:snapToGrid w:val="0"/>
                <w:sz w:val="20"/>
                <w:szCs w:val="20"/>
                <w:vertAlign w:val="superscript"/>
              </w:rPr>
              <w:t>4</w:t>
            </w:r>
          </w:p>
        </w:tc>
        <w:tc>
          <w:tcPr>
            <w:tcW w:w="1117" w:type="dxa"/>
            <w:tcBorders>
              <w:top w:val="single" w:sz="4" w:space="0" w:color="auto"/>
              <w:left w:val="single" w:sz="4" w:space="0" w:color="auto"/>
              <w:bottom w:val="single" w:sz="4" w:space="0" w:color="auto"/>
              <w:right w:val="single" w:sz="4" w:space="0" w:color="auto"/>
            </w:tcBorders>
            <w:vAlign w:val="center"/>
          </w:tcPr>
          <w:p w14:paraId="75C02B81"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6"/>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7</w:t>
            </w:r>
          </w:p>
        </w:tc>
        <w:tc>
          <w:tcPr>
            <w:tcW w:w="1126" w:type="dxa"/>
            <w:tcBorders>
              <w:top w:val="single" w:sz="4" w:space="0" w:color="auto"/>
              <w:left w:val="single" w:sz="4" w:space="0" w:color="auto"/>
              <w:bottom w:val="single" w:sz="4" w:space="0" w:color="auto"/>
              <w:right w:val="single" w:sz="4" w:space="0" w:color="auto"/>
            </w:tcBorders>
            <w:vAlign w:val="center"/>
          </w:tcPr>
          <w:p w14:paraId="6851DF9C"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5"/>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5"/>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12</w:t>
            </w:r>
          </w:p>
        </w:tc>
        <w:tc>
          <w:tcPr>
            <w:tcW w:w="1125" w:type="dxa"/>
            <w:tcBorders>
              <w:top w:val="single" w:sz="4" w:space="0" w:color="auto"/>
              <w:left w:val="single" w:sz="4" w:space="0" w:color="auto"/>
              <w:bottom w:val="single" w:sz="4" w:space="0" w:color="auto"/>
              <w:right w:val="single" w:sz="4" w:space="0" w:color="auto"/>
            </w:tcBorders>
            <w:vAlign w:val="center"/>
          </w:tcPr>
          <w:p w14:paraId="27FC454E"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4"/>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4"/>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tcPr>
          <w:p w14:paraId="13FB8ED1"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3"/>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3"/>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tcPr>
          <w:p w14:paraId="34A2945C"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2"/>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2"/>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8</w:t>
            </w:r>
          </w:p>
        </w:tc>
      </w:tr>
      <w:tr w:rsidR="00DF1C7A" w:rsidRPr="00DF1C7A" w14:paraId="6CC1495A" w14:textId="77777777" w:rsidTr="00ED4BBD">
        <w:trPr>
          <w:cantSplit/>
        </w:trPr>
        <w:tc>
          <w:tcPr>
            <w:tcW w:w="2263" w:type="dxa"/>
            <w:vAlign w:val="center"/>
          </w:tcPr>
          <w:p w14:paraId="2D39BA06"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 aflibercept intravitreal</w:t>
            </w:r>
          </w:p>
        </w:tc>
        <w:tc>
          <w:tcPr>
            <w:tcW w:w="1134" w:type="dxa"/>
            <w:tcBorders>
              <w:top w:val="single" w:sz="4" w:space="0" w:color="auto"/>
              <w:left w:val="nil"/>
              <w:bottom w:val="single" w:sz="4" w:space="0" w:color="auto"/>
              <w:right w:val="single" w:sz="4" w:space="0" w:color="auto"/>
            </w:tcBorders>
            <w:vAlign w:val="center"/>
          </w:tcPr>
          <w:p w14:paraId="1AA2498E"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1"/>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1"/>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7</w:t>
            </w:r>
          </w:p>
        </w:tc>
        <w:tc>
          <w:tcPr>
            <w:tcW w:w="1117" w:type="dxa"/>
            <w:tcBorders>
              <w:top w:val="single" w:sz="4" w:space="0" w:color="auto"/>
              <w:left w:val="single" w:sz="4" w:space="0" w:color="auto"/>
              <w:bottom w:val="single" w:sz="4" w:space="0" w:color="auto"/>
              <w:right w:val="single" w:sz="4" w:space="0" w:color="auto"/>
            </w:tcBorders>
            <w:vAlign w:val="center"/>
          </w:tcPr>
          <w:p w14:paraId="5EEC8A1A"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0"/>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12</w:t>
            </w:r>
          </w:p>
        </w:tc>
        <w:tc>
          <w:tcPr>
            <w:tcW w:w="1126" w:type="dxa"/>
            <w:tcBorders>
              <w:top w:val="single" w:sz="4" w:space="0" w:color="auto"/>
              <w:left w:val="single" w:sz="4" w:space="0" w:color="auto"/>
              <w:bottom w:val="single" w:sz="4" w:space="0" w:color="auto"/>
              <w:right w:val="single" w:sz="4" w:space="0" w:color="auto"/>
            </w:tcBorders>
            <w:vAlign w:val="center"/>
          </w:tcPr>
          <w:p w14:paraId="337AE628"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6"/>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6"/>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14</w:t>
            </w:r>
          </w:p>
        </w:tc>
        <w:tc>
          <w:tcPr>
            <w:tcW w:w="1125" w:type="dxa"/>
            <w:tcBorders>
              <w:top w:val="single" w:sz="4" w:space="0" w:color="auto"/>
              <w:left w:val="single" w:sz="4" w:space="0" w:color="auto"/>
              <w:bottom w:val="single" w:sz="4" w:space="0" w:color="auto"/>
              <w:right w:val="single" w:sz="4" w:space="0" w:color="auto"/>
            </w:tcBorders>
            <w:vAlign w:val="center"/>
          </w:tcPr>
          <w:p w14:paraId="0CDC56CA"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5"/>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5"/>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14</w:t>
            </w:r>
          </w:p>
        </w:tc>
        <w:tc>
          <w:tcPr>
            <w:tcW w:w="1126" w:type="dxa"/>
            <w:tcBorders>
              <w:top w:val="single" w:sz="4" w:space="0" w:color="auto"/>
              <w:left w:val="single" w:sz="4" w:space="0" w:color="auto"/>
              <w:bottom w:val="single" w:sz="4" w:space="0" w:color="auto"/>
              <w:right w:val="single" w:sz="4" w:space="0" w:color="auto"/>
            </w:tcBorders>
            <w:vAlign w:val="center"/>
          </w:tcPr>
          <w:p w14:paraId="7BFA3714"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4"/>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4"/>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23</w:t>
            </w:r>
          </w:p>
        </w:tc>
        <w:tc>
          <w:tcPr>
            <w:tcW w:w="1126" w:type="dxa"/>
            <w:tcBorders>
              <w:top w:val="single" w:sz="4" w:space="0" w:color="auto"/>
              <w:left w:val="single" w:sz="4" w:space="0" w:color="auto"/>
              <w:bottom w:val="single" w:sz="4" w:space="0" w:color="auto"/>
              <w:right w:val="single" w:sz="4" w:space="0" w:color="auto"/>
            </w:tcBorders>
            <w:vAlign w:val="center"/>
          </w:tcPr>
          <w:p w14:paraId="49200735"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3"/>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3"/>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23</w:t>
            </w:r>
          </w:p>
        </w:tc>
      </w:tr>
      <w:tr w:rsidR="00DF1C7A" w:rsidRPr="00DF1C7A" w14:paraId="2A2F3EA0" w14:textId="77777777" w:rsidTr="00ED4BBD">
        <w:trPr>
          <w:cantSplit/>
        </w:trPr>
        <w:tc>
          <w:tcPr>
            <w:tcW w:w="2263" w:type="dxa"/>
            <w:vAlign w:val="center"/>
          </w:tcPr>
          <w:p w14:paraId="4E27FE60"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Total displaced scripts</w:t>
            </w:r>
          </w:p>
        </w:tc>
        <w:tc>
          <w:tcPr>
            <w:tcW w:w="1134" w:type="dxa"/>
            <w:tcBorders>
              <w:top w:val="single" w:sz="4" w:space="0" w:color="auto"/>
              <w:left w:val="nil"/>
              <w:bottom w:val="single" w:sz="4" w:space="0" w:color="auto"/>
              <w:right w:val="single" w:sz="4" w:space="0" w:color="auto"/>
            </w:tcBorders>
            <w:vAlign w:val="center"/>
          </w:tcPr>
          <w:p w14:paraId="6F568C4D"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2"/>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2"/>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12</w:t>
            </w:r>
          </w:p>
        </w:tc>
        <w:tc>
          <w:tcPr>
            <w:tcW w:w="1117" w:type="dxa"/>
            <w:tcBorders>
              <w:top w:val="single" w:sz="4" w:space="0" w:color="auto"/>
              <w:left w:val="single" w:sz="4" w:space="0" w:color="auto"/>
              <w:bottom w:val="single" w:sz="4" w:space="0" w:color="auto"/>
              <w:right w:val="single" w:sz="4" w:space="0" w:color="auto"/>
            </w:tcBorders>
            <w:vAlign w:val="center"/>
          </w:tcPr>
          <w:p w14:paraId="66516799"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1"/>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1"/>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14</w:t>
            </w:r>
          </w:p>
        </w:tc>
        <w:tc>
          <w:tcPr>
            <w:tcW w:w="1126" w:type="dxa"/>
            <w:tcBorders>
              <w:top w:val="single" w:sz="4" w:space="0" w:color="auto"/>
              <w:left w:val="single" w:sz="4" w:space="0" w:color="auto"/>
              <w:bottom w:val="single" w:sz="4" w:space="0" w:color="auto"/>
              <w:right w:val="single" w:sz="4" w:space="0" w:color="auto"/>
            </w:tcBorders>
            <w:vAlign w:val="center"/>
          </w:tcPr>
          <w:p w14:paraId="5C003BB6"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90"/>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90"/>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9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11</w:t>
            </w:r>
          </w:p>
        </w:tc>
        <w:tc>
          <w:tcPr>
            <w:tcW w:w="1125" w:type="dxa"/>
            <w:tcBorders>
              <w:top w:val="single" w:sz="4" w:space="0" w:color="auto"/>
              <w:left w:val="single" w:sz="4" w:space="0" w:color="auto"/>
              <w:bottom w:val="single" w:sz="4" w:space="0" w:color="auto"/>
              <w:right w:val="single" w:sz="4" w:space="0" w:color="auto"/>
            </w:tcBorders>
            <w:vAlign w:val="center"/>
          </w:tcPr>
          <w:p w14:paraId="0FFF9AE0"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9"/>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9"/>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9"/>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21</w:t>
            </w:r>
          </w:p>
        </w:tc>
        <w:tc>
          <w:tcPr>
            <w:tcW w:w="1126" w:type="dxa"/>
            <w:tcBorders>
              <w:top w:val="single" w:sz="4" w:space="0" w:color="auto"/>
              <w:left w:val="single" w:sz="4" w:space="0" w:color="auto"/>
              <w:bottom w:val="single" w:sz="4" w:space="0" w:color="auto"/>
              <w:right w:val="single" w:sz="4" w:space="0" w:color="auto"/>
            </w:tcBorders>
            <w:vAlign w:val="center"/>
          </w:tcPr>
          <w:p w14:paraId="5BE52A1D"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8"/>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8"/>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8"/>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21</w:t>
            </w:r>
          </w:p>
        </w:tc>
        <w:tc>
          <w:tcPr>
            <w:tcW w:w="1126" w:type="dxa"/>
            <w:tcBorders>
              <w:top w:val="single" w:sz="4" w:space="0" w:color="auto"/>
              <w:left w:val="single" w:sz="4" w:space="0" w:color="auto"/>
              <w:bottom w:val="single" w:sz="4" w:space="0" w:color="auto"/>
              <w:right w:val="single" w:sz="4" w:space="0" w:color="auto"/>
            </w:tcBorders>
            <w:vAlign w:val="center"/>
          </w:tcPr>
          <w:p w14:paraId="018D70DB"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7"/>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7"/>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7"/>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21</w:t>
            </w:r>
          </w:p>
        </w:tc>
      </w:tr>
      <w:tr w:rsidR="00DF1C7A" w:rsidRPr="00DF1C7A" w14:paraId="27E2830A" w14:textId="77777777" w:rsidTr="00ED4BBD">
        <w:trPr>
          <w:cantSplit/>
        </w:trPr>
        <w:tc>
          <w:tcPr>
            <w:tcW w:w="2263" w:type="dxa"/>
            <w:vAlign w:val="center"/>
          </w:tcPr>
          <w:p w14:paraId="71825B63"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 xml:space="preserve">Offsets to PBS/RPBS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30F8D373" w14:textId="77777777" w:rsidR="00DF1C7A" w:rsidRPr="00DF1C7A" w:rsidRDefault="00DF1C7A" w:rsidP="00DF1C7A">
            <w:pPr>
              <w:jc w:val="center"/>
              <w:rPr>
                <w:rFonts w:ascii="Arial Narrow" w:hAnsi="Arial Narrow" w:cs="Times New Roman"/>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6"/>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5</w:t>
            </w:r>
          </w:p>
        </w:tc>
        <w:tc>
          <w:tcPr>
            <w:tcW w:w="1117" w:type="dxa"/>
            <w:tcBorders>
              <w:top w:val="single" w:sz="4" w:space="0" w:color="auto"/>
              <w:left w:val="single" w:sz="4" w:space="0" w:color="auto"/>
              <w:bottom w:val="single" w:sz="4" w:space="0" w:color="auto"/>
              <w:right w:val="single" w:sz="4" w:space="0" w:color="auto"/>
            </w:tcBorders>
            <w:vAlign w:val="center"/>
          </w:tcPr>
          <w:p w14:paraId="54D4A2FD" w14:textId="77777777" w:rsidR="00DF1C7A" w:rsidRPr="00DF1C7A" w:rsidRDefault="00DF1C7A" w:rsidP="00DF1C7A">
            <w:pPr>
              <w:jc w:val="center"/>
              <w:rPr>
                <w:rFonts w:ascii="Arial Narrow" w:hAnsi="Arial Narrow" w:cs="Times New Roman"/>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5"/>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5"/>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13</w:t>
            </w:r>
          </w:p>
        </w:tc>
        <w:tc>
          <w:tcPr>
            <w:tcW w:w="1126" w:type="dxa"/>
            <w:tcBorders>
              <w:top w:val="single" w:sz="4" w:space="0" w:color="auto"/>
              <w:left w:val="single" w:sz="4" w:space="0" w:color="auto"/>
              <w:bottom w:val="single" w:sz="4" w:space="0" w:color="auto"/>
              <w:right w:val="single" w:sz="4" w:space="0" w:color="auto"/>
            </w:tcBorders>
            <w:vAlign w:val="center"/>
          </w:tcPr>
          <w:p w14:paraId="7C7DB74C" w14:textId="77777777" w:rsidR="00DF1C7A" w:rsidRPr="00DF1C7A" w:rsidRDefault="00DF1C7A" w:rsidP="00DF1C7A">
            <w:pPr>
              <w:jc w:val="center"/>
              <w:rPr>
                <w:rFonts w:ascii="Arial Narrow" w:hAnsi="Arial Narrow" w:cs="Times New Roman"/>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4"/>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4"/>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15</w:t>
            </w:r>
          </w:p>
        </w:tc>
        <w:tc>
          <w:tcPr>
            <w:tcW w:w="1125" w:type="dxa"/>
            <w:tcBorders>
              <w:top w:val="single" w:sz="4" w:space="0" w:color="auto"/>
              <w:left w:val="single" w:sz="4" w:space="0" w:color="auto"/>
              <w:bottom w:val="single" w:sz="4" w:space="0" w:color="auto"/>
              <w:right w:val="single" w:sz="4" w:space="0" w:color="auto"/>
            </w:tcBorders>
            <w:vAlign w:val="center"/>
          </w:tcPr>
          <w:p w14:paraId="7DEDD451" w14:textId="77777777" w:rsidR="00DF1C7A" w:rsidRPr="00DF1C7A" w:rsidRDefault="00DF1C7A" w:rsidP="00DF1C7A">
            <w:pPr>
              <w:jc w:val="center"/>
              <w:rPr>
                <w:rFonts w:ascii="Arial Narrow" w:hAnsi="Arial Narrow" w:cs="Times New Roman"/>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3"/>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3"/>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shd w:val="solid" w:color="000000" w:fill="000000"/>
            <w:vAlign w:val="center"/>
          </w:tcPr>
          <w:p w14:paraId="27F7356B" w14:textId="77777777" w:rsidR="00DF1C7A" w:rsidRPr="00DF1C7A" w:rsidRDefault="00DF1C7A" w:rsidP="00DF1C7A">
            <w:pPr>
              <w:jc w:val="center"/>
              <w:rPr>
                <w:rFonts w:ascii="Arial Narrow" w:hAnsi="Arial Narrow" w:cs="Times New Roman"/>
                <w:snapToGrid w:val="0"/>
                <w:sz w:val="20"/>
              </w:rPr>
            </w:pPr>
            <w:r>
              <w:rPr>
                <w:rFonts w:ascii="MS Gothic" w:eastAsia="MS Gothic" w:hAnsi="MS Gothic" w:cs="MS Gothic" w:hint="eastAsia"/>
                <w:iCs/>
                <w:snapToGrid w:val="0"/>
                <w:color w:val="000000"/>
                <w:w w:val="15"/>
                <w:sz w:val="20"/>
                <w:fitText w:val="15" w:id="-416074482"/>
                <w14:textFill>
                  <w14:solidFill>
                    <w14:srgbClr w14:val="000000">
                      <w14:alpha w14:val="100000"/>
                    </w14:srgbClr>
                  </w14:solidFill>
                </w14:textFill>
              </w:rPr>
              <w:t xml:space="preserve">　</w:t>
            </w:r>
            <w:r>
              <w:rPr>
                <w:rFonts w:ascii="Arial Narrow" w:hAnsi="Arial Narrow" w:cs="Times New Roman"/>
                <w:iCs/>
                <w:snapToGrid w:val="0"/>
                <w:color w:val="000000"/>
                <w:w w:val="15"/>
                <w:sz w:val="20"/>
                <w:fitText w:val="15" w:id="-416074482"/>
                <w14:textFill>
                  <w14:solidFill>
                    <w14:srgbClr w14:val="000000">
                      <w14:alpha w14:val="100000"/>
                    </w14:srgbClr>
                  </w14:solidFill>
                </w14:textFill>
              </w:rPr>
              <w:t>|</w:t>
            </w:r>
            <w:r>
              <w:rPr>
                <w:rFonts w:ascii="MS Gothic" w:eastAsia="MS Gothic" w:hAnsi="MS Gothic" w:cs="MS Gothic"/>
                <w:snapToGrid w:val="0"/>
                <w:color w:val="000000"/>
                <w:spacing w:val="-51"/>
                <w:w w:val="15"/>
                <w:sz w:val="20"/>
                <w:fitText w:val="15" w:id="-416074482"/>
                <w14:textFill>
                  <w14:solidFill>
                    <w14:srgbClr w14:val="000000">
                      <w14:alpha w14:val="100000"/>
                    </w14:srgbClr>
                  </w14:solidFill>
                </w14:textFill>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51C90570" w14:textId="77777777" w:rsidR="00DF1C7A" w:rsidRPr="00DF1C7A" w:rsidRDefault="00DF1C7A" w:rsidP="00DF1C7A">
            <w:pPr>
              <w:jc w:val="center"/>
              <w:rPr>
                <w:rFonts w:ascii="Arial Narrow" w:hAnsi="Arial Narrow" w:cs="Times New Roman"/>
                <w:snapToGrid w:val="0"/>
                <w:sz w:val="20"/>
                <w:highlight w:val="yellow"/>
              </w:rPr>
            </w:pPr>
            <w:r w:rsidRPr="00DF1C7A">
              <w:rPr>
                <w:rFonts w:ascii="MS Gothic" w:eastAsia="MS Gothic" w:hAnsi="MS Gothic" w:cs="MS Gothic" w:hint="eastAsia"/>
                <w:iCs/>
                <w:snapToGrid w:val="0"/>
                <w:color w:val="000000"/>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iCs/>
                <w:snapToGrid w:val="0"/>
                <w:color w:val="000000"/>
                <w:w w:val="16"/>
                <w:sz w:val="20"/>
                <w:shd w:val="solid" w:color="000000" w:fill="000000"/>
                <w:fitText w:val="75" w:id="-416074481"/>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5"/>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25</w:t>
            </w:r>
          </w:p>
        </w:tc>
      </w:tr>
      <w:tr w:rsidR="00DF1C7A" w:rsidRPr="00DF1C7A" w14:paraId="4AFC247A" w14:textId="77777777" w:rsidTr="00ED4BBD">
        <w:trPr>
          <w:cantSplit/>
        </w:trPr>
        <w:tc>
          <w:tcPr>
            <w:tcW w:w="2263" w:type="dxa"/>
            <w:vAlign w:val="center"/>
          </w:tcPr>
          <w:p w14:paraId="37C9D8F2" w14:textId="77777777" w:rsidR="00DF1C7A" w:rsidRPr="00DF1C7A" w:rsidRDefault="00DF1C7A" w:rsidP="00DF1C7A">
            <w:pPr>
              <w:widowControl w:val="0"/>
              <w:jc w:val="left"/>
              <w:rPr>
                <w:rFonts w:ascii="Arial Narrow" w:eastAsiaTheme="majorEastAsia" w:hAnsi="Arial Narrow" w:cstheme="majorBidi"/>
                <w:b/>
                <w:sz w:val="20"/>
                <w:szCs w:val="20"/>
                <w:lang w:eastAsia="en-US"/>
              </w:rPr>
            </w:pPr>
            <w:r w:rsidRPr="00DF1C7A">
              <w:rPr>
                <w:rFonts w:ascii="Arial Narrow" w:eastAsiaTheme="majorEastAsia" w:hAnsi="Arial Narrow" w:cstheme="majorBidi"/>
                <w:bCs/>
                <w:sz w:val="20"/>
                <w:szCs w:val="20"/>
                <w:lang w:eastAsia="en-US"/>
              </w:rPr>
              <w:t xml:space="preserve">Patient copayments ($12.92 per script)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55948C3C"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80"/>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80"/>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8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3ED4CF36"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96"/>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96"/>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9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051E164C"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95"/>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95"/>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9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5" w:type="dxa"/>
            <w:tcBorders>
              <w:top w:val="single" w:sz="4" w:space="0" w:color="auto"/>
              <w:left w:val="single" w:sz="4" w:space="0" w:color="auto"/>
              <w:bottom w:val="single" w:sz="4" w:space="0" w:color="auto"/>
              <w:right w:val="single" w:sz="4" w:space="0" w:color="auto"/>
            </w:tcBorders>
            <w:vAlign w:val="center"/>
          </w:tcPr>
          <w:p w14:paraId="6E4A269E"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94"/>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94"/>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9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2DB86067"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93"/>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93"/>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9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15572391"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iCs/>
                <w:snapToGrid w:val="0"/>
                <w:color w:val="000000"/>
                <w:w w:val="15"/>
                <w:sz w:val="20"/>
                <w:shd w:val="solid" w:color="000000" w:fill="000000"/>
                <w:fitText w:val="45" w:id="-416074492"/>
                <w14:textFill>
                  <w14:solidFill>
                    <w14:srgbClr w14:val="000000">
                      <w14:alpha w14:val="100000"/>
                    </w14:srgbClr>
                  </w14:solidFill>
                </w14:textFill>
              </w:rPr>
              <w:t xml:space="preserve">　</w:t>
            </w:r>
            <w:r w:rsidRPr="00DF1C7A">
              <w:rPr>
                <w:rFonts w:ascii="Arial Narrow" w:hAnsi="Arial Narrow" w:cs="Times New Roman"/>
                <w:iCs/>
                <w:snapToGrid w:val="0"/>
                <w:color w:val="000000"/>
                <w:w w:val="15"/>
                <w:sz w:val="20"/>
                <w:shd w:val="solid" w:color="000000" w:fill="000000"/>
                <w:fitText w:val="45" w:id="-416074492"/>
                <w14:textFill>
                  <w14:solidFill>
                    <w14:srgbClr w14:val="000000">
                      <w14:alpha w14:val="100000"/>
                    </w14:srgbClr>
                  </w14:solidFill>
                </w14:textFill>
              </w:rPr>
              <w:t>|</w:t>
            </w:r>
            <w:r w:rsidRPr="00DF1C7A">
              <w:rPr>
                <w:rFonts w:ascii="MS Gothic" w:eastAsia="MS Gothic" w:hAnsi="MS Gothic" w:cs="MS Gothic" w:hint="eastAsia"/>
                <w:iCs/>
                <w:snapToGrid w:val="0"/>
                <w:color w:val="000000"/>
                <w:spacing w:val="-20"/>
                <w:w w:val="15"/>
                <w:sz w:val="20"/>
                <w:shd w:val="solid" w:color="000000" w:fill="000000"/>
                <w:fitText w:val="45" w:id="-41607449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r>
      <w:tr w:rsidR="00DF1C7A" w:rsidRPr="00DF1C7A" w14:paraId="016FA0ED" w14:textId="77777777" w:rsidTr="00ED4BBD">
        <w:trPr>
          <w:cantSplit/>
        </w:trPr>
        <w:tc>
          <w:tcPr>
            <w:tcW w:w="2263" w:type="dxa"/>
            <w:vAlign w:val="center"/>
          </w:tcPr>
          <w:p w14:paraId="46103C01"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bCs/>
                <w:sz w:val="20"/>
                <w:szCs w:val="20"/>
                <w:lang w:eastAsia="en-US"/>
              </w:rPr>
              <w:t xml:space="preserve">Offsets to PBS/RPBS (less copayment)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77DACA7A"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0"/>
                <w:sz w:val="20"/>
                <w:shd w:val="solid" w:color="000000" w:fill="000000"/>
                <w:fitText w:val="90" w:id="-416074491"/>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0"/>
                <w:sz w:val="20"/>
                <w:shd w:val="solid" w:color="000000" w:fill="000000"/>
                <w:fitText w:val="90" w:id="-416074491"/>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2"/>
                <w:w w:val="20"/>
                <w:sz w:val="20"/>
                <w:shd w:val="solid" w:color="000000" w:fill="000000"/>
                <w:fitText w:val="90" w:id="-41607449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5</w:t>
            </w:r>
          </w:p>
        </w:tc>
        <w:tc>
          <w:tcPr>
            <w:tcW w:w="1117" w:type="dxa"/>
            <w:tcBorders>
              <w:top w:val="single" w:sz="4" w:space="0" w:color="auto"/>
              <w:left w:val="single" w:sz="4" w:space="0" w:color="auto"/>
              <w:bottom w:val="single" w:sz="4" w:space="0" w:color="auto"/>
              <w:right w:val="single" w:sz="4" w:space="0" w:color="auto"/>
            </w:tcBorders>
            <w:vAlign w:val="center"/>
          </w:tcPr>
          <w:p w14:paraId="1F969B8A"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90"/>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90"/>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9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13</w:t>
            </w:r>
          </w:p>
        </w:tc>
        <w:tc>
          <w:tcPr>
            <w:tcW w:w="1126" w:type="dxa"/>
            <w:tcBorders>
              <w:top w:val="single" w:sz="4" w:space="0" w:color="auto"/>
              <w:left w:val="single" w:sz="4" w:space="0" w:color="auto"/>
              <w:bottom w:val="single" w:sz="4" w:space="0" w:color="auto"/>
              <w:right w:val="single" w:sz="4" w:space="0" w:color="auto"/>
            </w:tcBorders>
            <w:vAlign w:val="center"/>
          </w:tcPr>
          <w:p w14:paraId="6FD9C24A"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89"/>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89"/>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89"/>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15</w:t>
            </w:r>
          </w:p>
        </w:tc>
        <w:tc>
          <w:tcPr>
            <w:tcW w:w="1125" w:type="dxa"/>
            <w:tcBorders>
              <w:top w:val="single" w:sz="4" w:space="0" w:color="auto"/>
              <w:left w:val="single" w:sz="4" w:space="0" w:color="auto"/>
              <w:bottom w:val="single" w:sz="4" w:space="0" w:color="auto"/>
              <w:right w:val="single" w:sz="4" w:space="0" w:color="auto"/>
            </w:tcBorders>
            <w:vAlign w:val="center"/>
          </w:tcPr>
          <w:p w14:paraId="0FFF83D3"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88"/>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88"/>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88"/>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vAlign w:val="center"/>
          </w:tcPr>
          <w:p w14:paraId="587101B4"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87"/>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87"/>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87"/>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22</w:t>
            </w:r>
          </w:p>
        </w:tc>
        <w:tc>
          <w:tcPr>
            <w:tcW w:w="1126" w:type="dxa"/>
            <w:tcBorders>
              <w:top w:val="single" w:sz="4" w:space="0" w:color="auto"/>
              <w:left w:val="single" w:sz="4" w:space="0" w:color="auto"/>
              <w:bottom w:val="single" w:sz="4" w:space="0" w:color="auto"/>
              <w:right w:val="single" w:sz="4" w:space="0" w:color="auto"/>
            </w:tcBorders>
            <w:vAlign w:val="center"/>
          </w:tcPr>
          <w:p w14:paraId="025B3E3F" w14:textId="77777777" w:rsidR="00DF1C7A" w:rsidRPr="00DF1C7A" w:rsidRDefault="00DF1C7A" w:rsidP="00DF1C7A">
            <w:pPr>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86"/>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86"/>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8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25</w:t>
            </w:r>
          </w:p>
        </w:tc>
      </w:tr>
      <w:tr w:rsidR="00DF1C7A" w:rsidRPr="00DF1C7A" w14:paraId="0D02F1AC" w14:textId="77777777" w:rsidTr="00ED4BBD">
        <w:trPr>
          <w:cantSplit/>
        </w:trPr>
        <w:tc>
          <w:tcPr>
            <w:tcW w:w="9017" w:type="dxa"/>
            <w:gridSpan w:val="7"/>
            <w:tcBorders>
              <w:right w:val="single" w:sz="4" w:space="0" w:color="auto"/>
            </w:tcBorders>
            <w:vAlign w:val="center"/>
          </w:tcPr>
          <w:p w14:paraId="327D53C1" w14:textId="77777777" w:rsidR="00DF1C7A" w:rsidRPr="00DF1C7A" w:rsidRDefault="00DF1C7A" w:rsidP="00DF1C7A">
            <w:pPr>
              <w:widowControl w:val="0"/>
              <w:jc w:val="left"/>
              <w:rPr>
                <w:rFonts w:ascii="Arial Narrow" w:eastAsiaTheme="majorEastAsia" w:hAnsi="Arial Narrow"/>
                <w:b/>
                <w:bCs/>
                <w:sz w:val="20"/>
                <w:szCs w:val="20"/>
              </w:rPr>
            </w:pPr>
            <w:r w:rsidRPr="00DF1C7A">
              <w:rPr>
                <w:rFonts w:ascii="Arial Narrow" w:eastAsiaTheme="majorEastAsia" w:hAnsi="Arial Narrow" w:cstheme="majorBidi"/>
                <w:b/>
                <w:iCs/>
                <w:sz w:val="20"/>
                <w:szCs w:val="20"/>
                <w:lang w:eastAsia="en-US"/>
              </w:rPr>
              <w:t>Net financial implications to the PBS/RPBS (cost of ranibizumab implant minus cost offsets)</w:t>
            </w:r>
          </w:p>
        </w:tc>
      </w:tr>
      <w:tr w:rsidR="00DF1C7A" w:rsidRPr="00DF1C7A" w14:paraId="5B346A1C" w14:textId="77777777" w:rsidTr="00ED4BBD">
        <w:trPr>
          <w:cantSplit/>
        </w:trPr>
        <w:tc>
          <w:tcPr>
            <w:tcW w:w="2263" w:type="dxa"/>
            <w:vAlign w:val="center"/>
          </w:tcPr>
          <w:p w14:paraId="44FDFCA8" w14:textId="77777777" w:rsidR="00DF1C7A" w:rsidRPr="00DF1C7A" w:rsidRDefault="00DF1C7A" w:rsidP="00DF1C7A">
            <w:pPr>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iCs/>
                <w:sz w:val="20"/>
                <w:szCs w:val="20"/>
                <w:lang w:eastAsia="en-US"/>
              </w:rPr>
              <w:t xml:space="preserve">Net cost to PBS/RPBS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ED29ED2"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20"/>
                <w:sz w:val="20"/>
                <w:shd w:val="solid" w:color="000000" w:fill="000000"/>
                <w:fitText w:val="90" w:id="-416074485"/>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20"/>
                <w:sz w:val="20"/>
                <w:shd w:val="solid" w:color="000000" w:fill="000000"/>
                <w:fitText w:val="90" w:id="-416074485"/>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2"/>
                <w:w w:val="20"/>
                <w:sz w:val="20"/>
                <w:shd w:val="solid" w:color="000000" w:fill="000000"/>
                <w:fitText w:val="90" w:id="-41607448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nil"/>
              <w:bottom w:val="single" w:sz="4" w:space="0" w:color="auto"/>
              <w:right w:val="single" w:sz="4" w:space="0" w:color="auto"/>
            </w:tcBorders>
            <w:vAlign w:val="center"/>
          </w:tcPr>
          <w:p w14:paraId="5123C218"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20"/>
                <w:sz w:val="20"/>
                <w:shd w:val="solid" w:color="000000" w:fill="000000"/>
                <w:fitText w:val="90" w:id="-416074484"/>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20"/>
                <w:sz w:val="20"/>
                <w:shd w:val="solid" w:color="000000" w:fill="000000"/>
                <w:fitText w:val="90" w:id="-416074484"/>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2"/>
                <w:w w:val="20"/>
                <w:sz w:val="20"/>
                <w:shd w:val="solid" w:color="000000" w:fill="000000"/>
                <w:fitText w:val="90" w:id="-41607448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63D9EA75"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16"/>
                <w:sz w:val="20"/>
                <w:shd w:val="solid" w:color="000000" w:fill="000000"/>
                <w:fitText w:val="75" w:id="-416074483"/>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16"/>
                <w:sz w:val="20"/>
                <w:shd w:val="solid" w:color="000000" w:fill="000000"/>
                <w:fitText w:val="75" w:id="-416074483"/>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5"/>
                <w:w w:val="16"/>
                <w:sz w:val="20"/>
                <w:shd w:val="solid" w:color="000000" w:fill="000000"/>
                <w:fitText w:val="75" w:id="-41607448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5" w:type="dxa"/>
            <w:tcBorders>
              <w:top w:val="single" w:sz="4" w:space="0" w:color="auto"/>
              <w:left w:val="nil"/>
              <w:bottom w:val="single" w:sz="4" w:space="0" w:color="auto"/>
              <w:right w:val="single" w:sz="4" w:space="0" w:color="auto"/>
            </w:tcBorders>
            <w:vAlign w:val="center"/>
          </w:tcPr>
          <w:p w14:paraId="3A047F3E"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16"/>
                <w:sz w:val="20"/>
                <w:shd w:val="solid" w:color="000000" w:fill="000000"/>
                <w:fitText w:val="75" w:id="-416074482"/>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16"/>
                <w:sz w:val="20"/>
                <w:shd w:val="solid" w:color="000000" w:fill="000000"/>
                <w:fitText w:val="75" w:id="-416074482"/>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5"/>
                <w:w w:val="16"/>
                <w:sz w:val="20"/>
                <w:shd w:val="solid" w:color="000000" w:fill="000000"/>
                <w:fitText w:val="75" w:id="-41607448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59924736"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16"/>
                <w:sz w:val="20"/>
                <w:shd w:val="solid" w:color="000000" w:fill="000000"/>
                <w:fitText w:val="75" w:id="-416074481"/>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5"/>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5BC2CCB7" w14:textId="77777777" w:rsidR="00DF1C7A" w:rsidRPr="00DF1C7A" w:rsidRDefault="00DF1C7A" w:rsidP="00DF1C7A">
            <w:pPr>
              <w:jc w:val="center"/>
              <w:rPr>
                <w:rFonts w:ascii="Arial Narrow" w:hAnsi="Arial Narrow" w:cs="Times New Roman"/>
                <w:b/>
                <w:bCs/>
                <w:snapToGrid w:val="0"/>
                <w:sz w:val="20"/>
                <w:highlight w:val="yellow"/>
              </w:rPr>
            </w:pPr>
            <w:r w:rsidRPr="00DF1C7A">
              <w:rPr>
                <w:rFonts w:ascii="MS Gothic" w:eastAsia="MS Gothic" w:hAnsi="MS Gothic" w:cs="MS Gothic" w:hint="eastAsia"/>
                <w:b/>
                <w:bCs/>
                <w:snapToGrid w:val="0"/>
                <w:color w:val="000000"/>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b/>
                <w:bCs/>
                <w:snapToGrid w:val="0"/>
                <w:color w:val="000000"/>
                <w:w w:val="16"/>
                <w:sz w:val="20"/>
                <w:shd w:val="solid" w:color="000000" w:fill="000000"/>
                <w:fitText w:val="75" w:id="-416074480"/>
                <w14:textFill>
                  <w14:solidFill>
                    <w14:srgbClr w14:val="000000">
                      <w14:alpha w14:val="100000"/>
                    </w14:srgbClr>
                  </w14:solidFill>
                </w14:textFill>
              </w:rPr>
              <w:t>|</w:t>
            </w:r>
            <w:r w:rsidRPr="00DF1C7A">
              <w:rPr>
                <w:rFonts w:ascii="MS Gothic" w:eastAsia="MS Gothic" w:hAnsi="MS Gothic" w:cs="MS Gothic" w:hint="eastAsia"/>
                <w:b/>
                <w:bCs/>
                <w:snapToGrid w:val="0"/>
                <w:color w:val="000000"/>
                <w:spacing w:val="5"/>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r>
      <w:tr w:rsidR="00DF1C7A" w:rsidRPr="00DF1C7A" w14:paraId="60554DE2" w14:textId="77777777" w:rsidTr="00ED4BBD">
        <w:trPr>
          <w:cantSplit/>
        </w:trPr>
        <w:tc>
          <w:tcPr>
            <w:tcW w:w="9017" w:type="dxa"/>
            <w:gridSpan w:val="7"/>
            <w:tcBorders>
              <w:right w:val="single" w:sz="4" w:space="0" w:color="auto"/>
            </w:tcBorders>
            <w:vAlign w:val="center"/>
          </w:tcPr>
          <w:p w14:paraId="04D7A804" w14:textId="77777777" w:rsidR="00DF1C7A" w:rsidRPr="00DF1C7A" w:rsidRDefault="00DF1C7A" w:rsidP="00DF1C7A">
            <w:pPr>
              <w:keepNext/>
              <w:keepLines/>
              <w:widowControl w:val="0"/>
              <w:jc w:val="left"/>
              <w:rPr>
                <w:rFonts w:ascii="Arial Narrow" w:eastAsiaTheme="majorEastAsia" w:hAnsi="Arial Narrow"/>
                <w:b/>
                <w:bCs/>
                <w:sz w:val="20"/>
                <w:szCs w:val="20"/>
              </w:rPr>
            </w:pPr>
            <w:r w:rsidRPr="00DF1C7A">
              <w:rPr>
                <w:rFonts w:ascii="Arial Narrow" w:eastAsiaTheme="majorEastAsia" w:hAnsi="Arial Narrow" w:cstheme="majorBidi"/>
                <w:b/>
                <w:iCs/>
                <w:sz w:val="20"/>
                <w:szCs w:val="20"/>
                <w:lang w:eastAsia="en-US"/>
              </w:rPr>
              <w:t>Net financial implications to the Government, including MBS costs</w:t>
            </w:r>
          </w:p>
        </w:tc>
      </w:tr>
      <w:tr w:rsidR="00DF1C7A" w:rsidRPr="00DF1C7A" w14:paraId="77414BD8" w14:textId="77777777" w:rsidTr="00ED4BBD">
        <w:trPr>
          <w:cantSplit/>
        </w:trPr>
        <w:tc>
          <w:tcPr>
            <w:tcW w:w="2263" w:type="dxa"/>
            <w:vAlign w:val="center"/>
          </w:tcPr>
          <w:p w14:paraId="4399CC4A" w14:textId="77777777" w:rsidR="00DF1C7A" w:rsidRPr="00DF1C7A" w:rsidRDefault="00DF1C7A" w:rsidP="00DF1C7A">
            <w:pPr>
              <w:keepNext/>
              <w:keepLines/>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 xml:space="preserve">Cost to MBS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7E3F1004"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6"/>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6"/>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54566130"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5"/>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5"/>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10DB5278"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94"/>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94"/>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9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5" w:type="dxa"/>
            <w:tcBorders>
              <w:top w:val="single" w:sz="4" w:space="0" w:color="auto"/>
              <w:left w:val="single" w:sz="4" w:space="0" w:color="auto"/>
              <w:bottom w:val="single" w:sz="4" w:space="0" w:color="auto"/>
              <w:right w:val="single" w:sz="4" w:space="0" w:color="auto"/>
            </w:tcBorders>
            <w:vAlign w:val="center"/>
          </w:tcPr>
          <w:p w14:paraId="48F78BE0"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3"/>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3"/>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5BBDF8C0"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2"/>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2"/>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21FCB891"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1"/>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1"/>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r>
      <w:tr w:rsidR="00DF1C7A" w:rsidRPr="00DF1C7A" w14:paraId="5CD732A2" w14:textId="77777777" w:rsidTr="00ED4BBD">
        <w:trPr>
          <w:cantSplit/>
        </w:trPr>
        <w:tc>
          <w:tcPr>
            <w:tcW w:w="2263" w:type="dxa"/>
            <w:vAlign w:val="center"/>
          </w:tcPr>
          <w:p w14:paraId="1F078E03" w14:textId="77777777" w:rsidR="00DF1C7A" w:rsidRPr="00DF1C7A" w:rsidRDefault="00DF1C7A" w:rsidP="00DF1C7A">
            <w:pPr>
              <w:keepNext/>
              <w:keepLines/>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Cs/>
                <w:iCs/>
                <w:sz w:val="20"/>
                <w:szCs w:val="20"/>
                <w:lang w:eastAsia="en-US"/>
              </w:rPr>
              <w:t xml:space="preserve">Offsets to MBS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7FDFDC55"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90"/>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90"/>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9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4A14A183"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89"/>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89"/>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89"/>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6" w:type="dxa"/>
            <w:tcBorders>
              <w:top w:val="single" w:sz="4" w:space="0" w:color="auto"/>
              <w:left w:val="single" w:sz="4" w:space="0" w:color="auto"/>
              <w:bottom w:val="single" w:sz="4" w:space="0" w:color="auto"/>
              <w:right w:val="single" w:sz="4" w:space="0" w:color="auto"/>
            </w:tcBorders>
            <w:vAlign w:val="center"/>
          </w:tcPr>
          <w:p w14:paraId="14850984"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88"/>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88"/>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88"/>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5" w:type="dxa"/>
            <w:tcBorders>
              <w:top w:val="single" w:sz="4" w:space="0" w:color="auto"/>
              <w:left w:val="single" w:sz="4" w:space="0" w:color="auto"/>
              <w:bottom w:val="single" w:sz="4" w:space="0" w:color="auto"/>
              <w:right w:val="single" w:sz="4" w:space="0" w:color="auto"/>
            </w:tcBorders>
            <w:vAlign w:val="center"/>
          </w:tcPr>
          <w:p w14:paraId="4ECAC825"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7"/>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7"/>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7"/>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5</w:t>
            </w:r>
          </w:p>
        </w:tc>
        <w:tc>
          <w:tcPr>
            <w:tcW w:w="1126" w:type="dxa"/>
            <w:tcBorders>
              <w:top w:val="single" w:sz="4" w:space="0" w:color="auto"/>
              <w:left w:val="single" w:sz="4" w:space="0" w:color="auto"/>
              <w:bottom w:val="single" w:sz="4" w:space="0" w:color="auto"/>
              <w:right w:val="single" w:sz="4" w:space="0" w:color="auto"/>
            </w:tcBorders>
            <w:vAlign w:val="center"/>
          </w:tcPr>
          <w:p w14:paraId="546D2050"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6"/>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5</w:t>
            </w:r>
          </w:p>
        </w:tc>
        <w:tc>
          <w:tcPr>
            <w:tcW w:w="1126" w:type="dxa"/>
            <w:tcBorders>
              <w:top w:val="single" w:sz="4" w:space="0" w:color="auto"/>
              <w:left w:val="single" w:sz="4" w:space="0" w:color="auto"/>
              <w:bottom w:val="single" w:sz="4" w:space="0" w:color="auto"/>
              <w:right w:val="single" w:sz="4" w:space="0" w:color="auto"/>
            </w:tcBorders>
            <w:vAlign w:val="center"/>
          </w:tcPr>
          <w:p w14:paraId="797D73FA"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5"/>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5"/>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5</w:t>
            </w:r>
          </w:p>
        </w:tc>
      </w:tr>
      <w:tr w:rsidR="00DF1C7A" w:rsidRPr="00DF1C7A" w14:paraId="7A017BBD" w14:textId="77777777" w:rsidTr="00ED4BBD">
        <w:trPr>
          <w:cantSplit/>
        </w:trPr>
        <w:tc>
          <w:tcPr>
            <w:tcW w:w="2263" w:type="dxa"/>
            <w:vAlign w:val="center"/>
          </w:tcPr>
          <w:p w14:paraId="46BE5195" w14:textId="77777777" w:rsidR="00DF1C7A" w:rsidRPr="00DF1C7A" w:rsidRDefault="00DF1C7A" w:rsidP="00DF1C7A">
            <w:pPr>
              <w:keepNext/>
              <w:keepLines/>
              <w:widowControl w:val="0"/>
              <w:jc w:val="left"/>
              <w:rPr>
                <w:rFonts w:ascii="Arial Narrow" w:eastAsiaTheme="majorEastAsia" w:hAnsi="Arial Narrow" w:cstheme="majorBidi"/>
                <w:b/>
                <w:bCs/>
                <w:sz w:val="20"/>
                <w:szCs w:val="20"/>
                <w:lang w:eastAsia="en-US"/>
              </w:rPr>
            </w:pPr>
            <w:r w:rsidRPr="00DF1C7A">
              <w:rPr>
                <w:rFonts w:ascii="Arial Narrow" w:eastAsiaTheme="majorEastAsia" w:hAnsi="Arial Narrow" w:cstheme="majorBidi"/>
                <w:b/>
                <w:iCs/>
                <w:sz w:val="20"/>
                <w:szCs w:val="20"/>
                <w:lang w:eastAsia="en-US"/>
              </w:rPr>
              <w:t xml:space="preserve">Net cost to MBS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nil"/>
              <w:bottom w:val="single" w:sz="4" w:space="0" w:color="auto"/>
              <w:right w:val="single" w:sz="4" w:space="0" w:color="auto"/>
            </w:tcBorders>
            <w:vAlign w:val="center"/>
          </w:tcPr>
          <w:p w14:paraId="0E4CAE14"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4"/>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4"/>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single" w:sz="4" w:space="0" w:color="auto"/>
              <w:bottom w:val="single" w:sz="4" w:space="0" w:color="auto"/>
              <w:right w:val="single" w:sz="4" w:space="0" w:color="auto"/>
            </w:tcBorders>
            <w:vAlign w:val="center"/>
          </w:tcPr>
          <w:p w14:paraId="2EBEECCA"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3"/>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3"/>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tcPr>
          <w:p w14:paraId="6D8ECBB6"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5"/>
                <w:sz w:val="20"/>
                <w:shd w:val="solid" w:color="000000" w:fill="000000"/>
                <w:fitText w:val="45" w:id="-416074482"/>
                <w14:textFill>
                  <w14:solidFill>
                    <w14:srgbClr w14:val="000000">
                      <w14:alpha w14:val="100000"/>
                    </w14:srgbClr>
                  </w14:solidFill>
                </w14:textFill>
              </w:rPr>
              <w:t xml:space="preserve">　</w:t>
            </w:r>
            <w:r w:rsidRPr="00DF1C7A">
              <w:rPr>
                <w:rFonts w:ascii="Arial Narrow" w:hAnsi="Arial Narrow" w:cs="Times New Roman"/>
                <w:snapToGrid w:val="0"/>
                <w:color w:val="000000"/>
                <w:w w:val="15"/>
                <w:sz w:val="20"/>
                <w:shd w:val="solid" w:color="000000" w:fill="000000"/>
                <w:fitText w:val="45" w:id="-416074482"/>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20"/>
                <w:w w:val="15"/>
                <w:sz w:val="20"/>
                <w:shd w:val="solid" w:color="000000" w:fill="000000"/>
                <w:fitText w:val="45" w:id="-41607448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5" w:type="dxa"/>
            <w:tcBorders>
              <w:top w:val="single" w:sz="4" w:space="0" w:color="auto"/>
              <w:left w:val="single" w:sz="4" w:space="0" w:color="auto"/>
              <w:bottom w:val="single" w:sz="4" w:space="0" w:color="auto"/>
              <w:right w:val="single" w:sz="4" w:space="0" w:color="auto"/>
            </w:tcBorders>
            <w:vAlign w:val="center"/>
          </w:tcPr>
          <w:p w14:paraId="1A29E627"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81"/>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8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6" w:type="dxa"/>
            <w:tcBorders>
              <w:top w:val="single" w:sz="4" w:space="0" w:color="auto"/>
              <w:left w:val="single" w:sz="4" w:space="0" w:color="auto"/>
              <w:bottom w:val="single" w:sz="4" w:space="0" w:color="auto"/>
              <w:right w:val="single" w:sz="4" w:space="0" w:color="auto"/>
            </w:tcBorders>
            <w:vAlign w:val="center"/>
          </w:tcPr>
          <w:p w14:paraId="546F2256"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80"/>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8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6" w:type="dxa"/>
            <w:tcBorders>
              <w:top w:val="single" w:sz="4" w:space="0" w:color="auto"/>
              <w:left w:val="single" w:sz="4" w:space="0" w:color="auto"/>
              <w:bottom w:val="single" w:sz="4" w:space="0" w:color="auto"/>
              <w:right w:val="single" w:sz="4" w:space="0" w:color="auto"/>
            </w:tcBorders>
            <w:vAlign w:val="center"/>
          </w:tcPr>
          <w:p w14:paraId="4685119D"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snapToGrid w:val="0"/>
                <w:color w:val="000000"/>
                <w:w w:val="16"/>
                <w:sz w:val="20"/>
                <w:shd w:val="solid" w:color="000000" w:fill="000000"/>
                <w:fitText w:val="75" w:id="-416074496"/>
                <w14:textFill>
                  <w14:solidFill>
                    <w14:srgbClr w14:val="000000">
                      <w14:alpha w14:val="100000"/>
                    </w14:srgbClr>
                  </w14:solidFill>
                </w14:textFill>
              </w:rPr>
              <w:t xml:space="preserve">　</w:t>
            </w:r>
            <w:r w:rsidRPr="00DF1C7A">
              <w:rPr>
                <w:rFonts w:ascii="Arial Narrow" w:hAnsi="Arial Narrow" w:cs="Times New Roman"/>
                <w:snapToGrid w:val="0"/>
                <w:color w:val="000000"/>
                <w:w w:val="16"/>
                <w:sz w:val="20"/>
                <w:shd w:val="solid" w:color="000000" w:fill="000000"/>
                <w:fitText w:val="75" w:id="-416074496"/>
                <w14:textFill>
                  <w14:solidFill>
                    <w14:srgbClr w14:val="000000">
                      <w14:alpha w14:val="100000"/>
                    </w14:srgbClr>
                  </w14:solidFill>
                </w14:textFill>
              </w:rPr>
              <w:t>|</w:t>
            </w:r>
            <w:r w:rsidRPr="00DF1C7A">
              <w:rPr>
                <w:rFonts w:ascii="MS Gothic" w:eastAsia="MS Gothic" w:hAnsi="MS Gothic" w:cs="MS Gothic" w:hint="eastAsia"/>
                <w:snapToGrid w:val="0"/>
                <w:color w:val="000000"/>
                <w:spacing w:val="5"/>
                <w:w w:val="16"/>
                <w:sz w:val="20"/>
                <w:shd w:val="solid" w:color="000000" w:fill="000000"/>
                <w:fitText w:val="75" w:id="-416074496"/>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r>
      <w:tr w:rsidR="00DF1C7A" w:rsidRPr="00DF1C7A" w14:paraId="63C8C339" w14:textId="77777777" w:rsidTr="00ED4BBD">
        <w:trPr>
          <w:cantSplit/>
        </w:trPr>
        <w:tc>
          <w:tcPr>
            <w:tcW w:w="2263" w:type="dxa"/>
            <w:vAlign w:val="center"/>
          </w:tcPr>
          <w:p w14:paraId="25F4FB58" w14:textId="77777777" w:rsidR="00DF1C7A" w:rsidRPr="00DF1C7A" w:rsidRDefault="00DF1C7A" w:rsidP="00DF1C7A">
            <w:pPr>
              <w:keepNext/>
              <w:keepLines/>
              <w:widowControl w:val="0"/>
              <w:jc w:val="left"/>
              <w:rPr>
                <w:rFonts w:ascii="Arial Narrow" w:eastAsiaTheme="majorEastAsia" w:hAnsi="Arial Narrow" w:cstheme="majorBidi"/>
                <w:b/>
                <w:iCs/>
                <w:sz w:val="20"/>
                <w:szCs w:val="20"/>
                <w:lang w:eastAsia="en-US"/>
              </w:rPr>
            </w:pPr>
            <w:r w:rsidRPr="00DF1C7A">
              <w:rPr>
                <w:rFonts w:ascii="Arial Narrow" w:eastAsiaTheme="majorEastAsia" w:hAnsi="Arial Narrow" w:cstheme="majorBidi"/>
                <w:b/>
                <w:iCs/>
                <w:sz w:val="20"/>
                <w:szCs w:val="20"/>
                <w:lang w:eastAsia="en-US"/>
              </w:rPr>
              <w:t xml:space="preserve">Overall net cost to Government </w:t>
            </w:r>
            <w:r w:rsidRPr="00DF1C7A">
              <w:rPr>
                <w:rFonts w:ascii="Arial Narrow" w:eastAsiaTheme="majorEastAsia" w:hAnsi="Arial Narrow" w:cstheme="majorBid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425B3835"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0"/>
                <w:sz w:val="20"/>
                <w:shd w:val="solid" w:color="000000" w:fill="000000"/>
                <w:fitText w:val="90" w:id="-416074495"/>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0"/>
                <w:sz w:val="20"/>
                <w:shd w:val="solid" w:color="000000" w:fill="000000"/>
                <w:fitText w:val="90" w:id="-416074495"/>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2"/>
                <w:w w:val="20"/>
                <w:sz w:val="20"/>
                <w:shd w:val="solid" w:color="000000" w:fill="000000"/>
                <w:fitText w:val="90" w:id="-416074495"/>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17" w:type="dxa"/>
            <w:tcBorders>
              <w:top w:val="single" w:sz="4" w:space="0" w:color="auto"/>
              <w:left w:val="nil"/>
              <w:bottom w:val="single" w:sz="4" w:space="0" w:color="auto"/>
              <w:right w:val="single" w:sz="4" w:space="0" w:color="auto"/>
            </w:tcBorders>
            <w:vAlign w:val="center"/>
          </w:tcPr>
          <w:p w14:paraId="40882FE8"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0"/>
                <w:sz w:val="20"/>
                <w:shd w:val="solid" w:color="000000" w:fill="000000"/>
                <w:fitText w:val="90" w:id="-416074494"/>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0"/>
                <w:sz w:val="20"/>
                <w:shd w:val="solid" w:color="000000" w:fill="000000"/>
                <w:fitText w:val="90" w:id="-416074494"/>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2"/>
                <w:w w:val="20"/>
                <w:sz w:val="20"/>
                <w:shd w:val="solid" w:color="000000" w:fill="000000"/>
                <w:fitText w:val="90" w:id="-416074494"/>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6</w:t>
            </w:r>
          </w:p>
        </w:tc>
        <w:tc>
          <w:tcPr>
            <w:tcW w:w="1126" w:type="dxa"/>
            <w:tcBorders>
              <w:top w:val="single" w:sz="4" w:space="0" w:color="auto"/>
              <w:left w:val="nil"/>
              <w:bottom w:val="single" w:sz="4" w:space="0" w:color="auto"/>
              <w:right w:val="single" w:sz="4" w:space="0" w:color="auto"/>
            </w:tcBorders>
            <w:vAlign w:val="center"/>
          </w:tcPr>
          <w:p w14:paraId="43A2AB47"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93"/>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93"/>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93"/>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5" w:type="dxa"/>
            <w:tcBorders>
              <w:top w:val="single" w:sz="4" w:space="0" w:color="auto"/>
              <w:left w:val="nil"/>
              <w:bottom w:val="single" w:sz="4" w:space="0" w:color="auto"/>
              <w:right w:val="single" w:sz="4" w:space="0" w:color="auto"/>
            </w:tcBorders>
            <w:vAlign w:val="center"/>
          </w:tcPr>
          <w:p w14:paraId="52918E05"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92"/>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92"/>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92"/>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6" w:type="dxa"/>
            <w:tcBorders>
              <w:top w:val="single" w:sz="4" w:space="0" w:color="auto"/>
              <w:left w:val="nil"/>
              <w:bottom w:val="single" w:sz="4" w:space="0" w:color="auto"/>
              <w:right w:val="single" w:sz="4" w:space="0" w:color="auto"/>
            </w:tcBorders>
            <w:vAlign w:val="center"/>
          </w:tcPr>
          <w:p w14:paraId="35023DBE"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91"/>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91"/>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91"/>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c>
          <w:tcPr>
            <w:tcW w:w="1126" w:type="dxa"/>
            <w:tcBorders>
              <w:top w:val="single" w:sz="4" w:space="0" w:color="auto"/>
              <w:left w:val="nil"/>
              <w:bottom w:val="single" w:sz="4" w:space="0" w:color="auto"/>
              <w:right w:val="single" w:sz="4" w:space="0" w:color="auto"/>
            </w:tcBorders>
            <w:vAlign w:val="center"/>
          </w:tcPr>
          <w:p w14:paraId="32077964" w14:textId="77777777" w:rsidR="00DF1C7A" w:rsidRPr="00DF1C7A" w:rsidRDefault="00DF1C7A" w:rsidP="00DF1C7A">
            <w:pPr>
              <w:keepNext/>
              <w:keepLines/>
              <w:jc w:val="center"/>
              <w:rPr>
                <w:rFonts w:ascii="Arial Narrow" w:hAnsi="Arial Narrow" w:cs="Times New Roman"/>
                <w:b/>
                <w:snapToGrid w:val="0"/>
                <w:sz w:val="20"/>
                <w:highlight w:val="yellow"/>
              </w:rPr>
            </w:pPr>
            <w:r w:rsidRPr="00DF1C7A">
              <w:rPr>
                <w:rFonts w:ascii="MS Gothic" w:eastAsia="MS Gothic" w:hAnsi="MS Gothic" w:cs="MS Gothic" w:hint="eastAsia"/>
                <w:b/>
                <w:bCs/>
                <w:iCs/>
                <w:snapToGrid w:val="0"/>
                <w:color w:val="000000"/>
                <w:w w:val="23"/>
                <w:sz w:val="20"/>
                <w:shd w:val="solid" w:color="000000" w:fill="000000"/>
                <w:fitText w:val="105" w:id="-416074490"/>
                <w14:textFill>
                  <w14:solidFill>
                    <w14:srgbClr w14:val="000000">
                      <w14:alpha w14:val="100000"/>
                    </w14:srgbClr>
                  </w14:solidFill>
                </w14:textFill>
              </w:rPr>
              <w:t xml:space="preserve">　</w:t>
            </w:r>
            <w:r w:rsidRPr="00DF1C7A">
              <w:rPr>
                <w:rFonts w:ascii="Arial Narrow" w:hAnsi="Arial Narrow" w:cs="Times New Roman"/>
                <w:b/>
                <w:bCs/>
                <w:iCs/>
                <w:snapToGrid w:val="0"/>
                <w:color w:val="000000"/>
                <w:w w:val="23"/>
                <w:sz w:val="20"/>
                <w:shd w:val="solid" w:color="000000" w:fill="000000"/>
                <w:fitText w:val="105" w:id="-416074490"/>
                <w14:textFill>
                  <w14:solidFill>
                    <w14:srgbClr w14:val="000000">
                      <w14:alpha w14:val="100000"/>
                    </w14:srgbClr>
                  </w14:solidFill>
                </w14:textFill>
              </w:rPr>
              <w:t>|</w:t>
            </w:r>
            <w:r w:rsidRPr="00DF1C7A">
              <w:rPr>
                <w:rFonts w:ascii="MS Gothic" w:eastAsia="MS Gothic" w:hAnsi="MS Gothic" w:cs="MS Gothic" w:hint="eastAsia"/>
                <w:b/>
                <w:bCs/>
                <w:iCs/>
                <w:snapToGrid w:val="0"/>
                <w:color w:val="000000"/>
                <w:spacing w:val="3"/>
                <w:w w:val="23"/>
                <w:sz w:val="20"/>
                <w:shd w:val="solid" w:color="000000" w:fill="000000"/>
                <w:fitText w:val="105" w:id="-416074490"/>
                <w14:textFill>
                  <w14:solidFill>
                    <w14:srgbClr w14:val="000000">
                      <w14:alpha w14:val="100000"/>
                    </w14:srgbClr>
                  </w14:solidFill>
                </w14:textFill>
              </w:rPr>
              <w:t xml:space="preserve">　</w:t>
            </w:r>
            <w:r w:rsidRPr="00DF1C7A">
              <w:rPr>
                <w:rFonts w:ascii="Arial Narrow" w:hAnsi="Arial Narrow" w:cs="Times New Roman"/>
                <w:snapToGrid w:val="0"/>
                <w:sz w:val="20"/>
                <w:szCs w:val="20"/>
                <w:vertAlign w:val="superscript"/>
              </w:rPr>
              <w:t>10</w:t>
            </w:r>
          </w:p>
        </w:tc>
      </w:tr>
    </w:tbl>
    <w:p w14:paraId="27F65001" w14:textId="77777777" w:rsidR="00DF1C7A" w:rsidRPr="00DF1C7A" w:rsidRDefault="00DF1C7A" w:rsidP="00DF1C7A">
      <w:pPr>
        <w:spacing w:after="120"/>
        <w:contextualSpacing/>
        <w:rPr>
          <w:rFonts w:ascii="Arial Narrow" w:hAnsi="Arial Narrow"/>
          <w:snapToGrid w:val="0"/>
          <w:sz w:val="18"/>
          <w:szCs w:val="22"/>
        </w:rPr>
      </w:pPr>
      <w:r w:rsidRPr="00DF1C7A">
        <w:rPr>
          <w:rFonts w:ascii="Arial Narrow" w:hAnsi="Arial Narrow"/>
          <w:snapToGrid w:val="0"/>
          <w:sz w:val="18"/>
          <w:szCs w:val="22"/>
        </w:rPr>
        <w:t>Source: Table 4.4, p.105; Table 4.5, p.105; Table 4.6, p.105; Table 4.7, p.106; Table 4.8, p.106; Table 4.9, p.106; Table 4.11, p.107; Table 4.12, p.108; Table 4.14, p.109; Table 4.15, p.110 of the submission; Section 4 workbook</w:t>
      </w:r>
    </w:p>
    <w:p w14:paraId="2F67F83A" w14:textId="77777777" w:rsidR="00DF1C7A" w:rsidRPr="00DF1C7A" w:rsidRDefault="00DF1C7A" w:rsidP="00DF1C7A">
      <w:pPr>
        <w:contextualSpacing/>
        <w:rPr>
          <w:rFonts w:ascii="Arial Narrow" w:hAnsi="Arial Narrow"/>
          <w:snapToGrid w:val="0"/>
          <w:sz w:val="18"/>
          <w:szCs w:val="22"/>
        </w:rPr>
      </w:pPr>
      <w:proofErr w:type="spellStart"/>
      <w:r w:rsidRPr="00DF1C7A">
        <w:rPr>
          <w:rFonts w:ascii="Arial Narrow" w:hAnsi="Arial Narrow"/>
          <w:snapToGrid w:val="0"/>
          <w:sz w:val="18"/>
          <w:szCs w:val="22"/>
          <w:vertAlign w:val="superscript"/>
        </w:rPr>
        <w:t>a</w:t>
      </w:r>
      <w:proofErr w:type="spellEnd"/>
      <w:r w:rsidRPr="00DF1C7A">
        <w:rPr>
          <w:rFonts w:ascii="Arial Narrow" w:hAnsi="Arial Narrow"/>
          <w:snapToGrid w:val="0"/>
          <w:sz w:val="18"/>
          <w:szCs w:val="22"/>
          <w:vertAlign w:val="superscript"/>
        </w:rPr>
        <w:t xml:space="preserve"> </w:t>
      </w:r>
      <w:r w:rsidRPr="00DF1C7A">
        <w:rPr>
          <w:rFonts w:ascii="Arial Narrow" w:hAnsi="Arial Narrow"/>
          <w:snapToGrid w:val="0"/>
          <w:sz w:val="18"/>
          <w:szCs w:val="22"/>
        </w:rPr>
        <w:t>Application of the rounded script substitution rate of 0.22 to 10.07 intravitreal scripts resulted in 2.2143 scripts of ranibizumab 100 mg/mL per patient per year rather than 2.17 (=52/24 weeks).</w:t>
      </w:r>
    </w:p>
    <w:p w14:paraId="42AA95F2"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rPr>
        <w:t xml:space="preserve">The redacted values correspond to the following ranges: </w:t>
      </w:r>
    </w:p>
    <w:p w14:paraId="25474CB1"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1</w:t>
      </w:r>
      <w:r w:rsidRPr="00DF1C7A">
        <w:rPr>
          <w:rFonts w:ascii="Arial Narrow" w:hAnsi="Arial Narrow"/>
          <w:iCs/>
          <w:sz w:val="18"/>
          <w:szCs w:val="18"/>
        </w:rPr>
        <w:t xml:space="preserve"> </w:t>
      </w:r>
      <w:bookmarkStart w:id="0" w:name="_Hlk102993543"/>
      <w:r w:rsidRPr="00DF1C7A">
        <w:rPr>
          <w:rFonts w:ascii="Arial Narrow" w:hAnsi="Arial Narrow"/>
          <w:iCs/>
          <w:sz w:val="18"/>
          <w:szCs w:val="18"/>
        </w:rPr>
        <w:t>400,000 to &lt; 500,000</w:t>
      </w:r>
      <w:bookmarkEnd w:id="0"/>
    </w:p>
    <w:p w14:paraId="3B55EBBB"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2</w:t>
      </w:r>
      <w:r w:rsidRPr="00DF1C7A">
        <w:rPr>
          <w:rFonts w:ascii="Arial Narrow" w:hAnsi="Arial Narrow"/>
          <w:iCs/>
          <w:sz w:val="18"/>
          <w:szCs w:val="18"/>
        </w:rPr>
        <w:t xml:space="preserve"> 60,000 to &lt; 70,000</w:t>
      </w:r>
    </w:p>
    <w:p w14:paraId="6A413F12"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3</w:t>
      </w:r>
      <w:r w:rsidRPr="00DF1C7A">
        <w:rPr>
          <w:rFonts w:ascii="Arial Narrow" w:hAnsi="Arial Narrow"/>
          <w:iCs/>
          <w:sz w:val="18"/>
          <w:szCs w:val="18"/>
        </w:rPr>
        <w:t xml:space="preserve"> 500 to &lt; 5,000</w:t>
      </w:r>
    </w:p>
    <w:p w14:paraId="641D8315"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4</w:t>
      </w:r>
      <w:r w:rsidRPr="00DF1C7A">
        <w:rPr>
          <w:rFonts w:ascii="Arial Narrow" w:hAnsi="Arial Narrow"/>
          <w:iCs/>
          <w:sz w:val="18"/>
          <w:szCs w:val="18"/>
        </w:rPr>
        <w:t xml:space="preserve"> 5,000 to &lt; 10,000</w:t>
      </w:r>
    </w:p>
    <w:p w14:paraId="5B3AABE5"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5</w:t>
      </w:r>
      <w:r w:rsidRPr="00DF1C7A">
        <w:rPr>
          <w:rFonts w:ascii="Arial Narrow" w:hAnsi="Arial Narrow"/>
          <w:iCs/>
          <w:sz w:val="18"/>
          <w:szCs w:val="18"/>
        </w:rPr>
        <w:t xml:space="preserve"> $20 million to &lt; $30 million</w:t>
      </w:r>
    </w:p>
    <w:p w14:paraId="74E16647" w14:textId="77777777" w:rsidR="00DF1C7A" w:rsidRPr="00DF1C7A" w:rsidRDefault="00DF1C7A" w:rsidP="00DF1C7A">
      <w:pPr>
        <w:rPr>
          <w:rFonts w:ascii="Arial Narrow" w:hAnsi="Arial Narrow"/>
          <w:iCs/>
          <w:sz w:val="18"/>
          <w:szCs w:val="18"/>
          <w:vertAlign w:val="superscript"/>
        </w:rPr>
      </w:pPr>
      <w:r w:rsidRPr="00DF1C7A">
        <w:rPr>
          <w:rFonts w:ascii="Arial Narrow" w:hAnsi="Arial Narrow"/>
          <w:iCs/>
          <w:sz w:val="18"/>
          <w:szCs w:val="18"/>
          <w:vertAlign w:val="superscript"/>
        </w:rPr>
        <w:t xml:space="preserve">6 </w:t>
      </w:r>
      <w:r w:rsidRPr="00DF1C7A">
        <w:rPr>
          <w:rFonts w:ascii="Arial Narrow" w:hAnsi="Arial Narrow"/>
          <w:iCs/>
          <w:sz w:val="18"/>
          <w:szCs w:val="18"/>
        </w:rPr>
        <w:t>$0 to &lt; $10 million</w:t>
      </w:r>
    </w:p>
    <w:p w14:paraId="061D95D3" w14:textId="77777777" w:rsidR="00DF1C7A" w:rsidRPr="00DF1C7A" w:rsidRDefault="00DF1C7A" w:rsidP="00DF1C7A">
      <w:pPr>
        <w:rPr>
          <w:rFonts w:ascii="Arial Narrow" w:hAnsi="Arial Narrow"/>
          <w:iCs/>
          <w:sz w:val="18"/>
          <w:szCs w:val="18"/>
          <w:vertAlign w:val="superscript"/>
        </w:rPr>
      </w:pPr>
      <w:r w:rsidRPr="00DF1C7A">
        <w:rPr>
          <w:rFonts w:ascii="Arial Narrow" w:hAnsi="Arial Narrow"/>
          <w:iCs/>
          <w:sz w:val="18"/>
          <w:szCs w:val="18"/>
          <w:vertAlign w:val="superscript"/>
        </w:rPr>
        <w:t xml:space="preserve">7 </w:t>
      </w:r>
      <w:r w:rsidRPr="00DF1C7A">
        <w:rPr>
          <w:rFonts w:ascii="Arial Narrow" w:hAnsi="Arial Narrow"/>
          <w:iCs/>
          <w:sz w:val="18"/>
          <w:szCs w:val="18"/>
        </w:rPr>
        <w:t>10,000 to &lt; 20,000</w:t>
      </w:r>
    </w:p>
    <w:p w14:paraId="38098603"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8 </w:t>
      </w:r>
      <w:r w:rsidRPr="00DF1C7A">
        <w:rPr>
          <w:rFonts w:ascii="Arial Narrow" w:hAnsi="Arial Narrow"/>
          <w:iCs/>
          <w:sz w:val="18"/>
          <w:szCs w:val="18"/>
        </w:rPr>
        <w:t>30,000 to &lt; 40,000</w:t>
      </w:r>
    </w:p>
    <w:p w14:paraId="6066EA11"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9 </w:t>
      </w:r>
      <w:r w:rsidRPr="00DF1C7A">
        <w:rPr>
          <w:rFonts w:ascii="Arial Narrow" w:hAnsi="Arial Narrow"/>
          <w:iCs/>
          <w:sz w:val="18"/>
          <w:szCs w:val="18"/>
        </w:rPr>
        <w:t>$30 million to &lt; $40 million</w:t>
      </w:r>
    </w:p>
    <w:p w14:paraId="672E8B3B"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10 </w:t>
      </w:r>
      <w:r w:rsidRPr="00DF1C7A">
        <w:rPr>
          <w:rFonts w:ascii="Arial Narrow" w:hAnsi="Arial Narrow"/>
          <w:iCs/>
          <w:sz w:val="18"/>
          <w:szCs w:val="18"/>
        </w:rPr>
        <w:t>$10 million to &lt; $20 million</w:t>
      </w:r>
    </w:p>
    <w:p w14:paraId="7FA03657"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11 </w:t>
      </w:r>
      <w:r w:rsidRPr="00DF1C7A">
        <w:rPr>
          <w:rFonts w:ascii="Arial Narrow" w:hAnsi="Arial Narrow"/>
          <w:iCs/>
          <w:sz w:val="18"/>
          <w:szCs w:val="18"/>
        </w:rPr>
        <w:t>70,000 to &lt; 80,000</w:t>
      </w:r>
    </w:p>
    <w:p w14:paraId="405194A0"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12 </w:t>
      </w:r>
      <w:r w:rsidRPr="00DF1C7A">
        <w:rPr>
          <w:rFonts w:ascii="Arial Narrow" w:hAnsi="Arial Narrow"/>
          <w:iCs/>
          <w:sz w:val="18"/>
          <w:szCs w:val="18"/>
        </w:rPr>
        <w:t>20,000 to &lt; 30,000</w:t>
      </w:r>
    </w:p>
    <w:p w14:paraId="14BFA30E"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13 </w:t>
      </w:r>
      <w:r w:rsidRPr="00DF1C7A">
        <w:rPr>
          <w:rFonts w:ascii="Arial Narrow" w:hAnsi="Arial Narrow"/>
          <w:iCs/>
          <w:sz w:val="18"/>
          <w:szCs w:val="18"/>
        </w:rPr>
        <w:t>$40 million to &lt; $50 million</w:t>
      </w:r>
    </w:p>
    <w:p w14:paraId="16DF1D44"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14 </w:t>
      </w:r>
      <w:r w:rsidRPr="00DF1C7A">
        <w:rPr>
          <w:rFonts w:ascii="Arial Narrow" w:hAnsi="Arial Narrow"/>
          <w:iCs/>
          <w:sz w:val="18"/>
          <w:szCs w:val="18"/>
        </w:rPr>
        <w:t>40,000 to &lt; 50,000</w:t>
      </w:r>
    </w:p>
    <w:p w14:paraId="087270A1"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15 </w:t>
      </w:r>
      <w:r w:rsidRPr="00DF1C7A">
        <w:rPr>
          <w:rFonts w:ascii="Arial Narrow" w:hAnsi="Arial Narrow"/>
          <w:iCs/>
          <w:sz w:val="18"/>
          <w:szCs w:val="18"/>
        </w:rPr>
        <w:t>$70 million to &lt; $80 million</w:t>
      </w:r>
    </w:p>
    <w:p w14:paraId="2957896F"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16 </w:t>
      </w:r>
      <w:r w:rsidRPr="00DF1C7A">
        <w:rPr>
          <w:rFonts w:ascii="Arial Narrow" w:hAnsi="Arial Narrow"/>
          <w:iCs/>
          <w:sz w:val="18"/>
          <w:szCs w:val="18"/>
        </w:rPr>
        <w:t>$60 million to &lt; $70 million</w:t>
      </w:r>
      <w:r w:rsidRPr="00DF1C7A">
        <w:rPr>
          <w:rFonts w:ascii="Arial Narrow" w:hAnsi="Arial Narrow"/>
          <w:iCs/>
          <w:sz w:val="18"/>
          <w:szCs w:val="18"/>
          <w:vertAlign w:val="superscript"/>
        </w:rPr>
        <w:t xml:space="preserve"> 17 </w:t>
      </w:r>
    </w:p>
    <w:p w14:paraId="1E4042F7" w14:textId="77777777" w:rsidR="00DF1C7A" w:rsidRPr="00DF1C7A" w:rsidRDefault="00DF1C7A" w:rsidP="00DF1C7A">
      <w:pPr>
        <w:rPr>
          <w:rFonts w:ascii="Arial Narrow" w:hAnsi="Arial Narrow"/>
          <w:iCs/>
          <w:sz w:val="18"/>
          <w:szCs w:val="18"/>
          <w:vertAlign w:val="superscript"/>
        </w:rPr>
      </w:pPr>
      <w:r w:rsidRPr="00DF1C7A">
        <w:rPr>
          <w:rFonts w:ascii="Arial Narrow" w:hAnsi="Arial Narrow"/>
          <w:iCs/>
          <w:sz w:val="18"/>
          <w:szCs w:val="18"/>
          <w:vertAlign w:val="superscript"/>
        </w:rPr>
        <w:t xml:space="preserve">17 </w:t>
      </w:r>
      <w:r w:rsidRPr="00DF1C7A">
        <w:rPr>
          <w:rFonts w:ascii="Arial Narrow" w:hAnsi="Arial Narrow"/>
          <w:iCs/>
          <w:sz w:val="18"/>
          <w:szCs w:val="18"/>
        </w:rPr>
        <w:t>500,000 to &lt; 600,000</w:t>
      </w:r>
    </w:p>
    <w:p w14:paraId="2255B6D4"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18 </w:t>
      </w:r>
      <w:r w:rsidRPr="00DF1C7A">
        <w:rPr>
          <w:rFonts w:ascii="Arial Narrow" w:hAnsi="Arial Narrow"/>
          <w:iCs/>
          <w:sz w:val="18"/>
          <w:szCs w:val="18"/>
        </w:rPr>
        <w:t>100,000 to &lt; 200,000</w:t>
      </w:r>
    </w:p>
    <w:p w14:paraId="4D53A63A"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19 </w:t>
      </w:r>
      <w:bookmarkStart w:id="1" w:name="_Hlk102993105"/>
      <w:r w:rsidRPr="00DF1C7A">
        <w:rPr>
          <w:rFonts w:ascii="Arial Narrow" w:hAnsi="Arial Narrow"/>
          <w:iCs/>
          <w:sz w:val="18"/>
          <w:szCs w:val="18"/>
        </w:rPr>
        <w:t>$100 million to &lt; $200 million</w:t>
      </w:r>
    </w:p>
    <w:bookmarkEnd w:id="1"/>
    <w:p w14:paraId="1D1CD64A"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20 </w:t>
      </w:r>
      <w:r w:rsidRPr="00DF1C7A">
        <w:rPr>
          <w:rFonts w:ascii="Arial Narrow" w:hAnsi="Arial Narrow"/>
          <w:iCs/>
          <w:sz w:val="18"/>
          <w:szCs w:val="18"/>
        </w:rPr>
        <w:t>$50 million to &lt; $60 million</w:t>
      </w:r>
    </w:p>
    <w:p w14:paraId="765598D7"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21 </w:t>
      </w:r>
      <w:r w:rsidRPr="00DF1C7A">
        <w:rPr>
          <w:rFonts w:ascii="Arial Narrow" w:hAnsi="Arial Narrow"/>
          <w:iCs/>
          <w:sz w:val="18"/>
          <w:szCs w:val="18"/>
        </w:rPr>
        <w:t>80,000 to &lt; 90,000</w:t>
      </w:r>
    </w:p>
    <w:p w14:paraId="4CD566A4"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22 </w:t>
      </w:r>
      <w:r w:rsidRPr="00DF1C7A">
        <w:rPr>
          <w:rFonts w:ascii="Arial Narrow" w:hAnsi="Arial Narrow"/>
          <w:iCs/>
          <w:sz w:val="18"/>
          <w:szCs w:val="18"/>
        </w:rPr>
        <w:t>$80 million to &lt; $90 million</w:t>
      </w:r>
    </w:p>
    <w:p w14:paraId="31CF8935"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23 </w:t>
      </w:r>
      <w:r w:rsidRPr="00DF1C7A">
        <w:rPr>
          <w:rFonts w:ascii="Arial Narrow" w:hAnsi="Arial Narrow"/>
          <w:iCs/>
          <w:sz w:val="18"/>
          <w:szCs w:val="18"/>
        </w:rPr>
        <w:t>50,000 to &lt; 60,000</w:t>
      </w:r>
    </w:p>
    <w:p w14:paraId="01CF71C0" w14:textId="77777777" w:rsidR="00DF1C7A" w:rsidRPr="00DF1C7A" w:rsidRDefault="00DF1C7A" w:rsidP="00DF1C7A">
      <w:pPr>
        <w:rPr>
          <w:rFonts w:ascii="Arial Narrow" w:hAnsi="Arial Narrow"/>
          <w:iCs/>
          <w:sz w:val="18"/>
          <w:szCs w:val="18"/>
        </w:rPr>
      </w:pPr>
      <w:r w:rsidRPr="00DF1C7A">
        <w:rPr>
          <w:rFonts w:ascii="Arial Narrow" w:hAnsi="Arial Narrow"/>
          <w:iCs/>
          <w:sz w:val="18"/>
          <w:szCs w:val="18"/>
          <w:vertAlign w:val="superscript"/>
        </w:rPr>
        <w:t xml:space="preserve">24 </w:t>
      </w:r>
      <w:r w:rsidRPr="00DF1C7A">
        <w:rPr>
          <w:rFonts w:ascii="Arial Narrow" w:hAnsi="Arial Narrow"/>
          <w:iCs/>
          <w:sz w:val="18"/>
          <w:szCs w:val="18"/>
        </w:rPr>
        <w:t>90,000 to &lt; 100,000</w:t>
      </w:r>
    </w:p>
    <w:p w14:paraId="0E4B8EC5" w14:textId="77777777" w:rsidR="00DF1C7A" w:rsidRPr="00DF1C7A" w:rsidRDefault="00DF1C7A" w:rsidP="00DF1C7A">
      <w:pPr>
        <w:spacing w:after="240"/>
        <w:rPr>
          <w:rFonts w:ascii="Arial Narrow" w:hAnsi="Arial Narrow"/>
          <w:iCs/>
          <w:sz w:val="18"/>
          <w:szCs w:val="18"/>
        </w:rPr>
      </w:pPr>
      <w:r w:rsidRPr="00DF1C7A">
        <w:rPr>
          <w:rFonts w:ascii="Arial Narrow" w:hAnsi="Arial Narrow"/>
          <w:iCs/>
          <w:sz w:val="18"/>
          <w:szCs w:val="18"/>
          <w:vertAlign w:val="superscript"/>
        </w:rPr>
        <w:t>25</w:t>
      </w:r>
      <w:r w:rsidRPr="00DF1C7A">
        <w:rPr>
          <w:rFonts w:ascii="Arial Narrow" w:hAnsi="Arial Narrow"/>
          <w:iCs/>
          <w:sz w:val="18"/>
          <w:szCs w:val="18"/>
        </w:rPr>
        <w:t xml:space="preserve"> $90 million to &lt; $100 million</w:t>
      </w:r>
    </w:p>
    <w:p w14:paraId="03B0E201" w14:textId="77777777" w:rsidR="00DF1C7A" w:rsidRPr="00DF1C7A" w:rsidRDefault="00DF1C7A" w:rsidP="00B804DA">
      <w:pPr>
        <w:widowControl w:val="0"/>
        <w:numPr>
          <w:ilvl w:val="1"/>
          <w:numId w:val="1"/>
        </w:numPr>
        <w:spacing w:after="120"/>
        <w:rPr>
          <w:rFonts w:asciiTheme="minorHAnsi" w:hAnsiTheme="minorHAnsi"/>
          <w:snapToGrid w:val="0"/>
        </w:rPr>
      </w:pPr>
      <w:r w:rsidRPr="00DF1C7A">
        <w:rPr>
          <w:rFonts w:asciiTheme="minorHAnsi" w:hAnsiTheme="minorHAnsi"/>
          <w:snapToGrid w:val="0"/>
        </w:rPr>
        <w:t xml:space="preserve">Based on </w:t>
      </w:r>
      <w:r w:rsidRPr="00DF1C7A">
        <w:rPr>
          <w:rFonts w:asciiTheme="minorHAnsi" w:hAnsiTheme="minorHAnsi"/>
          <w:iCs/>
          <w:snapToGrid w:val="0"/>
        </w:rPr>
        <w:t>published</w:t>
      </w:r>
      <w:r w:rsidRPr="00DF1C7A">
        <w:rPr>
          <w:rFonts w:asciiTheme="minorHAnsi" w:hAnsiTheme="minorHAnsi"/>
          <w:snapToGrid w:val="0"/>
        </w:rPr>
        <w:t xml:space="preserve"> prices, the submission estimated savings to the PBS/RPBS of </w:t>
      </w:r>
      <w:r w:rsidRPr="00DF1C7A">
        <w:rPr>
          <w:rFonts w:asciiTheme="minorHAnsi" w:hAnsiTheme="minorHAnsi"/>
          <w:iCs/>
          <w:snapToGrid w:val="0"/>
        </w:rPr>
        <w:t>$10 million to &lt; $20 million</w:t>
      </w:r>
      <w:r w:rsidRPr="00DF1C7A" w:rsidDel="00B7470F">
        <w:rPr>
          <w:rFonts w:asciiTheme="minorHAnsi" w:hAnsiTheme="minorHAnsi"/>
          <w:snapToGrid w:val="0"/>
        </w:rPr>
        <w:t xml:space="preserve"> </w:t>
      </w:r>
      <w:r w:rsidRPr="00DF1C7A">
        <w:rPr>
          <w:rFonts w:asciiTheme="minorHAnsi" w:hAnsiTheme="minorHAnsi"/>
          <w:snapToGrid w:val="0"/>
        </w:rPr>
        <w:t xml:space="preserve">in Year 1, increasing to </w:t>
      </w:r>
      <w:r w:rsidRPr="00DF1C7A">
        <w:rPr>
          <w:rFonts w:asciiTheme="minorHAnsi" w:hAnsiTheme="minorHAnsi"/>
          <w:iCs/>
          <w:snapToGrid w:val="0"/>
        </w:rPr>
        <w:t>$40 million to &lt; $50 </w:t>
      </w:r>
      <w:r w:rsidRPr="00DF1C7A">
        <w:rPr>
          <w:rFonts w:asciiTheme="minorHAnsi" w:hAnsiTheme="minorHAnsi"/>
          <w:snapToGrid w:val="0"/>
        </w:rPr>
        <w:t xml:space="preserve">million in Year 6, a cumulative total net saving of </w:t>
      </w:r>
      <w:bookmarkStart w:id="2" w:name="_Hlk102993703"/>
      <w:r w:rsidRPr="00DF1C7A">
        <w:rPr>
          <w:rFonts w:asciiTheme="minorHAnsi" w:hAnsiTheme="minorHAnsi"/>
          <w:snapToGrid w:val="0"/>
        </w:rPr>
        <w:t>$200 million to &lt; $300 million</w:t>
      </w:r>
      <w:bookmarkEnd w:id="2"/>
      <w:r w:rsidRPr="00DF1C7A">
        <w:rPr>
          <w:rFonts w:asciiTheme="minorHAnsi" w:hAnsiTheme="minorHAnsi"/>
          <w:snapToGrid w:val="0"/>
        </w:rPr>
        <w:t xml:space="preserve"> over the first six years </w:t>
      </w:r>
      <w:r w:rsidRPr="00DF1C7A">
        <w:rPr>
          <w:rFonts w:asciiTheme="minorHAnsi" w:hAnsiTheme="minorHAnsi"/>
          <w:snapToGrid w:val="0"/>
        </w:rPr>
        <w:lastRenderedPageBreak/>
        <w:t xml:space="preserve">of listing. This saving was predominantly driven by a reduction in the corresponding number of scripts for intravitreal anti-VEGF treatments and associated administration costs. The submission assumed that intravitreal ranibizumab and aflibercept patients receive 10.07 </w:t>
      </w:r>
      <w:r w:rsidRPr="00DF1C7A">
        <w:rPr>
          <w:rFonts w:asciiTheme="minorHAnsi" w:hAnsiTheme="minorHAnsi"/>
          <w:iCs/>
          <w:snapToGrid w:val="0"/>
        </w:rPr>
        <w:t>scripts</w:t>
      </w:r>
      <w:r w:rsidRPr="00DF1C7A">
        <w:rPr>
          <w:rFonts w:asciiTheme="minorHAnsi" w:hAnsiTheme="minorHAnsi"/>
          <w:snapToGrid w:val="0"/>
        </w:rPr>
        <w:t xml:space="preserve"> annually; however, the updated</w:t>
      </w:r>
      <w:r w:rsidRPr="00DF1C7A">
        <w:rPr>
          <w:rFonts w:asciiTheme="minorHAnsi" w:hAnsiTheme="minorHAnsi"/>
          <w:iCs/>
          <w:snapToGrid w:val="0"/>
        </w:rPr>
        <w:t xml:space="preserve"> DUSC Secretariat analysis of ranibizumab and aflibercept utilisation showed the number of intravitreal aflibercept and ranibizumab injections in the second year of use to be 6.31. It is likely that the net cost savings attributed to ranibizumab PDS compared with intravitreal anti-VEGF have been substantially overestimated.</w:t>
      </w:r>
    </w:p>
    <w:p w14:paraId="33DB00F4" w14:textId="77777777" w:rsidR="00DF1C7A" w:rsidRPr="00DF1C7A" w:rsidRDefault="00DF1C7A" w:rsidP="00B804DA">
      <w:pPr>
        <w:widowControl w:val="0"/>
        <w:numPr>
          <w:ilvl w:val="1"/>
          <w:numId w:val="1"/>
        </w:numPr>
        <w:spacing w:after="120"/>
        <w:rPr>
          <w:rFonts w:asciiTheme="minorHAnsi" w:hAnsiTheme="minorHAnsi"/>
          <w:snapToGrid w:val="0"/>
        </w:rPr>
      </w:pPr>
      <w:r w:rsidRPr="00DF1C7A">
        <w:rPr>
          <w:rFonts w:asciiTheme="minorHAnsi" w:hAnsiTheme="minorHAnsi"/>
          <w:snapToGrid w:val="0"/>
        </w:rPr>
        <w:t>An analysis conducted during the evaluation, using a revised DPMQ for ranibizumab PDS ($</w:t>
      </w:r>
      <w:r w:rsidRPr="00CE6A52">
        <w:rPr>
          <w:rFonts w:asciiTheme="minorHAnsi" w:hAnsiTheme="minorHAnsi"/>
          <w:snapToGrid w:val="0"/>
          <w:color w:val="000000"/>
          <w:w w:val="15"/>
          <w:shd w:val="solid" w:color="000000" w:fill="000000"/>
          <w:fitText w:val="-20" w:id="-1502350069"/>
          <w14:textFill>
            <w14:solidFill>
              <w14:srgbClr w14:val="000000">
                <w14:alpha w14:val="100000"/>
              </w14:srgbClr>
            </w14:solidFill>
          </w14:textFill>
        </w:rPr>
        <w:t xml:space="preserve">|  </w:t>
      </w:r>
      <w:r w:rsidRPr="00CE6A52">
        <w:rPr>
          <w:rFonts w:asciiTheme="minorHAnsi" w:hAnsiTheme="minorHAnsi"/>
          <w:snapToGrid w:val="0"/>
          <w:color w:val="000000"/>
          <w:spacing w:val="-69"/>
          <w:w w:val="15"/>
          <w:shd w:val="solid" w:color="000000" w:fill="000000"/>
          <w:fitText w:val="-20" w:id="-1502350069"/>
          <w14:textFill>
            <w14:solidFill>
              <w14:srgbClr w14:val="000000">
                <w14:alpha w14:val="100000"/>
              </w14:srgbClr>
            </w14:solidFill>
          </w14:textFill>
        </w:rPr>
        <w:t>|</w:t>
      </w:r>
      <w:r w:rsidRPr="00DF1C7A">
        <w:rPr>
          <w:rFonts w:asciiTheme="minorHAnsi" w:hAnsiTheme="minorHAnsi"/>
          <w:snapToGrid w:val="0"/>
        </w:rPr>
        <w:t xml:space="preserve">; based on the </w:t>
      </w:r>
      <w:r w:rsidRPr="00DF1C7A">
        <w:rPr>
          <w:rFonts w:asciiTheme="minorHAnsi" w:hAnsiTheme="minorHAnsi"/>
          <w:iCs/>
          <w:snapToGrid w:val="0"/>
        </w:rPr>
        <w:t>published</w:t>
      </w:r>
      <w:r w:rsidRPr="00DF1C7A">
        <w:rPr>
          <w:rFonts w:asciiTheme="minorHAnsi" w:hAnsiTheme="minorHAnsi"/>
          <w:snapToGrid w:val="0"/>
        </w:rPr>
        <w:t xml:space="preserve"> AEMP of $2,715.44 derived in </w:t>
      </w:r>
      <w:r w:rsidRPr="00DF1C7A">
        <w:rPr>
          <w:rFonts w:asciiTheme="minorHAnsi" w:hAnsiTheme="minorHAnsi"/>
          <w:snapToGrid w:val="0"/>
        </w:rPr>
        <w:fldChar w:fldCharType="begin" w:fldLock="1"/>
      </w:r>
      <w:r w:rsidRPr="00DF1C7A">
        <w:rPr>
          <w:rFonts w:asciiTheme="minorHAnsi" w:hAnsiTheme="minorHAnsi"/>
          <w:snapToGrid w:val="0"/>
        </w:rPr>
        <w:instrText xml:space="preserve"> REF _Ref93415294 \h  \* MERGEFORMAT </w:instrText>
      </w:r>
      <w:r w:rsidRPr="00DF1C7A">
        <w:rPr>
          <w:rFonts w:asciiTheme="minorHAnsi" w:hAnsiTheme="minorHAnsi"/>
          <w:snapToGrid w:val="0"/>
        </w:rPr>
      </w:r>
      <w:r w:rsidRPr="00DF1C7A">
        <w:rPr>
          <w:rFonts w:asciiTheme="minorHAnsi" w:hAnsiTheme="minorHAnsi"/>
          <w:snapToGrid w:val="0"/>
        </w:rPr>
        <w:fldChar w:fldCharType="separate"/>
      </w:r>
      <w:r w:rsidRPr="00DF1C7A">
        <w:rPr>
          <w:rFonts w:asciiTheme="minorHAnsi" w:hAnsiTheme="minorHAnsi"/>
          <w:snapToGrid w:val="0"/>
        </w:rPr>
        <w:t xml:space="preserve">Table </w:t>
      </w:r>
      <w:r w:rsidRPr="00DF1C7A">
        <w:rPr>
          <w:rFonts w:asciiTheme="minorHAnsi" w:hAnsiTheme="minorHAnsi"/>
          <w:noProof/>
          <w:snapToGrid w:val="0"/>
        </w:rPr>
        <w:t>9</w:t>
      </w:r>
      <w:r w:rsidRPr="00DF1C7A">
        <w:rPr>
          <w:rFonts w:asciiTheme="minorHAnsi" w:hAnsiTheme="minorHAnsi"/>
          <w:snapToGrid w:val="0"/>
        </w:rPr>
        <w:fldChar w:fldCharType="end"/>
      </w:r>
      <w:r w:rsidRPr="00DF1C7A">
        <w:rPr>
          <w:rFonts w:asciiTheme="minorHAnsi" w:hAnsiTheme="minorHAnsi"/>
          <w:snapToGrid w:val="0"/>
        </w:rPr>
        <w:t xml:space="preserve"> above) and assuming patient numbers and a script substitution rate based on the updated DUSC Secretariat analysis (6.31 anti-VEGF scripts per year), estimated savings to the PBS/RPBS of </w:t>
      </w:r>
      <w:r w:rsidRPr="00DF1C7A">
        <w:rPr>
          <w:rFonts w:asciiTheme="minorHAnsi" w:hAnsiTheme="minorHAnsi"/>
          <w:iCs/>
          <w:snapToGrid w:val="0"/>
        </w:rPr>
        <w:t>$0 to &lt; $10 million</w:t>
      </w:r>
      <w:r w:rsidRPr="00DF1C7A" w:rsidDel="00B7470F">
        <w:rPr>
          <w:rFonts w:asciiTheme="minorHAnsi" w:hAnsiTheme="minorHAnsi"/>
          <w:snapToGrid w:val="0"/>
        </w:rPr>
        <w:t xml:space="preserve"> </w:t>
      </w:r>
      <w:r w:rsidRPr="00DF1C7A">
        <w:rPr>
          <w:rFonts w:asciiTheme="minorHAnsi" w:hAnsiTheme="minorHAnsi"/>
          <w:snapToGrid w:val="0"/>
        </w:rPr>
        <w:t xml:space="preserve">in Year 1, increasing to </w:t>
      </w:r>
      <w:r w:rsidRPr="00DF1C7A">
        <w:rPr>
          <w:rFonts w:asciiTheme="minorHAnsi" w:hAnsiTheme="minorHAnsi"/>
          <w:iCs/>
          <w:snapToGrid w:val="0"/>
        </w:rPr>
        <w:t>$0 to &lt; $10 million</w:t>
      </w:r>
      <w:r w:rsidRPr="00DF1C7A" w:rsidDel="00B7470F">
        <w:rPr>
          <w:rFonts w:asciiTheme="minorHAnsi" w:hAnsiTheme="minorHAnsi"/>
          <w:snapToGrid w:val="0"/>
        </w:rPr>
        <w:t xml:space="preserve"> </w:t>
      </w:r>
      <w:r w:rsidRPr="00DF1C7A">
        <w:rPr>
          <w:rFonts w:asciiTheme="minorHAnsi" w:hAnsiTheme="minorHAnsi"/>
          <w:snapToGrid w:val="0"/>
        </w:rPr>
        <w:t>in Year 6, a cumulative total saving of $20 million to &lt; $30 million over the first six years of listing.</w:t>
      </w:r>
    </w:p>
    <w:p w14:paraId="73C05A24" w14:textId="77777777" w:rsidR="00DF1C7A" w:rsidRPr="00DF1C7A" w:rsidRDefault="00DF1C7A" w:rsidP="009D4406">
      <w:pPr>
        <w:widowControl w:val="0"/>
        <w:numPr>
          <w:ilvl w:val="1"/>
          <w:numId w:val="1"/>
        </w:numPr>
        <w:spacing w:after="120"/>
        <w:rPr>
          <w:rFonts w:asciiTheme="minorHAnsi" w:hAnsiTheme="minorHAnsi"/>
          <w:iCs/>
          <w:snapToGrid w:val="0"/>
        </w:rPr>
      </w:pPr>
      <w:r w:rsidRPr="00DF1C7A">
        <w:rPr>
          <w:rFonts w:asciiTheme="minorHAnsi" w:hAnsiTheme="minorHAnsi"/>
          <w:snapToGrid w:val="0"/>
        </w:rPr>
        <w:t xml:space="preserve">When MBS costs associated with implantation, administration, monitoring and </w:t>
      </w:r>
      <w:proofErr w:type="spellStart"/>
      <w:r w:rsidRPr="00DF1C7A">
        <w:rPr>
          <w:rFonts w:asciiTheme="minorHAnsi" w:hAnsiTheme="minorHAnsi"/>
          <w:snapToGrid w:val="0"/>
        </w:rPr>
        <w:t>explantation</w:t>
      </w:r>
      <w:proofErr w:type="spellEnd"/>
      <w:r w:rsidRPr="00DF1C7A">
        <w:rPr>
          <w:rFonts w:asciiTheme="minorHAnsi" w:hAnsiTheme="minorHAnsi"/>
          <w:snapToGrid w:val="0"/>
        </w:rPr>
        <w:t xml:space="preserve"> for ranibizumab PDS and MBS cost offsets associated with reduced administration of substituted intravitreal ranibizumab and aflibercept were included, the submission estimated net savings to the health budget of </w:t>
      </w:r>
      <w:r w:rsidRPr="00DF1C7A">
        <w:rPr>
          <w:rFonts w:asciiTheme="minorHAnsi" w:hAnsiTheme="minorHAnsi"/>
          <w:iCs/>
          <w:snapToGrid w:val="0"/>
        </w:rPr>
        <w:t>$10 million to &lt; $20 million</w:t>
      </w:r>
      <w:r w:rsidRPr="00DF1C7A" w:rsidDel="00B7470F">
        <w:rPr>
          <w:rFonts w:asciiTheme="minorHAnsi" w:hAnsiTheme="minorHAnsi"/>
          <w:snapToGrid w:val="0"/>
        </w:rPr>
        <w:t xml:space="preserve"> </w:t>
      </w:r>
      <w:r w:rsidRPr="00DF1C7A">
        <w:rPr>
          <w:rFonts w:asciiTheme="minorHAnsi" w:hAnsiTheme="minorHAnsi"/>
          <w:snapToGrid w:val="0"/>
        </w:rPr>
        <w:t xml:space="preserve">in Year 1, increasing to </w:t>
      </w:r>
      <w:r w:rsidRPr="00DF1C7A">
        <w:rPr>
          <w:rFonts w:asciiTheme="minorHAnsi" w:hAnsiTheme="minorHAnsi"/>
          <w:iCs/>
          <w:snapToGrid w:val="0"/>
        </w:rPr>
        <w:t>$60 million to &lt; $70 </w:t>
      </w:r>
      <w:r w:rsidRPr="00DF1C7A">
        <w:rPr>
          <w:rFonts w:asciiTheme="minorHAnsi" w:hAnsiTheme="minorHAnsi"/>
          <w:snapToGrid w:val="0"/>
        </w:rPr>
        <w:t xml:space="preserve">million in Year 6, a cumulative total of $200 million to &lt; $300 million over the first six years of listing, based on published prices. </w:t>
      </w:r>
      <w:r w:rsidRPr="00DF1C7A">
        <w:rPr>
          <w:rFonts w:asciiTheme="minorHAnsi" w:hAnsiTheme="minorHAnsi"/>
          <w:iCs/>
          <w:snapToGrid w:val="0"/>
        </w:rPr>
        <w:t>MBS costs associated with adverse events that were included in the cost-analysis were not included in the financial estimates. In a revised analysis conducted during the evaluation, using a DPMQ for ranibizumab PDS of $</w:t>
      </w:r>
      <w:r w:rsidRPr="00CE6A52">
        <w:rPr>
          <w:rFonts w:asciiTheme="minorHAnsi" w:hAnsiTheme="minorHAnsi"/>
          <w:iCs/>
          <w:snapToGrid w:val="0"/>
          <w:color w:val="000000"/>
          <w:w w:val="15"/>
          <w:shd w:val="solid" w:color="000000" w:fill="000000"/>
          <w:fitText w:val="-20" w:id="-1502350068"/>
          <w14:textFill>
            <w14:solidFill>
              <w14:srgbClr w14:val="000000">
                <w14:alpha w14:val="100000"/>
              </w14:srgbClr>
            </w14:solidFill>
          </w14:textFill>
        </w:rPr>
        <w:t xml:space="preserve">|  </w:t>
      </w:r>
      <w:r w:rsidRPr="00CE6A52">
        <w:rPr>
          <w:rFonts w:asciiTheme="minorHAnsi" w:hAnsiTheme="minorHAnsi"/>
          <w:iCs/>
          <w:snapToGrid w:val="0"/>
          <w:color w:val="000000"/>
          <w:spacing w:val="-69"/>
          <w:w w:val="15"/>
          <w:shd w:val="solid" w:color="000000" w:fill="000000"/>
          <w:fitText w:val="-20" w:id="-1502350068"/>
          <w14:textFill>
            <w14:solidFill>
              <w14:srgbClr w14:val="000000">
                <w14:alpha w14:val="100000"/>
              </w14:srgbClr>
            </w14:solidFill>
          </w14:textFill>
        </w:rPr>
        <w:t>|</w:t>
      </w:r>
      <w:r w:rsidRPr="00DF1C7A">
        <w:rPr>
          <w:rFonts w:asciiTheme="minorHAnsi" w:hAnsiTheme="minorHAnsi"/>
          <w:snapToGrid w:val="0"/>
        </w:rPr>
        <w:t xml:space="preserve"> (based on the AEMP of $2,715.44 derived in </w:t>
      </w:r>
      <w:r w:rsidRPr="00DF1C7A">
        <w:rPr>
          <w:rFonts w:asciiTheme="minorHAnsi" w:hAnsiTheme="minorHAnsi"/>
          <w:snapToGrid w:val="0"/>
        </w:rPr>
        <w:fldChar w:fldCharType="begin" w:fldLock="1"/>
      </w:r>
      <w:r w:rsidRPr="00DF1C7A">
        <w:rPr>
          <w:rFonts w:asciiTheme="minorHAnsi" w:hAnsiTheme="minorHAnsi"/>
          <w:snapToGrid w:val="0"/>
        </w:rPr>
        <w:instrText xml:space="preserve"> REF _Ref93415294 \h  \* MERGEFORMAT </w:instrText>
      </w:r>
      <w:r w:rsidRPr="00DF1C7A">
        <w:rPr>
          <w:rFonts w:asciiTheme="minorHAnsi" w:hAnsiTheme="minorHAnsi"/>
          <w:snapToGrid w:val="0"/>
        </w:rPr>
      </w:r>
      <w:r w:rsidRPr="00DF1C7A">
        <w:rPr>
          <w:rFonts w:asciiTheme="minorHAnsi" w:hAnsiTheme="minorHAnsi"/>
          <w:snapToGrid w:val="0"/>
        </w:rPr>
        <w:fldChar w:fldCharType="separate"/>
      </w:r>
      <w:r w:rsidRPr="00DF1C7A">
        <w:rPr>
          <w:rFonts w:asciiTheme="minorHAnsi" w:hAnsiTheme="minorHAnsi"/>
          <w:snapToGrid w:val="0"/>
        </w:rPr>
        <w:t xml:space="preserve">Table </w:t>
      </w:r>
      <w:r w:rsidRPr="00DF1C7A">
        <w:rPr>
          <w:rFonts w:asciiTheme="minorHAnsi" w:hAnsiTheme="minorHAnsi"/>
          <w:noProof/>
          <w:snapToGrid w:val="0"/>
        </w:rPr>
        <w:t>9</w:t>
      </w:r>
      <w:r w:rsidRPr="00DF1C7A">
        <w:rPr>
          <w:rFonts w:asciiTheme="minorHAnsi" w:hAnsiTheme="minorHAnsi"/>
          <w:snapToGrid w:val="0"/>
        </w:rPr>
        <w:fldChar w:fldCharType="end"/>
      </w:r>
      <w:r w:rsidRPr="00DF1C7A">
        <w:rPr>
          <w:rFonts w:asciiTheme="minorHAnsi" w:hAnsiTheme="minorHAnsi"/>
          <w:snapToGrid w:val="0"/>
        </w:rPr>
        <w:t xml:space="preserve"> above</w:t>
      </w:r>
      <w:r w:rsidRPr="00DF1C7A">
        <w:rPr>
          <w:rFonts w:asciiTheme="minorHAnsi" w:hAnsiTheme="minorHAnsi"/>
          <w:iCs/>
          <w:snapToGrid w:val="0"/>
        </w:rPr>
        <w:t xml:space="preserve">) and assuming patient numbers and a script substitution rate based on the updated DUSC </w:t>
      </w:r>
      <w:r w:rsidRPr="00DF1C7A">
        <w:rPr>
          <w:rFonts w:asciiTheme="minorHAnsi" w:hAnsiTheme="minorHAnsi"/>
          <w:iCs/>
          <w:snapToGrid w:val="0"/>
          <w:szCs w:val="20"/>
        </w:rPr>
        <w:t>Secretariat</w:t>
      </w:r>
      <w:r w:rsidRPr="00DF1C7A">
        <w:rPr>
          <w:rFonts w:asciiTheme="minorHAnsi" w:hAnsiTheme="minorHAnsi"/>
          <w:iCs/>
          <w:snapToGrid w:val="0"/>
        </w:rPr>
        <w:t xml:space="preserve"> analysis (6.31 anti-VEGF scripts per year),</w:t>
      </w:r>
      <w:r w:rsidRPr="00DF1C7A">
        <w:rPr>
          <w:rFonts w:asciiTheme="minorHAnsi" w:hAnsiTheme="minorHAnsi"/>
          <w:snapToGrid w:val="0"/>
        </w:rPr>
        <w:t xml:space="preserve"> estimated net cost savings after MBS cost offsets ranged from </w:t>
      </w:r>
      <w:r w:rsidRPr="00DF1C7A">
        <w:rPr>
          <w:rFonts w:asciiTheme="minorHAnsi" w:hAnsiTheme="minorHAnsi"/>
          <w:iCs/>
          <w:snapToGrid w:val="0"/>
        </w:rPr>
        <w:t>$0 to &lt; $10 million</w:t>
      </w:r>
      <w:r w:rsidRPr="00DF1C7A" w:rsidDel="00B7470F">
        <w:rPr>
          <w:rFonts w:asciiTheme="minorHAnsi" w:hAnsiTheme="minorHAnsi"/>
          <w:snapToGrid w:val="0"/>
        </w:rPr>
        <w:t xml:space="preserve"> </w:t>
      </w:r>
      <w:r w:rsidRPr="00DF1C7A">
        <w:rPr>
          <w:rFonts w:asciiTheme="minorHAnsi" w:hAnsiTheme="minorHAnsi"/>
          <w:snapToGrid w:val="0"/>
        </w:rPr>
        <w:t xml:space="preserve">in Year 1, increasing to </w:t>
      </w:r>
      <w:r w:rsidRPr="00DF1C7A">
        <w:rPr>
          <w:rFonts w:asciiTheme="minorHAnsi" w:hAnsiTheme="minorHAnsi"/>
          <w:iCs/>
          <w:snapToGrid w:val="0"/>
        </w:rPr>
        <w:t>$10 million to &lt; $20 million</w:t>
      </w:r>
      <w:r w:rsidRPr="00DF1C7A" w:rsidDel="00B7470F">
        <w:rPr>
          <w:rFonts w:asciiTheme="minorHAnsi" w:hAnsiTheme="minorHAnsi"/>
          <w:snapToGrid w:val="0"/>
        </w:rPr>
        <w:t xml:space="preserve"> </w:t>
      </w:r>
      <w:r w:rsidRPr="00DF1C7A">
        <w:rPr>
          <w:rFonts w:asciiTheme="minorHAnsi" w:hAnsiTheme="minorHAnsi"/>
          <w:snapToGrid w:val="0"/>
        </w:rPr>
        <w:t xml:space="preserve">in Year 6, a cumulative total of </w:t>
      </w:r>
      <w:r w:rsidRPr="00DF1C7A">
        <w:rPr>
          <w:rFonts w:asciiTheme="minorHAnsi" w:hAnsiTheme="minorHAnsi"/>
          <w:iCs/>
          <w:snapToGrid w:val="0"/>
        </w:rPr>
        <w:t>$70 million to &lt; $80 </w:t>
      </w:r>
      <w:r w:rsidRPr="00DF1C7A">
        <w:rPr>
          <w:rFonts w:asciiTheme="minorHAnsi" w:hAnsiTheme="minorHAnsi"/>
          <w:snapToGrid w:val="0"/>
        </w:rPr>
        <w:t>million over the first six years of listing</w:t>
      </w:r>
      <w:r w:rsidRPr="00DF1C7A">
        <w:rPr>
          <w:rFonts w:asciiTheme="minorHAnsi" w:hAnsiTheme="minorHAnsi"/>
          <w:iCs/>
          <w:snapToGrid w:val="0"/>
        </w:rPr>
        <w:t xml:space="preserve">. </w:t>
      </w:r>
      <w:r w:rsidRPr="00DF1C7A">
        <w:rPr>
          <w:rFonts w:asciiTheme="minorHAnsi" w:hAnsiTheme="minorHAnsi"/>
          <w:snapToGrid w:val="0"/>
        </w:rPr>
        <w:t>As with the economic evaluation, the ESC considered that monitoring costs may have been underestimated.</w:t>
      </w:r>
    </w:p>
    <w:p w14:paraId="354F1E8D" w14:textId="77777777" w:rsidR="00DF1C7A" w:rsidRPr="00DF1C7A" w:rsidRDefault="00DF1C7A" w:rsidP="009D4406">
      <w:pPr>
        <w:widowControl w:val="0"/>
        <w:numPr>
          <w:ilvl w:val="1"/>
          <w:numId w:val="1"/>
        </w:numPr>
        <w:spacing w:after="120"/>
        <w:rPr>
          <w:rFonts w:asciiTheme="minorHAnsi" w:hAnsiTheme="minorHAnsi"/>
          <w:iCs/>
          <w:snapToGrid w:val="0"/>
        </w:rPr>
      </w:pPr>
      <w:r w:rsidRPr="00DF1C7A">
        <w:rPr>
          <w:rFonts w:asciiTheme="minorHAnsi" w:hAnsiTheme="minorHAnsi"/>
          <w:snapToGrid w:val="0"/>
        </w:rPr>
        <w:t>The ESC noted that supplemental intravitreal ranibizumab costs appear not to have been included in the financial estimates.</w:t>
      </w:r>
    </w:p>
    <w:p w14:paraId="3753CA49" w14:textId="77777777" w:rsidR="00DF1C7A" w:rsidRPr="00DF1C7A" w:rsidRDefault="00DF1C7A" w:rsidP="009D4406">
      <w:pPr>
        <w:widowControl w:val="0"/>
        <w:numPr>
          <w:ilvl w:val="1"/>
          <w:numId w:val="1"/>
        </w:numPr>
        <w:spacing w:after="120"/>
        <w:rPr>
          <w:rFonts w:asciiTheme="minorHAnsi" w:hAnsiTheme="minorHAnsi"/>
          <w:snapToGrid w:val="0"/>
        </w:rPr>
      </w:pPr>
      <w:r w:rsidRPr="00DF1C7A">
        <w:rPr>
          <w:rFonts w:asciiTheme="minorHAnsi" w:hAnsiTheme="minorHAnsi"/>
          <w:iCs/>
          <w:snapToGrid w:val="0"/>
        </w:rPr>
        <w:t xml:space="preserve">The variables with the biggest impact on the financial estimates included the number of equi-effective doses and the uptake rates, which are associated with significant uncertainty. Although a patient receiving more intravitreal anti-VEGF injections per year may be more likely to want to switch to ranibizumab PDS than a patient receiving fewer intravitreal injections per year, the number of scripts likely to be replaced in practice remains highly uncertain. </w:t>
      </w:r>
      <w:r w:rsidRPr="00DF1C7A">
        <w:rPr>
          <w:rFonts w:asciiTheme="minorHAnsi" w:hAnsiTheme="minorHAnsi"/>
          <w:snapToGrid w:val="0"/>
        </w:rPr>
        <w:t>The ESC considered that the 15% uptake appeared poorly justified. At the same time, the ESC considered there was also a small potential for market growth as patients may re-engage with intravitreal treatment in order to access a lower treatment burden PDS.</w:t>
      </w:r>
    </w:p>
    <w:p w14:paraId="24841BCD" w14:textId="77777777" w:rsidR="00DF1C7A" w:rsidRPr="00DF1C7A" w:rsidRDefault="00DF1C7A" w:rsidP="00AE4A91">
      <w:pPr>
        <w:widowControl w:val="0"/>
        <w:numPr>
          <w:ilvl w:val="1"/>
          <w:numId w:val="1"/>
        </w:numPr>
        <w:spacing w:after="120"/>
        <w:rPr>
          <w:rFonts w:asciiTheme="minorHAnsi" w:hAnsiTheme="minorHAnsi"/>
          <w:snapToGrid w:val="0"/>
        </w:rPr>
      </w:pPr>
      <w:r w:rsidRPr="00DF1C7A">
        <w:rPr>
          <w:rFonts w:asciiTheme="minorHAnsi" w:hAnsiTheme="minorHAnsi"/>
          <w:snapToGrid w:val="0"/>
        </w:rPr>
        <w:lastRenderedPageBreak/>
        <w:t>The PBAC noted that these financial analyses were unable to use the confidential effective price of intravitreal ranibizumab, and therefore favoured ranibizumab PDS.</w:t>
      </w:r>
    </w:p>
    <w:p w14:paraId="7B2B53AC"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Quality Use of Medicines</w:t>
      </w:r>
    </w:p>
    <w:p w14:paraId="4835E345" w14:textId="77777777" w:rsidR="00DF1C7A" w:rsidRPr="00DF1C7A" w:rsidRDefault="00DF1C7A" w:rsidP="00AE4A91">
      <w:pPr>
        <w:widowControl w:val="0"/>
        <w:numPr>
          <w:ilvl w:val="1"/>
          <w:numId w:val="1"/>
        </w:numPr>
        <w:spacing w:after="120"/>
        <w:rPr>
          <w:rFonts w:asciiTheme="minorHAnsi" w:hAnsiTheme="minorHAnsi"/>
          <w:snapToGrid w:val="0"/>
        </w:rPr>
      </w:pPr>
      <w:r w:rsidRPr="00DF1C7A">
        <w:rPr>
          <w:rFonts w:asciiTheme="minorHAnsi" w:hAnsiTheme="minorHAnsi"/>
          <w:snapToGrid w:val="0"/>
        </w:rPr>
        <w:t xml:space="preserve">No quality use of medicines issues were raised in the submission, and no activities to support the quality use of medicines were proposed. For any new procedure, including the procedure required to implant the device, there may be a higher rate of surgical complications initially as surgeons gain experience. In most cases, complications and adverse events in the ARCHWAY trial were linked to the surgical technique for the port delivery system implant insertion procedure. Some of these risks can be minimised with technique. In addition, clinician and patient education around postoperative care and best practices for activity risk management (e.g., use of protective eyewear), and evaluation of conjunctival status at baseline should also be considered. </w:t>
      </w:r>
      <w:r w:rsidRPr="00DF1C7A">
        <w:rPr>
          <w:rFonts w:asciiTheme="minorHAnsi" w:hAnsiTheme="minorHAnsi"/>
          <w:iCs/>
          <w:snapToGrid w:val="0"/>
        </w:rPr>
        <w:t>The port delivery system is a novel drug and device combination that requires a surgical procedure for insertion. Training and education is likely to be important to improve patient outcomes.</w:t>
      </w:r>
    </w:p>
    <w:p w14:paraId="565CBC96" w14:textId="77777777" w:rsidR="00DF1C7A" w:rsidRPr="00DF1C7A" w:rsidRDefault="00DF1C7A" w:rsidP="00AE4A91">
      <w:pPr>
        <w:widowControl w:val="0"/>
        <w:numPr>
          <w:ilvl w:val="1"/>
          <w:numId w:val="1"/>
        </w:numPr>
        <w:spacing w:after="120"/>
        <w:rPr>
          <w:rFonts w:asciiTheme="minorHAnsi" w:hAnsiTheme="minorHAnsi"/>
          <w:snapToGrid w:val="0"/>
        </w:rPr>
      </w:pPr>
      <w:r w:rsidRPr="00DF1C7A">
        <w:rPr>
          <w:rFonts w:asciiTheme="minorHAnsi" w:hAnsiTheme="minorHAnsi"/>
          <w:iCs/>
          <w:snapToGrid w:val="0"/>
        </w:rPr>
        <w:t>The PSCR provided further information on the peer-to-peer training on implant technique and the simulation training that will be provided to ophthalmologists.</w:t>
      </w:r>
    </w:p>
    <w:p w14:paraId="3EBB9D42" w14:textId="77777777" w:rsidR="00DF1C7A" w:rsidRPr="00DF1C7A" w:rsidRDefault="00DF1C7A" w:rsidP="00DF1C7A">
      <w:pPr>
        <w:keepNext/>
        <w:spacing w:before="120" w:after="120"/>
        <w:outlineLvl w:val="1"/>
        <w:rPr>
          <w:rFonts w:asciiTheme="minorHAnsi" w:eastAsiaTheme="majorEastAsia" w:hAnsiTheme="minorHAnsi" w:cstheme="majorBidi"/>
          <w:b/>
          <w:i/>
          <w:spacing w:val="5"/>
          <w:kern w:val="28"/>
          <w:sz w:val="28"/>
          <w:szCs w:val="36"/>
        </w:rPr>
      </w:pPr>
      <w:r w:rsidRPr="00DF1C7A">
        <w:rPr>
          <w:rFonts w:asciiTheme="minorHAnsi" w:eastAsiaTheme="majorEastAsia" w:hAnsiTheme="minorHAnsi" w:cstheme="majorBidi"/>
          <w:b/>
          <w:i/>
          <w:spacing w:val="5"/>
          <w:kern w:val="28"/>
          <w:sz w:val="28"/>
          <w:szCs w:val="36"/>
        </w:rPr>
        <w:t>Financial Management – Risk Sharing Arrangements</w:t>
      </w:r>
    </w:p>
    <w:p w14:paraId="3E8CD3DB" w14:textId="77777777" w:rsidR="00DF1C7A" w:rsidRPr="00DF1C7A" w:rsidRDefault="00DF1C7A" w:rsidP="00AE4A91">
      <w:pPr>
        <w:widowControl w:val="0"/>
        <w:numPr>
          <w:ilvl w:val="1"/>
          <w:numId w:val="1"/>
        </w:numPr>
        <w:spacing w:after="120"/>
        <w:rPr>
          <w:rFonts w:asciiTheme="minorHAnsi" w:hAnsiTheme="minorHAnsi"/>
          <w:snapToGrid w:val="0"/>
        </w:rPr>
      </w:pPr>
      <w:r w:rsidRPr="00DF1C7A">
        <w:rPr>
          <w:rFonts w:asciiTheme="minorHAnsi" w:hAnsiTheme="minorHAnsi"/>
          <w:snapToGrid w:val="0"/>
        </w:rPr>
        <w:t xml:space="preserve">A risk sharing arrangement (RSA) was not proposed in the submission. </w:t>
      </w:r>
      <w:r w:rsidRPr="00DF1C7A">
        <w:rPr>
          <w:rFonts w:asciiTheme="minorHAnsi" w:hAnsiTheme="minorHAnsi"/>
          <w:iCs/>
          <w:snapToGrid w:val="0"/>
        </w:rPr>
        <w:t>An RSA is in place for anti-VEGF therapies for CNV due to AMD (para 7.14, brolucizumab, PSD, March 2021).</w:t>
      </w:r>
    </w:p>
    <w:p w14:paraId="3BA83B18" w14:textId="77777777" w:rsidR="00DF1C7A" w:rsidRPr="00DF1C7A" w:rsidRDefault="00DF1C7A" w:rsidP="00DF1C7A">
      <w:pPr>
        <w:ind w:left="720"/>
        <w:rPr>
          <w:rFonts w:asciiTheme="minorHAnsi" w:hAnsiTheme="minorHAnsi"/>
          <w:snapToGrid w:val="0"/>
        </w:rPr>
      </w:pPr>
      <w:r w:rsidRPr="00DF1C7A">
        <w:rPr>
          <w:rFonts w:asciiTheme="minorHAnsi" w:hAnsiTheme="minorHAnsi"/>
          <w:i/>
          <w:snapToGrid w:val="0"/>
        </w:rPr>
        <w:t>For more detail on PBAC’s view, see section 7 PBAC outcome.</w:t>
      </w:r>
    </w:p>
    <w:p w14:paraId="3FEFECF2"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PBAC outcome</w:t>
      </w:r>
    </w:p>
    <w:p w14:paraId="7261E8F6" w14:textId="77777777" w:rsidR="00DF1C7A" w:rsidRPr="00DF1C7A" w:rsidRDefault="00DF1C7A" w:rsidP="00DF1C7A">
      <w:pPr>
        <w:widowControl w:val="0"/>
        <w:numPr>
          <w:ilvl w:val="1"/>
          <w:numId w:val="1"/>
        </w:numPr>
        <w:spacing w:after="120"/>
      </w:pPr>
      <w:r w:rsidRPr="00DF1C7A">
        <w:rPr>
          <w:rFonts w:asciiTheme="minorHAnsi" w:hAnsiTheme="minorHAnsi"/>
          <w:snapToGrid w:val="0"/>
          <w:lang w:val="en-GB"/>
        </w:rPr>
        <w:t xml:space="preserve">The PBAC deferred making a recommendation to list ranibizumab </w:t>
      </w:r>
      <w:r w:rsidRPr="00DF1C7A">
        <w:t>delivered via port delivery system (ranibizumab PDS), for the treatment of neovascular age-related macular degeneration (</w:t>
      </w:r>
      <w:proofErr w:type="spellStart"/>
      <w:r w:rsidRPr="00DF1C7A">
        <w:t>nAMD</w:t>
      </w:r>
      <w:proofErr w:type="spellEnd"/>
      <w:r w:rsidRPr="00DF1C7A">
        <w:t xml:space="preserve">) in patients who have previously demonstrated a response to intravitreal anti-vascular endothelial growth factor (anti-VEGF) treatment. The PBAC deferred its decision pending availability of the TGA Delegate’s Overview, as well as MSAC consideration of the procedures associated with the implanted PDS. The PBAC was of a mind to recommend the PBS listing, noting that the claim of noninferior effectiveness compared with intravitreal ranibizumab was likely reasonable over the longer term. However, it considered that the TGA Delegate’s opinion would be informative with respect to the comparative safety claim. The PBAC agreed with the submission that this new formulation would fulfil a clinical need in a subset of </w:t>
      </w:r>
      <w:proofErr w:type="spellStart"/>
      <w:r w:rsidRPr="00DF1C7A">
        <w:t>nAMD</w:t>
      </w:r>
      <w:proofErr w:type="spellEnd"/>
      <w:r w:rsidRPr="00DF1C7A">
        <w:t xml:space="preserve"> patients, although the size of this subset and the extent of uptake was highly uncertain. The PBAC identified adjustments needed to the submission’s base case cost-minimisation approach, including the accepted need to revise the equi-effective doses to take into account the updated analysis by the DUSC Secretariat. The PBAC considered that the net savings to Government in the submission were </w:t>
      </w:r>
      <w:r w:rsidRPr="00DF1C7A">
        <w:lastRenderedPageBreak/>
        <w:t>overestimated but accepted that there were some cost offsets. Given that the anti-VEFG therapies on the PBS are managed via a Risk Sharing Arrangement, it would be appropriate to apply such arrangements to this new formulation were it listed as well.</w:t>
      </w:r>
    </w:p>
    <w:p w14:paraId="31331889"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The PBAC acknowledged that there was a clinical place in therapy for ranibizumab PDS, </w:t>
      </w:r>
      <w:r w:rsidRPr="00DF1C7A">
        <w:t xml:space="preserve">particularly for patients who are unable to extend the intervals of anti-VEGF injections, those who require treatment in both eyes but cannot receive same-day intravitreal injections, and patients in aged care facilities or those otherwise at risk of missing appointments. The PBAC noted the consumer comments from </w:t>
      </w:r>
      <w:r w:rsidRPr="00DF1C7A">
        <w:rPr>
          <w:rFonts w:asciiTheme="minorHAnsi" w:hAnsiTheme="minorHAnsi"/>
          <w:bCs/>
          <w:snapToGrid w:val="0"/>
        </w:rPr>
        <w:t>the Macular Disease Foundation Australia (MDFA); the MDFA commented that although ranibizumab PDS will not be appropriate for all patients due to the surgical procedure and associated monitoring, it was supportive of listing ranibizumab PDS to meet the needs of the patient groups mentioned above.</w:t>
      </w:r>
    </w:p>
    <w:p w14:paraId="1040FA4B"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The PBAC accepted the nominated comparator of intravitreal ranibizumab as a different formulation of the same active ingredient as ranibizumab PDS. The PBAC agreed with the submission that intravitreal ranibizumab </w:t>
      </w:r>
      <w:r w:rsidRPr="00DF1C7A">
        <w:t xml:space="preserve">could be considered representative of either intravitreal ranibizumab or aflibercept for the clinical and economic comparisons, as the PBAC has previously accepted noninferiority between the two agents and they are priced on an </w:t>
      </w:r>
      <w:proofErr w:type="spellStart"/>
      <w:proofErr w:type="gramStart"/>
      <w:r w:rsidRPr="00DF1C7A">
        <w:t>injection:injection</w:t>
      </w:r>
      <w:proofErr w:type="spellEnd"/>
      <w:proofErr w:type="gramEnd"/>
      <w:r w:rsidRPr="00DF1C7A">
        <w:t xml:space="preserve"> basis.</w:t>
      </w:r>
    </w:p>
    <w:p w14:paraId="27CEBD67"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In terms of the restriction, </w:t>
      </w:r>
      <w:r w:rsidRPr="00DF1C7A">
        <w:t>the PBAC considered that it may be clinically appropriate to require a patient accessing ranibizumab PDS to have been stabilised with prior intravitreal therapy, comprising aflibercept and/or ranibizumab, for a period of at least 6 months, including at least 1 intravitreal ranibizumab injection. The PBAC considered that the clinical evidence more strongly supported use following stabilisation after ranibizumab than after aflibercept, but the PBAC also noted that it would finalise its views on the restriction when making a decision on the PBS listing of ranibizumab PDS.</w:t>
      </w:r>
    </w:p>
    <w:p w14:paraId="4144EE10"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The PBAC noted that the submission was based on one head-to-head randomised noninferiority trial, ARCHWAY, which compared </w:t>
      </w:r>
      <w:r w:rsidRPr="00DF1C7A">
        <w:t>treatment with ranibizumab PDS to treatment with intravitreal ranibizumab administered once every four weeks</w:t>
      </w:r>
      <w:r w:rsidRPr="00DF1C7A">
        <w:rPr>
          <w:iCs/>
        </w:rPr>
        <w:t xml:space="preserve"> (Q4W)</w:t>
      </w:r>
      <w:r w:rsidRPr="00DF1C7A">
        <w:t xml:space="preserve">, in patients who had previously responded to intravitreal anti-VEGF therapy. Data to Week 36-40 was provided in the submission, and to Week 96 in the PSCR. A long-term extension study, PORTAL, is not due for completion until 2026. The PBAC noted that the Q4W dosing of intravitreal ranibizumab in ARCHWAY did not allow treat-and-extend (T&amp;E) dosing as would be seen in practice (discussed in paragraph </w:t>
      </w:r>
      <w:r w:rsidRPr="00DF1C7A">
        <w:fldChar w:fldCharType="begin" w:fldLock="1"/>
      </w:r>
      <w:r w:rsidRPr="00DF1C7A">
        <w:instrText xml:space="preserve"> REF _Ref100313148 \r \h  \* MERGEFORMAT </w:instrText>
      </w:r>
      <w:r w:rsidRPr="00DF1C7A">
        <w:fldChar w:fldCharType="separate"/>
      </w:r>
      <w:r w:rsidRPr="00DF1C7A">
        <w:t>6.38</w:t>
      </w:r>
      <w:r w:rsidRPr="00DF1C7A">
        <w:fldChar w:fldCharType="end"/>
      </w:r>
      <w:r w:rsidRPr="00DF1C7A">
        <w:t xml:space="preserve">), but this was not a major concern given the noninferiority of such dosing regimens for these drugs. The PBAC also noted the applicability issues raised in terms of the </w:t>
      </w:r>
      <w:r w:rsidRPr="00DF1C7A">
        <w:rPr>
          <w:rFonts w:asciiTheme="minorHAnsi" w:hAnsiTheme="minorHAnsi"/>
          <w:snapToGrid w:val="0"/>
          <w:lang w:val="en-GB"/>
        </w:rPr>
        <w:t>number and types of prior anti-VEGF therapy used in the ARCHWAY trial (</w:t>
      </w:r>
      <w:r w:rsidRPr="00DF1C7A">
        <w:t xml:space="preserve">in paragraph </w:t>
      </w:r>
      <w:r w:rsidRPr="00DF1C7A">
        <w:fldChar w:fldCharType="begin" w:fldLock="1"/>
      </w:r>
      <w:r w:rsidRPr="00DF1C7A">
        <w:instrText xml:space="preserve"> REF _Ref100313148 \r \h  \* MERGEFORMAT </w:instrText>
      </w:r>
      <w:r w:rsidRPr="00DF1C7A">
        <w:fldChar w:fldCharType="separate"/>
      </w:r>
      <w:r w:rsidRPr="00DF1C7A">
        <w:t>6.38</w:t>
      </w:r>
      <w:r w:rsidRPr="00DF1C7A">
        <w:fldChar w:fldCharType="end"/>
      </w:r>
      <w:r w:rsidRPr="00DF1C7A">
        <w:t>)</w:t>
      </w:r>
      <w:r w:rsidRPr="00DF1C7A">
        <w:rPr>
          <w:rFonts w:asciiTheme="minorHAnsi" w:hAnsiTheme="minorHAnsi"/>
          <w:snapToGrid w:val="0"/>
          <w:lang w:val="en-GB"/>
        </w:rPr>
        <w:t>, but considered that these issues would be minimised if patients were required to be stabilised on prior anti-VEGF therapy for at least 6 months.</w:t>
      </w:r>
    </w:p>
    <w:p w14:paraId="0C6DA6E5"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The PBAC considered that the clinical claim of noninferior effectiveness of ranibizumab PDS compared with intravitreal ranibizumab may be reasonable based </w:t>
      </w:r>
      <w:r w:rsidRPr="00DF1C7A">
        <w:rPr>
          <w:rFonts w:asciiTheme="minorHAnsi" w:hAnsiTheme="minorHAnsi"/>
          <w:snapToGrid w:val="0"/>
          <w:lang w:val="en-GB"/>
        </w:rPr>
        <w:lastRenderedPageBreak/>
        <w:t>on change from baseline in BCVA score, although there was an initial worsening in BVCA associated with the surgical procedure and a small proportion of patients treated with ranibizumab PDS required supplementary treatment with intravitreal ranibizumab in addition to the 24-weekly refill-exchange procedures. The additional data to Week 96 supplied with the PSCR provided further confidence in the noninferiority conclusion, although ultimately the long-term evidence would only be available with the PORTAL extension study.</w:t>
      </w:r>
    </w:p>
    <w:p w14:paraId="65A852D1"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szCs w:val="20"/>
        </w:rPr>
        <w:t>The PBAC considered that the majority of the safety concerns associated with ranibizumab PDS were associated with the surgical procedure to implant the ocular device. The PBAC noted that the safety issues are being considered by the TGA, and it considered that a positive Delegate’s Overview would be required to clarify the overall safety profile of the drug.</w:t>
      </w:r>
    </w:p>
    <w:p w14:paraId="057DFB8A"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The PBAC noted that the submission’s base case economic evaluation had made inconsistent assumptions regarding the equi-effective doses in the price calculation and the cost-minimisation calculation (outlined in paragraph </w:t>
      </w:r>
      <w:r w:rsidRPr="00DF1C7A">
        <w:rPr>
          <w:rFonts w:asciiTheme="minorHAnsi" w:hAnsiTheme="minorHAnsi"/>
          <w:snapToGrid w:val="0"/>
          <w:lang w:val="en-GB"/>
        </w:rPr>
        <w:fldChar w:fldCharType="begin" w:fldLock="1"/>
      </w:r>
      <w:r w:rsidRPr="00DF1C7A">
        <w:rPr>
          <w:rFonts w:asciiTheme="minorHAnsi" w:hAnsiTheme="minorHAnsi"/>
          <w:snapToGrid w:val="0"/>
          <w:lang w:val="en-GB"/>
        </w:rPr>
        <w:instrText xml:space="preserve"> REF _Ref100317500 \r \h  \* MERGEFORMAT </w:instrText>
      </w:r>
      <w:r w:rsidRPr="00DF1C7A">
        <w:rPr>
          <w:rFonts w:asciiTheme="minorHAnsi" w:hAnsiTheme="minorHAnsi"/>
          <w:snapToGrid w:val="0"/>
          <w:lang w:val="en-GB"/>
        </w:rPr>
      </w:r>
      <w:r w:rsidRPr="00DF1C7A">
        <w:rPr>
          <w:rFonts w:asciiTheme="minorHAnsi" w:hAnsiTheme="minorHAnsi"/>
          <w:snapToGrid w:val="0"/>
          <w:lang w:val="en-GB"/>
        </w:rPr>
        <w:fldChar w:fldCharType="separate"/>
      </w:r>
      <w:r w:rsidRPr="00DF1C7A">
        <w:rPr>
          <w:rFonts w:asciiTheme="minorHAnsi" w:hAnsiTheme="minorHAnsi"/>
          <w:snapToGrid w:val="0"/>
          <w:lang w:val="en-GB"/>
        </w:rPr>
        <w:t>6.43</w:t>
      </w:r>
      <w:r w:rsidRPr="00DF1C7A">
        <w:rPr>
          <w:rFonts w:asciiTheme="minorHAnsi" w:hAnsiTheme="minorHAnsi"/>
          <w:snapToGrid w:val="0"/>
          <w:lang w:val="en-GB"/>
        </w:rPr>
        <w:fldChar w:fldCharType="end"/>
      </w:r>
      <w:r w:rsidRPr="00DF1C7A">
        <w:rPr>
          <w:rFonts w:asciiTheme="minorHAnsi" w:hAnsiTheme="minorHAnsi"/>
          <w:snapToGrid w:val="0"/>
          <w:lang w:val="en-GB"/>
        </w:rPr>
        <w:t xml:space="preserve">). The pre-PBAC response accepted equi-effective doses for the price calculation in line with the commentary’s suggested approach (2.17 doses of ranibizumab being equivalent to 6.31 injections of intravitreal ranibizumab). The PBAC considered that the commentary’s revisions in terms of equi-effective doses were potentially conservative, but likely more accurate than the submission’s base case, and therefore appropriate in the context of a cost-minimisation approach. The PBAC also noted that the cost-minimisation approach should use ex-manufacturer prices as in the commentary’s revisions. The PBAC supported using the effective price of intravitreal ranibizumab and a 2-year time horizon for the cost-minimisation calculation. In addition, the PBAC agreed with the ESC that the net savings estimated were likely overestimated as outlined in paragraph </w:t>
      </w:r>
      <w:r w:rsidRPr="00DF1C7A">
        <w:rPr>
          <w:rFonts w:asciiTheme="minorHAnsi" w:hAnsiTheme="minorHAnsi"/>
          <w:snapToGrid w:val="0"/>
          <w:lang w:val="en-GB"/>
        </w:rPr>
        <w:fldChar w:fldCharType="begin" w:fldLock="1"/>
      </w:r>
      <w:r w:rsidRPr="00DF1C7A">
        <w:rPr>
          <w:rFonts w:asciiTheme="minorHAnsi" w:hAnsiTheme="minorHAnsi"/>
          <w:snapToGrid w:val="0"/>
          <w:lang w:val="en-GB"/>
        </w:rPr>
        <w:instrText xml:space="preserve"> REF _Ref96103271 \r \h  \* MERGEFORMAT </w:instrText>
      </w:r>
      <w:r w:rsidRPr="00DF1C7A">
        <w:rPr>
          <w:rFonts w:asciiTheme="minorHAnsi" w:hAnsiTheme="minorHAnsi"/>
          <w:snapToGrid w:val="0"/>
          <w:lang w:val="en-GB"/>
        </w:rPr>
      </w:r>
      <w:r w:rsidRPr="00DF1C7A">
        <w:rPr>
          <w:rFonts w:asciiTheme="minorHAnsi" w:hAnsiTheme="minorHAnsi"/>
          <w:snapToGrid w:val="0"/>
          <w:lang w:val="en-GB"/>
        </w:rPr>
        <w:fldChar w:fldCharType="separate"/>
      </w:r>
      <w:r w:rsidRPr="00DF1C7A">
        <w:rPr>
          <w:rFonts w:asciiTheme="minorHAnsi" w:hAnsiTheme="minorHAnsi"/>
          <w:snapToGrid w:val="0"/>
          <w:lang w:val="en-GB"/>
        </w:rPr>
        <w:t>6.49</w:t>
      </w:r>
      <w:r w:rsidRPr="00DF1C7A">
        <w:rPr>
          <w:rFonts w:asciiTheme="minorHAnsi" w:hAnsiTheme="minorHAnsi"/>
          <w:snapToGrid w:val="0"/>
          <w:lang w:val="en-GB"/>
        </w:rPr>
        <w:fldChar w:fldCharType="end"/>
      </w:r>
      <w:r w:rsidRPr="00DF1C7A">
        <w:rPr>
          <w:rFonts w:asciiTheme="minorHAnsi" w:hAnsiTheme="minorHAnsi"/>
          <w:snapToGrid w:val="0"/>
          <w:lang w:val="en-GB"/>
        </w:rPr>
        <w:t>, and that the monitoring costs associated with ranibizumab PDS should be increased, especially in the first 6 months after the initial dose. The PBAC also suggested that relying on the proposed MBS fees for the implant and explant procedures underestimated the extent of out-of-pocket charges beyond these fees.</w:t>
      </w:r>
    </w:p>
    <w:p w14:paraId="4D2787EB" w14:textId="77777777" w:rsidR="00DF1C7A" w:rsidRPr="00DF1C7A" w:rsidRDefault="00DF1C7A" w:rsidP="00DF1C7A">
      <w:pPr>
        <w:widowControl w:val="0"/>
        <w:numPr>
          <w:ilvl w:val="1"/>
          <w:numId w:val="1"/>
        </w:numPr>
        <w:spacing w:after="120"/>
        <w:rPr>
          <w:rFonts w:asciiTheme="minorHAnsi" w:hAnsiTheme="minorHAnsi"/>
          <w:snapToGrid w:val="0"/>
          <w:lang w:val="en-GB"/>
        </w:rPr>
      </w:pPr>
      <w:r w:rsidRPr="00DF1C7A">
        <w:rPr>
          <w:rFonts w:asciiTheme="minorHAnsi" w:hAnsiTheme="minorHAnsi"/>
          <w:snapToGrid w:val="0"/>
          <w:lang w:val="en-GB"/>
        </w:rPr>
        <w:t xml:space="preserve">In terms of the estimated budget impact, the PBAC considered that the net savings associated with the potential PBS listing of ranibizumab PDS were likely overestimated in the submission due to overestimating the number of scripts of intravitreal ranibizumab per year. There was also high uncertainty regarding the uptake rate. The PBAC noted that the size of the </w:t>
      </w:r>
      <w:proofErr w:type="spellStart"/>
      <w:r w:rsidRPr="00DF1C7A">
        <w:rPr>
          <w:rFonts w:asciiTheme="minorHAnsi" w:hAnsiTheme="minorHAnsi"/>
          <w:snapToGrid w:val="0"/>
          <w:lang w:val="en-GB"/>
        </w:rPr>
        <w:t>nAMD</w:t>
      </w:r>
      <w:proofErr w:type="spellEnd"/>
      <w:r w:rsidRPr="00DF1C7A">
        <w:rPr>
          <w:rFonts w:asciiTheme="minorHAnsi" w:hAnsiTheme="minorHAnsi"/>
          <w:snapToGrid w:val="0"/>
          <w:lang w:val="en-GB"/>
        </w:rPr>
        <w:t xml:space="preserve"> market was miscalculated (based on an assumption that only 87% of AMD scripts are for </w:t>
      </w:r>
      <w:proofErr w:type="spellStart"/>
      <w:r w:rsidRPr="00DF1C7A">
        <w:rPr>
          <w:rFonts w:asciiTheme="minorHAnsi" w:hAnsiTheme="minorHAnsi"/>
          <w:snapToGrid w:val="0"/>
          <w:lang w:val="en-GB"/>
        </w:rPr>
        <w:t>nAMD</w:t>
      </w:r>
      <w:proofErr w:type="spellEnd"/>
      <w:r w:rsidRPr="00DF1C7A">
        <w:rPr>
          <w:rFonts w:asciiTheme="minorHAnsi" w:hAnsiTheme="minorHAnsi"/>
          <w:snapToGrid w:val="0"/>
          <w:lang w:val="en-GB"/>
        </w:rPr>
        <w:t xml:space="preserve">, when it should be 100%). The PBAC also noted that the budget impact would need to be revised to align with inputs used in the cost-minimisation approach, including increased monitoring costs. The PBAC further noted that the supplementary intravitreal ranibizumab costs were not included in the financial estimates, although it acknowledged that any estimates would be highly uncertain. Based on the information before it, the PBAC accepted that there would be some cost offsets to the Australian Government with the listing of </w:t>
      </w:r>
      <w:r w:rsidRPr="00DF1C7A">
        <w:rPr>
          <w:rFonts w:asciiTheme="minorHAnsi" w:hAnsiTheme="minorHAnsi"/>
          <w:snapToGrid w:val="0"/>
          <w:lang w:val="en-GB"/>
        </w:rPr>
        <w:lastRenderedPageBreak/>
        <w:t xml:space="preserve">ranibizumab PDS that would accumulate over time. </w:t>
      </w:r>
      <w:r w:rsidRPr="00DF1C7A">
        <w:rPr>
          <w:rFonts w:asciiTheme="minorHAnsi" w:hAnsiTheme="minorHAnsi"/>
          <w:snapToGrid w:val="0"/>
        </w:rPr>
        <w:t>Nonetheless, given the uncertainty of the estimates and that the anti-VEFG therapies on the PBS are managed via a Risk Sharing Arrangement, it would be appropriate to apply such arrangements to this new formulation were it listed as well.</w:t>
      </w:r>
    </w:p>
    <w:p w14:paraId="0096115A" w14:textId="77777777" w:rsidR="00DF1C7A" w:rsidRPr="00DF1C7A" w:rsidRDefault="00DF1C7A" w:rsidP="00DF1C7A">
      <w:pPr>
        <w:spacing w:before="240"/>
        <w:rPr>
          <w:rFonts w:asciiTheme="minorHAnsi" w:hAnsiTheme="minorHAnsi"/>
          <w:b/>
          <w:bCs/>
          <w:snapToGrid w:val="0"/>
          <w:lang w:val="en-GB"/>
        </w:rPr>
      </w:pPr>
      <w:r w:rsidRPr="00DF1C7A">
        <w:rPr>
          <w:rFonts w:asciiTheme="minorHAnsi" w:hAnsiTheme="minorHAnsi"/>
          <w:b/>
          <w:bCs/>
          <w:snapToGrid w:val="0"/>
          <w:lang w:val="en-GB"/>
        </w:rPr>
        <w:t>Outcome:</w:t>
      </w:r>
    </w:p>
    <w:p w14:paraId="1824480B" w14:textId="77777777" w:rsidR="00DF1C7A" w:rsidRPr="00DF1C7A" w:rsidRDefault="00DF1C7A" w:rsidP="00DF1C7A">
      <w:pPr>
        <w:rPr>
          <w:rFonts w:asciiTheme="minorHAnsi" w:hAnsiTheme="minorHAnsi"/>
          <w:bCs/>
          <w:snapToGrid w:val="0"/>
          <w:lang w:val="en-GB"/>
        </w:rPr>
      </w:pPr>
      <w:r w:rsidRPr="00DF1C7A">
        <w:rPr>
          <w:rFonts w:asciiTheme="minorHAnsi" w:hAnsiTheme="minorHAnsi"/>
          <w:bCs/>
          <w:snapToGrid w:val="0"/>
          <w:lang w:val="en-GB"/>
        </w:rPr>
        <w:t>Deferred</w:t>
      </w:r>
    </w:p>
    <w:p w14:paraId="42EC9721" w14:textId="77777777" w:rsidR="00DF1C7A" w:rsidRPr="00DF1C7A" w:rsidRDefault="00DF1C7A" w:rsidP="00DF1C7A">
      <w:pPr>
        <w:rPr>
          <w:rFonts w:asciiTheme="minorHAnsi" w:hAnsiTheme="minorHAnsi"/>
          <w:bCs/>
          <w:snapToGrid w:val="0"/>
          <w:lang w:val="en-GB"/>
        </w:rPr>
      </w:pPr>
    </w:p>
    <w:p w14:paraId="096E96C2" w14:textId="77777777" w:rsidR="00DF1C7A" w:rsidRPr="00DF1C7A" w:rsidRDefault="00DF1C7A" w:rsidP="00DF1C7A">
      <w:pPr>
        <w:keepNext/>
        <w:numPr>
          <w:ilvl w:val="0"/>
          <w:numId w:val="1"/>
        </w:numPr>
        <w:spacing w:before="240" w:after="120"/>
        <w:jc w:val="left"/>
        <w:outlineLvl w:val="0"/>
        <w:rPr>
          <w:rFonts w:asciiTheme="minorHAnsi" w:hAnsiTheme="minorHAnsi"/>
          <w:b/>
          <w:bCs/>
          <w:snapToGrid w:val="0"/>
          <w:sz w:val="32"/>
          <w:szCs w:val="32"/>
          <w:lang w:val="en-GB"/>
        </w:rPr>
      </w:pPr>
      <w:bookmarkStart w:id="3" w:name="_Hlk102997792"/>
      <w:r w:rsidRPr="00DF1C7A">
        <w:rPr>
          <w:rFonts w:asciiTheme="minorHAnsi" w:hAnsiTheme="minorHAnsi"/>
          <w:b/>
          <w:snapToGrid w:val="0"/>
          <w:sz w:val="32"/>
          <w:szCs w:val="32"/>
        </w:rPr>
        <w:t>Context for Decision</w:t>
      </w:r>
    </w:p>
    <w:p w14:paraId="729A5076" w14:textId="77777777" w:rsidR="00DF1C7A" w:rsidRPr="00DF1C7A" w:rsidRDefault="00DF1C7A" w:rsidP="00DF1C7A">
      <w:pPr>
        <w:spacing w:after="120"/>
        <w:ind w:left="720"/>
        <w:rPr>
          <w:rFonts w:asciiTheme="minorHAnsi" w:hAnsiTheme="minorHAnsi"/>
          <w:snapToGrid w:val="0"/>
          <w:lang w:val="en-GB"/>
        </w:rPr>
      </w:pPr>
      <w:r w:rsidRPr="00DF1C7A">
        <w:rPr>
          <w:rFonts w:asciiTheme="minorHAnsi" w:hAnsiTheme="minorHAnsi"/>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0DC3B8" w14:textId="77777777" w:rsidR="00DF1C7A" w:rsidRPr="00DF1C7A" w:rsidRDefault="00DF1C7A" w:rsidP="00DF1C7A">
      <w:pPr>
        <w:keepNext/>
        <w:numPr>
          <w:ilvl w:val="0"/>
          <w:numId w:val="1"/>
        </w:numPr>
        <w:spacing w:before="240" w:after="120"/>
        <w:jc w:val="left"/>
        <w:outlineLvl w:val="0"/>
        <w:rPr>
          <w:rFonts w:asciiTheme="minorHAnsi" w:hAnsiTheme="minorHAnsi"/>
          <w:b/>
          <w:snapToGrid w:val="0"/>
          <w:sz w:val="32"/>
          <w:szCs w:val="32"/>
        </w:rPr>
      </w:pPr>
      <w:r w:rsidRPr="00DF1C7A">
        <w:rPr>
          <w:rFonts w:asciiTheme="minorHAnsi" w:hAnsiTheme="minorHAnsi"/>
          <w:b/>
          <w:snapToGrid w:val="0"/>
          <w:sz w:val="32"/>
          <w:szCs w:val="32"/>
        </w:rPr>
        <w:t>Sponsor’s Comment</w:t>
      </w:r>
    </w:p>
    <w:p w14:paraId="1C1A1F45" w14:textId="77777777" w:rsidR="00DF1C7A" w:rsidRPr="00DF1C7A" w:rsidRDefault="00DF1C7A" w:rsidP="00DF1C7A">
      <w:pPr>
        <w:spacing w:after="120"/>
        <w:ind w:left="720"/>
        <w:rPr>
          <w:rFonts w:asciiTheme="minorHAnsi" w:hAnsiTheme="minorHAnsi"/>
          <w:snapToGrid w:val="0"/>
        </w:rPr>
      </w:pPr>
      <w:r w:rsidRPr="00DF1C7A">
        <w:rPr>
          <w:rFonts w:asciiTheme="minorHAnsi" w:hAnsiTheme="minorHAnsi"/>
          <w:snapToGrid w:val="0"/>
        </w:rPr>
        <w:t>The sponsor had no comment.</w:t>
      </w:r>
    </w:p>
    <w:bookmarkEnd w:id="3"/>
    <w:p w14:paraId="312E611A" w14:textId="1470F3FA" w:rsidR="00DA0736" w:rsidRDefault="00DA0736">
      <w:pPr>
        <w:jc w:val="left"/>
        <w:rPr>
          <w:rFonts w:asciiTheme="minorHAnsi" w:hAnsiTheme="minorHAnsi"/>
          <w:bCs/>
          <w:snapToGrid w:val="0"/>
          <w:lang w:val="en-GB"/>
        </w:rPr>
      </w:pPr>
      <w:r>
        <w:rPr>
          <w:rFonts w:asciiTheme="minorHAnsi" w:hAnsiTheme="minorHAnsi"/>
          <w:bCs/>
          <w:snapToGrid w:val="0"/>
          <w:lang w:val="en-GB"/>
        </w:rPr>
        <w:br w:type="page"/>
      </w:r>
    </w:p>
    <w:p w14:paraId="20807AE1" w14:textId="21F2BA7A" w:rsidR="002D1515" w:rsidRPr="002F29D2" w:rsidRDefault="002D1515" w:rsidP="002F29D2">
      <w:pPr>
        <w:pStyle w:val="GeneralHeading"/>
        <w:rPr>
          <w:color w:val="FF0000"/>
        </w:rPr>
      </w:pPr>
      <w:r w:rsidRPr="002F29D2">
        <w:rPr>
          <w:color w:val="FF0000"/>
        </w:rPr>
        <w:lastRenderedPageBreak/>
        <w:t xml:space="preserve">Addendum to the </w:t>
      </w:r>
      <w:r w:rsidR="00E60D76" w:rsidRPr="002F29D2">
        <w:rPr>
          <w:color w:val="FF0000"/>
        </w:rPr>
        <w:t>March</w:t>
      </w:r>
      <w:r w:rsidRPr="002F29D2">
        <w:rPr>
          <w:color w:val="FF0000"/>
        </w:rPr>
        <w:t xml:space="preserve"> 202</w:t>
      </w:r>
      <w:r w:rsidR="00E60D76" w:rsidRPr="002F29D2">
        <w:rPr>
          <w:color w:val="FF0000"/>
        </w:rPr>
        <w:t>2</w:t>
      </w:r>
      <w:r w:rsidRPr="002F29D2">
        <w:rPr>
          <w:color w:val="FF0000"/>
        </w:rPr>
        <w:t xml:space="preserve"> PBAC </w:t>
      </w:r>
      <w:bookmarkStart w:id="4" w:name="Addendum2"/>
      <w:bookmarkEnd w:id="4"/>
      <w:r w:rsidR="003D39AF" w:rsidRPr="002F29D2">
        <w:rPr>
          <w:color w:val="FF0000"/>
        </w:rPr>
        <w:t>PSD</w:t>
      </w:r>
    </w:p>
    <w:p w14:paraId="61A63701" w14:textId="1F6DAA11" w:rsidR="00DF160A" w:rsidRDefault="00147959" w:rsidP="00434343">
      <w:pPr>
        <w:pStyle w:val="1-MainHeading"/>
        <w:spacing w:before="240"/>
      </w:pPr>
      <w:r>
        <w:t>4.02</w:t>
      </w:r>
      <w:r w:rsidR="00DF160A" w:rsidRPr="00D534AA">
        <w:tab/>
        <w:t>RANIBIZUMAB,</w:t>
      </w:r>
      <w:r w:rsidR="00DF160A" w:rsidRPr="00D534AA">
        <w:br/>
        <w:t>Solution for ocular implant</w:t>
      </w:r>
      <w:r w:rsidR="00DF160A">
        <w:t xml:space="preserve"> </w:t>
      </w:r>
      <w:r w:rsidR="00DF160A" w:rsidRPr="00D534AA">
        <w:t>39.5 mg in 0.395 mL,</w:t>
      </w:r>
      <w:r w:rsidR="00DF160A" w:rsidRPr="00D534AA">
        <w:br/>
      </w:r>
      <w:proofErr w:type="spellStart"/>
      <w:r w:rsidR="00DF160A" w:rsidRPr="00D534AA">
        <w:t>Susvimo</w:t>
      </w:r>
      <w:proofErr w:type="spellEnd"/>
      <w:r w:rsidR="00DF160A" w:rsidRPr="00D534AA">
        <w:rPr>
          <w:vertAlign w:val="superscript"/>
        </w:rPr>
        <w:t>®</w:t>
      </w:r>
      <w:r w:rsidR="00DF160A" w:rsidRPr="00D534AA">
        <w:t>,</w:t>
      </w:r>
      <w:r w:rsidR="00DF160A" w:rsidRPr="00D534AA">
        <w:br/>
        <w:t>Roche Products Pty Ltd.</w:t>
      </w:r>
    </w:p>
    <w:p w14:paraId="0B065CBA" w14:textId="77777777" w:rsidR="001310D9" w:rsidRPr="001B6D4A" w:rsidRDefault="001310D9" w:rsidP="001310D9">
      <w:pPr>
        <w:pStyle w:val="2-SectionHeading"/>
        <w:spacing w:before="120"/>
        <w:rPr>
          <w:rFonts w:cstheme="minorHAnsi"/>
        </w:rPr>
      </w:pPr>
      <w:r w:rsidRPr="0098567B">
        <w:t>Purpose</w:t>
      </w:r>
    </w:p>
    <w:p w14:paraId="0E2005B8" w14:textId="02AA2404" w:rsidR="001310D9" w:rsidRPr="00C53E8A" w:rsidRDefault="001310D9" w:rsidP="001310D9">
      <w:pPr>
        <w:pStyle w:val="3Bodytext"/>
        <w:numPr>
          <w:ilvl w:val="1"/>
          <w:numId w:val="1"/>
        </w:numPr>
        <w:jc w:val="both"/>
        <w:rPr>
          <w:rFonts w:cstheme="minorHAnsi"/>
        </w:rPr>
      </w:pPr>
      <w:bookmarkStart w:id="5" w:name="_Ref229383455"/>
      <w:r>
        <w:t xml:space="preserve">To reconsider ranibizumab </w:t>
      </w:r>
      <w:r w:rsidRPr="000A1DC9">
        <w:t>delivered via port delivery system (PDS), for the treatment of neovascular age-related macular degeneration (</w:t>
      </w:r>
      <w:proofErr w:type="spellStart"/>
      <w:r w:rsidRPr="000A1DC9">
        <w:t>nAMD</w:t>
      </w:r>
      <w:proofErr w:type="spellEnd"/>
      <w:r w:rsidRPr="000A1DC9">
        <w:t xml:space="preserve">) in patients who have previously demonstrated a response to intravitreal anti-vascular endothelial growth factor (anti-VEGF) treatment. </w:t>
      </w:r>
      <w:r>
        <w:t>In March 2022, t</w:t>
      </w:r>
      <w:r w:rsidRPr="000A1DC9">
        <w:t>he PBAC</w:t>
      </w:r>
      <w:r>
        <w:t xml:space="preserve"> deferred</w:t>
      </w:r>
      <w:r w:rsidRPr="000A1DC9">
        <w:t xml:space="preserve"> </w:t>
      </w:r>
      <w:r>
        <w:rPr>
          <w:snapToGrid w:val="0"/>
          <w:lang w:val="en-GB"/>
        </w:rPr>
        <w:t xml:space="preserve">making a recommendation to list ranibizumab </w:t>
      </w:r>
      <w:r>
        <w:t xml:space="preserve">PDS, </w:t>
      </w:r>
      <w:r w:rsidRPr="005D2BB6">
        <w:t xml:space="preserve">pending availability of the TGA </w:t>
      </w:r>
      <w:r>
        <w:t>D</w:t>
      </w:r>
      <w:r w:rsidRPr="005D2BB6">
        <w:t xml:space="preserve">elegate’s </w:t>
      </w:r>
      <w:r>
        <w:t>O</w:t>
      </w:r>
      <w:r w:rsidRPr="005D2BB6">
        <w:t xml:space="preserve">verview, as well as MSAC consideration of the procedures associated with the implanted </w:t>
      </w:r>
      <w:r>
        <w:t>PDS.</w:t>
      </w:r>
      <w:bookmarkEnd w:id="5"/>
    </w:p>
    <w:p w14:paraId="68AE7990" w14:textId="77777777" w:rsidR="001310D9" w:rsidRPr="001B6D4A" w:rsidRDefault="001310D9" w:rsidP="001310D9">
      <w:pPr>
        <w:pStyle w:val="2-SectionHeading"/>
        <w:spacing w:before="120"/>
        <w:rPr>
          <w:rFonts w:cstheme="minorHAnsi"/>
        </w:rPr>
      </w:pPr>
      <w:r>
        <w:rPr>
          <w:rFonts w:cstheme="minorHAnsi"/>
        </w:rPr>
        <w:t>Background</w:t>
      </w:r>
    </w:p>
    <w:p w14:paraId="087A7909" w14:textId="005F7E08" w:rsidR="001310D9" w:rsidRDefault="001310D9" w:rsidP="001310D9">
      <w:pPr>
        <w:pStyle w:val="3Bodytext"/>
        <w:numPr>
          <w:ilvl w:val="1"/>
          <w:numId w:val="1"/>
        </w:numPr>
        <w:jc w:val="both"/>
        <w:rPr>
          <w:rFonts w:cstheme="minorHAnsi"/>
        </w:rPr>
      </w:pPr>
      <w:bookmarkStart w:id="6" w:name="_Ref229383129"/>
      <w:r>
        <w:t>In late 2022, the sponsor paused regulatory activities in Australia whilst undertaking a voluntary recall of the ocular implant in the United States following test results showing that some implants did not perform to standards</w:t>
      </w:r>
      <w:r w:rsidR="00434343">
        <w:t xml:space="preserve">. </w:t>
      </w:r>
      <w:r>
        <w:rPr>
          <w:rFonts w:cstheme="minorHAnsi"/>
        </w:rPr>
        <w:t>The sponsor has advised it is currently pursuing TGA registration (with an updated PDS).</w:t>
      </w:r>
      <w:bookmarkEnd w:id="6"/>
      <w:r>
        <w:rPr>
          <w:rFonts w:cstheme="minorHAnsi"/>
        </w:rPr>
        <w:t xml:space="preserve"> </w:t>
      </w:r>
    </w:p>
    <w:p w14:paraId="5D81FB13" w14:textId="472BE109" w:rsidR="001310D9" w:rsidRPr="002438F6" w:rsidRDefault="001310D9" w:rsidP="001310D9">
      <w:pPr>
        <w:pStyle w:val="3Bodytext"/>
        <w:numPr>
          <w:ilvl w:val="1"/>
          <w:numId w:val="1"/>
        </w:numPr>
        <w:jc w:val="both"/>
        <w:rPr>
          <w:i/>
          <w:iCs/>
        </w:rPr>
      </w:pPr>
      <w:r>
        <w:t xml:space="preserve">In March/ April 2022, MSAC </w:t>
      </w:r>
      <w:r w:rsidRPr="0098567B">
        <w:t>deferred its decision regarding the creation of Medicare Benefits Schedule (MBS) items for the PDS to deliver ranibizumab</w:t>
      </w:r>
      <w:r w:rsidRPr="00E1551E">
        <w:t xml:space="preserve">. </w:t>
      </w:r>
    </w:p>
    <w:p w14:paraId="03F92283" w14:textId="4DCC82AD" w:rsidR="002438F6" w:rsidDel="0019686D" w:rsidRDefault="002438F6" w:rsidP="002438F6">
      <w:pPr>
        <w:pStyle w:val="3Bodytext"/>
        <w:numPr>
          <w:ilvl w:val="1"/>
          <w:numId w:val="1"/>
        </w:numPr>
        <w:jc w:val="both"/>
        <w:rPr>
          <w:rFonts w:cstheme="minorHAnsi"/>
        </w:rPr>
      </w:pPr>
      <w:r w:rsidDel="0019686D">
        <w:rPr>
          <w:rFonts w:cstheme="minorHAnsi"/>
        </w:rPr>
        <w:t>S</w:t>
      </w:r>
      <w:r w:rsidRPr="00637E65" w:rsidDel="0019686D">
        <w:rPr>
          <w:rFonts w:cstheme="minorHAnsi"/>
        </w:rPr>
        <w:t xml:space="preserve">ince </w:t>
      </w:r>
      <w:r w:rsidR="004F2708" w:rsidDel="0019686D">
        <w:rPr>
          <w:rFonts w:cstheme="minorHAnsi"/>
        </w:rPr>
        <w:t xml:space="preserve">PBAC </w:t>
      </w:r>
      <w:r w:rsidRPr="00637E65" w:rsidDel="0019686D">
        <w:rPr>
          <w:rFonts w:cstheme="minorHAnsi"/>
        </w:rPr>
        <w:t xml:space="preserve">consideration in March 2022, a new </w:t>
      </w:r>
      <w:r w:rsidDel="0019686D">
        <w:rPr>
          <w:rFonts w:cstheme="minorHAnsi"/>
        </w:rPr>
        <w:t>anti-</w:t>
      </w:r>
      <w:r w:rsidRPr="00637E65" w:rsidDel="0019686D">
        <w:rPr>
          <w:rFonts w:cstheme="minorHAnsi"/>
        </w:rPr>
        <w:t xml:space="preserve">VEGF </w:t>
      </w:r>
      <w:r w:rsidDel="0019686D">
        <w:rPr>
          <w:rFonts w:cstheme="minorHAnsi"/>
        </w:rPr>
        <w:t xml:space="preserve">treatment </w:t>
      </w:r>
      <w:r w:rsidRPr="00637E65" w:rsidDel="0019686D">
        <w:rPr>
          <w:rFonts w:cstheme="minorHAnsi"/>
        </w:rPr>
        <w:t>(faricimab) and new presentations of aflibercept have been PBS listed, both of which allow extended treatment intervals (up to 16 to 20 weeks).</w:t>
      </w:r>
      <w:r w:rsidDel="0019686D">
        <w:rPr>
          <w:rFonts w:cstheme="minorHAnsi"/>
        </w:rPr>
        <w:t xml:space="preserve"> </w:t>
      </w:r>
      <w:r w:rsidR="006526F1" w:rsidDel="0019686D">
        <w:rPr>
          <w:rFonts w:cstheme="minorHAnsi"/>
        </w:rPr>
        <w:t>T</w:t>
      </w:r>
      <w:r w:rsidRPr="00637E65" w:rsidDel="0019686D">
        <w:rPr>
          <w:rFonts w:cstheme="minorHAnsi"/>
        </w:rPr>
        <w:t xml:space="preserve">hese listings may be relevant for any future </w:t>
      </w:r>
      <w:r w:rsidDel="0019686D">
        <w:rPr>
          <w:rFonts w:cstheme="minorHAnsi"/>
        </w:rPr>
        <w:t xml:space="preserve">PBAC </w:t>
      </w:r>
      <w:r w:rsidRPr="00637E65" w:rsidDel="0019686D">
        <w:rPr>
          <w:rFonts w:cstheme="minorHAnsi"/>
        </w:rPr>
        <w:t>consideration of ranibizumab PDS.</w:t>
      </w:r>
    </w:p>
    <w:p w14:paraId="45031F2C" w14:textId="77777777" w:rsidR="00637E65" w:rsidRPr="005500F7" w:rsidRDefault="00637E65" w:rsidP="00637E65">
      <w:pPr>
        <w:pStyle w:val="2-SectionHeading"/>
        <w:rPr>
          <w:rFonts w:ascii="Calibri" w:hAnsi="Calibri"/>
          <w:szCs w:val="24"/>
        </w:rPr>
      </w:pPr>
      <w:r>
        <w:t xml:space="preserve">PBAC Outcome </w:t>
      </w:r>
    </w:p>
    <w:p w14:paraId="3EE88215" w14:textId="77777777" w:rsidR="004637AE" w:rsidRPr="004F43AC" w:rsidRDefault="004637AE" w:rsidP="004637AE">
      <w:pPr>
        <w:pStyle w:val="3Bodytext"/>
        <w:numPr>
          <w:ilvl w:val="1"/>
          <w:numId w:val="1"/>
        </w:numPr>
        <w:jc w:val="both"/>
        <w:rPr>
          <w:rFonts w:cstheme="minorHAnsi"/>
        </w:rPr>
      </w:pPr>
      <w:r w:rsidRPr="005500F7">
        <w:t xml:space="preserve">The PBAC </w:t>
      </w:r>
      <w:r>
        <w:t xml:space="preserve">did not recommend the </w:t>
      </w:r>
      <w:r w:rsidRPr="005500F7">
        <w:t>list</w:t>
      </w:r>
      <w:r>
        <w:t>ing of</w:t>
      </w:r>
      <w:r w:rsidRPr="005500F7">
        <w:t xml:space="preserve"> ranibizumab delivered via port delivery system (PDS), for the treatment of neovascular age-related macular degeneration (</w:t>
      </w:r>
      <w:proofErr w:type="spellStart"/>
      <w:r w:rsidRPr="005500F7">
        <w:t>nAMD</w:t>
      </w:r>
      <w:proofErr w:type="spellEnd"/>
      <w:r w:rsidRPr="005500F7">
        <w:t>) in patients who have previously demonstrated a response to intravitreal anti-</w:t>
      </w:r>
      <w:r w:rsidRPr="004F43AC">
        <w:t>vascular endothelial growth factor (anti-VEGF) treatment.</w:t>
      </w:r>
    </w:p>
    <w:p w14:paraId="69F48592" w14:textId="3017D0B5" w:rsidR="006526F1" w:rsidRDefault="006526F1" w:rsidP="006526F1">
      <w:pPr>
        <w:pStyle w:val="3Bodytext"/>
        <w:numPr>
          <w:ilvl w:val="1"/>
          <w:numId w:val="1"/>
        </w:numPr>
        <w:jc w:val="both"/>
        <w:rPr>
          <w:rFonts w:cstheme="minorHAnsi"/>
        </w:rPr>
      </w:pPr>
      <w:r w:rsidRPr="004F43AC">
        <w:rPr>
          <w:rFonts w:cstheme="minorHAnsi"/>
        </w:rPr>
        <w:t>Noting the previous</w:t>
      </w:r>
      <w:r w:rsidR="00AA69EA" w:rsidRPr="004F43AC">
        <w:rPr>
          <w:rFonts w:cstheme="minorHAnsi"/>
        </w:rPr>
        <w:t xml:space="preserve"> recommendation</w:t>
      </w:r>
      <w:r w:rsidRPr="004F43AC">
        <w:rPr>
          <w:rFonts w:cstheme="minorHAnsi"/>
        </w:rPr>
        <w:t xml:space="preserve"> (deferral</w:t>
      </w:r>
      <w:r w:rsidR="002B07C4">
        <w:rPr>
          <w:rFonts w:cstheme="minorHAnsi"/>
        </w:rPr>
        <w:t xml:space="preserve">, see paragraph </w:t>
      </w:r>
      <w:r w:rsidR="002B07C4">
        <w:rPr>
          <w:rFonts w:cstheme="minorHAnsi"/>
        </w:rPr>
        <w:fldChar w:fldCharType="begin" w:fldLock="1"/>
      </w:r>
      <w:r w:rsidR="002B07C4">
        <w:rPr>
          <w:rFonts w:cstheme="minorHAnsi"/>
        </w:rPr>
        <w:instrText xml:space="preserve"> REF _Ref229383455 \r \h </w:instrText>
      </w:r>
      <w:r w:rsidR="002B07C4">
        <w:rPr>
          <w:rFonts w:cstheme="minorHAnsi"/>
        </w:rPr>
      </w:r>
      <w:r w:rsidR="002B07C4">
        <w:rPr>
          <w:rFonts w:cstheme="minorHAnsi"/>
        </w:rPr>
        <w:fldChar w:fldCharType="separate"/>
      </w:r>
      <w:r w:rsidR="008E5630">
        <w:rPr>
          <w:rFonts w:cstheme="minorHAnsi"/>
        </w:rPr>
        <w:t>10.1</w:t>
      </w:r>
      <w:r w:rsidR="002B07C4">
        <w:rPr>
          <w:rFonts w:cstheme="minorHAnsi"/>
        </w:rPr>
        <w:fldChar w:fldCharType="end"/>
      </w:r>
      <w:r w:rsidRPr="004F43AC">
        <w:rPr>
          <w:rFonts w:cstheme="minorHAnsi"/>
        </w:rPr>
        <w:t>) was made over 4 years ago</w:t>
      </w:r>
      <w:r w:rsidR="00AA69EA" w:rsidRPr="004F43AC">
        <w:rPr>
          <w:rFonts w:cstheme="minorHAnsi"/>
        </w:rPr>
        <w:t xml:space="preserve"> </w:t>
      </w:r>
      <w:r w:rsidRPr="004F43AC">
        <w:rPr>
          <w:rFonts w:cstheme="minorHAnsi"/>
        </w:rPr>
        <w:t>and the pending TGA registration of an updated PDS</w:t>
      </w:r>
      <w:r w:rsidR="00AA69EA" w:rsidRPr="004F43AC">
        <w:rPr>
          <w:rFonts w:cstheme="minorHAnsi"/>
        </w:rPr>
        <w:t xml:space="preserve"> (see paragraph </w:t>
      </w:r>
      <w:r w:rsidR="00AA69EA" w:rsidRPr="004F43AC">
        <w:rPr>
          <w:rFonts w:cstheme="minorHAnsi"/>
        </w:rPr>
        <w:fldChar w:fldCharType="begin" w:fldLock="1"/>
      </w:r>
      <w:r w:rsidR="00AA69EA" w:rsidRPr="004F43AC">
        <w:rPr>
          <w:rFonts w:cstheme="minorHAnsi"/>
        </w:rPr>
        <w:instrText xml:space="preserve"> REF _Ref229383129 \r \h </w:instrText>
      </w:r>
      <w:r w:rsidR="004F43AC">
        <w:rPr>
          <w:rFonts w:cstheme="minorHAnsi"/>
        </w:rPr>
        <w:instrText xml:space="preserve"> \* MERGEFORMAT </w:instrText>
      </w:r>
      <w:r w:rsidR="00AA69EA" w:rsidRPr="004F43AC">
        <w:rPr>
          <w:rFonts w:cstheme="minorHAnsi"/>
        </w:rPr>
      </w:r>
      <w:r w:rsidR="00AA69EA" w:rsidRPr="004F43AC">
        <w:rPr>
          <w:rFonts w:cstheme="minorHAnsi"/>
        </w:rPr>
        <w:fldChar w:fldCharType="separate"/>
      </w:r>
      <w:r w:rsidR="008E5630">
        <w:rPr>
          <w:rFonts w:cstheme="minorHAnsi"/>
        </w:rPr>
        <w:t>11.1</w:t>
      </w:r>
      <w:r w:rsidR="00AA69EA" w:rsidRPr="004F43AC">
        <w:rPr>
          <w:rFonts w:cstheme="minorHAnsi"/>
        </w:rPr>
        <w:fldChar w:fldCharType="end"/>
      </w:r>
      <w:r w:rsidR="00AA69EA" w:rsidRPr="004F43AC">
        <w:rPr>
          <w:rFonts w:cstheme="minorHAnsi"/>
        </w:rPr>
        <w:t>)</w:t>
      </w:r>
      <w:r w:rsidRPr="004F43AC">
        <w:rPr>
          <w:rFonts w:cstheme="minorHAnsi"/>
        </w:rPr>
        <w:t>, the PBAC considered a resubmission would be an appropriate pathway forward for ranibizumab PDS.</w:t>
      </w:r>
    </w:p>
    <w:p w14:paraId="265D9617" w14:textId="70246847" w:rsidR="00677763" w:rsidRPr="005500F7" w:rsidRDefault="00677763" w:rsidP="00B2096B">
      <w:pPr>
        <w:pStyle w:val="ExecSumBodyText"/>
        <w:rPr>
          <w:rFonts w:cstheme="minorHAnsi"/>
        </w:rPr>
      </w:pPr>
      <w:r>
        <w:lastRenderedPageBreak/>
        <w:t xml:space="preserve">The PBAC noted </w:t>
      </w:r>
      <w:r w:rsidRPr="000D3ABA">
        <w:t xml:space="preserve">the MSAC Secretariat </w:t>
      </w:r>
      <w:r>
        <w:t xml:space="preserve">had </w:t>
      </w:r>
      <w:r w:rsidRPr="000D3ABA">
        <w:t>advised a streamlined codependent pathway would be appropriate for a resubmission</w:t>
      </w:r>
      <w:r w:rsidR="00686307">
        <w:t xml:space="preserve"> </w:t>
      </w:r>
      <w:r w:rsidR="00722757">
        <w:t xml:space="preserve">to </w:t>
      </w:r>
      <w:r w:rsidR="00686307" w:rsidRPr="00686307">
        <w:t xml:space="preserve">MSAC </w:t>
      </w:r>
      <w:r w:rsidR="00722757">
        <w:t>for re</w:t>
      </w:r>
      <w:r w:rsidR="00686307" w:rsidRPr="00686307">
        <w:t>consideration of the procedures associated with the implanted PDS.</w:t>
      </w:r>
    </w:p>
    <w:p w14:paraId="267F2226" w14:textId="77777777" w:rsidR="00C17690" w:rsidRPr="007171D1" w:rsidRDefault="00C17690" w:rsidP="00C17690">
      <w:pPr>
        <w:pStyle w:val="COMESnumberedpara"/>
        <w:numPr>
          <w:ilvl w:val="1"/>
          <w:numId w:val="1"/>
        </w:numPr>
        <w:rPr>
          <w:snapToGrid w:val="0"/>
          <w:lang w:val="en-GB"/>
        </w:rPr>
      </w:pPr>
      <w:r w:rsidRPr="00525B39">
        <w:rPr>
          <w:snapToGrid w:val="0"/>
          <w:lang w:val="en-GB"/>
        </w:rPr>
        <w:t xml:space="preserve">The PBAC noted that this submission is eligible for an Independent Review. </w:t>
      </w:r>
    </w:p>
    <w:p w14:paraId="764DCE6A" w14:textId="77777777" w:rsidR="00C17690" w:rsidRPr="00546FF2" w:rsidRDefault="00C17690" w:rsidP="00C17690">
      <w:pPr>
        <w:spacing w:before="240"/>
        <w:rPr>
          <w:rFonts w:asciiTheme="minorHAnsi" w:hAnsiTheme="minorHAnsi"/>
          <w:b/>
          <w:bCs/>
          <w:snapToGrid w:val="0"/>
          <w:lang w:val="en-GB" w:eastAsia="en-US"/>
        </w:rPr>
      </w:pPr>
      <w:r w:rsidRPr="00546FF2">
        <w:rPr>
          <w:rFonts w:asciiTheme="minorHAnsi" w:hAnsiTheme="minorHAnsi"/>
          <w:b/>
          <w:bCs/>
          <w:snapToGrid w:val="0"/>
          <w:lang w:val="en-GB" w:eastAsia="en-US"/>
        </w:rPr>
        <w:t>Outcome:</w:t>
      </w:r>
    </w:p>
    <w:p w14:paraId="65948D6E" w14:textId="60C94E50" w:rsidR="00E31A0E" w:rsidRPr="00E31A0E" w:rsidRDefault="00C17690" w:rsidP="00E31A0E">
      <w:pPr>
        <w:pStyle w:val="3Bodytext"/>
        <w:rPr>
          <w:lang w:val="en-GB"/>
        </w:rPr>
      </w:pPr>
      <w:r w:rsidRPr="00E31A0E">
        <w:rPr>
          <w:snapToGrid w:val="0"/>
          <w:lang w:val="en-GB"/>
        </w:rPr>
        <w:t>Not recommended</w:t>
      </w:r>
      <w:bookmarkStart w:id="7" w:name="_Toc219197472"/>
      <w:bookmarkEnd w:id="7"/>
    </w:p>
    <w:p w14:paraId="075B357C" w14:textId="42482A88" w:rsidR="003347C4" w:rsidRPr="00061CBE" w:rsidRDefault="003347C4" w:rsidP="00EF648D">
      <w:pPr>
        <w:pStyle w:val="2-SectionHeading"/>
        <w:rPr>
          <w:lang w:val="en-GB"/>
        </w:rPr>
      </w:pPr>
      <w:r w:rsidRPr="00061CBE">
        <w:t>Context for Decision</w:t>
      </w:r>
    </w:p>
    <w:p w14:paraId="511F7C42" w14:textId="77777777" w:rsidR="003347C4" w:rsidRPr="00061CBE" w:rsidRDefault="003347C4" w:rsidP="001C239B">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EEE23E" w14:textId="751B635E" w:rsidR="003347C4" w:rsidRPr="00061CBE" w:rsidRDefault="003347C4" w:rsidP="00AB119F">
      <w:pPr>
        <w:pStyle w:val="2-SectionHeading"/>
      </w:pPr>
      <w:r w:rsidRPr="00061CBE">
        <w:t>Sponsor’s Comment</w:t>
      </w:r>
    </w:p>
    <w:p w14:paraId="46EAA9EF" w14:textId="014AEA30" w:rsidR="00FC4EB9" w:rsidRPr="005500F7" w:rsidRDefault="00CA1C03" w:rsidP="001C239B">
      <w:pPr>
        <w:spacing w:after="120"/>
        <w:ind w:left="720"/>
      </w:pPr>
      <w:r w:rsidRPr="00CA1C03">
        <w:rPr>
          <w:bCs/>
        </w:rPr>
        <w:t>Roche notes the PBAC’s recognition of a clinical place in therapy for ranibizumab PDS (</w:t>
      </w:r>
      <w:r>
        <w:rPr>
          <w:bCs/>
        </w:rPr>
        <w:t xml:space="preserve">now named </w:t>
      </w:r>
      <w:proofErr w:type="spellStart"/>
      <w:r>
        <w:rPr>
          <w:bCs/>
        </w:rPr>
        <w:t>Contivue</w:t>
      </w:r>
      <w:proofErr w:type="spellEnd"/>
      <w:r w:rsidRPr="00CA1C03">
        <w:rPr>
          <w:bCs/>
        </w:rPr>
        <w:t>®</w:t>
      </w:r>
      <w:r>
        <w:rPr>
          <w:bCs/>
        </w:rPr>
        <w:t xml:space="preserve"> (ocular implant) and </w:t>
      </w:r>
      <w:proofErr w:type="spellStart"/>
      <w:r w:rsidRPr="00CA1C03">
        <w:rPr>
          <w:bCs/>
        </w:rPr>
        <w:t>Susvimo</w:t>
      </w:r>
      <w:proofErr w:type="spellEnd"/>
      <w:r w:rsidRPr="00CA1C03">
        <w:rPr>
          <w:bCs/>
        </w:rPr>
        <w:t>®</w:t>
      </w:r>
      <w:r>
        <w:rPr>
          <w:bCs/>
        </w:rPr>
        <w:t xml:space="preserve"> (ranibizumab 100mg/mL). </w:t>
      </w:r>
      <w:r w:rsidRPr="00CA1C03">
        <w:rPr>
          <w:bCs/>
        </w:rPr>
        <w:t>Roche remains committed to bringing this treatment to Australian patients</w:t>
      </w:r>
      <w:r w:rsidR="000423FA">
        <w:rPr>
          <w:bCs/>
        </w:rPr>
        <w:t xml:space="preserve"> and will re-submit to </w:t>
      </w:r>
      <w:r w:rsidRPr="00CA1C03">
        <w:rPr>
          <w:bCs/>
        </w:rPr>
        <w:t>PBAC in due course.</w:t>
      </w:r>
    </w:p>
    <w:sectPr w:rsidR="00FC4EB9" w:rsidRPr="005500F7"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1A4E7" w14:textId="77777777" w:rsidR="008B43B4" w:rsidRDefault="008B43B4" w:rsidP="00124A51">
      <w:r>
        <w:separator/>
      </w:r>
    </w:p>
    <w:p w14:paraId="71500529" w14:textId="77777777" w:rsidR="008B43B4" w:rsidRDefault="008B43B4"/>
  </w:endnote>
  <w:endnote w:type="continuationSeparator" w:id="0">
    <w:p w14:paraId="0DE59BF8" w14:textId="77777777" w:rsidR="008B43B4" w:rsidRDefault="008B43B4" w:rsidP="00124A51">
      <w:r>
        <w:continuationSeparator/>
      </w:r>
    </w:p>
    <w:p w14:paraId="3C9D344A" w14:textId="77777777" w:rsidR="008B43B4" w:rsidRDefault="008B43B4"/>
  </w:endnote>
  <w:endnote w:type="continuationNotice" w:id="1">
    <w:p w14:paraId="7066F03E" w14:textId="77777777" w:rsidR="008B43B4" w:rsidRDefault="008B4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Sabon">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351D" w14:textId="03776662" w:rsidR="00362237" w:rsidRDefault="006F4FFF">
    <w:pPr>
      <w:pStyle w:val="Footer"/>
    </w:pPr>
    <w:r>
      <w:rPr>
        <w:noProof/>
      </w:rPr>
      <mc:AlternateContent>
        <mc:Choice Requires="wps">
          <w:drawing>
            <wp:anchor distT="0" distB="0" distL="0" distR="0" simplePos="0" relativeHeight="251658244" behindDoc="0" locked="0" layoutInCell="1" allowOverlap="1" wp14:anchorId="169F7307" wp14:editId="26AC4029">
              <wp:simplePos x="635" y="635"/>
              <wp:positionH relativeFrom="page">
                <wp:align>center</wp:align>
              </wp:positionH>
              <wp:positionV relativeFrom="page">
                <wp:align>bottom</wp:align>
              </wp:positionV>
              <wp:extent cx="622300" cy="376555"/>
              <wp:effectExtent l="0" t="0" r="6350" b="0"/>
              <wp:wrapNone/>
              <wp:docPr id="157157936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92DABC" w14:textId="50DE3656"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9F7307"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29.65pt;z-index:2516817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492DABC" w14:textId="50DE3656"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82E2" w14:textId="0A055233" w:rsidR="00192E24" w:rsidRDefault="006F4FFF">
    <w:pPr>
      <w:pStyle w:val="Footer"/>
      <w:jc w:val="center"/>
    </w:pPr>
    <w:r>
      <w:rPr>
        <w:noProof/>
      </w:rPr>
      <mc:AlternateContent>
        <mc:Choice Requires="wps">
          <w:drawing>
            <wp:anchor distT="0" distB="0" distL="0" distR="0" simplePos="0" relativeHeight="251658245" behindDoc="0" locked="0" layoutInCell="1" allowOverlap="1" wp14:anchorId="092F1A84" wp14:editId="2BE33B8F">
              <wp:simplePos x="635" y="635"/>
              <wp:positionH relativeFrom="page">
                <wp:align>center</wp:align>
              </wp:positionH>
              <wp:positionV relativeFrom="page">
                <wp:align>bottom</wp:align>
              </wp:positionV>
              <wp:extent cx="622300" cy="376555"/>
              <wp:effectExtent l="0" t="0" r="6350" b="0"/>
              <wp:wrapNone/>
              <wp:docPr id="184073039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2E9F98" w14:textId="1FAD596C"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2F1A84"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8282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82E9F98" w14:textId="1FAD596C"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p>
  <w:p w14:paraId="3B38E72B" w14:textId="3D5DCD1A" w:rsidR="00192E24" w:rsidRPr="00C32012" w:rsidRDefault="00000000" w:rsidP="007A0D66">
    <w:pPr>
      <w:pStyle w:val="Footer"/>
      <w:jc w:val="center"/>
      <w:rPr>
        <w:b/>
      </w:rPr>
    </w:pPr>
    <w:sdt>
      <w:sdtPr>
        <w:id w:val="-1734993492"/>
        <w:docPartObj>
          <w:docPartGallery w:val="Page Numbers (Bottom of Page)"/>
          <w:docPartUnique/>
        </w:docPartObj>
      </w:sdtPr>
      <w:sdtEndPr>
        <w:rPr>
          <w:noProof/>
        </w:rPr>
      </w:sdtEndPr>
      <w:sdtContent>
        <w:r w:rsidR="00192E24" w:rsidRPr="00C32012">
          <w:rPr>
            <w:b/>
          </w:rPr>
          <w:fldChar w:fldCharType="begin"/>
        </w:r>
        <w:r w:rsidR="00192E24" w:rsidRPr="00C32012">
          <w:rPr>
            <w:b/>
          </w:rPr>
          <w:instrText xml:space="preserve"> PAGE   \* MERGEFORMAT </w:instrText>
        </w:r>
        <w:r w:rsidR="00192E24" w:rsidRPr="00C32012">
          <w:rPr>
            <w:b/>
          </w:rPr>
          <w:fldChar w:fldCharType="separate"/>
        </w:r>
        <w:r w:rsidR="00192E24">
          <w:rPr>
            <w:b/>
            <w:noProof/>
          </w:rPr>
          <w:t>1</w:t>
        </w:r>
        <w:r w:rsidR="00192E24" w:rsidRPr="00C32012">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6AAB" w14:textId="39F790F4" w:rsidR="00362237" w:rsidRDefault="006F4FFF">
    <w:pPr>
      <w:pStyle w:val="Footer"/>
    </w:pPr>
    <w:r>
      <w:rPr>
        <w:noProof/>
      </w:rPr>
      <mc:AlternateContent>
        <mc:Choice Requires="wps">
          <w:drawing>
            <wp:anchor distT="0" distB="0" distL="0" distR="0" simplePos="0" relativeHeight="251658243" behindDoc="0" locked="0" layoutInCell="1" allowOverlap="1" wp14:anchorId="6980A460" wp14:editId="4EF8BE91">
              <wp:simplePos x="635" y="635"/>
              <wp:positionH relativeFrom="page">
                <wp:align>center</wp:align>
              </wp:positionH>
              <wp:positionV relativeFrom="page">
                <wp:align>bottom</wp:align>
              </wp:positionV>
              <wp:extent cx="622300" cy="376555"/>
              <wp:effectExtent l="0" t="0" r="6350" b="0"/>
              <wp:wrapNone/>
              <wp:docPr id="148435124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A73900" w14:textId="6042889E"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80A460"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807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EA73900" w14:textId="6042889E"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5F9B" w14:textId="77777777" w:rsidR="008B43B4" w:rsidRDefault="008B43B4" w:rsidP="00124A51">
      <w:r>
        <w:separator/>
      </w:r>
    </w:p>
    <w:p w14:paraId="684B8636" w14:textId="77777777" w:rsidR="008B43B4" w:rsidRDefault="008B43B4"/>
  </w:footnote>
  <w:footnote w:type="continuationSeparator" w:id="0">
    <w:p w14:paraId="30F5CC6C" w14:textId="77777777" w:rsidR="008B43B4" w:rsidRDefault="008B43B4" w:rsidP="00124A51">
      <w:r>
        <w:continuationSeparator/>
      </w:r>
    </w:p>
    <w:p w14:paraId="60B01184" w14:textId="77777777" w:rsidR="008B43B4" w:rsidRDefault="008B43B4"/>
  </w:footnote>
  <w:footnote w:type="continuationNotice" w:id="1">
    <w:p w14:paraId="65E3BA54" w14:textId="77777777" w:rsidR="008B43B4" w:rsidRDefault="008B4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B866" w14:textId="15075ADA" w:rsidR="00362237" w:rsidRDefault="006F4FFF">
    <w:pPr>
      <w:pStyle w:val="Header"/>
    </w:pPr>
    <w:r>
      <w:rPr>
        <w:noProof/>
      </w:rPr>
      <mc:AlternateContent>
        <mc:Choice Requires="wps">
          <w:drawing>
            <wp:anchor distT="0" distB="0" distL="0" distR="0" simplePos="0" relativeHeight="251658241" behindDoc="0" locked="0" layoutInCell="1" allowOverlap="1" wp14:anchorId="56350BA6" wp14:editId="69CB14CE">
              <wp:simplePos x="635" y="635"/>
              <wp:positionH relativeFrom="page">
                <wp:align>center</wp:align>
              </wp:positionH>
              <wp:positionV relativeFrom="page">
                <wp:align>top</wp:align>
              </wp:positionV>
              <wp:extent cx="622300" cy="376555"/>
              <wp:effectExtent l="0" t="0" r="6350" b="4445"/>
              <wp:wrapNone/>
              <wp:docPr id="79598336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B3E940" w14:textId="6B07F15F"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350BA6"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787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2B3E940" w14:textId="6B07F15F"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7FEE" w14:textId="65F337F3" w:rsidR="00192E24" w:rsidRPr="00056684" w:rsidRDefault="006F4FFF" w:rsidP="00C32012">
    <w:pPr>
      <w:pStyle w:val="Header"/>
      <w:keepNext/>
      <w:ind w:left="360"/>
      <w:jc w:val="cent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8242" behindDoc="0" locked="0" layoutInCell="1" allowOverlap="1" wp14:anchorId="3EB664F5" wp14:editId="61B18CCF">
              <wp:simplePos x="635" y="635"/>
              <wp:positionH relativeFrom="page">
                <wp:align>center</wp:align>
              </wp:positionH>
              <wp:positionV relativeFrom="page">
                <wp:align>top</wp:align>
              </wp:positionV>
              <wp:extent cx="622300" cy="376555"/>
              <wp:effectExtent l="0" t="0" r="6350" b="4445"/>
              <wp:wrapNone/>
              <wp:docPr id="121048073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CE2436" w14:textId="60501DBB"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664F5"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797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5CE2436" w14:textId="60501DBB"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r w:rsidR="00003A7A">
      <w:rPr>
        <w:rFonts w:asciiTheme="minorHAnsi" w:hAnsiTheme="minorHAnsi"/>
        <w:i/>
        <w:color w:val="808080"/>
      </w:rPr>
      <w:t>Public Summary Document</w:t>
    </w:r>
    <w:r w:rsidR="00192E24" w:rsidRPr="00056684">
      <w:rPr>
        <w:rFonts w:asciiTheme="minorHAnsi" w:hAnsiTheme="minorHAnsi"/>
        <w:i/>
        <w:color w:val="808080"/>
      </w:rPr>
      <w:t xml:space="preserve"> – </w:t>
    </w:r>
    <w:r w:rsidR="00192E24">
      <w:rPr>
        <w:rFonts w:asciiTheme="minorHAnsi" w:hAnsiTheme="minorHAnsi"/>
        <w:i/>
        <w:color w:val="808080"/>
      </w:rPr>
      <w:t>March 2022</w:t>
    </w:r>
    <w:r w:rsidR="00192E24" w:rsidRPr="00056684">
      <w:rPr>
        <w:rFonts w:asciiTheme="minorHAnsi" w:hAnsiTheme="minorHAnsi"/>
        <w:i/>
        <w:color w:val="808080"/>
      </w:rPr>
      <w:t xml:space="preserve"> PBAC Meeting</w:t>
    </w:r>
    <w:r w:rsidR="006C4C31">
      <w:rPr>
        <w:rFonts w:asciiTheme="minorHAnsi" w:hAnsiTheme="minorHAnsi"/>
        <w:i/>
        <w:color w:val="808080"/>
      </w:rPr>
      <w:t xml:space="preserve"> with </w:t>
    </w:r>
    <w:r w:rsidR="00F6575B">
      <w:rPr>
        <w:rFonts w:asciiTheme="minorHAnsi" w:hAnsiTheme="minorHAnsi"/>
        <w:i/>
        <w:color w:val="808080"/>
      </w:rPr>
      <w:t xml:space="preserve">May 2026 </w:t>
    </w:r>
    <w:r w:rsidR="006C4C31">
      <w:rPr>
        <w:rFonts w:asciiTheme="minorHAnsi" w:hAnsiTheme="minorHAnsi"/>
        <w:i/>
        <w:color w:val="808080"/>
      </w:rPr>
      <w:t>Addendum</w:t>
    </w:r>
  </w:p>
  <w:p w14:paraId="5E83BD6D" w14:textId="77777777" w:rsidR="00192E24" w:rsidRDefault="00192E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A3AE" w14:textId="2BA7E843" w:rsidR="00362237" w:rsidRDefault="006F4FFF">
    <w:pPr>
      <w:pStyle w:val="Header"/>
    </w:pPr>
    <w:r>
      <w:rPr>
        <w:noProof/>
      </w:rPr>
      <mc:AlternateContent>
        <mc:Choice Requires="wps">
          <w:drawing>
            <wp:anchor distT="0" distB="0" distL="0" distR="0" simplePos="0" relativeHeight="251658240" behindDoc="0" locked="0" layoutInCell="1" allowOverlap="1" wp14:anchorId="63862668" wp14:editId="6E3D9666">
              <wp:simplePos x="635" y="635"/>
              <wp:positionH relativeFrom="page">
                <wp:align>center</wp:align>
              </wp:positionH>
              <wp:positionV relativeFrom="page">
                <wp:align>top</wp:align>
              </wp:positionV>
              <wp:extent cx="622300" cy="376555"/>
              <wp:effectExtent l="0" t="0" r="6350" b="4445"/>
              <wp:wrapNone/>
              <wp:docPr id="201925515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EF5969" w14:textId="2E45E8E3"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62668"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7770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9EF5969" w14:textId="2E45E8E3" w:rsidR="006F4FFF" w:rsidRPr="006F4FFF" w:rsidRDefault="006F4FFF" w:rsidP="006F4FFF">
                    <w:pPr>
                      <w:rPr>
                        <w:rFonts w:ascii="Aptos" w:eastAsia="Aptos" w:hAnsi="Aptos" w:cs="Aptos"/>
                        <w:noProof/>
                        <w:color w:val="FF0000"/>
                      </w:rPr>
                    </w:pPr>
                    <w:r w:rsidRPr="006F4FF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84E0D"/>
    <w:multiLevelType w:val="hybridMultilevel"/>
    <w:tmpl w:val="35F42D6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BE2D9B"/>
    <w:multiLevelType w:val="hybridMultilevel"/>
    <w:tmpl w:val="9656006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36657491"/>
    <w:multiLevelType w:val="hybridMultilevel"/>
    <w:tmpl w:val="521C94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EC6B42"/>
    <w:multiLevelType w:val="multilevel"/>
    <w:tmpl w:val="F33604F4"/>
    <w:lvl w:ilvl="0">
      <w:start w:val="1"/>
      <w:numFmt w:val="decimal"/>
      <w:lvlText w:val="%1"/>
      <w:lvlJc w:val="left"/>
      <w:pPr>
        <w:ind w:left="720" w:hanging="720"/>
      </w:pPr>
      <w:rPr>
        <w:rFonts w:hint="default"/>
        <w:b/>
      </w:rPr>
    </w:lvl>
    <w:lvl w:ilvl="1">
      <w:start w:val="1"/>
      <w:numFmt w:val="bullet"/>
      <w:lvlText w:val=""/>
      <w:lvlJc w:val="left"/>
      <w:pPr>
        <w:ind w:left="1418" w:hanging="851"/>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086948"/>
    <w:multiLevelType w:val="hybridMultilevel"/>
    <w:tmpl w:val="5AD2B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1824176">
    <w:abstractNumId w:val="6"/>
  </w:num>
  <w:num w:numId="2" w16cid:durableId="71897264">
    <w:abstractNumId w:val="4"/>
  </w:num>
  <w:num w:numId="3" w16cid:durableId="1529946214">
    <w:abstractNumId w:val="0"/>
  </w:num>
  <w:num w:numId="4" w16cid:durableId="832987286">
    <w:abstractNumId w:val="5"/>
  </w:num>
  <w:num w:numId="5" w16cid:durableId="265232209">
    <w:abstractNumId w:val="3"/>
  </w:num>
  <w:num w:numId="6" w16cid:durableId="324600854">
    <w:abstractNumId w:val="1"/>
  </w:num>
  <w:num w:numId="7" w16cid:durableId="1528761423">
    <w:abstractNumId w:val="7"/>
  </w:num>
  <w:num w:numId="8" w16cid:durableId="1164932914">
    <w:abstractNumId w:val="2"/>
  </w:num>
  <w:num w:numId="9" w16cid:durableId="621498415">
    <w:abstractNumId w:val="6"/>
  </w:num>
  <w:num w:numId="10" w16cid:durableId="167244424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C22"/>
    <w:rsid w:val="00000EBD"/>
    <w:rsid w:val="0000110B"/>
    <w:rsid w:val="000019A6"/>
    <w:rsid w:val="00001A2F"/>
    <w:rsid w:val="00003499"/>
    <w:rsid w:val="0000399A"/>
    <w:rsid w:val="000039B7"/>
    <w:rsid w:val="00003A7A"/>
    <w:rsid w:val="00003ED8"/>
    <w:rsid w:val="00004B3F"/>
    <w:rsid w:val="00004B44"/>
    <w:rsid w:val="00004DB5"/>
    <w:rsid w:val="0000519A"/>
    <w:rsid w:val="000051D9"/>
    <w:rsid w:val="0000539B"/>
    <w:rsid w:val="0000639A"/>
    <w:rsid w:val="00006E8F"/>
    <w:rsid w:val="000079F2"/>
    <w:rsid w:val="00010F1A"/>
    <w:rsid w:val="00012611"/>
    <w:rsid w:val="000129CB"/>
    <w:rsid w:val="00012CB5"/>
    <w:rsid w:val="00013247"/>
    <w:rsid w:val="00013C11"/>
    <w:rsid w:val="00013E1D"/>
    <w:rsid w:val="00013F9E"/>
    <w:rsid w:val="0001541B"/>
    <w:rsid w:val="00015886"/>
    <w:rsid w:val="0001599A"/>
    <w:rsid w:val="00015C2A"/>
    <w:rsid w:val="00015F6E"/>
    <w:rsid w:val="0001615B"/>
    <w:rsid w:val="000162EF"/>
    <w:rsid w:val="000176FD"/>
    <w:rsid w:val="0002018B"/>
    <w:rsid w:val="00020653"/>
    <w:rsid w:val="000207C9"/>
    <w:rsid w:val="00020CC9"/>
    <w:rsid w:val="0002163F"/>
    <w:rsid w:val="00021A9D"/>
    <w:rsid w:val="00021BE4"/>
    <w:rsid w:val="0002225F"/>
    <w:rsid w:val="00022569"/>
    <w:rsid w:val="000227DF"/>
    <w:rsid w:val="00022CF1"/>
    <w:rsid w:val="000230DE"/>
    <w:rsid w:val="00023763"/>
    <w:rsid w:val="00024567"/>
    <w:rsid w:val="00024998"/>
    <w:rsid w:val="00024CBD"/>
    <w:rsid w:val="00025F32"/>
    <w:rsid w:val="000262C6"/>
    <w:rsid w:val="00026740"/>
    <w:rsid w:val="00026DDA"/>
    <w:rsid w:val="00026E9B"/>
    <w:rsid w:val="000273FB"/>
    <w:rsid w:val="000274B8"/>
    <w:rsid w:val="00030511"/>
    <w:rsid w:val="00030B13"/>
    <w:rsid w:val="00030C47"/>
    <w:rsid w:val="00030F0A"/>
    <w:rsid w:val="00031608"/>
    <w:rsid w:val="000318B8"/>
    <w:rsid w:val="00031C19"/>
    <w:rsid w:val="00032021"/>
    <w:rsid w:val="00032AC2"/>
    <w:rsid w:val="00032C78"/>
    <w:rsid w:val="0003314C"/>
    <w:rsid w:val="0003344B"/>
    <w:rsid w:val="000335FD"/>
    <w:rsid w:val="00033863"/>
    <w:rsid w:val="00033910"/>
    <w:rsid w:val="000339C4"/>
    <w:rsid w:val="00033B40"/>
    <w:rsid w:val="0003415B"/>
    <w:rsid w:val="00034400"/>
    <w:rsid w:val="00035DC0"/>
    <w:rsid w:val="00036829"/>
    <w:rsid w:val="00037364"/>
    <w:rsid w:val="00037376"/>
    <w:rsid w:val="00037416"/>
    <w:rsid w:val="00040600"/>
    <w:rsid w:val="00040825"/>
    <w:rsid w:val="00040895"/>
    <w:rsid w:val="000416B3"/>
    <w:rsid w:val="000417C0"/>
    <w:rsid w:val="00041953"/>
    <w:rsid w:val="000423FA"/>
    <w:rsid w:val="00043261"/>
    <w:rsid w:val="000435EE"/>
    <w:rsid w:val="00043C37"/>
    <w:rsid w:val="00043CCB"/>
    <w:rsid w:val="00043D87"/>
    <w:rsid w:val="000447BC"/>
    <w:rsid w:val="00044B8C"/>
    <w:rsid w:val="00044F2E"/>
    <w:rsid w:val="00045017"/>
    <w:rsid w:val="00045A2B"/>
    <w:rsid w:val="00045D9D"/>
    <w:rsid w:val="00046042"/>
    <w:rsid w:val="000464D8"/>
    <w:rsid w:val="0004698F"/>
    <w:rsid w:val="00046E96"/>
    <w:rsid w:val="0004702D"/>
    <w:rsid w:val="00047964"/>
    <w:rsid w:val="000479AA"/>
    <w:rsid w:val="00047A51"/>
    <w:rsid w:val="00047AC9"/>
    <w:rsid w:val="00047C4F"/>
    <w:rsid w:val="0005022D"/>
    <w:rsid w:val="000503B2"/>
    <w:rsid w:val="00050B1D"/>
    <w:rsid w:val="00051C6F"/>
    <w:rsid w:val="0005213F"/>
    <w:rsid w:val="00052168"/>
    <w:rsid w:val="00052CB8"/>
    <w:rsid w:val="000535A3"/>
    <w:rsid w:val="000535E9"/>
    <w:rsid w:val="000539D0"/>
    <w:rsid w:val="00053A47"/>
    <w:rsid w:val="0005456D"/>
    <w:rsid w:val="00054621"/>
    <w:rsid w:val="000546D7"/>
    <w:rsid w:val="000547AC"/>
    <w:rsid w:val="00054A15"/>
    <w:rsid w:val="00054B61"/>
    <w:rsid w:val="00055450"/>
    <w:rsid w:val="0005552C"/>
    <w:rsid w:val="0005597B"/>
    <w:rsid w:val="000559A6"/>
    <w:rsid w:val="00055A0D"/>
    <w:rsid w:val="00055C5B"/>
    <w:rsid w:val="00055F9B"/>
    <w:rsid w:val="00056262"/>
    <w:rsid w:val="00056600"/>
    <w:rsid w:val="00056C68"/>
    <w:rsid w:val="00056ECF"/>
    <w:rsid w:val="0005703E"/>
    <w:rsid w:val="0005742A"/>
    <w:rsid w:val="000575BF"/>
    <w:rsid w:val="00057975"/>
    <w:rsid w:val="00057ABC"/>
    <w:rsid w:val="0006003F"/>
    <w:rsid w:val="00060273"/>
    <w:rsid w:val="000604DF"/>
    <w:rsid w:val="00060763"/>
    <w:rsid w:val="00060DD6"/>
    <w:rsid w:val="00060E80"/>
    <w:rsid w:val="000610E3"/>
    <w:rsid w:val="000620E8"/>
    <w:rsid w:val="000621AC"/>
    <w:rsid w:val="00062457"/>
    <w:rsid w:val="000635B0"/>
    <w:rsid w:val="00063C41"/>
    <w:rsid w:val="0006406E"/>
    <w:rsid w:val="00064514"/>
    <w:rsid w:val="00064A52"/>
    <w:rsid w:val="00064AF3"/>
    <w:rsid w:val="000653B5"/>
    <w:rsid w:val="00065671"/>
    <w:rsid w:val="00065AC0"/>
    <w:rsid w:val="00065F81"/>
    <w:rsid w:val="00066360"/>
    <w:rsid w:val="000663A9"/>
    <w:rsid w:val="00066AF8"/>
    <w:rsid w:val="00066B25"/>
    <w:rsid w:val="00066D88"/>
    <w:rsid w:val="00066F9D"/>
    <w:rsid w:val="00066FB2"/>
    <w:rsid w:val="00067039"/>
    <w:rsid w:val="000671C3"/>
    <w:rsid w:val="0006773A"/>
    <w:rsid w:val="0006782B"/>
    <w:rsid w:val="0007014E"/>
    <w:rsid w:val="00070411"/>
    <w:rsid w:val="00070528"/>
    <w:rsid w:val="00070933"/>
    <w:rsid w:val="00070BD3"/>
    <w:rsid w:val="00070F26"/>
    <w:rsid w:val="00071248"/>
    <w:rsid w:val="00071538"/>
    <w:rsid w:val="0007198A"/>
    <w:rsid w:val="0007205C"/>
    <w:rsid w:val="000720B9"/>
    <w:rsid w:val="00072562"/>
    <w:rsid w:val="00073387"/>
    <w:rsid w:val="0007347E"/>
    <w:rsid w:val="000737F7"/>
    <w:rsid w:val="000738F3"/>
    <w:rsid w:val="00074A4B"/>
    <w:rsid w:val="00074BEA"/>
    <w:rsid w:val="0007530A"/>
    <w:rsid w:val="00075BB0"/>
    <w:rsid w:val="00075D48"/>
    <w:rsid w:val="0007672F"/>
    <w:rsid w:val="000768E0"/>
    <w:rsid w:val="0007690A"/>
    <w:rsid w:val="000769F0"/>
    <w:rsid w:val="00076B24"/>
    <w:rsid w:val="00076B54"/>
    <w:rsid w:val="00076D6A"/>
    <w:rsid w:val="00076DE1"/>
    <w:rsid w:val="0007731C"/>
    <w:rsid w:val="000774F0"/>
    <w:rsid w:val="000800FA"/>
    <w:rsid w:val="0008011D"/>
    <w:rsid w:val="000804C8"/>
    <w:rsid w:val="00080909"/>
    <w:rsid w:val="000812CA"/>
    <w:rsid w:val="00081B2E"/>
    <w:rsid w:val="00081C46"/>
    <w:rsid w:val="00081E63"/>
    <w:rsid w:val="0008218D"/>
    <w:rsid w:val="0008258D"/>
    <w:rsid w:val="000828DE"/>
    <w:rsid w:val="0008321B"/>
    <w:rsid w:val="000835FB"/>
    <w:rsid w:val="00083981"/>
    <w:rsid w:val="00083E99"/>
    <w:rsid w:val="0008452B"/>
    <w:rsid w:val="0008456D"/>
    <w:rsid w:val="00084DB3"/>
    <w:rsid w:val="00084FA8"/>
    <w:rsid w:val="000850C5"/>
    <w:rsid w:val="000856C5"/>
    <w:rsid w:val="000859B3"/>
    <w:rsid w:val="00085C31"/>
    <w:rsid w:val="00085CEE"/>
    <w:rsid w:val="00085F75"/>
    <w:rsid w:val="00090291"/>
    <w:rsid w:val="0009029B"/>
    <w:rsid w:val="000902D9"/>
    <w:rsid w:val="000909DA"/>
    <w:rsid w:val="00090C7E"/>
    <w:rsid w:val="00090F52"/>
    <w:rsid w:val="00090FA1"/>
    <w:rsid w:val="00091201"/>
    <w:rsid w:val="000912AC"/>
    <w:rsid w:val="00091505"/>
    <w:rsid w:val="00091BBC"/>
    <w:rsid w:val="00091CCB"/>
    <w:rsid w:val="00092600"/>
    <w:rsid w:val="0009262B"/>
    <w:rsid w:val="00092736"/>
    <w:rsid w:val="000928F5"/>
    <w:rsid w:val="00092A11"/>
    <w:rsid w:val="00092F0C"/>
    <w:rsid w:val="00093294"/>
    <w:rsid w:val="00093310"/>
    <w:rsid w:val="000937CD"/>
    <w:rsid w:val="00093B4A"/>
    <w:rsid w:val="00093EF2"/>
    <w:rsid w:val="0009445C"/>
    <w:rsid w:val="00094476"/>
    <w:rsid w:val="00094A99"/>
    <w:rsid w:val="00094FD0"/>
    <w:rsid w:val="00095200"/>
    <w:rsid w:val="000954E2"/>
    <w:rsid w:val="0009567B"/>
    <w:rsid w:val="00095B31"/>
    <w:rsid w:val="00095C97"/>
    <w:rsid w:val="00095FE5"/>
    <w:rsid w:val="00096284"/>
    <w:rsid w:val="000964DE"/>
    <w:rsid w:val="0009756E"/>
    <w:rsid w:val="000977E4"/>
    <w:rsid w:val="000A008D"/>
    <w:rsid w:val="000A044F"/>
    <w:rsid w:val="000A06F6"/>
    <w:rsid w:val="000A0AF9"/>
    <w:rsid w:val="000A143D"/>
    <w:rsid w:val="000A1BC0"/>
    <w:rsid w:val="000A1C60"/>
    <w:rsid w:val="000A1DA0"/>
    <w:rsid w:val="000A25A2"/>
    <w:rsid w:val="000A2A56"/>
    <w:rsid w:val="000A42D5"/>
    <w:rsid w:val="000A5361"/>
    <w:rsid w:val="000A596C"/>
    <w:rsid w:val="000A5AB9"/>
    <w:rsid w:val="000A5B51"/>
    <w:rsid w:val="000A6039"/>
    <w:rsid w:val="000A68A9"/>
    <w:rsid w:val="000A6B7A"/>
    <w:rsid w:val="000A6F52"/>
    <w:rsid w:val="000A7332"/>
    <w:rsid w:val="000A7453"/>
    <w:rsid w:val="000A7534"/>
    <w:rsid w:val="000A762F"/>
    <w:rsid w:val="000A77FC"/>
    <w:rsid w:val="000A7845"/>
    <w:rsid w:val="000A7970"/>
    <w:rsid w:val="000A7D08"/>
    <w:rsid w:val="000A7F47"/>
    <w:rsid w:val="000B0121"/>
    <w:rsid w:val="000B0390"/>
    <w:rsid w:val="000B0670"/>
    <w:rsid w:val="000B0E75"/>
    <w:rsid w:val="000B102E"/>
    <w:rsid w:val="000B1250"/>
    <w:rsid w:val="000B130D"/>
    <w:rsid w:val="000B16B5"/>
    <w:rsid w:val="000B19BD"/>
    <w:rsid w:val="000B2931"/>
    <w:rsid w:val="000B2C72"/>
    <w:rsid w:val="000B2DCB"/>
    <w:rsid w:val="000B2F4C"/>
    <w:rsid w:val="000B4643"/>
    <w:rsid w:val="000B5CE0"/>
    <w:rsid w:val="000B5ECE"/>
    <w:rsid w:val="000B624B"/>
    <w:rsid w:val="000B63E1"/>
    <w:rsid w:val="000B650A"/>
    <w:rsid w:val="000B653D"/>
    <w:rsid w:val="000B6CAC"/>
    <w:rsid w:val="000B6D86"/>
    <w:rsid w:val="000B73EC"/>
    <w:rsid w:val="000B7612"/>
    <w:rsid w:val="000B7707"/>
    <w:rsid w:val="000B7851"/>
    <w:rsid w:val="000B78AE"/>
    <w:rsid w:val="000C0292"/>
    <w:rsid w:val="000C030A"/>
    <w:rsid w:val="000C091C"/>
    <w:rsid w:val="000C0B83"/>
    <w:rsid w:val="000C0E4D"/>
    <w:rsid w:val="000C180E"/>
    <w:rsid w:val="000C22A1"/>
    <w:rsid w:val="000C2EC0"/>
    <w:rsid w:val="000C31AC"/>
    <w:rsid w:val="000C34B1"/>
    <w:rsid w:val="000C3818"/>
    <w:rsid w:val="000C3DB4"/>
    <w:rsid w:val="000C3DF9"/>
    <w:rsid w:val="000C410F"/>
    <w:rsid w:val="000C4232"/>
    <w:rsid w:val="000C4525"/>
    <w:rsid w:val="000C4A46"/>
    <w:rsid w:val="000C4EDA"/>
    <w:rsid w:val="000C4F06"/>
    <w:rsid w:val="000C50CF"/>
    <w:rsid w:val="000C5BC5"/>
    <w:rsid w:val="000C61B1"/>
    <w:rsid w:val="000C6499"/>
    <w:rsid w:val="000C64E4"/>
    <w:rsid w:val="000C6713"/>
    <w:rsid w:val="000C6F9A"/>
    <w:rsid w:val="000C7193"/>
    <w:rsid w:val="000C7857"/>
    <w:rsid w:val="000C7E42"/>
    <w:rsid w:val="000D045F"/>
    <w:rsid w:val="000D059B"/>
    <w:rsid w:val="000D0754"/>
    <w:rsid w:val="000D0C42"/>
    <w:rsid w:val="000D0F4A"/>
    <w:rsid w:val="000D1565"/>
    <w:rsid w:val="000D1662"/>
    <w:rsid w:val="000D1BFC"/>
    <w:rsid w:val="000D1D5D"/>
    <w:rsid w:val="000D262D"/>
    <w:rsid w:val="000D263C"/>
    <w:rsid w:val="000D281A"/>
    <w:rsid w:val="000D2848"/>
    <w:rsid w:val="000D2AA0"/>
    <w:rsid w:val="000D326A"/>
    <w:rsid w:val="000D337D"/>
    <w:rsid w:val="000D3451"/>
    <w:rsid w:val="000D3ABA"/>
    <w:rsid w:val="000D3D61"/>
    <w:rsid w:val="000D51FB"/>
    <w:rsid w:val="000D55DE"/>
    <w:rsid w:val="000D57AA"/>
    <w:rsid w:val="000D6668"/>
    <w:rsid w:val="000D678F"/>
    <w:rsid w:val="000D6E34"/>
    <w:rsid w:val="000D7265"/>
    <w:rsid w:val="000D7485"/>
    <w:rsid w:val="000E0640"/>
    <w:rsid w:val="000E091C"/>
    <w:rsid w:val="000E12D3"/>
    <w:rsid w:val="000E135D"/>
    <w:rsid w:val="000E14CB"/>
    <w:rsid w:val="000E1A2B"/>
    <w:rsid w:val="000E1BC0"/>
    <w:rsid w:val="000E1FDE"/>
    <w:rsid w:val="000E3EB3"/>
    <w:rsid w:val="000E47A1"/>
    <w:rsid w:val="000E5132"/>
    <w:rsid w:val="000E5267"/>
    <w:rsid w:val="000E52AE"/>
    <w:rsid w:val="000E5AF1"/>
    <w:rsid w:val="000E5DE5"/>
    <w:rsid w:val="000E6385"/>
    <w:rsid w:val="000E65DA"/>
    <w:rsid w:val="000E6863"/>
    <w:rsid w:val="000E68E5"/>
    <w:rsid w:val="000E696C"/>
    <w:rsid w:val="000E6BB3"/>
    <w:rsid w:val="000E6BBB"/>
    <w:rsid w:val="000E6C29"/>
    <w:rsid w:val="000E6EB7"/>
    <w:rsid w:val="000E7C43"/>
    <w:rsid w:val="000E7ECC"/>
    <w:rsid w:val="000F00BA"/>
    <w:rsid w:val="000F014C"/>
    <w:rsid w:val="000F0180"/>
    <w:rsid w:val="000F0251"/>
    <w:rsid w:val="000F0997"/>
    <w:rsid w:val="000F1175"/>
    <w:rsid w:val="000F14C9"/>
    <w:rsid w:val="000F15A8"/>
    <w:rsid w:val="000F178B"/>
    <w:rsid w:val="000F229E"/>
    <w:rsid w:val="000F2C08"/>
    <w:rsid w:val="000F2DE8"/>
    <w:rsid w:val="000F2FAC"/>
    <w:rsid w:val="000F316A"/>
    <w:rsid w:val="000F3C74"/>
    <w:rsid w:val="000F4BB8"/>
    <w:rsid w:val="000F4D0A"/>
    <w:rsid w:val="000F4FA9"/>
    <w:rsid w:val="000F50BD"/>
    <w:rsid w:val="000F520E"/>
    <w:rsid w:val="000F53AA"/>
    <w:rsid w:val="000F53FB"/>
    <w:rsid w:val="000F5A16"/>
    <w:rsid w:val="000F5B6A"/>
    <w:rsid w:val="000F5FC1"/>
    <w:rsid w:val="000F6197"/>
    <w:rsid w:val="000F69CE"/>
    <w:rsid w:val="000F69F4"/>
    <w:rsid w:val="000F6D07"/>
    <w:rsid w:val="000F7127"/>
    <w:rsid w:val="000F77B3"/>
    <w:rsid w:val="000F7867"/>
    <w:rsid w:val="000F7B54"/>
    <w:rsid w:val="000F7B96"/>
    <w:rsid w:val="000F7DF9"/>
    <w:rsid w:val="000F7F3F"/>
    <w:rsid w:val="0010075B"/>
    <w:rsid w:val="00100F8A"/>
    <w:rsid w:val="00100FC4"/>
    <w:rsid w:val="0010111D"/>
    <w:rsid w:val="0010134E"/>
    <w:rsid w:val="00101A50"/>
    <w:rsid w:val="00101EE7"/>
    <w:rsid w:val="00102007"/>
    <w:rsid w:val="001020CC"/>
    <w:rsid w:val="001028D4"/>
    <w:rsid w:val="00102959"/>
    <w:rsid w:val="00102EBB"/>
    <w:rsid w:val="00103305"/>
    <w:rsid w:val="00103E13"/>
    <w:rsid w:val="0010452E"/>
    <w:rsid w:val="00104647"/>
    <w:rsid w:val="001050A3"/>
    <w:rsid w:val="0010599D"/>
    <w:rsid w:val="00105AE2"/>
    <w:rsid w:val="00105FEB"/>
    <w:rsid w:val="001060C6"/>
    <w:rsid w:val="00106569"/>
    <w:rsid w:val="00106B80"/>
    <w:rsid w:val="0010751D"/>
    <w:rsid w:val="0011032E"/>
    <w:rsid w:val="0011041D"/>
    <w:rsid w:val="001108C6"/>
    <w:rsid w:val="001108CD"/>
    <w:rsid w:val="00111571"/>
    <w:rsid w:val="00112422"/>
    <w:rsid w:val="001129AE"/>
    <w:rsid w:val="00112F86"/>
    <w:rsid w:val="0011307E"/>
    <w:rsid w:val="0011348B"/>
    <w:rsid w:val="0011375A"/>
    <w:rsid w:val="00114E61"/>
    <w:rsid w:val="00114FE1"/>
    <w:rsid w:val="00115273"/>
    <w:rsid w:val="001154A1"/>
    <w:rsid w:val="00115982"/>
    <w:rsid w:val="00116105"/>
    <w:rsid w:val="00116C53"/>
    <w:rsid w:val="00117164"/>
    <w:rsid w:val="00117A68"/>
    <w:rsid w:val="00120276"/>
    <w:rsid w:val="001202D0"/>
    <w:rsid w:val="00120373"/>
    <w:rsid w:val="001206ED"/>
    <w:rsid w:val="00120A0E"/>
    <w:rsid w:val="00120FCF"/>
    <w:rsid w:val="001211A2"/>
    <w:rsid w:val="001211D0"/>
    <w:rsid w:val="00121472"/>
    <w:rsid w:val="001214CF"/>
    <w:rsid w:val="00121799"/>
    <w:rsid w:val="00122131"/>
    <w:rsid w:val="001222FC"/>
    <w:rsid w:val="001225A9"/>
    <w:rsid w:val="00122986"/>
    <w:rsid w:val="001229DC"/>
    <w:rsid w:val="00123435"/>
    <w:rsid w:val="00123902"/>
    <w:rsid w:val="00123A6F"/>
    <w:rsid w:val="00123AB8"/>
    <w:rsid w:val="00124362"/>
    <w:rsid w:val="00124450"/>
    <w:rsid w:val="00124A51"/>
    <w:rsid w:val="00124DD3"/>
    <w:rsid w:val="0012511E"/>
    <w:rsid w:val="00125147"/>
    <w:rsid w:val="001257F6"/>
    <w:rsid w:val="00125900"/>
    <w:rsid w:val="0012592E"/>
    <w:rsid w:val="001261E0"/>
    <w:rsid w:val="00126621"/>
    <w:rsid w:val="001266BC"/>
    <w:rsid w:val="00126718"/>
    <w:rsid w:val="00126B1D"/>
    <w:rsid w:val="00126DDA"/>
    <w:rsid w:val="0012773B"/>
    <w:rsid w:val="00127C56"/>
    <w:rsid w:val="00127DC4"/>
    <w:rsid w:val="001301E9"/>
    <w:rsid w:val="00130429"/>
    <w:rsid w:val="001304F6"/>
    <w:rsid w:val="001310D9"/>
    <w:rsid w:val="00131186"/>
    <w:rsid w:val="00131454"/>
    <w:rsid w:val="00131D82"/>
    <w:rsid w:val="001323AC"/>
    <w:rsid w:val="00132692"/>
    <w:rsid w:val="001326C8"/>
    <w:rsid w:val="00132B22"/>
    <w:rsid w:val="00133555"/>
    <w:rsid w:val="00133D36"/>
    <w:rsid w:val="00134915"/>
    <w:rsid w:val="00134A19"/>
    <w:rsid w:val="00135013"/>
    <w:rsid w:val="00135E02"/>
    <w:rsid w:val="00136EAB"/>
    <w:rsid w:val="00136FE7"/>
    <w:rsid w:val="001373F0"/>
    <w:rsid w:val="00137645"/>
    <w:rsid w:val="00137F2E"/>
    <w:rsid w:val="00140044"/>
    <w:rsid w:val="0014015A"/>
    <w:rsid w:val="0014026D"/>
    <w:rsid w:val="00140650"/>
    <w:rsid w:val="0014085A"/>
    <w:rsid w:val="00140A3F"/>
    <w:rsid w:val="00140E99"/>
    <w:rsid w:val="00140F4D"/>
    <w:rsid w:val="00141416"/>
    <w:rsid w:val="00142206"/>
    <w:rsid w:val="00142220"/>
    <w:rsid w:val="001422B9"/>
    <w:rsid w:val="001426B5"/>
    <w:rsid w:val="00143093"/>
    <w:rsid w:val="00143F67"/>
    <w:rsid w:val="00144430"/>
    <w:rsid w:val="001444A4"/>
    <w:rsid w:val="001453D4"/>
    <w:rsid w:val="00145540"/>
    <w:rsid w:val="001456B0"/>
    <w:rsid w:val="00145782"/>
    <w:rsid w:val="00145DA0"/>
    <w:rsid w:val="00146555"/>
    <w:rsid w:val="00146A5A"/>
    <w:rsid w:val="00146BD6"/>
    <w:rsid w:val="001472A1"/>
    <w:rsid w:val="00147959"/>
    <w:rsid w:val="0015032E"/>
    <w:rsid w:val="001504BB"/>
    <w:rsid w:val="00150801"/>
    <w:rsid w:val="00150920"/>
    <w:rsid w:val="00150F42"/>
    <w:rsid w:val="0015234E"/>
    <w:rsid w:val="0015267F"/>
    <w:rsid w:val="001529E7"/>
    <w:rsid w:val="00152FDA"/>
    <w:rsid w:val="0015303A"/>
    <w:rsid w:val="0015318D"/>
    <w:rsid w:val="00153377"/>
    <w:rsid w:val="00153D6E"/>
    <w:rsid w:val="00154582"/>
    <w:rsid w:val="001549C1"/>
    <w:rsid w:val="00154E2E"/>
    <w:rsid w:val="001554DC"/>
    <w:rsid w:val="00155B47"/>
    <w:rsid w:val="00156C8E"/>
    <w:rsid w:val="00156F8F"/>
    <w:rsid w:val="00157130"/>
    <w:rsid w:val="001576B1"/>
    <w:rsid w:val="00157FAF"/>
    <w:rsid w:val="001600A6"/>
    <w:rsid w:val="001601AC"/>
    <w:rsid w:val="0016047B"/>
    <w:rsid w:val="00160A4C"/>
    <w:rsid w:val="00161375"/>
    <w:rsid w:val="0016258D"/>
    <w:rsid w:val="00162913"/>
    <w:rsid w:val="00162D7A"/>
    <w:rsid w:val="00163409"/>
    <w:rsid w:val="001638EB"/>
    <w:rsid w:val="00163987"/>
    <w:rsid w:val="00163EFF"/>
    <w:rsid w:val="00163F66"/>
    <w:rsid w:val="001642A4"/>
    <w:rsid w:val="00164A3F"/>
    <w:rsid w:val="00164C51"/>
    <w:rsid w:val="00164D70"/>
    <w:rsid w:val="001652BD"/>
    <w:rsid w:val="001661FB"/>
    <w:rsid w:val="00166D11"/>
    <w:rsid w:val="001671A0"/>
    <w:rsid w:val="001674E4"/>
    <w:rsid w:val="0016767F"/>
    <w:rsid w:val="0016772C"/>
    <w:rsid w:val="00170651"/>
    <w:rsid w:val="0017086B"/>
    <w:rsid w:val="00170921"/>
    <w:rsid w:val="0017105C"/>
    <w:rsid w:val="001710B4"/>
    <w:rsid w:val="0017155E"/>
    <w:rsid w:val="00171B2A"/>
    <w:rsid w:val="00171C7E"/>
    <w:rsid w:val="00171F3E"/>
    <w:rsid w:val="0017231E"/>
    <w:rsid w:val="00172763"/>
    <w:rsid w:val="00172D00"/>
    <w:rsid w:val="00172E9E"/>
    <w:rsid w:val="001732D3"/>
    <w:rsid w:val="0017332F"/>
    <w:rsid w:val="00173549"/>
    <w:rsid w:val="00173565"/>
    <w:rsid w:val="00173B07"/>
    <w:rsid w:val="00173BCB"/>
    <w:rsid w:val="00173EB9"/>
    <w:rsid w:val="00174087"/>
    <w:rsid w:val="001751FA"/>
    <w:rsid w:val="001753D0"/>
    <w:rsid w:val="00175A1D"/>
    <w:rsid w:val="00176119"/>
    <w:rsid w:val="00176274"/>
    <w:rsid w:val="00176336"/>
    <w:rsid w:val="0017672E"/>
    <w:rsid w:val="00176D1E"/>
    <w:rsid w:val="001774E3"/>
    <w:rsid w:val="00177B4F"/>
    <w:rsid w:val="00177EBF"/>
    <w:rsid w:val="0018032C"/>
    <w:rsid w:val="00180CC7"/>
    <w:rsid w:val="0018154E"/>
    <w:rsid w:val="00181B09"/>
    <w:rsid w:val="00181D9C"/>
    <w:rsid w:val="001820DB"/>
    <w:rsid w:val="0018288D"/>
    <w:rsid w:val="00183159"/>
    <w:rsid w:val="0018417B"/>
    <w:rsid w:val="00184851"/>
    <w:rsid w:val="001849FE"/>
    <w:rsid w:val="00184B0E"/>
    <w:rsid w:val="00185F77"/>
    <w:rsid w:val="00185FAB"/>
    <w:rsid w:val="0018734C"/>
    <w:rsid w:val="0018752F"/>
    <w:rsid w:val="00187D86"/>
    <w:rsid w:val="00187F2E"/>
    <w:rsid w:val="00190636"/>
    <w:rsid w:val="001909D2"/>
    <w:rsid w:val="00191379"/>
    <w:rsid w:val="001915E2"/>
    <w:rsid w:val="00191B98"/>
    <w:rsid w:val="00191FFA"/>
    <w:rsid w:val="00192680"/>
    <w:rsid w:val="00192E24"/>
    <w:rsid w:val="001933FA"/>
    <w:rsid w:val="0019362C"/>
    <w:rsid w:val="00193838"/>
    <w:rsid w:val="00193C07"/>
    <w:rsid w:val="00194268"/>
    <w:rsid w:val="00194592"/>
    <w:rsid w:val="00194AD8"/>
    <w:rsid w:val="00195222"/>
    <w:rsid w:val="00195396"/>
    <w:rsid w:val="0019633B"/>
    <w:rsid w:val="00196617"/>
    <w:rsid w:val="0019686D"/>
    <w:rsid w:val="00196CA8"/>
    <w:rsid w:val="001975D8"/>
    <w:rsid w:val="00197E18"/>
    <w:rsid w:val="001A00A7"/>
    <w:rsid w:val="001A082B"/>
    <w:rsid w:val="001A09BE"/>
    <w:rsid w:val="001A0A6C"/>
    <w:rsid w:val="001A0DB5"/>
    <w:rsid w:val="001A0FB8"/>
    <w:rsid w:val="001A1606"/>
    <w:rsid w:val="001A178E"/>
    <w:rsid w:val="001A17CA"/>
    <w:rsid w:val="001A1AC8"/>
    <w:rsid w:val="001A2DD6"/>
    <w:rsid w:val="001A35A3"/>
    <w:rsid w:val="001A37A4"/>
    <w:rsid w:val="001A3E21"/>
    <w:rsid w:val="001A3EBA"/>
    <w:rsid w:val="001A43FA"/>
    <w:rsid w:val="001A47C5"/>
    <w:rsid w:val="001A48EC"/>
    <w:rsid w:val="001A494F"/>
    <w:rsid w:val="001A59FB"/>
    <w:rsid w:val="001A5A28"/>
    <w:rsid w:val="001A5E9E"/>
    <w:rsid w:val="001A5FDA"/>
    <w:rsid w:val="001A6354"/>
    <w:rsid w:val="001A6366"/>
    <w:rsid w:val="001A65E1"/>
    <w:rsid w:val="001A67C0"/>
    <w:rsid w:val="001A681C"/>
    <w:rsid w:val="001A6E44"/>
    <w:rsid w:val="001A6FFC"/>
    <w:rsid w:val="001A793E"/>
    <w:rsid w:val="001A7AE8"/>
    <w:rsid w:val="001B009E"/>
    <w:rsid w:val="001B0887"/>
    <w:rsid w:val="001B1400"/>
    <w:rsid w:val="001B19E9"/>
    <w:rsid w:val="001B1A97"/>
    <w:rsid w:val="001B1AC4"/>
    <w:rsid w:val="001B1B7C"/>
    <w:rsid w:val="001B204E"/>
    <w:rsid w:val="001B2372"/>
    <w:rsid w:val="001B24A2"/>
    <w:rsid w:val="001B2FD5"/>
    <w:rsid w:val="001B3443"/>
    <w:rsid w:val="001B3645"/>
    <w:rsid w:val="001B3BC5"/>
    <w:rsid w:val="001B3E3B"/>
    <w:rsid w:val="001B4177"/>
    <w:rsid w:val="001B49AB"/>
    <w:rsid w:val="001B4D20"/>
    <w:rsid w:val="001B536F"/>
    <w:rsid w:val="001B5EB0"/>
    <w:rsid w:val="001B6545"/>
    <w:rsid w:val="001B67D6"/>
    <w:rsid w:val="001B6879"/>
    <w:rsid w:val="001B69DD"/>
    <w:rsid w:val="001B6A1D"/>
    <w:rsid w:val="001B6C38"/>
    <w:rsid w:val="001B6D4E"/>
    <w:rsid w:val="001B708A"/>
    <w:rsid w:val="001B7603"/>
    <w:rsid w:val="001B7761"/>
    <w:rsid w:val="001C00E1"/>
    <w:rsid w:val="001C1559"/>
    <w:rsid w:val="001C167C"/>
    <w:rsid w:val="001C16E7"/>
    <w:rsid w:val="001C239B"/>
    <w:rsid w:val="001C282D"/>
    <w:rsid w:val="001C2A9B"/>
    <w:rsid w:val="001C2D13"/>
    <w:rsid w:val="001C3045"/>
    <w:rsid w:val="001C3483"/>
    <w:rsid w:val="001C3CFB"/>
    <w:rsid w:val="001C4299"/>
    <w:rsid w:val="001C4374"/>
    <w:rsid w:val="001C4541"/>
    <w:rsid w:val="001C4874"/>
    <w:rsid w:val="001C4BC0"/>
    <w:rsid w:val="001C4BE7"/>
    <w:rsid w:val="001C526E"/>
    <w:rsid w:val="001C5341"/>
    <w:rsid w:val="001C53A2"/>
    <w:rsid w:val="001C5402"/>
    <w:rsid w:val="001C54D4"/>
    <w:rsid w:val="001C5913"/>
    <w:rsid w:val="001C5F94"/>
    <w:rsid w:val="001C6387"/>
    <w:rsid w:val="001C65EC"/>
    <w:rsid w:val="001C6700"/>
    <w:rsid w:val="001C6979"/>
    <w:rsid w:val="001C6E01"/>
    <w:rsid w:val="001C6E66"/>
    <w:rsid w:val="001C6F13"/>
    <w:rsid w:val="001C7745"/>
    <w:rsid w:val="001C7FDA"/>
    <w:rsid w:val="001D0349"/>
    <w:rsid w:val="001D0947"/>
    <w:rsid w:val="001D0D62"/>
    <w:rsid w:val="001D1100"/>
    <w:rsid w:val="001D1391"/>
    <w:rsid w:val="001D1480"/>
    <w:rsid w:val="001D16BF"/>
    <w:rsid w:val="001D1BBA"/>
    <w:rsid w:val="001D25D7"/>
    <w:rsid w:val="001D2667"/>
    <w:rsid w:val="001D332A"/>
    <w:rsid w:val="001D3ECD"/>
    <w:rsid w:val="001D3F7B"/>
    <w:rsid w:val="001D40A3"/>
    <w:rsid w:val="001D486F"/>
    <w:rsid w:val="001D50B2"/>
    <w:rsid w:val="001D5216"/>
    <w:rsid w:val="001D536E"/>
    <w:rsid w:val="001D56F4"/>
    <w:rsid w:val="001D5BBA"/>
    <w:rsid w:val="001D6155"/>
    <w:rsid w:val="001D625E"/>
    <w:rsid w:val="001D631E"/>
    <w:rsid w:val="001D68D0"/>
    <w:rsid w:val="001D69FE"/>
    <w:rsid w:val="001D6D69"/>
    <w:rsid w:val="001D6DA4"/>
    <w:rsid w:val="001D7160"/>
    <w:rsid w:val="001D7645"/>
    <w:rsid w:val="001D7C52"/>
    <w:rsid w:val="001D7D49"/>
    <w:rsid w:val="001E0065"/>
    <w:rsid w:val="001E008C"/>
    <w:rsid w:val="001E0189"/>
    <w:rsid w:val="001E03D2"/>
    <w:rsid w:val="001E0654"/>
    <w:rsid w:val="001E0E91"/>
    <w:rsid w:val="001E1181"/>
    <w:rsid w:val="001E1AD3"/>
    <w:rsid w:val="001E1E86"/>
    <w:rsid w:val="001E20C6"/>
    <w:rsid w:val="001E238E"/>
    <w:rsid w:val="001E2483"/>
    <w:rsid w:val="001E2B1E"/>
    <w:rsid w:val="001E2CFF"/>
    <w:rsid w:val="001E2F24"/>
    <w:rsid w:val="001E30D4"/>
    <w:rsid w:val="001E34DF"/>
    <w:rsid w:val="001E369D"/>
    <w:rsid w:val="001E408F"/>
    <w:rsid w:val="001E41EF"/>
    <w:rsid w:val="001E427C"/>
    <w:rsid w:val="001E42B8"/>
    <w:rsid w:val="001E4404"/>
    <w:rsid w:val="001E5235"/>
    <w:rsid w:val="001E52EB"/>
    <w:rsid w:val="001E53F2"/>
    <w:rsid w:val="001E61D2"/>
    <w:rsid w:val="001E657D"/>
    <w:rsid w:val="001E662A"/>
    <w:rsid w:val="001E7008"/>
    <w:rsid w:val="001E740C"/>
    <w:rsid w:val="001E74DE"/>
    <w:rsid w:val="001E7743"/>
    <w:rsid w:val="001E7E2B"/>
    <w:rsid w:val="001F03CB"/>
    <w:rsid w:val="001F0856"/>
    <w:rsid w:val="001F093B"/>
    <w:rsid w:val="001F1235"/>
    <w:rsid w:val="001F1A0F"/>
    <w:rsid w:val="001F1BDA"/>
    <w:rsid w:val="001F1CB3"/>
    <w:rsid w:val="001F298B"/>
    <w:rsid w:val="001F2AA9"/>
    <w:rsid w:val="001F2CB5"/>
    <w:rsid w:val="001F30F5"/>
    <w:rsid w:val="001F344E"/>
    <w:rsid w:val="001F3865"/>
    <w:rsid w:val="001F38B5"/>
    <w:rsid w:val="001F4081"/>
    <w:rsid w:val="001F458B"/>
    <w:rsid w:val="001F4EB1"/>
    <w:rsid w:val="001F551C"/>
    <w:rsid w:val="001F565F"/>
    <w:rsid w:val="001F5A12"/>
    <w:rsid w:val="001F5E2E"/>
    <w:rsid w:val="001F61F3"/>
    <w:rsid w:val="001F7361"/>
    <w:rsid w:val="001F75CB"/>
    <w:rsid w:val="001F7A2C"/>
    <w:rsid w:val="001F7AD5"/>
    <w:rsid w:val="00200110"/>
    <w:rsid w:val="002005B9"/>
    <w:rsid w:val="00200749"/>
    <w:rsid w:val="00200EF8"/>
    <w:rsid w:val="002011B0"/>
    <w:rsid w:val="002015C4"/>
    <w:rsid w:val="002019EB"/>
    <w:rsid w:val="00201C5C"/>
    <w:rsid w:val="00202515"/>
    <w:rsid w:val="00202A31"/>
    <w:rsid w:val="00202FD2"/>
    <w:rsid w:val="00203181"/>
    <w:rsid w:val="00203783"/>
    <w:rsid w:val="0020385F"/>
    <w:rsid w:val="00203A76"/>
    <w:rsid w:val="00203E9B"/>
    <w:rsid w:val="00204632"/>
    <w:rsid w:val="00206367"/>
    <w:rsid w:val="002064B1"/>
    <w:rsid w:val="0020656B"/>
    <w:rsid w:val="002068A0"/>
    <w:rsid w:val="00206D7A"/>
    <w:rsid w:val="00207021"/>
    <w:rsid w:val="0020732F"/>
    <w:rsid w:val="00207637"/>
    <w:rsid w:val="00207939"/>
    <w:rsid w:val="00207AF9"/>
    <w:rsid w:val="00207D00"/>
    <w:rsid w:val="00207F17"/>
    <w:rsid w:val="002100F8"/>
    <w:rsid w:val="002103A9"/>
    <w:rsid w:val="002105C1"/>
    <w:rsid w:val="002107D7"/>
    <w:rsid w:val="00211C38"/>
    <w:rsid w:val="00212697"/>
    <w:rsid w:val="00212D82"/>
    <w:rsid w:val="00213AB6"/>
    <w:rsid w:val="00213C74"/>
    <w:rsid w:val="00213E2E"/>
    <w:rsid w:val="00213EF5"/>
    <w:rsid w:val="00213FFE"/>
    <w:rsid w:val="0021480B"/>
    <w:rsid w:val="00214ADD"/>
    <w:rsid w:val="002150B5"/>
    <w:rsid w:val="002152B1"/>
    <w:rsid w:val="0021570F"/>
    <w:rsid w:val="00215A50"/>
    <w:rsid w:val="00215F1A"/>
    <w:rsid w:val="002164C9"/>
    <w:rsid w:val="002165AC"/>
    <w:rsid w:val="00216B21"/>
    <w:rsid w:val="00216BF5"/>
    <w:rsid w:val="00217B01"/>
    <w:rsid w:val="00220021"/>
    <w:rsid w:val="00220544"/>
    <w:rsid w:val="002211C7"/>
    <w:rsid w:val="002214CA"/>
    <w:rsid w:val="0022158E"/>
    <w:rsid w:val="00221872"/>
    <w:rsid w:val="00221CEC"/>
    <w:rsid w:val="00221FB4"/>
    <w:rsid w:val="0022218B"/>
    <w:rsid w:val="0022231B"/>
    <w:rsid w:val="00223594"/>
    <w:rsid w:val="002235D2"/>
    <w:rsid w:val="00223B49"/>
    <w:rsid w:val="00223D5A"/>
    <w:rsid w:val="002242D9"/>
    <w:rsid w:val="00224B4B"/>
    <w:rsid w:val="00224C43"/>
    <w:rsid w:val="00224C44"/>
    <w:rsid w:val="00224DD4"/>
    <w:rsid w:val="0022582C"/>
    <w:rsid w:val="00227638"/>
    <w:rsid w:val="002278A0"/>
    <w:rsid w:val="00230851"/>
    <w:rsid w:val="002309CC"/>
    <w:rsid w:val="00230DB1"/>
    <w:rsid w:val="00230E29"/>
    <w:rsid w:val="00231212"/>
    <w:rsid w:val="00231718"/>
    <w:rsid w:val="002318B5"/>
    <w:rsid w:val="0023209F"/>
    <w:rsid w:val="00232AAB"/>
    <w:rsid w:val="00232F22"/>
    <w:rsid w:val="00232FED"/>
    <w:rsid w:val="0023305C"/>
    <w:rsid w:val="002332DE"/>
    <w:rsid w:val="00233371"/>
    <w:rsid w:val="00233C01"/>
    <w:rsid w:val="00233EB2"/>
    <w:rsid w:val="0023413C"/>
    <w:rsid w:val="0023468B"/>
    <w:rsid w:val="002346F0"/>
    <w:rsid w:val="00234C62"/>
    <w:rsid w:val="00235712"/>
    <w:rsid w:val="002359A3"/>
    <w:rsid w:val="00235F4B"/>
    <w:rsid w:val="00236251"/>
    <w:rsid w:val="0023629D"/>
    <w:rsid w:val="002368D3"/>
    <w:rsid w:val="00237255"/>
    <w:rsid w:val="002374CB"/>
    <w:rsid w:val="00237B24"/>
    <w:rsid w:val="00240241"/>
    <w:rsid w:val="00241140"/>
    <w:rsid w:val="0024184D"/>
    <w:rsid w:val="002420C7"/>
    <w:rsid w:val="002424AF"/>
    <w:rsid w:val="00242DFB"/>
    <w:rsid w:val="00243113"/>
    <w:rsid w:val="002431C1"/>
    <w:rsid w:val="0024348A"/>
    <w:rsid w:val="002438F6"/>
    <w:rsid w:val="002439DC"/>
    <w:rsid w:val="002440EE"/>
    <w:rsid w:val="002441D2"/>
    <w:rsid w:val="002448DE"/>
    <w:rsid w:val="00244C6A"/>
    <w:rsid w:val="00244DC8"/>
    <w:rsid w:val="0024513B"/>
    <w:rsid w:val="00245373"/>
    <w:rsid w:val="002458BA"/>
    <w:rsid w:val="00245CE9"/>
    <w:rsid w:val="00245DBE"/>
    <w:rsid w:val="0024636C"/>
    <w:rsid w:val="0024690A"/>
    <w:rsid w:val="00247013"/>
    <w:rsid w:val="00247517"/>
    <w:rsid w:val="00247925"/>
    <w:rsid w:val="00247D93"/>
    <w:rsid w:val="00250117"/>
    <w:rsid w:val="00250945"/>
    <w:rsid w:val="00250BF8"/>
    <w:rsid w:val="00250DDD"/>
    <w:rsid w:val="00250F3D"/>
    <w:rsid w:val="00251006"/>
    <w:rsid w:val="0025119B"/>
    <w:rsid w:val="00251496"/>
    <w:rsid w:val="002514ED"/>
    <w:rsid w:val="00251B05"/>
    <w:rsid w:val="00251C15"/>
    <w:rsid w:val="00251C80"/>
    <w:rsid w:val="002524D5"/>
    <w:rsid w:val="00252AF3"/>
    <w:rsid w:val="00252E44"/>
    <w:rsid w:val="0025360F"/>
    <w:rsid w:val="00253B1D"/>
    <w:rsid w:val="00253CFE"/>
    <w:rsid w:val="00254216"/>
    <w:rsid w:val="002545BC"/>
    <w:rsid w:val="00254DB9"/>
    <w:rsid w:val="00254DCF"/>
    <w:rsid w:val="0025534B"/>
    <w:rsid w:val="0025547E"/>
    <w:rsid w:val="002559CB"/>
    <w:rsid w:val="00255BB7"/>
    <w:rsid w:val="00255D5F"/>
    <w:rsid w:val="002560A3"/>
    <w:rsid w:val="002561D0"/>
    <w:rsid w:val="00256302"/>
    <w:rsid w:val="00256AFF"/>
    <w:rsid w:val="002570A7"/>
    <w:rsid w:val="00257541"/>
    <w:rsid w:val="00257A39"/>
    <w:rsid w:val="00257AC4"/>
    <w:rsid w:val="00257B00"/>
    <w:rsid w:val="00261384"/>
    <w:rsid w:val="00261EEF"/>
    <w:rsid w:val="00262794"/>
    <w:rsid w:val="00262A1A"/>
    <w:rsid w:val="00262A87"/>
    <w:rsid w:val="00262C71"/>
    <w:rsid w:val="00263147"/>
    <w:rsid w:val="002636AC"/>
    <w:rsid w:val="00264AF9"/>
    <w:rsid w:val="00264D26"/>
    <w:rsid w:val="00264DBB"/>
    <w:rsid w:val="00264FA3"/>
    <w:rsid w:val="0026563C"/>
    <w:rsid w:val="00265A59"/>
    <w:rsid w:val="00266BEC"/>
    <w:rsid w:val="00267642"/>
    <w:rsid w:val="00267AEA"/>
    <w:rsid w:val="00267B65"/>
    <w:rsid w:val="002700E6"/>
    <w:rsid w:val="0027077E"/>
    <w:rsid w:val="00270EC1"/>
    <w:rsid w:val="00270F05"/>
    <w:rsid w:val="00270F86"/>
    <w:rsid w:val="00271320"/>
    <w:rsid w:val="00271B44"/>
    <w:rsid w:val="00271D9D"/>
    <w:rsid w:val="00272438"/>
    <w:rsid w:val="00272646"/>
    <w:rsid w:val="0027294B"/>
    <w:rsid w:val="00272A23"/>
    <w:rsid w:val="00272B52"/>
    <w:rsid w:val="00272DA6"/>
    <w:rsid w:val="0027324A"/>
    <w:rsid w:val="00273395"/>
    <w:rsid w:val="00273BAC"/>
    <w:rsid w:val="00273EB4"/>
    <w:rsid w:val="00274682"/>
    <w:rsid w:val="00274723"/>
    <w:rsid w:val="00275B25"/>
    <w:rsid w:val="00275C57"/>
    <w:rsid w:val="00275C5A"/>
    <w:rsid w:val="00275CE0"/>
    <w:rsid w:val="002762FD"/>
    <w:rsid w:val="002765AD"/>
    <w:rsid w:val="002765D1"/>
    <w:rsid w:val="00276952"/>
    <w:rsid w:val="00276CB8"/>
    <w:rsid w:val="002779F5"/>
    <w:rsid w:val="00277B05"/>
    <w:rsid w:val="0028019A"/>
    <w:rsid w:val="00280553"/>
    <w:rsid w:val="00280B97"/>
    <w:rsid w:val="0028100C"/>
    <w:rsid w:val="00281014"/>
    <w:rsid w:val="0028133B"/>
    <w:rsid w:val="002813D3"/>
    <w:rsid w:val="0028144F"/>
    <w:rsid w:val="00281668"/>
    <w:rsid w:val="002816E1"/>
    <w:rsid w:val="00281819"/>
    <w:rsid w:val="00281A21"/>
    <w:rsid w:val="00281CBE"/>
    <w:rsid w:val="00281E46"/>
    <w:rsid w:val="0028214F"/>
    <w:rsid w:val="0028300E"/>
    <w:rsid w:val="0028340D"/>
    <w:rsid w:val="002836D2"/>
    <w:rsid w:val="00283F44"/>
    <w:rsid w:val="00284B6F"/>
    <w:rsid w:val="00284E0B"/>
    <w:rsid w:val="00285481"/>
    <w:rsid w:val="00285DBC"/>
    <w:rsid w:val="00285EAA"/>
    <w:rsid w:val="0028665D"/>
    <w:rsid w:val="00286B25"/>
    <w:rsid w:val="00286CE9"/>
    <w:rsid w:val="00286D7A"/>
    <w:rsid w:val="00290101"/>
    <w:rsid w:val="00290262"/>
    <w:rsid w:val="002902BC"/>
    <w:rsid w:val="00291738"/>
    <w:rsid w:val="002918B2"/>
    <w:rsid w:val="002923FD"/>
    <w:rsid w:val="0029240C"/>
    <w:rsid w:val="002928E8"/>
    <w:rsid w:val="00293389"/>
    <w:rsid w:val="00293447"/>
    <w:rsid w:val="0029349E"/>
    <w:rsid w:val="002940F9"/>
    <w:rsid w:val="00294321"/>
    <w:rsid w:val="00294894"/>
    <w:rsid w:val="00294D50"/>
    <w:rsid w:val="00295158"/>
    <w:rsid w:val="00295A45"/>
    <w:rsid w:val="00295FBC"/>
    <w:rsid w:val="002964C0"/>
    <w:rsid w:val="002965C5"/>
    <w:rsid w:val="00296782"/>
    <w:rsid w:val="002968BF"/>
    <w:rsid w:val="00296AAC"/>
    <w:rsid w:val="00297152"/>
    <w:rsid w:val="00297239"/>
    <w:rsid w:val="002977A5"/>
    <w:rsid w:val="00297845"/>
    <w:rsid w:val="00297D2C"/>
    <w:rsid w:val="00297FB2"/>
    <w:rsid w:val="002A06DB"/>
    <w:rsid w:val="002A14AB"/>
    <w:rsid w:val="002A1E14"/>
    <w:rsid w:val="002A2A6D"/>
    <w:rsid w:val="002A2ADE"/>
    <w:rsid w:val="002A2F50"/>
    <w:rsid w:val="002A33CF"/>
    <w:rsid w:val="002A3701"/>
    <w:rsid w:val="002A3DE1"/>
    <w:rsid w:val="002A4734"/>
    <w:rsid w:val="002A5420"/>
    <w:rsid w:val="002A5B05"/>
    <w:rsid w:val="002A607E"/>
    <w:rsid w:val="002A620E"/>
    <w:rsid w:val="002A6219"/>
    <w:rsid w:val="002A665D"/>
    <w:rsid w:val="002A69BD"/>
    <w:rsid w:val="002A6AC2"/>
    <w:rsid w:val="002A6B8D"/>
    <w:rsid w:val="002A701D"/>
    <w:rsid w:val="002A7877"/>
    <w:rsid w:val="002A7F89"/>
    <w:rsid w:val="002B05A1"/>
    <w:rsid w:val="002B0657"/>
    <w:rsid w:val="002B07C4"/>
    <w:rsid w:val="002B07F4"/>
    <w:rsid w:val="002B09A4"/>
    <w:rsid w:val="002B09C9"/>
    <w:rsid w:val="002B0EB9"/>
    <w:rsid w:val="002B12C2"/>
    <w:rsid w:val="002B15A2"/>
    <w:rsid w:val="002B184D"/>
    <w:rsid w:val="002B1BE3"/>
    <w:rsid w:val="002B1C1F"/>
    <w:rsid w:val="002B26A7"/>
    <w:rsid w:val="002B2856"/>
    <w:rsid w:val="002B2FB4"/>
    <w:rsid w:val="002B318E"/>
    <w:rsid w:val="002B331B"/>
    <w:rsid w:val="002B3529"/>
    <w:rsid w:val="002B3943"/>
    <w:rsid w:val="002B432F"/>
    <w:rsid w:val="002B4799"/>
    <w:rsid w:val="002B4839"/>
    <w:rsid w:val="002B484E"/>
    <w:rsid w:val="002B5BBE"/>
    <w:rsid w:val="002B5D84"/>
    <w:rsid w:val="002B62B3"/>
    <w:rsid w:val="002B6754"/>
    <w:rsid w:val="002B6CCE"/>
    <w:rsid w:val="002B6D82"/>
    <w:rsid w:val="002B7374"/>
    <w:rsid w:val="002B7C3D"/>
    <w:rsid w:val="002B7EE8"/>
    <w:rsid w:val="002C1100"/>
    <w:rsid w:val="002C11EF"/>
    <w:rsid w:val="002C16C5"/>
    <w:rsid w:val="002C1820"/>
    <w:rsid w:val="002C1B83"/>
    <w:rsid w:val="002C1FD7"/>
    <w:rsid w:val="002C2510"/>
    <w:rsid w:val="002C2775"/>
    <w:rsid w:val="002C27C1"/>
    <w:rsid w:val="002C29D6"/>
    <w:rsid w:val="002C2A5E"/>
    <w:rsid w:val="002C32E0"/>
    <w:rsid w:val="002C360E"/>
    <w:rsid w:val="002C3669"/>
    <w:rsid w:val="002C404D"/>
    <w:rsid w:val="002C40CC"/>
    <w:rsid w:val="002C410C"/>
    <w:rsid w:val="002C5099"/>
    <w:rsid w:val="002C51B7"/>
    <w:rsid w:val="002C5889"/>
    <w:rsid w:val="002C66DA"/>
    <w:rsid w:val="002C71CE"/>
    <w:rsid w:val="002D033F"/>
    <w:rsid w:val="002D07C2"/>
    <w:rsid w:val="002D08F8"/>
    <w:rsid w:val="002D0BC6"/>
    <w:rsid w:val="002D1515"/>
    <w:rsid w:val="002D15D9"/>
    <w:rsid w:val="002D27C8"/>
    <w:rsid w:val="002D2A62"/>
    <w:rsid w:val="002D2A9E"/>
    <w:rsid w:val="002D2FE5"/>
    <w:rsid w:val="002D364A"/>
    <w:rsid w:val="002D39EA"/>
    <w:rsid w:val="002D3D57"/>
    <w:rsid w:val="002D47B9"/>
    <w:rsid w:val="002D50EC"/>
    <w:rsid w:val="002D52A8"/>
    <w:rsid w:val="002D53E2"/>
    <w:rsid w:val="002D577C"/>
    <w:rsid w:val="002D59CE"/>
    <w:rsid w:val="002D5DCF"/>
    <w:rsid w:val="002D6534"/>
    <w:rsid w:val="002D6B22"/>
    <w:rsid w:val="002D6D79"/>
    <w:rsid w:val="002D6DAF"/>
    <w:rsid w:val="002D7D2E"/>
    <w:rsid w:val="002E0A63"/>
    <w:rsid w:val="002E1071"/>
    <w:rsid w:val="002E11F1"/>
    <w:rsid w:val="002E12B3"/>
    <w:rsid w:val="002E15B9"/>
    <w:rsid w:val="002E16CB"/>
    <w:rsid w:val="002E2158"/>
    <w:rsid w:val="002E2198"/>
    <w:rsid w:val="002E26F2"/>
    <w:rsid w:val="002E28C5"/>
    <w:rsid w:val="002E3537"/>
    <w:rsid w:val="002E37D5"/>
    <w:rsid w:val="002E3944"/>
    <w:rsid w:val="002E4197"/>
    <w:rsid w:val="002E4855"/>
    <w:rsid w:val="002E48A1"/>
    <w:rsid w:val="002E4F02"/>
    <w:rsid w:val="002E510D"/>
    <w:rsid w:val="002E58B4"/>
    <w:rsid w:val="002E6268"/>
    <w:rsid w:val="002E7722"/>
    <w:rsid w:val="002E788D"/>
    <w:rsid w:val="002F07BA"/>
    <w:rsid w:val="002F0DA9"/>
    <w:rsid w:val="002F0FC5"/>
    <w:rsid w:val="002F1014"/>
    <w:rsid w:val="002F105C"/>
    <w:rsid w:val="002F1FAB"/>
    <w:rsid w:val="002F2416"/>
    <w:rsid w:val="002F2576"/>
    <w:rsid w:val="002F2873"/>
    <w:rsid w:val="002F29D2"/>
    <w:rsid w:val="002F3CCC"/>
    <w:rsid w:val="002F3F79"/>
    <w:rsid w:val="002F3FCE"/>
    <w:rsid w:val="002F40AB"/>
    <w:rsid w:val="002F41F2"/>
    <w:rsid w:val="002F45D5"/>
    <w:rsid w:val="002F49A6"/>
    <w:rsid w:val="002F577D"/>
    <w:rsid w:val="002F5787"/>
    <w:rsid w:val="002F643C"/>
    <w:rsid w:val="002F68E0"/>
    <w:rsid w:val="002F6F4A"/>
    <w:rsid w:val="002F71C0"/>
    <w:rsid w:val="002F74F1"/>
    <w:rsid w:val="002F76DA"/>
    <w:rsid w:val="002F7713"/>
    <w:rsid w:val="00300445"/>
    <w:rsid w:val="00301017"/>
    <w:rsid w:val="0030113F"/>
    <w:rsid w:val="003011F0"/>
    <w:rsid w:val="0030155F"/>
    <w:rsid w:val="0030183D"/>
    <w:rsid w:val="00301989"/>
    <w:rsid w:val="00301A08"/>
    <w:rsid w:val="00301BF1"/>
    <w:rsid w:val="00302CDE"/>
    <w:rsid w:val="00302D60"/>
    <w:rsid w:val="0030345A"/>
    <w:rsid w:val="00303868"/>
    <w:rsid w:val="003041EA"/>
    <w:rsid w:val="00305151"/>
    <w:rsid w:val="00305837"/>
    <w:rsid w:val="0030587B"/>
    <w:rsid w:val="00305951"/>
    <w:rsid w:val="00305D68"/>
    <w:rsid w:val="00306D98"/>
    <w:rsid w:val="00306EAE"/>
    <w:rsid w:val="00307474"/>
    <w:rsid w:val="0030772F"/>
    <w:rsid w:val="0030786C"/>
    <w:rsid w:val="00307B90"/>
    <w:rsid w:val="00307C17"/>
    <w:rsid w:val="00307D2F"/>
    <w:rsid w:val="0031031A"/>
    <w:rsid w:val="00310952"/>
    <w:rsid w:val="00310981"/>
    <w:rsid w:val="003112F3"/>
    <w:rsid w:val="003114BA"/>
    <w:rsid w:val="00311A55"/>
    <w:rsid w:val="00311B2C"/>
    <w:rsid w:val="003124D9"/>
    <w:rsid w:val="0031258E"/>
    <w:rsid w:val="00312594"/>
    <w:rsid w:val="00312767"/>
    <w:rsid w:val="00312F2F"/>
    <w:rsid w:val="003139D8"/>
    <w:rsid w:val="00315498"/>
    <w:rsid w:val="00315B4B"/>
    <w:rsid w:val="00315BC1"/>
    <w:rsid w:val="00315C31"/>
    <w:rsid w:val="00315EF9"/>
    <w:rsid w:val="00316308"/>
    <w:rsid w:val="003163BF"/>
    <w:rsid w:val="00316474"/>
    <w:rsid w:val="003166E4"/>
    <w:rsid w:val="00316B35"/>
    <w:rsid w:val="00316D54"/>
    <w:rsid w:val="0031719A"/>
    <w:rsid w:val="00317357"/>
    <w:rsid w:val="00317553"/>
    <w:rsid w:val="003178E2"/>
    <w:rsid w:val="0032005C"/>
    <w:rsid w:val="003203A6"/>
    <w:rsid w:val="00320702"/>
    <w:rsid w:val="00320903"/>
    <w:rsid w:val="003211D4"/>
    <w:rsid w:val="0032129B"/>
    <w:rsid w:val="003216A1"/>
    <w:rsid w:val="003216A6"/>
    <w:rsid w:val="0032186E"/>
    <w:rsid w:val="0032190B"/>
    <w:rsid w:val="00321B59"/>
    <w:rsid w:val="00321E73"/>
    <w:rsid w:val="00321F2C"/>
    <w:rsid w:val="00322107"/>
    <w:rsid w:val="00322355"/>
    <w:rsid w:val="003226B7"/>
    <w:rsid w:val="00322846"/>
    <w:rsid w:val="00322C1E"/>
    <w:rsid w:val="00322ED3"/>
    <w:rsid w:val="0032345C"/>
    <w:rsid w:val="0032357C"/>
    <w:rsid w:val="00323A8F"/>
    <w:rsid w:val="003240F9"/>
    <w:rsid w:val="00324CB7"/>
    <w:rsid w:val="003250EE"/>
    <w:rsid w:val="00325526"/>
    <w:rsid w:val="00325895"/>
    <w:rsid w:val="0032592A"/>
    <w:rsid w:val="00325E32"/>
    <w:rsid w:val="00325EFD"/>
    <w:rsid w:val="00325FFB"/>
    <w:rsid w:val="0032695E"/>
    <w:rsid w:val="00326DA7"/>
    <w:rsid w:val="00326E92"/>
    <w:rsid w:val="00326F35"/>
    <w:rsid w:val="003270E4"/>
    <w:rsid w:val="00327B7B"/>
    <w:rsid w:val="00330DAA"/>
    <w:rsid w:val="00330F5C"/>
    <w:rsid w:val="003312A1"/>
    <w:rsid w:val="003327F6"/>
    <w:rsid w:val="00332A0C"/>
    <w:rsid w:val="00333075"/>
    <w:rsid w:val="003331DC"/>
    <w:rsid w:val="003338AA"/>
    <w:rsid w:val="00333F5E"/>
    <w:rsid w:val="003340C2"/>
    <w:rsid w:val="003344CF"/>
    <w:rsid w:val="003347C4"/>
    <w:rsid w:val="00334F5D"/>
    <w:rsid w:val="00334FC0"/>
    <w:rsid w:val="003351FB"/>
    <w:rsid w:val="00335C4A"/>
    <w:rsid w:val="00335CCF"/>
    <w:rsid w:val="00335D14"/>
    <w:rsid w:val="0033605A"/>
    <w:rsid w:val="00336206"/>
    <w:rsid w:val="003366C9"/>
    <w:rsid w:val="00336893"/>
    <w:rsid w:val="00336E05"/>
    <w:rsid w:val="003371B0"/>
    <w:rsid w:val="003371E9"/>
    <w:rsid w:val="003375B9"/>
    <w:rsid w:val="00340629"/>
    <w:rsid w:val="003409A2"/>
    <w:rsid w:val="00340ADB"/>
    <w:rsid w:val="00340DE9"/>
    <w:rsid w:val="00340DF1"/>
    <w:rsid w:val="0034170F"/>
    <w:rsid w:val="00341B66"/>
    <w:rsid w:val="00341C33"/>
    <w:rsid w:val="00341E29"/>
    <w:rsid w:val="00341E8C"/>
    <w:rsid w:val="00342409"/>
    <w:rsid w:val="00343729"/>
    <w:rsid w:val="003439F7"/>
    <w:rsid w:val="00343B78"/>
    <w:rsid w:val="00344D13"/>
    <w:rsid w:val="00344DA5"/>
    <w:rsid w:val="003451A8"/>
    <w:rsid w:val="00345B33"/>
    <w:rsid w:val="003465A2"/>
    <w:rsid w:val="003467DB"/>
    <w:rsid w:val="00346CE8"/>
    <w:rsid w:val="003474C5"/>
    <w:rsid w:val="003477C0"/>
    <w:rsid w:val="00347F14"/>
    <w:rsid w:val="00347F9B"/>
    <w:rsid w:val="003505FA"/>
    <w:rsid w:val="00350A22"/>
    <w:rsid w:val="00350BFD"/>
    <w:rsid w:val="00351635"/>
    <w:rsid w:val="003516B6"/>
    <w:rsid w:val="003517F9"/>
    <w:rsid w:val="00351BA9"/>
    <w:rsid w:val="00351E58"/>
    <w:rsid w:val="003522D7"/>
    <w:rsid w:val="003522EA"/>
    <w:rsid w:val="00352528"/>
    <w:rsid w:val="00352725"/>
    <w:rsid w:val="00352A14"/>
    <w:rsid w:val="00353CB4"/>
    <w:rsid w:val="00354608"/>
    <w:rsid w:val="0035465D"/>
    <w:rsid w:val="00354F64"/>
    <w:rsid w:val="003551C5"/>
    <w:rsid w:val="003552A3"/>
    <w:rsid w:val="0035538E"/>
    <w:rsid w:val="00355581"/>
    <w:rsid w:val="00355936"/>
    <w:rsid w:val="00355B5E"/>
    <w:rsid w:val="0035620E"/>
    <w:rsid w:val="003564CA"/>
    <w:rsid w:val="0035662D"/>
    <w:rsid w:val="0035691B"/>
    <w:rsid w:val="00356CB8"/>
    <w:rsid w:val="00357402"/>
    <w:rsid w:val="00360302"/>
    <w:rsid w:val="00360345"/>
    <w:rsid w:val="00360386"/>
    <w:rsid w:val="0036071A"/>
    <w:rsid w:val="0036108E"/>
    <w:rsid w:val="00361126"/>
    <w:rsid w:val="00361A05"/>
    <w:rsid w:val="00361CF0"/>
    <w:rsid w:val="00361F56"/>
    <w:rsid w:val="00362237"/>
    <w:rsid w:val="0036234C"/>
    <w:rsid w:val="003624C4"/>
    <w:rsid w:val="00362517"/>
    <w:rsid w:val="003625A7"/>
    <w:rsid w:val="00362E79"/>
    <w:rsid w:val="00363AD5"/>
    <w:rsid w:val="00363B00"/>
    <w:rsid w:val="00363BC0"/>
    <w:rsid w:val="00363D42"/>
    <w:rsid w:val="00364C9D"/>
    <w:rsid w:val="003654AC"/>
    <w:rsid w:val="00365DDB"/>
    <w:rsid w:val="003662BA"/>
    <w:rsid w:val="00366C4E"/>
    <w:rsid w:val="003705AE"/>
    <w:rsid w:val="003706BE"/>
    <w:rsid w:val="00370854"/>
    <w:rsid w:val="003710BC"/>
    <w:rsid w:val="003710CF"/>
    <w:rsid w:val="0037189C"/>
    <w:rsid w:val="00371ED5"/>
    <w:rsid w:val="00371F05"/>
    <w:rsid w:val="00371FFC"/>
    <w:rsid w:val="0037288E"/>
    <w:rsid w:val="00372A3E"/>
    <w:rsid w:val="00372D03"/>
    <w:rsid w:val="0037358A"/>
    <w:rsid w:val="003735C9"/>
    <w:rsid w:val="003735D8"/>
    <w:rsid w:val="00373CBB"/>
    <w:rsid w:val="003745DC"/>
    <w:rsid w:val="003750F6"/>
    <w:rsid w:val="003752DE"/>
    <w:rsid w:val="0037532C"/>
    <w:rsid w:val="0037533A"/>
    <w:rsid w:val="00375C69"/>
    <w:rsid w:val="003760FC"/>
    <w:rsid w:val="0037643B"/>
    <w:rsid w:val="00376492"/>
    <w:rsid w:val="00376D9E"/>
    <w:rsid w:val="00377FB5"/>
    <w:rsid w:val="00380344"/>
    <w:rsid w:val="003807EB"/>
    <w:rsid w:val="00380AE0"/>
    <w:rsid w:val="00380E50"/>
    <w:rsid w:val="00380F49"/>
    <w:rsid w:val="003810D6"/>
    <w:rsid w:val="00381121"/>
    <w:rsid w:val="0038136A"/>
    <w:rsid w:val="00381423"/>
    <w:rsid w:val="003815C6"/>
    <w:rsid w:val="00381D01"/>
    <w:rsid w:val="00381F59"/>
    <w:rsid w:val="00381FD9"/>
    <w:rsid w:val="003823FA"/>
    <w:rsid w:val="003829C9"/>
    <w:rsid w:val="0038302D"/>
    <w:rsid w:val="00383168"/>
    <w:rsid w:val="0038365C"/>
    <w:rsid w:val="00383690"/>
    <w:rsid w:val="0038369B"/>
    <w:rsid w:val="0038371F"/>
    <w:rsid w:val="00383762"/>
    <w:rsid w:val="00383B4E"/>
    <w:rsid w:val="00383B78"/>
    <w:rsid w:val="00384A78"/>
    <w:rsid w:val="00384A93"/>
    <w:rsid w:val="00384AE0"/>
    <w:rsid w:val="0038506E"/>
    <w:rsid w:val="00385A9D"/>
    <w:rsid w:val="00385E8D"/>
    <w:rsid w:val="00385EB8"/>
    <w:rsid w:val="0038744C"/>
    <w:rsid w:val="003874E3"/>
    <w:rsid w:val="00387A0A"/>
    <w:rsid w:val="003902B1"/>
    <w:rsid w:val="00390A07"/>
    <w:rsid w:val="0039164D"/>
    <w:rsid w:val="0039179C"/>
    <w:rsid w:val="00391BE3"/>
    <w:rsid w:val="0039230B"/>
    <w:rsid w:val="00394607"/>
    <w:rsid w:val="003946D8"/>
    <w:rsid w:val="00394B56"/>
    <w:rsid w:val="00394FA0"/>
    <w:rsid w:val="00394FA5"/>
    <w:rsid w:val="0039515C"/>
    <w:rsid w:val="003959C1"/>
    <w:rsid w:val="00395E61"/>
    <w:rsid w:val="00395EF5"/>
    <w:rsid w:val="003966FC"/>
    <w:rsid w:val="00396896"/>
    <w:rsid w:val="00396FD0"/>
    <w:rsid w:val="00397CE2"/>
    <w:rsid w:val="00397E5E"/>
    <w:rsid w:val="003A0167"/>
    <w:rsid w:val="003A070B"/>
    <w:rsid w:val="003A0713"/>
    <w:rsid w:val="003A08CB"/>
    <w:rsid w:val="003A09B4"/>
    <w:rsid w:val="003A1222"/>
    <w:rsid w:val="003A1613"/>
    <w:rsid w:val="003A191A"/>
    <w:rsid w:val="003A1A7A"/>
    <w:rsid w:val="003A1B67"/>
    <w:rsid w:val="003A2392"/>
    <w:rsid w:val="003A2831"/>
    <w:rsid w:val="003A30A6"/>
    <w:rsid w:val="003A355D"/>
    <w:rsid w:val="003A377E"/>
    <w:rsid w:val="003A387F"/>
    <w:rsid w:val="003A3CB6"/>
    <w:rsid w:val="003A3ED1"/>
    <w:rsid w:val="003A4479"/>
    <w:rsid w:val="003A44DB"/>
    <w:rsid w:val="003A48D9"/>
    <w:rsid w:val="003A4AC4"/>
    <w:rsid w:val="003A4CBA"/>
    <w:rsid w:val="003A5133"/>
    <w:rsid w:val="003A531B"/>
    <w:rsid w:val="003A558A"/>
    <w:rsid w:val="003A55A8"/>
    <w:rsid w:val="003A5D97"/>
    <w:rsid w:val="003A6AF1"/>
    <w:rsid w:val="003A6D48"/>
    <w:rsid w:val="003A77E3"/>
    <w:rsid w:val="003A7C4C"/>
    <w:rsid w:val="003B082C"/>
    <w:rsid w:val="003B10D2"/>
    <w:rsid w:val="003B2238"/>
    <w:rsid w:val="003B2370"/>
    <w:rsid w:val="003B2CB5"/>
    <w:rsid w:val="003B31E4"/>
    <w:rsid w:val="003B344D"/>
    <w:rsid w:val="003B3488"/>
    <w:rsid w:val="003B3676"/>
    <w:rsid w:val="003B367A"/>
    <w:rsid w:val="003B3971"/>
    <w:rsid w:val="003B3E3F"/>
    <w:rsid w:val="003B3F45"/>
    <w:rsid w:val="003B438A"/>
    <w:rsid w:val="003B46B7"/>
    <w:rsid w:val="003B4A7C"/>
    <w:rsid w:val="003B55D1"/>
    <w:rsid w:val="003B57F6"/>
    <w:rsid w:val="003B59CF"/>
    <w:rsid w:val="003B5B61"/>
    <w:rsid w:val="003B664B"/>
    <w:rsid w:val="003B77C8"/>
    <w:rsid w:val="003B790D"/>
    <w:rsid w:val="003B7971"/>
    <w:rsid w:val="003C01C5"/>
    <w:rsid w:val="003C0C1E"/>
    <w:rsid w:val="003C0C1F"/>
    <w:rsid w:val="003C160D"/>
    <w:rsid w:val="003C1654"/>
    <w:rsid w:val="003C2896"/>
    <w:rsid w:val="003C30E6"/>
    <w:rsid w:val="003C3D40"/>
    <w:rsid w:val="003C4233"/>
    <w:rsid w:val="003C4C69"/>
    <w:rsid w:val="003C50C2"/>
    <w:rsid w:val="003C5542"/>
    <w:rsid w:val="003C563D"/>
    <w:rsid w:val="003C5AF8"/>
    <w:rsid w:val="003C6F35"/>
    <w:rsid w:val="003C7D19"/>
    <w:rsid w:val="003C7D2F"/>
    <w:rsid w:val="003D171A"/>
    <w:rsid w:val="003D1828"/>
    <w:rsid w:val="003D199D"/>
    <w:rsid w:val="003D1DE4"/>
    <w:rsid w:val="003D1E9A"/>
    <w:rsid w:val="003D203C"/>
    <w:rsid w:val="003D2129"/>
    <w:rsid w:val="003D2422"/>
    <w:rsid w:val="003D29EF"/>
    <w:rsid w:val="003D2A65"/>
    <w:rsid w:val="003D2D47"/>
    <w:rsid w:val="003D34E1"/>
    <w:rsid w:val="003D391B"/>
    <w:rsid w:val="003D39A1"/>
    <w:rsid w:val="003D39AF"/>
    <w:rsid w:val="003D3A0F"/>
    <w:rsid w:val="003D3AF5"/>
    <w:rsid w:val="003D3FBF"/>
    <w:rsid w:val="003D40CC"/>
    <w:rsid w:val="003D49AE"/>
    <w:rsid w:val="003D4A30"/>
    <w:rsid w:val="003D4D69"/>
    <w:rsid w:val="003D4E61"/>
    <w:rsid w:val="003D605F"/>
    <w:rsid w:val="003D60DE"/>
    <w:rsid w:val="003D713D"/>
    <w:rsid w:val="003D7426"/>
    <w:rsid w:val="003D7452"/>
    <w:rsid w:val="003D78E6"/>
    <w:rsid w:val="003D78EF"/>
    <w:rsid w:val="003D79BB"/>
    <w:rsid w:val="003D7C98"/>
    <w:rsid w:val="003D7D9D"/>
    <w:rsid w:val="003E0107"/>
    <w:rsid w:val="003E0543"/>
    <w:rsid w:val="003E0662"/>
    <w:rsid w:val="003E1592"/>
    <w:rsid w:val="003E1943"/>
    <w:rsid w:val="003E1C81"/>
    <w:rsid w:val="003E1CD4"/>
    <w:rsid w:val="003E1E1D"/>
    <w:rsid w:val="003E1F66"/>
    <w:rsid w:val="003E221A"/>
    <w:rsid w:val="003E2286"/>
    <w:rsid w:val="003E27E6"/>
    <w:rsid w:val="003E2C45"/>
    <w:rsid w:val="003E2F6D"/>
    <w:rsid w:val="003E3FF3"/>
    <w:rsid w:val="003E44C4"/>
    <w:rsid w:val="003E46DC"/>
    <w:rsid w:val="003E4BBA"/>
    <w:rsid w:val="003E59AE"/>
    <w:rsid w:val="003E5CBD"/>
    <w:rsid w:val="003E5E46"/>
    <w:rsid w:val="003E6ED0"/>
    <w:rsid w:val="003E6F9D"/>
    <w:rsid w:val="003E72C1"/>
    <w:rsid w:val="003E73CB"/>
    <w:rsid w:val="003E749E"/>
    <w:rsid w:val="003E79EB"/>
    <w:rsid w:val="003E7D3F"/>
    <w:rsid w:val="003F0637"/>
    <w:rsid w:val="003F0A38"/>
    <w:rsid w:val="003F10D9"/>
    <w:rsid w:val="003F1525"/>
    <w:rsid w:val="003F17E1"/>
    <w:rsid w:val="003F1917"/>
    <w:rsid w:val="003F1931"/>
    <w:rsid w:val="003F1FD3"/>
    <w:rsid w:val="003F1FE6"/>
    <w:rsid w:val="003F26D6"/>
    <w:rsid w:val="003F26E4"/>
    <w:rsid w:val="003F3082"/>
    <w:rsid w:val="003F32BD"/>
    <w:rsid w:val="003F394E"/>
    <w:rsid w:val="003F397C"/>
    <w:rsid w:val="003F3D74"/>
    <w:rsid w:val="003F3DAA"/>
    <w:rsid w:val="003F4156"/>
    <w:rsid w:val="003F4443"/>
    <w:rsid w:val="003F4BCE"/>
    <w:rsid w:val="003F50EF"/>
    <w:rsid w:val="003F5ADF"/>
    <w:rsid w:val="003F78C9"/>
    <w:rsid w:val="003F7AF1"/>
    <w:rsid w:val="003F7B2A"/>
    <w:rsid w:val="003F7DED"/>
    <w:rsid w:val="003F7EAF"/>
    <w:rsid w:val="00400B29"/>
    <w:rsid w:val="0040104D"/>
    <w:rsid w:val="004015B7"/>
    <w:rsid w:val="004028AC"/>
    <w:rsid w:val="00402E8B"/>
    <w:rsid w:val="00403281"/>
    <w:rsid w:val="00403BBA"/>
    <w:rsid w:val="00403C28"/>
    <w:rsid w:val="004045A8"/>
    <w:rsid w:val="00404A4D"/>
    <w:rsid w:val="00404C20"/>
    <w:rsid w:val="00404CBD"/>
    <w:rsid w:val="0040504B"/>
    <w:rsid w:val="0040512E"/>
    <w:rsid w:val="004056FE"/>
    <w:rsid w:val="004059F4"/>
    <w:rsid w:val="00406EBE"/>
    <w:rsid w:val="00406F0D"/>
    <w:rsid w:val="00407FE5"/>
    <w:rsid w:val="00410148"/>
    <w:rsid w:val="004101B0"/>
    <w:rsid w:val="00410326"/>
    <w:rsid w:val="00410708"/>
    <w:rsid w:val="00410B92"/>
    <w:rsid w:val="00410EC7"/>
    <w:rsid w:val="00411945"/>
    <w:rsid w:val="00411B39"/>
    <w:rsid w:val="004127A7"/>
    <w:rsid w:val="00412A58"/>
    <w:rsid w:val="00412E2D"/>
    <w:rsid w:val="00413A1E"/>
    <w:rsid w:val="00413CA2"/>
    <w:rsid w:val="00414476"/>
    <w:rsid w:val="0041450F"/>
    <w:rsid w:val="00414692"/>
    <w:rsid w:val="00414B9C"/>
    <w:rsid w:val="00414C2E"/>
    <w:rsid w:val="004151C9"/>
    <w:rsid w:val="004151CF"/>
    <w:rsid w:val="0041573C"/>
    <w:rsid w:val="0041591A"/>
    <w:rsid w:val="00415B5E"/>
    <w:rsid w:val="004160DF"/>
    <w:rsid w:val="00416364"/>
    <w:rsid w:val="0041646E"/>
    <w:rsid w:val="00416483"/>
    <w:rsid w:val="004165EB"/>
    <w:rsid w:val="004174A3"/>
    <w:rsid w:val="00417557"/>
    <w:rsid w:val="00417E41"/>
    <w:rsid w:val="0042047F"/>
    <w:rsid w:val="00420AA6"/>
    <w:rsid w:val="00420B9F"/>
    <w:rsid w:val="004216D4"/>
    <w:rsid w:val="0042192C"/>
    <w:rsid w:val="00422260"/>
    <w:rsid w:val="004230AD"/>
    <w:rsid w:val="00423A9E"/>
    <w:rsid w:val="00423D17"/>
    <w:rsid w:val="00423D2D"/>
    <w:rsid w:val="0042413F"/>
    <w:rsid w:val="00424414"/>
    <w:rsid w:val="00424ED8"/>
    <w:rsid w:val="00425205"/>
    <w:rsid w:val="004268F9"/>
    <w:rsid w:val="00426FF1"/>
    <w:rsid w:val="00427211"/>
    <w:rsid w:val="00427594"/>
    <w:rsid w:val="004277A4"/>
    <w:rsid w:val="004278F1"/>
    <w:rsid w:val="004304A7"/>
    <w:rsid w:val="00430718"/>
    <w:rsid w:val="00430899"/>
    <w:rsid w:val="00430BB4"/>
    <w:rsid w:val="004316EA"/>
    <w:rsid w:val="004319F8"/>
    <w:rsid w:val="00431CDC"/>
    <w:rsid w:val="00431E55"/>
    <w:rsid w:val="0043216B"/>
    <w:rsid w:val="004321F6"/>
    <w:rsid w:val="00433044"/>
    <w:rsid w:val="00433300"/>
    <w:rsid w:val="0043356B"/>
    <w:rsid w:val="00433C7E"/>
    <w:rsid w:val="00433E81"/>
    <w:rsid w:val="00433ECE"/>
    <w:rsid w:val="00434088"/>
    <w:rsid w:val="00434343"/>
    <w:rsid w:val="0043493F"/>
    <w:rsid w:val="00434971"/>
    <w:rsid w:val="00434DC0"/>
    <w:rsid w:val="004350F1"/>
    <w:rsid w:val="0043598E"/>
    <w:rsid w:val="0043757B"/>
    <w:rsid w:val="004375B9"/>
    <w:rsid w:val="0043779C"/>
    <w:rsid w:val="00437B1F"/>
    <w:rsid w:val="00437E3A"/>
    <w:rsid w:val="00440D10"/>
    <w:rsid w:val="00441048"/>
    <w:rsid w:val="0044133C"/>
    <w:rsid w:val="0044163B"/>
    <w:rsid w:val="00442304"/>
    <w:rsid w:val="004428D0"/>
    <w:rsid w:val="0044330D"/>
    <w:rsid w:val="00444185"/>
    <w:rsid w:val="004443A7"/>
    <w:rsid w:val="0044442C"/>
    <w:rsid w:val="00444DE8"/>
    <w:rsid w:val="00445941"/>
    <w:rsid w:val="0044594B"/>
    <w:rsid w:val="00445E62"/>
    <w:rsid w:val="00445F36"/>
    <w:rsid w:val="004464EB"/>
    <w:rsid w:val="004469A4"/>
    <w:rsid w:val="00446D1F"/>
    <w:rsid w:val="004473E9"/>
    <w:rsid w:val="0044746E"/>
    <w:rsid w:val="0044780E"/>
    <w:rsid w:val="00447956"/>
    <w:rsid w:val="004479E7"/>
    <w:rsid w:val="00447D26"/>
    <w:rsid w:val="00447DFC"/>
    <w:rsid w:val="0045019D"/>
    <w:rsid w:val="004501BD"/>
    <w:rsid w:val="00450A33"/>
    <w:rsid w:val="004517D5"/>
    <w:rsid w:val="0045191B"/>
    <w:rsid w:val="004519E0"/>
    <w:rsid w:val="0045265F"/>
    <w:rsid w:val="0045266C"/>
    <w:rsid w:val="0045286F"/>
    <w:rsid w:val="004534E7"/>
    <w:rsid w:val="00453BC2"/>
    <w:rsid w:val="00453D0B"/>
    <w:rsid w:val="0045462E"/>
    <w:rsid w:val="00454FE3"/>
    <w:rsid w:val="00455CA3"/>
    <w:rsid w:val="00455D00"/>
    <w:rsid w:val="00455D45"/>
    <w:rsid w:val="00456CBE"/>
    <w:rsid w:val="0045750B"/>
    <w:rsid w:val="00457A5A"/>
    <w:rsid w:val="00457BF3"/>
    <w:rsid w:val="00457ED4"/>
    <w:rsid w:val="00460089"/>
    <w:rsid w:val="0046017D"/>
    <w:rsid w:val="00460D3A"/>
    <w:rsid w:val="004610FF"/>
    <w:rsid w:val="004612C2"/>
    <w:rsid w:val="00461FF6"/>
    <w:rsid w:val="0046296F"/>
    <w:rsid w:val="00462B44"/>
    <w:rsid w:val="004634A0"/>
    <w:rsid w:val="00463797"/>
    <w:rsid w:val="004637AE"/>
    <w:rsid w:val="004640F6"/>
    <w:rsid w:val="00464136"/>
    <w:rsid w:val="00464164"/>
    <w:rsid w:val="004643AA"/>
    <w:rsid w:val="00464595"/>
    <w:rsid w:val="00464AFA"/>
    <w:rsid w:val="00464C22"/>
    <w:rsid w:val="004652B9"/>
    <w:rsid w:val="00465833"/>
    <w:rsid w:val="004658B5"/>
    <w:rsid w:val="00465A2D"/>
    <w:rsid w:val="00465E55"/>
    <w:rsid w:val="0046657A"/>
    <w:rsid w:val="00466DD5"/>
    <w:rsid w:val="00466F35"/>
    <w:rsid w:val="004708CA"/>
    <w:rsid w:val="0047163C"/>
    <w:rsid w:val="00471EA5"/>
    <w:rsid w:val="00472909"/>
    <w:rsid w:val="00472A79"/>
    <w:rsid w:val="00472C13"/>
    <w:rsid w:val="00472C70"/>
    <w:rsid w:val="00473195"/>
    <w:rsid w:val="00473463"/>
    <w:rsid w:val="00473689"/>
    <w:rsid w:val="00473D55"/>
    <w:rsid w:val="00473F19"/>
    <w:rsid w:val="0047412C"/>
    <w:rsid w:val="00474913"/>
    <w:rsid w:val="00474978"/>
    <w:rsid w:val="00474C97"/>
    <w:rsid w:val="004750E3"/>
    <w:rsid w:val="00475177"/>
    <w:rsid w:val="004752A2"/>
    <w:rsid w:val="00475E22"/>
    <w:rsid w:val="00475E3A"/>
    <w:rsid w:val="00475ECE"/>
    <w:rsid w:val="00475EFC"/>
    <w:rsid w:val="00475FE0"/>
    <w:rsid w:val="00476175"/>
    <w:rsid w:val="00476277"/>
    <w:rsid w:val="0047658A"/>
    <w:rsid w:val="00476796"/>
    <w:rsid w:val="00476CFB"/>
    <w:rsid w:val="00476D4A"/>
    <w:rsid w:val="00477083"/>
    <w:rsid w:val="00477EB0"/>
    <w:rsid w:val="00480029"/>
    <w:rsid w:val="004803BC"/>
    <w:rsid w:val="0048088E"/>
    <w:rsid w:val="0048099C"/>
    <w:rsid w:val="00480F2B"/>
    <w:rsid w:val="00481531"/>
    <w:rsid w:val="004818D6"/>
    <w:rsid w:val="0048253F"/>
    <w:rsid w:val="004826C7"/>
    <w:rsid w:val="00482720"/>
    <w:rsid w:val="00482811"/>
    <w:rsid w:val="00483350"/>
    <w:rsid w:val="004835E7"/>
    <w:rsid w:val="00483A48"/>
    <w:rsid w:val="00483F63"/>
    <w:rsid w:val="00484351"/>
    <w:rsid w:val="0048467C"/>
    <w:rsid w:val="00485708"/>
    <w:rsid w:val="0048582B"/>
    <w:rsid w:val="0048586E"/>
    <w:rsid w:val="00485893"/>
    <w:rsid w:val="00486129"/>
    <w:rsid w:val="0048615A"/>
    <w:rsid w:val="004867E2"/>
    <w:rsid w:val="00486EFE"/>
    <w:rsid w:val="0048781E"/>
    <w:rsid w:val="00490AF5"/>
    <w:rsid w:val="00490B17"/>
    <w:rsid w:val="00491434"/>
    <w:rsid w:val="00491B3A"/>
    <w:rsid w:val="00491EB5"/>
    <w:rsid w:val="00492023"/>
    <w:rsid w:val="00492138"/>
    <w:rsid w:val="00492313"/>
    <w:rsid w:val="004928B9"/>
    <w:rsid w:val="004929B8"/>
    <w:rsid w:val="00492CFD"/>
    <w:rsid w:val="00492F0F"/>
    <w:rsid w:val="00493004"/>
    <w:rsid w:val="004934E8"/>
    <w:rsid w:val="0049354F"/>
    <w:rsid w:val="00494207"/>
    <w:rsid w:val="004942F7"/>
    <w:rsid w:val="004946E2"/>
    <w:rsid w:val="00494DD5"/>
    <w:rsid w:val="00494DF7"/>
    <w:rsid w:val="00495412"/>
    <w:rsid w:val="004962D2"/>
    <w:rsid w:val="004968AE"/>
    <w:rsid w:val="00496936"/>
    <w:rsid w:val="00497320"/>
    <w:rsid w:val="00497E70"/>
    <w:rsid w:val="004A0346"/>
    <w:rsid w:val="004A055C"/>
    <w:rsid w:val="004A09F1"/>
    <w:rsid w:val="004A0CE4"/>
    <w:rsid w:val="004A0DA1"/>
    <w:rsid w:val="004A0E9B"/>
    <w:rsid w:val="004A13D6"/>
    <w:rsid w:val="004A1494"/>
    <w:rsid w:val="004A1AC1"/>
    <w:rsid w:val="004A1F2A"/>
    <w:rsid w:val="004A23CC"/>
    <w:rsid w:val="004A2505"/>
    <w:rsid w:val="004A25A8"/>
    <w:rsid w:val="004A28AE"/>
    <w:rsid w:val="004A31E5"/>
    <w:rsid w:val="004A3DD4"/>
    <w:rsid w:val="004A4E75"/>
    <w:rsid w:val="004A4FCB"/>
    <w:rsid w:val="004A510F"/>
    <w:rsid w:val="004A52E9"/>
    <w:rsid w:val="004A57EF"/>
    <w:rsid w:val="004A58CD"/>
    <w:rsid w:val="004A5E7A"/>
    <w:rsid w:val="004A6040"/>
    <w:rsid w:val="004A63E6"/>
    <w:rsid w:val="004A651A"/>
    <w:rsid w:val="004A6597"/>
    <w:rsid w:val="004A6C2A"/>
    <w:rsid w:val="004A726B"/>
    <w:rsid w:val="004A7620"/>
    <w:rsid w:val="004A778E"/>
    <w:rsid w:val="004A7848"/>
    <w:rsid w:val="004A7C03"/>
    <w:rsid w:val="004A7F29"/>
    <w:rsid w:val="004B0053"/>
    <w:rsid w:val="004B00B6"/>
    <w:rsid w:val="004B03C6"/>
    <w:rsid w:val="004B0593"/>
    <w:rsid w:val="004B0941"/>
    <w:rsid w:val="004B0D07"/>
    <w:rsid w:val="004B0F4A"/>
    <w:rsid w:val="004B186C"/>
    <w:rsid w:val="004B1CB4"/>
    <w:rsid w:val="004B2214"/>
    <w:rsid w:val="004B2AD3"/>
    <w:rsid w:val="004B2BFE"/>
    <w:rsid w:val="004B2F18"/>
    <w:rsid w:val="004B2F75"/>
    <w:rsid w:val="004B33B9"/>
    <w:rsid w:val="004B3D54"/>
    <w:rsid w:val="004B3DDB"/>
    <w:rsid w:val="004B40B5"/>
    <w:rsid w:val="004B44FD"/>
    <w:rsid w:val="004B4747"/>
    <w:rsid w:val="004B4FE1"/>
    <w:rsid w:val="004B5CFC"/>
    <w:rsid w:val="004B5D65"/>
    <w:rsid w:val="004B5F6B"/>
    <w:rsid w:val="004B612F"/>
    <w:rsid w:val="004B67FC"/>
    <w:rsid w:val="004B6847"/>
    <w:rsid w:val="004B6F79"/>
    <w:rsid w:val="004B774D"/>
    <w:rsid w:val="004B79D6"/>
    <w:rsid w:val="004C005A"/>
    <w:rsid w:val="004C0B50"/>
    <w:rsid w:val="004C0C44"/>
    <w:rsid w:val="004C119F"/>
    <w:rsid w:val="004C12FA"/>
    <w:rsid w:val="004C189F"/>
    <w:rsid w:val="004C198E"/>
    <w:rsid w:val="004C1A31"/>
    <w:rsid w:val="004C1B5B"/>
    <w:rsid w:val="004C1EB9"/>
    <w:rsid w:val="004C22FF"/>
    <w:rsid w:val="004C39FB"/>
    <w:rsid w:val="004C44DB"/>
    <w:rsid w:val="004C48F3"/>
    <w:rsid w:val="004C4AED"/>
    <w:rsid w:val="004C4EE3"/>
    <w:rsid w:val="004C507C"/>
    <w:rsid w:val="004C57CF"/>
    <w:rsid w:val="004C5D74"/>
    <w:rsid w:val="004C69EB"/>
    <w:rsid w:val="004C7879"/>
    <w:rsid w:val="004C7FB1"/>
    <w:rsid w:val="004D0204"/>
    <w:rsid w:val="004D02A5"/>
    <w:rsid w:val="004D0545"/>
    <w:rsid w:val="004D0BEE"/>
    <w:rsid w:val="004D0C8D"/>
    <w:rsid w:val="004D141D"/>
    <w:rsid w:val="004D14B5"/>
    <w:rsid w:val="004D15C1"/>
    <w:rsid w:val="004D267A"/>
    <w:rsid w:val="004D26CB"/>
    <w:rsid w:val="004D2C2D"/>
    <w:rsid w:val="004D313E"/>
    <w:rsid w:val="004D4A06"/>
    <w:rsid w:val="004D4E44"/>
    <w:rsid w:val="004D52BA"/>
    <w:rsid w:val="004D5581"/>
    <w:rsid w:val="004D5748"/>
    <w:rsid w:val="004D57A5"/>
    <w:rsid w:val="004D58BB"/>
    <w:rsid w:val="004D5A1F"/>
    <w:rsid w:val="004D5AF9"/>
    <w:rsid w:val="004D69B5"/>
    <w:rsid w:val="004D7227"/>
    <w:rsid w:val="004D74D2"/>
    <w:rsid w:val="004D7F93"/>
    <w:rsid w:val="004E0989"/>
    <w:rsid w:val="004E0E7F"/>
    <w:rsid w:val="004E0EB8"/>
    <w:rsid w:val="004E120E"/>
    <w:rsid w:val="004E18E9"/>
    <w:rsid w:val="004E1EA5"/>
    <w:rsid w:val="004E24E4"/>
    <w:rsid w:val="004E294B"/>
    <w:rsid w:val="004E2ADC"/>
    <w:rsid w:val="004E2DAA"/>
    <w:rsid w:val="004E31D5"/>
    <w:rsid w:val="004E349C"/>
    <w:rsid w:val="004E3894"/>
    <w:rsid w:val="004E3965"/>
    <w:rsid w:val="004E3A21"/>
    <w:rsid w:val="004E3D69"/>
    <w:rsid w:val="004E43B2"/>
    <w:rsid w:val="004E4606"/>
    <w:rsid w:val="004E4CF3"/>
    <w:rsid w:val="004E4EE1"/>
    <w:rsid w:val="004E514B"/>
    <w:rsid w:val="004E58B4"/>
    <w:rsid w:val="004E58FF"/>
    <w:rsid w:val="004E65CC"/>
    <w:rsid w:val="004E6E23"/>
    <w:rsid w:val="004E6FA3"/>
    <w:rsid w:val="004E7179"/>
    <w:rsid w:val="004E7929"/>
    <w:rsid w:val="004F044B"/>
    <w:rsid w:val="004F0562"/>
    <w:rsid w:val="004F0E8D"/>
    <w:rsid w:val="004F10B3"/>
    <w:rsid w:val="004F117A"/>
    <w:rsid w:val="004F1320"/>
    <w:rsid w:val="004F1A31"/>
    <w:rsid w:val="004F1D02"/>
    <w:rsid w:val="004F2503"/>
    <w:rsid w:val="004F2511"/>
    <w:rsid w:val="004F2679"/>
    <w:rsid w:val="004F2708"/>
    <w:rsid w:val="004F28E6"/>
    <w:rsid w:val="004F2F21"/>
    <w:rsid w:val="004F2FB3"/>
    <w:rsid w:val="004F32B7"/>
    <w:rsid w:val="004F3417"/>
    <w:rsid w:val="004F3DE5"/>
    <w:rsid w:val="004F3FC5"/>
    <w:rsid w:val="004F43AC"/>
    <w:rsid w:val="004F46AB"/>
    <w:rsid w:val="004F4871"/>
    <w:rsid w:val="004F49FC"/>
    <w:rsid w:val="004F4AD4"/>
    <w:rsid w:val="004F4BB9"/>
    <w:rsid w:val="004F4DA8"/>
    <w:rsid w:val="004F5AEC"/>
    <w:rsid w:val="004F5BF1"/>
    <w:rsid w:val="004F6913"/>
    <w:rsid w:val="004F6DEE"/>
    <w:rsid w:val="004F6FF8"/>
    <w:rsid w:val="004F7398"/>
    <w:rsid w:val="004F7865"/>
    <w:rsid w:val="004F7871"/>
    <w:rsid w:val="0050001A"/>
    <w:rsid w:val="0050005F"/>
    <w:rsid w:val="00500276"/>
    <w:rsid w:val="00500DC9"/>
    <w:rsid w:val="00500ED5"/>
    <w:rsid w:val="00500EF7"/>
    <w:rsid w:val="00501285"/>
    <w:rsid w:val="00501552"/>
    <w:rsid w:val="0050156B"/>
    <w:rsid w:val="0050174E"/>
    <w:rsid w:val="00501854"/>
    <w:rsid w:val="00501C48"/>
    <w:rsid w:val="0050206C"/>
    <w:rsid w:val="0050219B"/>
    <w:rsid w:val="0050270F"/>
    <w:rsid w:val="005028A1"/>
    <w:rsid w:val="00502EE9"/>
    <w:rsid w:val="00502F37"/>
    <w:rsid w:val="0050329E"/>
    <w:rsid w:val="00503F17"/>
    <w:rsid w:val="00504C53"/>
    <w:rsid w:val="005054A9"/>
    <w:rsid w:val="0050555F"/>
    <w:rsid w:val="00505AFE"/>
    <w:rsid w:val="00505B62"/>
    <w:rsid w:val="00505CFF"/>
    <w:rsid w:val="00505FF8"/>
    <w:rsid w:val="005061CD"/>
    <w:rsid w:val="005064BD"/>
    <w:rsid w:val="00506928"/>
    <w:rsid w:val="00506BFD"/>
    <w:rsid w:val="00506F72"/>
    <w:rsid w:val="00507278"/>
    <w:rsid w:val="005077EF"/>
    <w:rsid w:val="00511651"/>
    <w:rsid w:val="005118C1"/>
    <w:rsid w:val="00511AD5"/>
    <w:rsid w:val="00511DC7"/>
    <w:rsid w:val="0051286F"/>
    <w:rsid w:val="00512C82"/>
    <w:rsid w:val="00512CF1"/>
    <w:rsid w:val="00513064"/>
    <w:rsid w:val="00513941"/>
    <w:rsid w:val="0051397B"/>
    <w:rsid w:val="00513A55"/>
    <w:rsid w:val="00513DA3"/>
    <w:rsid w:val="005140EF"/>
    <w:rsid w:val="005142C5"/>
    <w:rsid w:val="005146CC"/>
    <w:rsid w:val="0051501B"/>
    <w:rsid w:val="005152B5"/>
    <w:rsid w:val="00515A42"/>
    <w:rsid w:val="00515BBB"/>
    <w:rsid w:val="00516E37"/>
    <w:rsid w:val="00517616"/>
    <w:rsid w:val="00517DBE"/>
    <w:rsid w:val="00520202"/>
    <w:rsid w:val="00520A0A"/>
    <w:rsid w:val="00520BAF"/>
    <w:rsid w:val="0052123C"/>
    <w:rsid w:val="00521319"/>
    <w:rsid w:val="0052166D"/>
    <w:rsid w:val="0052255B"/>
    <w:rsid w:val="005225CF"/>
    <w:rsid w:val="00522BC8"/>
    <w:rsid w:val="005230D2"/>
    <w:rsid w:val="005231A8"/>
    <w:rsid w:val="005236D9"/>
    <w:rsid w:val="00523A13"/>
    <w:rsid w:val="00523C28"/>
    <w:rsid w:val="00524124"/>
    <w:rsid w:val="005242A9"/>
    <w:rsid w:val="005242E6"/>
    <w:rsid w:val="0052448B"/>
    <w:rsid w:val="005244CF"/>
    <w:rsid w:val="0052518C"/>
    <w:rsid w:val="0052573C"/>
    <w:rsid w:val="00526457"/>
    <w:rsid w:val="00527E98"/>
    <w:rsid w:val="00527FFA"/>
    <w:rsid w:val="00530E13"/>
    <w:rsid w:val="0053176B"/>
    <w:rsid w:val="0053186D"/>
    <w:rsid w:val="005332DB"/>
    <w:rsid w:val="00534253"/>
    <w:rsid w:val="00535327"/>
    <w:rsid w:val="00535A15"/>
    <w:rsid w:val="005361B8"/>
    <w:rsid w:val="00536556"/>
    <w:rsid w:val="005367F9"/>
    <w:rsid w:val="00536E72"/>
    <w:rsid w:val="00536F42"/>
    <w:rsid w:val="00537182"/>
    <w:rsid w:val="00541EDD"/>
    <w:rsid w:val="00542044"/>
    <w:rsid w:val="00542743"/>
    <w:rsid w:val="00542796"/>
    <w:rsid w:val="00542C2D"/>
    <w:rsid w:val="00542DAC"/>
    <w:rsid w:val="00542DEF"/>
    <w:rsid w:val="0054300A"/>
    <w:rsid w:val="005430FE"/>
    <w:rsid w:val="005431A6"/>
    <w:rsid w:val="00543814"/>
    <w:rsid w:val="0054459C"/>
    <w:rsid w:val="005447A6"/>
    <w:rsid w:val="005447E8"/>
    <w:rsid w:val="00544C35"/>
    <w:rsid w:val="00547243"/>
    <w:rsid w:val="00547352"/>
    <w:rsid w:val="00547751"/>
    <w:rsid w:val="005478BD"/>
    <w:rsid w:val="005479E3"/>
    <w:rsid w:val="00547A3E"/>
    <w:rsid w:val="005500F7"/>
    <w:rsid w:val="0055136A"/>
    <w:rsid w:val="0055139A"/>
    <w:rsid w:val="00551985"/>
    <w:rsid w:val="005523C3"/>
    <w:rsid w:val="00552566"/>
    <w:rsid w:val="00552BD3"/>
    <w:rsid w:val="005532A0"/>
    <w:rsid w:val="005544EB"/>
    <w:rsid w:val="00554DAA"/>
    <w:rsid w:val="00555084"/>
    <w:rsid w:val="005550FD"/>
    <w:rsid w:val="00555109"/>
    <w:rsid w:val="00555574"/>
    <w:rsid w:val="00555745"/>
    <w:rsid w:val="005559C2"/>
    <w:rsid w:val="00555BA2"/>
    <w:rsid w:val="00556332"/>
    <w:rsid w:val="0055671B"/>
    <w:rsid w:val="0055687D"/>
    <w:rsid w:val="0055697D"/>
    <w:rsid w:val="00556B35"/>
    <w:rsid w:val="00556CF6"/>
    <w:rsid w:val="00556F2E"/>
    <w:rsid w:val="0055741A"/>
    <w:rsid w:val="005575B9"/>
    <w:rsid w:val="00557A0C"/>
    <w:rsid w:val="00560BEA"/>
    <w:rsid w:val="00560F46"/>
    <w:rsid w:val="005611B7"/>
    <w:rsid w:val="005618D4"/>
    <w:rsid w:val="00561D7D"/>
    <w:rsid w:val="0056261C"/>
    <w:rsid w:val="00562E9A"/>
    <w:rsid w:val="0056339F"/>
    <w:rsid w:val="0056366E"/>
    <w:rsid w:val="005636DD"/>
    <w:rsid w:val="00563D78"/>
    <w:rsid w:val="0056438E"/>
    <w:rsid w:val="00564C13"/>
    <w:rsid w:val="00564D1E"/>
    <w:rsid w:val="00565B3D"/>
    <w:rsid w:val="00565CAB"/>
    <w:rsid w:val="00565DF0"/>
    <w:rsid w:val="00565F89"/>
    <w:rsid w:val="00565F98"/>
    <w:rsid w:val="0056696F"/>
    <w:rsid w:val="00566A2A"/>
    <w:rsid w:val="00566EB8"/>
    <w:rsid w:val="00567104"/>
    <w:rsid w:val="00567269"/>
    <w:rsid w:val="005672D5"/>
    <w:rsid w:val="00567D51"/>
    <w:rsid w:val="00567E33"/>
    <w:rsid w:val="00570796"/>
    <w:rsid w:val="005715A2"/>
    <w:rsid w:val="005716A6"/>
    <w:rsid w:val="0057188D"/>
    <w:rsid w:val="00571EB8"/>
    <w:rsid w:val="0057205B"/>
    <w:rsid w:val="00572269"/>
    <w:rsid w:val="00572370"/>
    <w:rsid w:val="0057244A"/>
    <w:rsid w:val="00572C54"/>
    <w:rsid w:val="00572F26"/>
    <w:rsid w:val="00572FBD"/>
    <w:rsid w:val="00573B9A"/>
    <w:rsid w:val="00573DEC"/>
    <w:rsid w:val="0057476F"/>
    <w:rsid w:val="00574E63"/>
    <w:rsid w:val="00574ED9"/>
    <w:rsid w:val="00574EFE"/>
    <w:rsid w:val="005750C5"/>
    <w:rsid w:val="0057510D"/>
    <w:rsid w:val="005752DE"/>
    <w:rsid w:val="00575599"/>
    <w:rsid w:val="0057565F"/>
    <w:rsid w:val="00575855"/>
    <w:rsid w:val="00575D8D"/>
    <w:rsid w:val="00575DCE"/>
    <w:rsid w:val="00576051"/>
    <w:rsid w:val="005763CA"/>
    <w:rsid w:val="0057674B"/>
    <w:rsid w:val="00576972"/>
    <w:rsid w:val="0057736E"/>
    <w:rsid w:val="005773DD"/>
    <w:rsid w:val="0058013A"/>
    <w:rsid w:val="0058021D"/>
    <w:rsid w:val="00580CAB"/>
    <w:rsid w:val="00580D5D"/>
    <w:rsid w:val="00581103"/>
    <w:rsid w:val="0058165F"/>
    <w:rsid w:val="00581948"/>
    <w:rsid w:val="00581B33"/>
    <w:rsid w:val="00582079"/>
    <w:rsid w:val="005821F2"/>
    <w:rsid w:val="00583147"/>
    <w:rsid w:val="00583699"/>
    <w:rsid w:val="005838B7"/>
    <w:rsid w:val="00583E27"/>
    <w:rsid w:val="0058413B"/>
    <w:rsid w:val="00584705"/>
    <w:rsid w:val="00584C5D"/>
    <w:rsid w:val="00585925"/>
    <w:rsid w:val="00585CDD"/>
    <w:rsid w:val="00585F50"/>
    <w:rsid w:val="00586566"/>
    <w:rsid w:val="005866E4"/>
    <w:rsid w:val="00587058"/>
    <w:rsid w:val="00587472"/>
    <w:rsid w:val="0058753F"/>
    <w:rsid w:val="00590080"/>
    <w:rsid w:val="00590508"/>
    <w:rsid w:val="005908DA"/>
    <w:rsid w:val="0059098E"/>
    <w:rsid w:val="00591590"/>
    <w:rsid w:val="0059187A"/>
    <w:rsid w:val="00591957"/>
    <w:rsid w:val="005926F7"/>
    <w:rsid w:val="005927E4"/>
    <w:rsid w:val="005927FB"/>
    <w:rsid w:val="00592E74"/>
    <w:rsid w:val="005933FE"/>
    <w:rsid w:val="0059356F"/>
    <w:rsid w:val="005939E1"/>
    <w:rsid w:val="00593AA8"/>
    <w:rsid w:val="00593DC5"/>
    <w:rsid w:val="005940D8"/>
    <w:rsid w:val="0059452E"/>
    <w:rsid w:val="005948D8"/>
    <w:rsid w:val="00594B1D"/>
    <w:rsid w:val="005955CE"/>
    <w:rsid w:val="005955F8"/>
    <w:rsid w:val="00595A57"/>
    <w:rsid w:val="00595E10"/>
    <w:rsid w:val="00596F74"/>
    <w:rsid w:val="00597BF9"/>
    <w:rsid w:val="00597F20"/>
    <w:rsid w:val="005A017C"/>
    <w:rsid w:val="005A076D"/>
    <w:rsid w:val="005A0BC8"/>
    <w:rsid w:val="005A1FD2"/>
    <w:rsid w:val="005A217B"/>
    <w:rsid w:val="005A2D78"/>
    <w:rsid w:val="005A2E81"/>
    <w:rsid w:val="005A309A"/>
    <w:rsid w:val="005A35F2"/>
    <w:rsid w:val="005A373D"/>
    <w:rsid w:val="005A4351"/>
    <w:rsid w:val="005A4770"/>
    <w:rsid w:val="005A486E"/>
    <w:rsid w:val="005A542F"/>
    <w:rsid w:val="005A5620"/>
    <w:rsid w:val="005A6ADD"/>
    <w:rsid w:val="005A7978"/>
    <w:rsid w:val="005B008C"/>
    <w:rsid w:val="005B097C"/>
    <w:rsid w:val="005B0B58"/>
    <w:rsid w:val="005B169B"/>
    <w:rsid w:val="005B1B7B"/>
    <w:rsid w:val="005B21DB"/>
    <w:rsid w:val="005B3D55"/>
    <w:rsid w:val="005B4389"/>
    <w:rsid w:val="005B4ACA"/>
    <w:rsid w:val="005B4B4D"/>
    <w:rsid w:val="005B4CF2"/>
    <w:rsid w:val="005B4D2D"/>
    <w:rsid w:val="005B4E53"/>
    <w:rsid w:val="005B5857"/>
    <w:rsid w:val="005B5902"/>
    <w:rsid w:val="005B61B0"/>
    <w:rsid w:val="005B628F"/>
    <w:rsid w:val="005B6510"/>
    <w:rsid w:val="005B664E"/>
    <w:rsid w:val="005B66BC"/>
    <w:rsid w:val="005B6FF5"/>
    <w:rsid w:val="005B749E"/>
    <w:rsid w:val="005B7D0F"/>
    <w:rsid w:val="005C0AF5"/>
    <w:rsid w:val="005C0D6E"/>
    <w:rsid w:val="005C0F5C"/>
    <w:rsid w:val="005C1B77"/>
    <w:rsid w:val="005C1B83"/>
    <w:rsid w:val="005C2019"/>
    <w:rsid w:val="005C2233"/>
    <w:rsid w:val="005C226A"/>
    <w:rsid w:val="005C25FF"/>
    <w:rsid w:val="005C2620"/>
    <w:rsid w:val="005C29BB"/>
    <w:rsid w:val="005C2D55"/>
    <w:rsid w:val="005C2FB1"/>
    <w:rsid w:val="005C2FB4"/>
    <w:rsid w:val="005C3273"/>
    <w:rsid w:val="005C346B"/>
    <w:rsid w:val="005C35C3"/>
    <w:rsid w:val="005C38F3"/>
    <w:rsid w:val="005C44D6"/>
    <w:rsid w:val="005C454C"/>
    <w:rsid w:val="005C46D8"/>
    <w:rsid w:val="005C4E52"/>
    <w:rsid w:val="005C5CC9"/>
    <w:rsid w:val="005C6CB5"/>
    <w:rsid w:val="005C6F18"/>
    <w:rsid w:val="005C787E"/>
    <w:rsid w:val="005C7B65"/>
    <w:rsid w:val="005C7EB2"/>
    <w:rsid w:val="005D044D"/>
    <w:rsid w:val="005D078D"/>
    <w:rsid w:val="005D0ABD"/>
    <w:rsid w:val="005D0DC6"/>
    <w:rsid w:val="005D0F35"/>
    <w:rsid w:val="005D1561"/>
    <w:rsid w:val="005D18AD"/>
    <w:rsid w:val="005D1E87"/>
    <w:rsid w:val="005D2653"/>
    <w:rsid w:val="005D26B4"/>
    <w:rsid w:val="005D2BB6"/>
    <w:rsid w:val="005D2E50"/>
    <w:rsid w:val="005D3207"/>
    <w:rsid w:val="005D3458"/>
    <w:rsid w:val="005D373E"/>
    <w:rsid w:val="005D4A0B"/>
    <w:rsid w:val="005D4C9E"/>
    <w:rsid w:val="005D4D0F"/>
    <w:rsid w:val="005D4EFD"/>
    <w:rsid w:val="005D57F6"/>
    <w:rsid w:val="005D5D10"/>
    <w:rsid w:val="005D677D"/>
    <w:rsid w:val="005D6A67"/>
    <w:rsid w:val="005D7237"/>
    <w:rsid w:val="005D7FD5"/>
    <w:rsid w:val="005E00AF"/>
    <w:rsid w:val="005E0490"/>
    <w:rsid w:val="005E09CE"/>
    <w:rsid w:val="005E0DF5"/>
    <w:rsid w:val="005E1437"/>
    <w:rsid w:val="005E1504"/>
    <w:rsid w:val="005E25BE"/>
    <w:rsid w:val="005E26BD"/>
    <w:rsid w:val="005E2994"/>
    <w:rsid w:val="005E2B1C"/>
    <w:rsid w:val="005E2C3A"/>
    <w:rsid w:val="005E2E56"/>
    <w:rsid w:val="005E3341"/>
    <w:rsid w:val="005E3345"/>
    <w:rsid w:val="005E3AE2"/>
    <w:rsid w:val="005E3CBA"/>
    <w:rsid w:val="005E3ED9"/>
    <w:rsid w:val="005E5505"/>
    <w:rsid w:val="005E6CBC"/>
    <w:rsid w:val="005E6DBE"/>
    <w:rsid w:val="005E72FF"/>
    <w:rsid w:val="005E73C0"/>
    <w:rsid w:val="005E77E0"/>
    <w:rsid w:val="005E7ACE"/>
    <w:rsid w:val="005F094F"/>
    <w:rsid w:val="005F17F9"/>
    <w:rsid w:val="005F188F"/>
    <w:rsid w:val="005F1BE0"/>
    <w:rsid w:val="005F1CB4"/>
    <w:rsid w:val="005F2563"/>
    <w:rsid w:val="005F2706"/>
    <w:rsid w:val="005F27E4"/>
    <w:rsid w:val="005F2B4D"/>
    <w:rsid w:val="005F2BB9"/>
    <w:rsid w:val="005F31AB"/>
    <w:rsid w:val="005F3D98"/>
    <w:rsid w:val="005F4607"/>
    <w:rsid w:val="005F4B88"/>
    <w:rsid w:val="005F502D"/>
    <w:rsid w:val="005F505E"/>
    <w:rsid w:val="005F5580"/>
    <w:rsid w:val="005F5D75"/>
    <w:rsid w:val="005F6269"/>
    <w:rsid w:val="005F6A8F"/>
    <w:rsid w:val="005F6A90"/>
    <w:rsid w:val="005F6B04"/>
    <w:rsid w:val="005F6BB7"/>
    <w:rsid w:val="005F7588"/>
    <w:rsid w:val="005F78E3"/>
    <w:rsid w:val="00600525"/>
    <w:rsid w:val="0060054D"/>
    <w:rsid w:val="00600CA2"/>
    <w:rsid w:val="006013E5"/>
    <w:rsid w:val="00601892"/>
    <w:rsid w:val="00601CA8"/>
    <w:rsid w:val="00601F42"/>
    <w:rsid w:val="006026A5"/>
    <w:rsid w:val="00603DB9"/>
    <w:rsid w:val="00603E77"/>
    <w:rsid w:val="0060411A"/>
    <w:rsid w:val="006041C0"/>
    <w:rsid w:val="00604964"/>
    <w:rsid w:val="006053D2"/>
    <w:rsid w:val="006053FE"/>
    <w:rsid w:val="0060608E"/>
    <w:rsid w:val="00606585"/>
    <w:rsid w:val="00606C84"/>
    <w:rsid w:val="00606FBA"/>
    <w:rsid w:val="00607016"/>
    <w:rsid w:val="00607669"/>
    <w:rsid w:val="006076F4"/>
    <w:rsid w:val="00607767"/>
    <w:rsid w:val="00607AFD"/>
    <w:rsid w:val="00607E79"/>
    <w:rsid w:val="00611B0C"/>
    <w:rsid w:val="00611ED2"/>
    <w:rsid w:val="006125DD"/>
    <w:rsid w:val="00612F97"/>
    <w:rsid w:val="00613417"/>
    <w:rsid w:val="0061345D"/>
    <w:rsid w:val="006134F2"/>
    <w:rsid w:val="006135E2"/>
    <w:rsid w:val="00613E30"/>
    <w:rsid w:val="00614001"/>
    <w:rsid w:val="0061490F"/>
    <w:rsid w:val="00614C97"/>
    <w:rsid w:val="00615399"/>
    <w:rsid w:val="0061549B"/>
    <w:rsid w:val="00615A3B"/>
    <w:rsid w:val="00615CB2"/>
    <w:rsid w:val="00615CFD"/>
    <w:rsid w:val="00616802"/>
    <w:rsid w:val="00616BBE"/>
    <w:rsid w:val="006170F3"/>
    <w:rsid w:val="00617403"/>
    <w:rsid w:val="00617E12"/>
    <w:rsid w:val="00620018"/>
    <w:rsid w:val="006203FA"/>
    <w:rsid w:val="00620C25"/>
    <w:rsid w:val="00620D14"/>
    <w:rsid w:val="00620EE6"/>
    <w:rsid w:val="006212C7"/>
    <w:rsid w:val="00621477"/>
    <w:rsid w:val="006214D7"/>
    <w:rsid w:val="0062179A"/>
    <w:rsid w:val="00621ADA"/>
    <w:rsid w:val="00621C9A"/>
    <w:rsid w:val="00621CD4"/>
    <w:rsid w:val="0062261A"/>
    <w:rsid w:val="00622999"/>
    <w:rsid w:val="00622BB4"/>
    <w:rsid w:val="00623091"/>
    <w:rsid w:val="00623847"/>
    <w:rsid w:val="00623BD9"/>
    <w:rsid w:val="00623EFF"/>
    <w:rsid w:val="00623F7B"/>
    <w:rsid w:val="00623FCC"/>
    <w:rsid w:val="006241FF"/>
    <w:rsid w:val="006254C8"/>
    <w:rsid w:val="00625B49"/>
    <w:rsid w:val="00626906"/>
    <w:rsid w:val="00626B78"/>
    <w:rsid w:val="00626CD9"/>
    <w:rsid w:val="006271C3"/>
    <w:rsid w:val="0062771B"/>
    <w:rsid w:val="0062771D"/>
    <w:rsid w:val="006277A7"/>
    <w:rsid w:val="00627A1C"/>
    <w:rsid w:val="0063018B"/>
    <w:rsid w:val="00631434"/>
    <w:rsid w:val="0063158F"/>
    <w:rsid w:val="006316DC"/>
    <w:rsid w:val="00631D6B"/>
    <w:rsid w:val="00631E35"/>
    <w:rsid w:val="00632183"/>
    <w:rsid w:val="006326FC"/>
    <w:rsid w:val="0063283F"/>
    <w:rsid w:val="006330A1"/>
    <w:rsid w:val="00633720"/>
    <w:rsid w:val="00633FD7"/>
    <w:rsid w:val="00633FDE"/>
    <w:rsid w:val="006340E8"/>
    <w:rsid w:val="00634492"/>
    <w:rsid w:val="0063479F"/>
    <w:rsid w:val="00634871"/>
    <w:rsid w:val="006353F0"/>
    <w:rsid w:val="00635724"/>
    <w:rsid w:val="006357B5"/>
    <w:rsid w:val="00635BF0"/>
    <w:rsid w:val="00635F4C"/>
    <w:rsid w:val="006364A1"/>
    <w:rsid w:val="0063658B"/>
    <w:rsid w:val="0063678E"/>
    <w:rsid w:val="00636FD2"/>
    <w:rsid w:val="00637949"/>
    <w:rsid w:val="0063795B"/>
    <w:rsid w:val="00637BFD"/>
    <w:rsid w:val="00637E65"/>
    <w:rsid w:val="00640084"/>
    <w:rsid w:val="00640088"/>
    <w:rsid w:val="00640268"/>
    <w:rsid w:val="006408F6"/>
    <w:rsid w:val="00640BD8"/>
    <w:rsid w:val="0064192A"/>
    <w:rsid w:val="00641A65"/>
    <w:rsid w:val="00641C4E"/>
    <w:rsid w:val="00641FB3"/>
    <w:rsid w:val="00642303"/>
    <w:rsid w:val="00642B20"/>
    <w:rsid w:val="00643185"/>
    <w:rsid w:val="00643394"/>
    <w:rsid w:val="0064428D"/>
    <w:rsid w:val="006442BD"/>
    <w:rsid w:val="0064434C"/>
    <w:rsid w:val="00644425"/>
    <w:rsid w:val="006451C6"/>
    <w:rsid w:val="00646264"/>
    <w:rsid w:val="00646650"/>
    <w:rsid w:val="00646756"/>
    <w:rsid w:val="00647027"/>
    <w:rsid w:val="006471CC"/>
    <w:rsid w:val="006477BF"/>
    <w:rsid w:val="00647A29"/>
    <w:rsid w:val="00647D56"/>
    <w:rsid w:val="0065079F"/>
    <w:rsid w:val="006520CD"/>
    <w:rsid w:val="006520DB"/>
    <w:rsid w:val="006526F1"/>
    <w:rsid w:val="00652A28"/>
    <w:rsid w:val="0065379F"/>
    <w:rsid w:val="006537F7"/>
    <w:rsid w:val="00653C5A"/>
    <w:rsid w:val="00653D6E"/>
    <w:rsid w:val="006540E9"/>
    <w:rsid w:val="006543F0"/>
    <w:rsid w:val="00654910"/>
    <w:rsid w:val="00655429"/>
    <w:rsid w:val="006555AB"/>
    <w:rsid w:val="0065583E"/>
    <w:rsid w:val="00656048"/>
    <w:rsid w:val="00656188"/>
    <w:rsid w:val="006562E7"/>
    <w:rsid w:val="00656375"/>
    <w:rsid w:val="00656670"/>
    <w:rsid w:val="00656DB2"/>
    <w:rsid w:val="00656F40"/>
    <w:rsid w:val="0065715A"/>
    <w:rsid w:val="00657C6B"/>
    <w:rsid w:val="00657DD9"/>
    <w:rsid w:val="00660667"/>
    <w:rsid w:val="00660EA5"/>
    <w:rsid w:val="00660EE1"/>
    <w:rsid w:val="006610F1"/>
    <w:rsid w:val="0066179F"/>
    <w:rsid w:val="00661C6B"/>
    <w:rsid w:val="00661CF0"/>
    <w:rsid w:val="0066240E"/>
    <w:rsid w:val="0066255F"/>
    <w:rsid w:val="0066256B"/>
    <w:rsid w:val="00662A91"/>
    <w:rsid w:val="00662B59"/>
    <w:rsid w:val="00662C09"/>
    <w:rsid w:val="00662DEB"/>
    <w:rsid w:val="006632A3"/>
    <w:rsid w:val="0066354F"/>
    <w:rsid w:val="00667679"/>
    <w:rsid w:val="0066774C"/>
    <w:rsid w:val="00667D92"/>
    <w:rsid w:val="00667DAC"/>
    <w:rsid w:val="00670432"/>
    <w:rsid w:val="00671004"/>
    <w:rsid w:val="0067127D"/>
    <w:rsid w:val="00671619"/>
    <w:rsid w:val="006725E8"/>
    <w:rsid w:val="00672646"/>
    <w:rsid w:val="00672FF5"/>
    <w:rsid w:val="00673D75"/>
    <w:rsid w:val="00674E42"/>
    <w:rsid w:val="00675414"/>
    <w:rsid w:val="006754AD"/>
    <w:rsid w:val="006756B0"/>
    <w:rsid w:val="006758F0"/>
    <w:rsid w:val="0067597C"/>
    <w:rsid w:val="00676183"/>
    <w:rsid w:val="00676708"/>
    <w:rsid w:val="00676CB6"/>
    <w:rsid w:val="0067707A"/>
    <w:rsid w:val="00677763"/>
    <w:rsid w:val="00677DF8"/>
    <w:rsid w:val="006802AC"/>
    <w:rsid w:val="006813F8"/>
    <w:rsid w:val="006815AC"/>
    <w:rsid w:val="0068177E"/>
    <w:rsid w:val="00681A17"/>
    <w:rsid w:val="00681F3B"/>
    <w:rsid w:val="00682112"/>
    <w:rsid w:val="00682BA6"/>
    <w:rsid w:val="00682C4D"/>
    <w:rsid w:val="00682CC0"/>
    <w:rsid w:val="00682FA8"/>
    <w:rsid w:val="00683668"/>
    <w:rsid w:val="00683802"/>
    <w:rsid w:val="00683DE8"/>
    <w:rsid w:val="00683ED9"/>
    <w:rsid w:val="0068555D"/>
    <w:rsid w:val="00685B91"/>
    <w:rsid w:val="00685EE6"/>
    <w:rsid w:val="00686307"/>
    <w:rsid w:val="00686957"/>
    <w:rsid w:val="00686D13"/>
    <w:rsid w:val="006872BA"/>
    <w:rsid w:val="006902ED"/>
    <w:rsid w:val="00690431"/>
    <w:rsid w:val="00690795"/>
    <w:rsid w:val="00690AA0"/>
    <w:rsid w:val="00690E30"/>
    <w:rsid w:val="00691648"/>
    <w:rsid w:val="006917D7"/>
    <w:rsid w:val="006918E5"/>
    <w:rsid w:val="00691ACF"/>
    <w:rsid w:val="00691F88"/>
    <w:rsid w:val="00692BFC"/>
    <w:rsid w:val="00693344"/>
    <w:rsid w:val="00693D18"/>
    <w:rsid w:val="00693DB5"/>
    <w:rsid w:val="006941DB"/>
    <w:rsid w:val="0069434C"/>
    <w:rsid w:val="00694893"/>
    <w:rsid w:val="00694D7E"/>
    <w:rsid w:val="00694ECB"/>
    <w:rsid w:val="00694F44"/>
    <w:rsid w:val="00694F65"/>
    <w:rsid w:val="00695245"/>
    <w:rsid w:val="0069547D"/>
    <w:rsid w:val="00695E40"/>
    <w:rsid w:val="00696F51"/>
    <w:rsid w:val="00697342"/>
    <w:rsid w:val="006976F2"/>
    <w:rsid w:val="006978BB"/>
    <w:rsid w:val="00697997"/>
    <w:rsid w:val="006979A5"/>
    <w:rsid w:val="00697D13"/>
    <w:rsid w:val="006A00BC"/>
    <w:rsid w:val="006A090D"/>
    <w:rsid w:val="006A0BDA"/>
    <w:rsid w:val="006A0BE9"/>
    <w:rsid w:val="006A0D01"/>
    <w:rsid w:val="006A0E60"/>
    <w:rsid w:val="006A1C89"/>
    <w:rsid w:val="006A2D0A"/>
    <w:rsid w:val="006A35BD"/>
    <w:rsid w:val="006A35DE"/>
    <w:rsid w:val="006A3740"/>
    <w:rsid w:val="006A436C"/>
    <w:rsid w:val="006A5985"/>
    <w:rsid w:val="006A5D1E"/>
    <w:rsid w:val="006A621F"/>
    <w:rsid w:val="006A646B"/>
    <w:rsid w:val="006A6797"/>
    <w:rsid w:val="006A69B5"/>
    <w:rsid w:val="006A6B99"/>
    <w:rsid w:val="006A73E3"/>
    <w:rsid w:val="006A7935"/>
    <w:rsid w:val="006A7E5F"/>
    <w:rsid w:val="006B0252"/>
    <w:rsid w:val="006B0345"/>
    <w:rsid w:val="006B03F9"/>
    <w:rsid w:val="006B06E0"/>
    <w:rsid w:val="006B0BD7"/>
    <w:rsid w:val="006B113D"/>
    <w:rsid w:val="006B14A7"/>
    <w:rsid w:val="006B1622"/>
    <w:rsid w:val="006B1A1E"/>
    <w:rsid w:val="006B23E5"/>
    <w:rsid w:val="006B261B"/>
    <w:rsid w:val="006B2C90"/>
    <w:rsid w:val="006B30FB"/>
    <w:rsid w:val="006B35A9"/>
    <w:rsid w:val="006B35E6"/>
    <w:rsid w:val="006B3A65"/>
    <w:rsid w:val="006B3EEB"/>
    <w:rsid w:val="006B4099"/>
    <w:rsid w:val="006B465A"/>
    <w:rsid w:val="006B4B23"/>
    <w:rsid w:val="006B4C04"/>
    <w:rsid w:val="006B564E"/>
    <w:rsid w:val="006B5979"/>
    <w:rsid w:val="006B5B29"/>
    <w:rsid w:val="006B5CD1"/>
    <w:rsid w:val="006B5ECA"/>
    <w:rsid w:val="006B65AA"/>
    <w:rsid w:val="006B6720"/>
    <w:rsid w:val="006B6DD0"/>
    <w:rsid w:val="006B7182"/>
    <w:rsid w:val="006B7315"/>
    <w:rsid w:val="006B771B"/>
    <w:rsid w:val="006C0399"/>
    <w:rsid w:val="006C1281"/>
    <w:rsid w:val="006C1810"/>
    <w:rsid w:val="006C2011"/>
    <w:rsid w:val="006C282B"/>
    <w:rsid w:val="006C2A8E"/>
    <w:rsid w:val="006C30D1"/>
    <w:rsid w:val="006C3255"/>
    <w:rsid w:val="006C3358"/>
    <w:rsid w:val="006C3AEB"/>
    <w:rsid w:val="006C3F26"/>
    <w:rsid w:val="006C3FE2"/>
    <w:rsid w:val="006C48E6"/>
    <w:rsid w:val="006C4A53"/>
    <w:rsid w:val="006C4C31"/>
    <w:rsid w:val="006C4F13"/>
    <w:rsid w:val="006C504E"/>
    <w:rsid w:val="006C6500"/>
    <w:rsid w:val="006C6720"/>
    <w:rsid w:val="006C6E1E"/>
    <w:rsid w:val="006C7FA2"/>
    <w:rsid w:val="006D0143"/>
    <w:rsid w:val="006D0828"/>
    <w:rsid w:val="006D0AA2"/>
    <w:rsid w:val="006D0D17"/>
    <w:rsid w:val="006D1212"/>
    <w:rsid w:val="006D14F3"/>
    <w:rsid w:val="006D19E6"/>
    <w:rsid w:val="006D1B5A"/>
    <w:rsid w:val="006D1F2F"/>
    <w:rsid w:val="006D299D"/>
    <w:rsid w:val="006D2D95"/>
    <w:rsid w:val="006D377B"/>
    <w:rsid w:val="006D3A14"/>
    <w:rsid w:val="006D3AC8"/>
    <w:rsid w:val="006D3C7D"/>
    <w:rsid w:val="006D4486"/>
    <w:rsid w:val="006D4508"/>
    <w:rsid w:val="006D4659"/>
    <w:rsid w:val="006D5D5F"/>
    <w:rsid w:val="006D5FA1"/>
    <w:rsid w:val="006D62DF"/>
    <w:rsid w:val="006D665B"/>
    <w:rsid w:val="006D68FB"/>
    <w:rsid w:val="006D69C3"/>
    <w:rsid w:val="006D6CE2"/>
    <w:rsid w:val="006D70D9"/>
    <w:rsid w:val="006D739C"/>
    <w:rsid w:val="006D7E47"/>
    <w:rsid w:val="006D7E7C"/>
    <w:rsid w:val="006D7EBD"/>
    <w:rsid w:val="006D7FAA"/>
    <w:rsid w:val="006E00FC"/>
    <w:rsid w:val="006E066A"/>
    <w:rsid w:val="006E0ECE"/>
    <w:rsid w:val="006E11AD"/>
    <w:rsid w:val="006E1384"/>
    <w:rsid w:val="006E1AC4"/>
    <w:rsid w:val="006E1ADE"/>
    <w:rsid w:val="006E2463"/>
    <w:rsid w:val="006E2822"/>
    <w:rsid w:val="006E2868"/>
    <w:rsid w:val="006E3E7F"/>
    <w:rsid w:val="006E4106"/>
    <w:rsid w:val="006E48DB"/>
    <w:rsid w:val="006E4E32"/>
    <w:rsid w:val="006E5410"/>
    <w:rsid w:val="006E6FC7"/>
    <w:rsid w:val="006E7F21"/>
    <w:rsid w:val="006F0365"/>
    <w:rsid w:val="006F1412"/>
    <w:rsid w:val="006F21D3"/>
    <w:rsid w:val="006F256F"/>
    <w:rsid w:val="006F2991"/>
    <w:rsid w:val="006F2D11"/>
    <w:rsid w:val="006F2E7F"/>
    <w:rsid w:val="006F306C"/>
    <w:rsid w:val="006F3483"/>
    <w:rsid w:val="006F3BBC"/>
    <w:rsid w:val="006F3C77"/>
    <w:rsid w:val="006F4066"/>
    <w:rsid w:val="006F4BA5"/>
    <w:rsid w:val="006F4FFF"/>
    <w:rsid w:val="006F516D"/>
    <w:rsid w:val="006F5531"/>
    <w:rsid w:val="006F5F5C"/>
    <w:rsid w:val="006F63A5"/>
    <w:rsid w:val="006F6A5A"/>
    <w:rsid w:val="006F6E86"/>
    <w:rsid w:val="007008A5"/>
    <w:rsid w:val="007009FD"/>
    <w:rsid w:val="00700CB6"/>
    <w:rsid w:val="0070142B"/>
    <w:rsid w:val="007015BF"/>
    <w:rsid w:val="0070179D"/>
    <w:rsid w:val="0070211E"/>
    <w:rsid w:val="0070276E"/>
    <w:rsid w:val="00702F8F"/>
    <w:rsid w:val="00703125"/>
    <w:rsid w:val="00703187"/>
    <w:rsid w:val="00703872"/>
    <w:rsid w:val="00704195"/>
    <w:rsid w:val="00704774"/>
    <w:rsid w:val="00704C4B"/>
    <w:rsid w:val="00705646"/>
    <w:rsid w:val="00705813"/>
    <w:rsid w:val="00705931"/>
    <w:rsid w:val="00705FE0"/>
    <w:rsid w:val="007064F1"/>
    <w:rsid w:val="0070656A"/>
    <w:rsid w:val="00706764"/>
    <w:rsid w:val="007071AA"/>
    <w:rsid w:val="00707200"/>
    <w:rsid w:val="007073EF"/>
    <w:rsid w:val="00707510"/>
    <w:rsid w:val="007076FA"/>
    <w:rsid w:val="007079FC"/>
    <w:rsid w:val="00707EA3"/>
    <w:rsid w:val="007101CC"/>
    <w:rsid w:val="0071133A"/>
    <w:rsid w:val="007116D2"/>
    <w:rsid w:val="007119C8"/>
    <w:rsid w:val="00711A36"/>
    <w:rsid w:val="00711C8D"/>
    <w:rsid w:val="00711E6E"/>
    <w:rsid w:val="00712451"/>
    <w:rsid w:val="00712721"/>
    <w:rsid w:val="00712C9F"/>
    <w:rsid w:val="00713219"/>
    <w:rsid w:val="00713827"/>
    <w:rsid w:val="00713A70"/>
    <w:rsid w:val="00714C26"/>
    <w:rsid w:val="00715070"/>
    <w:rsid w:val="00715225"/>
    <w:rsid w:val="0071529C"/>
    <w:rsid w:val="007164AC"/>
    <w:rsid w:val="00716A72"/>
    <w:rsid w:val="00716B7E"/>
    <w:rsid w:val="007170DA"/>
    <w:rsid w:val="007172AD"/>
    <w:rsid w:val="0071775C"/>
    <w:rsid w:val="007177BB"/>
    <w:rsid w:val="007177E5"/>
    <w:rsid w:val="00717B52"/>
    <w:rsid w:val="00720801"/>
    <w:rsid w:val="00721525"/>
    <w:rsid w:val="00722254"/>
    <w:rsid w:val="00722698"/>
    <w:rsid w:val="00722757"/>
    <w:rsid w:val="00722B1B"/>
    <w:rsid w:val="00722D00"/>
    <w:rsid w:val="00723C84"/>
    <w:rsid w:val="00723E2F"/>
    <w:rsid w:val="0072416F"/>
    <w:rsid w:val="00724B51"/>
    <w:rsid w:val="00724E21"/>
    <w:rsid w:val="007251BB"/>
    <w:rsid w:val="00725CB9"/>
    <w:rsid w:val="00725F7B"/>
    <w:rsid w:val="00725FEB"/>
    <w:rsid w:val="00726926"/>
    <w:rsid w:val="00726E12"/>
    <w:rsid w:val="0072762F"/>
    <w:rsid w:val="00727C94"/>
    <w:rsid w:val="00730384"/>
    <w:rsid w:val="00730561"/>
    <w:rsid w:val="0073193C"/>
    <w:rsid w:val="00731B0A"/>
    <w:rsid w:val="00731CD9"/>
    <w:rsid w:val="00731EAE"/>
    <w:rsid w:val="007327B5"/>
    <w:rsid w:val="00732803"/>
    <w:rsid w:val="00732B0E"/>
    <w:rsid w:val="00732B95"/>
    <w:rsid w:val="00733073"/>
    <w:rsid w:val="0073315C"/>
    <w:rsid w:val="007337F4"/>
    <w:rsid w:val="00733CA1"/>
    <w:rsid w:val="0073404F"/>
    <w:rsid w:val="00734E32"/>
    <w:rsid w:val="00735033"/>
    <w:rsid w:val="0073508F"/>
    <w:rsid w:val="007352CC"/>
    <w:rsid w:val="00735328"/>
    <w:rsid w:val="0073536C"/>
    <w:rsid w:val="0073592C"/>
    <w:rsid w:val="00735AD2"/>
    <w:rsid w:val="00735ADC"/>
    <w:rsid w:val="00735CC0"/>
    <w:rsid w:val="00735F90"/>
    <w:rsid w:val="00736063"/>
    <w:rsid w:val="007360C2"/>
    <w:rsid w:val="0073685B"/>
    <w:rsid w:val="00737039"/>
    <w:rsid w:val="00737819"/>
    <w:rsid w:val="00737B93"/>
    <w:rsid w:val="007402DF"/>
    <w:rsid w:val="00740CA3"/>
    <w:rsid w:val="00740D41"/>
    <w:rsid w:val="00741067"/>
    <w:rsid w:val="0074130C"/>
    <w:rsid w:val="0074148E"/>
    <w:rsid w:val="00742410"/>
    <w:rsid w:val="0074272E"/>
    <w:rsid w:val="00742BD9"/>
    <w:rsid w:val="00742C8B"/>
    <w:rsid w:val="007439D4"/>
    <w:rsid w:val="00743E27"/>
    <w:rsid w:val="00743F1F"/>
    <w:rsid w:val="007449AB"/>
    <w:rsid w:val="007449BF"/>
    <w:rsid w:val="007449DA"/>
    <w:rsid w:val="00744F91"/>
    <w:rsid w:val="00745256"/>
    <w:rsid w:val="0074532C"/>
    <w:rsid w:val="00745406"/>
    <w:rsid w:val="00745D12"/>
    <w:rsid w:val="00745EBF"/>
    <w:rsid w:val="00746015"/>
    <w:rsid w:val="0074640F"/>
    <w:rsid w:val="0074641B"/>
    <w:rsid w:val="007468BD"/>
    <w:rsid w:val="00746A0D"/>
    <w:rsid w:val="00746BC0"/>
    <w:rsid w:val="00746E62"/>
    <w:rsid w:val="00747A69"/>
    <w:rsid w:val="00747DC5"/>
    <w:rsid w:val="0075033F"/>
    <w:rsid w:val="00750554"/>
    <w:rsid w:val="007507C5"/>
    <w:rsid w:val="007510B4"/>
    <w:rsid w:val="00751331"/>
    <w:rsid w:val="00751393"/>
    <w:rsid w:val="00751F3A"/>
    <w:rsid w:val="00752142"/>
    <w:rsid w:val="00752365"/>
    <w:rsid w:val="007523F9"/>
    <w:rsid w:val="0075264C"/>
    <w:rsid w:val="00752C59"/>
    <w:rsid w:val="00752CE5"/>
    <w:rsid w:val="007533E7"/>
    <w:rsid w:val="0075357E"/>
    <w:rsid w:val="00753A2E"/>
    <w:rsid w:val="00753D2B"/>
    <w:rsid w:val="00755842"/>
    <w:rsid w:val="00756538"/>
    <w:rsid w:val="0075696E"/>
    <w:rsid w:val="00756DAB"/>
    <w:rsid w:val="007573E8"/>
    <w:rsid w:val="00757768"/>
    <w:rsid w:val="00757F12"/>
    <w:rsid w:val="00760526"/>
    <w:rsid w:val="00760BCD"/>
    <w:rsid w:val="00760C4E"/>
    <w:rsid w:val="00760DFC"/>
    <w:rsid w:val="00760F9E"/>
    <w:rsid w:val="00761555"/>
    <w:rsid w:val="00761560"/>
    <w:rsid w:val="00761A71"/>
    <w:rsid w:val="00762652"/>
    <w:rsid w:val="007627BE"/>
    <w:rsid w:val="00762D3B"/>
    <w:rsid w:val="0076343C"/>
    <w:rsid w:val="007635AD"/>
    <w:rsid w:val="00763758"/>
    <w:rsid w:val="00764679"/>
    <w:rsid w:val="00764980"/>
    <w:rsid w:val="00764F03"/>
    <w:rsid w:val="0076518D"/>
    <w:rsid w:val="007651B2"/>
    <w:rsid w:val="00765596"/>
    <w:rsid w:val="007657F0"/>
    <w:rsid w:val="00765B1A"/>
    <w:rsid w:val="00765C83"/>
    <w:rsid w:val="00766000"/>
    <w:rsid w:val="007660BD"/>
    <w:rsid w:val="00766116"/>
    <w:rsid w:val="00766245"/>
    <w:rsid w:val="00766492"/>
    <w:rsid w:val="00766A4E"/>
    <w:rsid w:val="00766ACA"/>
    <w:rsid w:val="00766C8B"/>
    <w:rsid w:val="00766DCA"/>
    <w:rsid w:val="0076779C"/>
    <w:rsid w:val="00767A85"/>
    <w:rsid w:val="00767AFF"/>
    <w:rsid w:val="00767BF8"/>
    <w:rsid w:val="007704E7"/>
    <w:rsid w:val="0077076C"/>
    <w:rsid w:val="007707E3"/>
    <w:rsid w:val="00770CC5"/>
    <w:rsid w:val="0077112F"/>
    <w:rsid w:val="007711BF"/>
    <w:rsid w:val="0077150A"/>
    <w:rsid w:val="007715CA"/>
    <w:rsid w:val="00771876"/>
    <w:rsid w:val="0077214A"/>
    <w:rsid w:val="007723EE"/>
    <w:rsid w:val="007726CB"/>
    <w:rsid w:val="00772A06"/>
    <w:rsid w:val="0077331D"/>
    <w:rsid w:val="00773772"/>
    <w:rsid w:val="00773844"/>
    <w:rsid w:val="00773DBA"/>
    <w:rsid w:val="00773DF5"/>
    <w:rsid w:val="0077420A"/>
    <w:rsid w:val="0077430F"/>
    <w:rsid w:val="0077436A"/>
    <w:rsid w:val="00774681"/>
    <w:rsid w:val="00774746"/>
    <w:rsid w:val="00774D2F"/>
    <w:rsid w:val="00774F70"/>
    <w:rsid w:val="00775176"/>
    <w:rsid w:val="0077557C"/>
    <w:rsid w:val="00775788"/>
    <w:rsid w:val="00775863"/>
    <w:rsid w:val="00775C6A"/>
    <w:rsid w:val="0077675B"/>
    <w:rsid w:val="00776C23"/>
    <w:rsid w:val="00777335"/>
    <w:rsid w:val="00780147"/>
    <w:rsid w:val="00780556"/>
    <w:rsid w:val="0078134B"/>
    <w:rsid w:val="0078173F"/>
    <w:rsid w:val="007818CD"/>
    <w:rsid w:val="00781D8D"/>
    <w:rsid w:val="00782C04"/>
    <w:rsid w:val="00782C19"/>
    <w:rsid w:val="00782C97"/>
    <w:rsid w:val="00782E13"/>
    <w:rsid w:val="00782F2A"/>
    <w:rsid w:val="00783061"/>
    <w:rsid w:val="007830BE"/>
    <w:rsid w:val="00784198"/>
    <w:rsid w:val="007842BD"/>
    <w:rsid w:val="007843F2"/>
    <w:rsid w:val="0078446D"/>
    <w:rsid w:val="007855C9"/>
    <w:rsid w:val="00785A9F"/>
    <w:rsid w:val="00785CB6"/>
    <w:rsid w:val="00785EC1"/>
    <w:rsid w:val="00785FE1"/>
    <w:rsid w:val="007860A8"/>
    <w:rsid w:val="00786245"/>
    <w:rsid w:val="00786B9C"/>
    <w:rsid w:val="00786CA5"/>
    <w:rsid w:val="00786D43"/>
    <w:rsid w:val="00786D5C"/>
    <w:rsid w:val="00786D7F"/>
    <w:rsid w:val="00787394"/>
    <w:rsid w:val="00787FB9"/>
    <w:rsid w:val="0079068C"/>
    <w:rsid w:val="00790924"/>
    <w:rsid w:val="00791DDA"/>
    <w:rsid w:val="0079209B"/>
    <w:rsid w:val="00792569"/>
    <w:rsid w:val="007925DF"/>
    <w:rsid w:val="00792A5D"/>
    <w:rsid w:val="007935F3"/>
    <w:rsid w:val="00793A11"/>
    <w:rsid w:val="0079476F"/>
    <w:rsid w:val="00794889"/>
    <w:rsid w:val="00794B48"/>
    <w:rsid w:val="00794D2F"/>
    <w:rsid w:val="00794E92"/>
    <w:rsid w:val="00795187"/>
    <w:rsid w:val="00795607"/>
    <w:rsid w:val="00795F7E"/>
    <w:rsid w:val="0079697C"/>
    <w:rsid w:val="00796A5D"/>
    <w:rsid w:val="00796A8A"/>
    <w:rsid w:val="00796BEF"/>
    <w:rsid w:val="00796C44"/>
    <w:rsid w:val="00797998"/>
    <w:rsid w:val="00797A36"/>
    <w:rsid w:val="00797CF4"/>
    <w:rsid w:val="007A01FE"/>
    <w:rsid w:val="007A031E"/>
    <w:rsid w:val="007A08AA"/>
    <w:rsid w:val="007A0A12"/>
    <w:rsid w:val="007A0D66"/>
    <w:rsid w:val="007A1305"/>
    <w:rsid w:val="007A132D"/>
    <w:rsid w:val="007A1345"/>
    <w:rsid w:val="007A1469"/>
    <w:rsid w:val="007A1484"/>
    <w:rsid w:val="007A14A7"/>
    <w:rsid w:val="007A1C07"/>
    <w:rsid w:val="007A2275"/>
    <w:rsid w:val="007A2DDB"/>
    <w:rsid w:val="007A310E"/>
    <w:rsid w:val="007A3AD9"/>
    <w:rsid w:val="007A3D0F"/>
    <w:rsid w:val="007A3F97"/>
    <w:rsid w:val="007A4010"/>
    <w:rsid w:val="007A434D"/>
    <w:rsid w:val="007A47A0"/>
    <w:rsid w:val="007A5576"/>
    <w:rsid w:val="007A5EF5"/>
    <w:rsid w:val="007A608E"/>
    <w:rsid w:val="007A6865"/>
    <w:rsid w:val="007A70BA"/>
    <w:rsid w:val="007A748F"/>
    <w:rsid w:val="007A7516"/>
    <w:rsid w:val="007A768D"/>
    <w:rsid w:val="007A78B1"/>
    <w:rsid w:val="007A7A6C"/>
    <w:rsid w:val="007B0548"/>
    <w:rsid w:val="007B05E5"/>
    <w:rsid w:val="007B06C7"/>
    <w:rsid w:val="007B0D68"/>
    <w:rsid w:val="007B1888"/>
    <w:rsid w:val="007B1F01"/>
    <w:rsid w:val="007B251D"/>
    <w:rsid w:val="007B27B5"/>
    <w:rsid w:val="007B29BE"/>
    <w:rsid w:val="007B2E13"/>
    <w:rsid w:val="007B3CC6"/>
    <w:rsid w:val="007B42E2"/>
    <w:rsid w:val="007B4696"/>
    <w:rsid w:val="007B4701"/>
    <w:rsid w:val="007B4F58"/>
    <w:rsid w:val="007B528D"/>
    <w:rsid w:val="007B63CA"/>
    <w:rsid w:val="007B63E2"/>
    <w:rsid w:val="007B6DB6"/>
    <w:rsid w:val="007B738B"/>
    <w:rsid w:val="007B77CD"/>
    <w:rsid w:val="007B77D1"/>
    <w:rsid w:val="007B7BE0"/>
    <w:rsid w:val="007B7EAA"/>
    <w:rsid w:val="007B7F5C"/>
    <w:rsid w:val="007C07C7"/>
    <w:rsid w:val="007C0F35"/>
    <w:rsid w:val="007C163E"/>
    <w:rsid w:val="007C1881"/>
    <w:rsid w:val="007C1CD9"/>
    <w:rsid w:val="007C22AE"/>
    <w:rsid w:val="007C2A62"/>
    <w:rsid w:val="007C32EF"/>
    <w:rsid w:val="007C361D"/>
    <w:rsid w:val="007C362E"/>
    <w:rsid w:val="007C3A16"/>
    <w:rsid w:val="007C4B84"/>
    <w:rsid w:val="007C4EFB"/>
    <w:rsid w:val="007C4F48"/>
    <w:rsid w:val="007C6214"/>
    <w:rsid w:val="007C6654"/>
    <w:rsid w:val="007C70FF"/>
    <w:rsid w:val="007C7352"/>
    <w:rsid w:val="007C7C25"/>
    <w:rsid w:val="007C7CA5"/>
    <w:rsid w:val="007D004F"/>
    <w:rsid w:val="007D062E"/>
    <w:rsid w:val="007D09EF"/>
    <w:rsid w:val="007D0B38"/>
    <w:rsid w:val="007D0D06"/>
    <w:rsid w:val="007D12C7"/>
    <w:rsid w:val="007D13F7"/>
    <w:rsid w:val="007D22A7"/>
    <w:rsid w:val="007D2367"/>
    <w:rsid w:val="007D253F"/>
    <w:rsid w:val="007D2E65"/>
    <w:rsid w:val="007D3278"/>
    <w:rsid w:val="007D3DBE"/>
    <w:rsid w:val="007D3F4F"/>
    <w:rsid w:val="007D435C"/>
    <w:rsid w:val="007D47BF"/>
    <w:rsid w:val="007D490F"/>
    <w:rsid w:val="007D4942"/>
    <w:rsid w:val="007D5440"/>
    <w:rsid w:val="007D5664"/>
    <w:rsid w:val="007D5CF7"/>
    <w:rsid w:val="007D6722"/>
    <w:rsid w:val="007D69EB"/>
    <w:rsid w:val="007D6A60"/>
    <w:rsid w:val="007D6C24"/>
    <w:rsid w:val="007D752B"/>
    <w:rsid w:val="007D7B60"/>
    <w:rsid w:val="007D7C42"/>
    <w:rsid w:val="007E0E0A"/>
    <w:rsid w:val="007E128F"/>
    <w:rsid w:val="007E173D"/>
    <w:rsid w:val="007E1814"/>
    <w:rsid w:val="007E1821"/>
    <w:rsid w:val="007E18C2"/>
    <w:rsid w:val="007E1C3E"/>
    <w:rsid w:val="007E2B5E"/>
    <w:rsid w:val="007E2B81"/>
    <w:rsid w:val="007E2ED5"/>
    <w:rsid w:val="007E2F45"/>
    <w:rsid w:val="007E3303"/>
    <w:rsid w:val="007E3AC3"/>
    <w:rsid w:val="007E3B3D"/>
    <w:rsid w:val="007E51AA"/>
    <w:rsid w:val="007E5639"/>
    <w:rsid w:val="007E5D5C"/>
    <w:rsid w:val="007E5F07"/>
    <w:rsid w:val="007E60D3"/>
    <w:rsid w:val="007E63F2"/>
    <w:rsid w:val="007E6874"/>
    <w:rsid w:val="007E7030"/>
    <w:rsid w:val="007E70D1"/>
    <w:rsid w:val="007E7405"/>
    <w:rsid w:val="007F1017"/>
    <w:rsid w:val="007F10E4"/>
    <w:rsid w:val="007F2BD6"/>
    <w:rsid w:val="007F2C50"/>
    <w:rsid w:val="007F3B5B"/>
    <w:rsid w:val="007F430D"/>
    <w:rsid w:val="007F492D"/>
    <w:rsid w:val="007F4A3F"/>
    <w:rsid w:val="007F4A61"/>
    <w:rsid w:val="007F4DFA"/>
    <w:rsid w:val="007F509A"/>
    <w:rsid w:val="007F5255"/>
    <w:rsid w:val="007F52F1"/>
    <w:rsid w:val="007F56CC"/>
    <w:rsid w:val="007F5A35"/>
    <w:rsid w:val="007F61C2"/>
    <w:rsid w:val="007F6208"/>
    <w:rsid w:val="007F6B92"/>
    <w:rsid w:val="007F7133"/>
    <w:rsid w:val="007F772E"/>
    <w:rsid w:val="007F78F1"/>
    <w:rsid w:val="008008E6"/>
    <w:rsid w:val="00800BF0"/>
    <w:rsid w:val="00800DBA"/>
    <w:rsid w:val="00801850"/>
    <w:rsid w:val="00801A7F"/>
    <w:rsid w:val="00802083"/>
    <w:rsid w:val="00802219"/>
    <w:rsid w:val="008022FC"/>
    <w:rsid w:val="0080247D"/>
    <w:rsid w:val="00802667"/>
    <w:rsid w:val="008026C2"/>
    <w:rsid w:val="00802CB1"/>
    <w:rsid w:val="00802D91"/>
    <w:rsid w:val="008031DA"/>
    <w:rsid w:val="00803766"/>
    <w:rsid w:val="0080446D"/>
    <w:rsid w:val="008049CB"/>
    <w:rsid w:val="00804C7C"/>
    <w:rsid w:val="00805142"/>
    <w:rsid w:val="008054DD"/>
    <w:rsid w:val="00805748"/>
    <w:rsid w:val="00805FCE"/>
    <w:rsid w:val="0080619B"/>
    <w:rsid w:val="00806932"/>
    <w:rsid w:val="008074BB"/>
    <w:rsid w:val="00807A8B"/>
    <w:rsid w:val="00807AC9"/>
    <w:rsid w:val="00807FD8"/>
    <w:rsid w:val="008101ED"/>
    <w:rsid w:val="00810D24"/>
    <w:rsid w:val="00811383"/>
    <w:rsid w:val="0081170B"/>
    <w:rsid w:val="00811F32"/>
    <w:rsid w:val="00812023"/>
    <w:rsid w:val="00812149"/>
    <w:rsid w:val="00812CAC"/>
    <w:rsid w:val="00812ED0"/>
    <w:rsid w:val="00813557"/>
    <w:rsid w:val="0081477F"/>
    <w:rsid w:val="0081490A"/>
    <w:rsid w:val="00814C87"/>
    <w:rsid w:val="00814EE1"/>
    <w:rsid w:val="008154E1"/>
    <w:rsid w:val="00816289"/>
    <w:rsid w:val="00816361"/>
    <w:rsid w:val="008166EF"/>
    <w:rsid w:val="00816ABA"/>
    <w:rsid w:val="00816CD4"/>
    <w:rsid w:val="00816F0B"/>
    <w:rsid w:val="00816FEF"/>
    <w:rsid w:val="00817034"/>
    <w:rsid w:val="00817BC0"/>
    <w:rsid w:val="00817D29"/>
    <w:rsid w:val="008209A8"/>
    <w:rsid w:val="00820A8C"/>
    <w:rsid w:val="008215FB"/>
    <w:rsid w:val="0082170B"/>
    <w:rsid w:val="008217BA"/>
    <w:rsid w:val="00821BDE"/>
    <w:rsid w:val="008223F6"/>
    <w:rsid w:val="008225DB"/>
    <w:rsid w:val="00822F9B"/>
    <w:rsid w:val="0082316E"/>
    <w:rsid w:val="00823174"/>
    <w:rsid w:val="008238CD"/>
    <w:rsid w:val="008243BD"/>
    <w:rsid w:val="00824E1B"/>
    <w:rsid w:val="008254A9"/>
    <w:rsid w:val="008255C8"/>
    <w:rsid w:val="00825643"/>
    <w:rsid w:val="00825751"/>
    <w:rsid w:val="008259A9"/>
    <w:rsid w:val="008264EB"/>
    <w:rsid w:val="008265EF"/>
    <w:rsid w:val="008269ED"/>
    <w:rsid w:val="00826F16"/>
    <w:rsid w:val="00826FE1"/>
    <w:rsid w:val="008301BE"/>
    <w:rsid w:val="008302C7"/>
    <w:rsid w:val="00830462"/>
    <w:rsid w:val="00830A43"/>
    <w:rsid w:val="00830B71"/>
    <w:rsid w:val="00830EE4"/>
    <w:rsid w:val="00830F37"/>
    <w:rsid w:val="00831702"/>
    <w:rsid w:val="00831B85"/>
    <w:rsid w:val="00832211"/>
    <w:rsid w:val="00832735"/>
    <w:rsid w:val="00832910"/>
    <w:rsid w:val="00832916"/>
    <w:rsid w:val="00832C71"/>
    <w:rsid w:val="00832F8A"/>
    <w:rsid w:val="00833B05"/>
    <w:rsid w:val="008348F2"/>
    <w:rsid w:val="00834D0C"/>
    <w:rsid w:val="00835012"/>
    <w:rsid w:val="008352B1"/>
    <w:rsid w:val="0083603A"/>
    <w:rsid w:val="008362B4"/>
    <w:rsid w:val="00836D9B"/>
    <w:rsid w:val="008371E7"/>
    <w:rsid w:val="0083726E"/>
    <w:rsid w:val="008379F8"/>
    <w:rsid w:val="00837BD2"/>
    <w:rsid w:val="00837D07"/>
    <w:rsid w:val="00837DCC"/>
    <w:rsid w:val="0084002E"/>
    <w:rsid w:val="008403FA"/>
    <w:rsid w:val="00840CA2"/>
    <w:rsid w:val="008413B3"/>
    <w:rsid w:val="008414A7"/>
    <w:rsid w:val="0084199A"/>
    <w:rsid w:val="00841CCF"/>
    <w:rsid w:val="00841D8E"/>
    <w:rsid w:val="00841DD1"/>
    <w:rsid w:val="00842151"/>
    <w:rsid w:val="00842303"/>
    <w:rsid w:val="00842620"/>
    <w:rsid w:val="00842646"/>
    <w:rsid w:val="008426BD"/>
    <w:rsid w:val="0084374F"/>
    <w:rsid w:val="00843D27"/>
    <w:rsid w:val="00844A22"/>
    <w:rsid w:val="008451D0"/>
    <w:rsid w:val="00845913"/>
    <w:rsid w:val="0084592F"/>
    <w:rsid w:val="00845B43"/>
    <w:rsid w:val="00846646"/>
    <w:rsid w:val="00846C98"/>
    <w:rsid w:val="00847703"/>
    <w:rsid w:val="00847DF5"/>
    <w:rsid w:val="00851BF0"/>
    <w:rsid w:val="008527A9"/>
    <w:rsid w:val="00852ABC"/>
    <w:rsid w:val="0085309D"/>
    <w:rsid w:val="00853CE8"/>
    <w:rsid w:val="008551E3"/>
    <w:rsid w:val="00855AF4"/>
    <w:rsid w:val="00855F23"/>
    <w:rsid w:val="00855F74"/>
    <w:rsid w:val="00855F7B"/>
    <w:rsid w:val="00856458"/>
    <w:rsid w:val="00856897"/>
    <w:rsid w:val="008568B7"/>
    <w:rsid w:val="00856E9A"/>
    <w:rsid w:val="0085713D"/>
    <w:rsid w:val="00857277"/>
    <w:rsid w:val="00857E81"/>
    <w:rsid w:val="00857F54"/>
    <w:rsid w:val="0086075D"/>
    <w:rsid w:val="00860C42"/>
    <w:rsid w:val="00860E86"/>
    <w:rsid w:val="00861C0A"/>
    <w:rsid w:val="00861DB1"/>
    <w:rsid w:val="00861F59"/>
    <w:rsid w:val="008621F4"/>
    <w:rsid w:val="00862502"/>
    <w:rsid w:val="00862CC1"/>
    <w:rsid w:val="0086321A"/>
    <w:rsid w:val="00863A2F"/>
    <w:rsid w:val="00863E2B"/>
    <w:rsid w:val="008645D1"/>
    <w:rsid w:val="00864DB9"/>
    <w:rsid w:val="00865151"/>
    <w:rsid w:val="00865669"/>
    <w:rsid w:val="008656BF"/>
    <w:rsid w:val="00865728"/>
    <w:rsid w:val="008660D4"/>
    <w:rsid w:val="008663F1"/>
    <w:rsid w:val="00866633"/>
    <w:rsid w:val="00866634"/>
    <w:rsid w:val="00866815"/>
    <w:rsid w:val="0086752C"/>
    <w:rsid w:val="008675D6"/>
    <w:rsid w:val="008702E2"/>
    <w:rsid w:val="00870AB7"/>
    <w:rsid w:val="00870B9C"/>
    <w:rsid w:val="00870D79"/>
    <w:rsid w:val="00871C7D"/>
    <w:rsid w:val="00871FA9"/>
    <w:rsid w:val="00871FD9"/>
    <w:rsid w:val="008725BE"/>
    <w:rsid w:val="008728E9"/>
    <w:rsid w:val="00873092"/>
    <w:rsid w:val="00873A40"/>
    <w:rsid w:val="0087408D"/>
    <w:rsid w:val="00874BD9"/>
    <w:rsid w:val="00874F4F"/>
    <w:rsid w:val="0087629C"/>
    <w:rsid w:val="008771C7"/>
    <w:rsid w:val="008772BA"/>
    <w:rsid w:val="008808F9"/>
    <w:rsid w:val="00881467"/>
    <w:rsid w:val="0088188F"/>
    <w:rsid w:val="0088210C"/>
    <w:rsid w:val="00882874"/>
    <w:rsid w:val="00882A2E"/>
    <w:rsid w:val="00882BB8"/>
    <w:rsid w:val="00882E3C"/>
    <w:rsid w:val="00882EEA"/>
    <w:rsid w:val="008834E6"/>
    <w:rsid w:val="00883787"/>
    <w:rsid w:val="00883EDF"/>
    <w:rsid w:val="0088471B"/>
    <w:rsid w:val="008849B3"/>
    <w:rsid w:val="00884EE1"/>
    <w:rsid w:val="008855E4"/>
    <w:rsid w:val="008856EC"/>
    <w:rsid w:val="00886CD2"/>
    <w:rsid w:val="0088751E"/>
    <w:rsid w:val="008876C6"/>
    <w:rsid w:val="00887957"/>
    <w:rsid w:val="008879BB"/>
    <w:rsid w:val="008906A1"/>
    <w:rsid w:val="00890C24"/>
    <w:rsid w:val="00890D48"/>
    <w:rsid w:val="00890E24"/>
    <w:rsid w:val="00891E6F"/>
    <w:rsid w:val="0089231B"/>
    <w:rsid w:val="0089275D"/>
    <w:rsid w:val="00892A36"/>
    <w:rsid w:val="00892B6F"/>
    <w:rsid w:val="00893239"/>
    <w:rsid w:val="00894489"/>
    <w:rsid w:val="008944CB"/>
    <w:rsid w:val="00895E1D"/>
    <w:rsid w:val="008961E7"/>
    <w:rsid w:val="008963A5"/>
    <w:rsid w:val="00896D5D"/>
    <w:rsid w:val="00896FE3"/>
    <w:rsid w:val="00897704"/>
    <w:rsid w:val="00897C6C"/>
    <w:rsid w:val="00897CF5"/>
    <w:rsid w:val="008A016D"/>
    <w:rsid w:val="008A0A6D"/>
    <w:rsid w:val="008A0EE0"/>
    <w:rsid w:val="008A169E"/>
    <w:rsid w:val="008A2E64"/>
    <w:rsid w:val="008A3363"/>
    <w:rsid w:val="008A3371"/>
    <w:rsid w:val="008A343C"/>
    <w:rsid w:val="008A34C0"/>
    <w:rsid w:val="008A3C3E"/>
    <w:rsid w:val="008A4657"/>
    <w:rsid w:val="008A49C2"/>
    <w:rsid w:val="008A5076"/>
    <w:rsid w:val="008A5CFF"/>
    <w:rsid w:val="008A610B"/>
    <w:rsid w:val="008A73A8"/>
    <w:rsid w:val="008A788E"/>
    <w:rsid w:val="008A79DE"/>
    <w:rsid w:val="008A7F71"/>
    <w:rsid w:val="008B0497"/>
    <w:rsid w:val="008B0A88"/>
    <w:rsid w:val="008B1757"/>
    <w:rsid w:val="008B1C01"/>
    <w:rsid w:val="008B1D33"/>
    <w:rsid w:val="008B1DC6"/>
    <w:rsid w:val="008B22D8"/>
    <w:rsid w:val="008B23C9"/>
    <w:rsid w:val="008B2666"/>
    <w:rsid w:val="008B29FC"/>
    <w:rsid w:val="008B2D44"/>
    <w:rsid w:val="008B308B"/>
    <w:rsid w:val="008B327F"/>
    <w:rsid w:val="008B336B"/>
    <w:rsid w:val="008B42D6"/>
    <w:rsid w:val="008B43B4"/>
    <w:rsid w:val="008B5AFF"/>
    <w:rsid w:val="008B614F"/>
    <w:rsid w:val="008B634F"/>
    <w:rsid w:val="008B636E"/>
    <w:rsid w:val="008B643F"/>
    <w:rsid w:val="008B67E1"/>
    <w:rsid w:val="008B73FB"/>
    <w:rsid w:val="008B7992"/>
    <w:rsid w:val="008B7D7E"/>
    <w:rsid w:val="008C04DC"/>
    <w:rsid w:val="008C0B71"/>
    <w:rsid w:val="008C107C"/>
    <w:rsid w:val="008C1643"/>
    <w:rsid w:val="008C167D"/>
    <w:rsid w:val="008C17D8"/>
    <w:rsid w:val="008C29CC"/>
    <w:rsid w:val="008C29E8"/>
    <w:rsid w:val="008C2AB9"/>
    <w:rsid w:val="008C31CE"/>
    <w:rsid w:val="008C32C0"/>
    <w:rsid w:val="008C3C45"/>
    <w:rsid w:val="008C45CB"/>
    <w:rsid w:val="008C5264"/>
    <w:rsid w:val="008C5501"/>
    <w:rsid w:val="008C5610"/>
    <w:rsid w:val="008C5739"/>
    <w:rsid w:val="008C5E91"/>
    <w:rsid w:val="008C6444"/>
    <w:rsid w:val="008C6B24"/>
    <w:rsid w:val="008C6EE8"/>
    <w:rsid w:val="008C6F9D"/>
    <w:rsid w:val="008C76CA"/>
    <w:rsid w:val="008C7C30"/>
    <w:rsid w:val="008C7D07"/>
    <w:rsid w:val="008C7DFD"/>
    <w:rsid w:val="008C7ECB"/>
    <w:rsid w:val="008D0392"/>
    <w:rsid w:val="008D0A3C"/>
    <w:rsid w:val="008D10CA"/>
    <w:rsid w:val="008D1ADF"/>
    <w:rsid w:val="008D1B3B"/>
    <w:rsid w:val="008D1C39"/>
    <w:rsid w:val="008D1E72"/>
    <w:rsid w:val="008D231E"/>
    <w:rsid w:val="008D24CF"/>
    <w:rsid w:val="008D3066"/>
    <w:rsid w:val="008D3313"/>
    <w:rsid w:val="008D335D"/>
    <w:rsid w:val="008D378F"/>
    <w:rsid w:val="008D3B86"/>
    <w:rsid w:val="008D3D48"/>
    <w:rsid w:val="008D421D"/>
    <w:rsid w:val="008D4755"/>
    <w:rsid w:val="008D4C3D"/>
    <w:rsid w:val="008D4E92"/>
    <w:rsid w:val="008D53F1"/>
    <w:rsid w:val="008D586E"/>
    <w:rsid w:val="008D596F"/>
    <w:rsid w:val="008D5E8F"/>
    <w:rsid w:val="008D612D"/>
    <w:rsid w:val="008D62E5"/>
    <w:rsid w:val="008D6807"/>
    <w:rsid w:val="008D696E"/>
    <w:rsid w:val="008D6E80"/>
    <w:rsid w:val="008D7189"/>
    <w:rsid w:val="008D7209"/>
    <w:rsid w:val="008D743C"/>
    <w:rsid w:val="008D74E2"/>
    <w:rsid w:val="008E0583"/>
    <w:rsid w:val="008E076F"/>
    <w:rsid w:val="008E0835"/>
    <w:rsid w:val="008E0963"/>
    <w:rsid w:val="008E0D3C"/>
    <w:rsid w:val="008E0DE9"/>
    <w:rsid w:val="008E1B9E"/>
    <w:rsid w:val="008E25E7"/>
    <w:rsid w:val="008E2AB4"/>
    <w:rsid w:val="008E2BAB"/>
    <w:rsid w:val="008E2E28"/>
    <w:rsid w:val="008E2E98"/>
    <w:rsid w:val="008E41F8"/>
    <w:rsid w:val="008E48A5"/>
    <w:rsid w:val="008E4B51"/>
    <w:rsid w:val="008E535F"/>
    <w:rsid w:val="008E5475"/>
    <w:rsid w:val="008E55AB"/>
    <w:rsid w:val="008E5630"/>
    <w:rsid w:val="008E59EF"/>
    <w:rsid w:val="008E6444"/>
    <w:rsid w:val="008E683D"/>
    <w:rsid w:val="008E6866"/>
    <w:rsid w:val="008E6977"/>
    <w:rsid w:val="008E6A58"/>
    <w:rsid w:val="008E6AC0"/>
    <w:rsid w:val="008E6E1E"/>
    <w:rsid w:val="008E72D3"/>
    <w:rsid w:val="008E79B8"/>
    <w:rsid w:val="008E7AEB"/>
    <w:rsid w:val="008E7CC0"/>
    <w:rsid w:val="008F0723"/>
    <w:rsid w:val="008F0BD6"/>
    <w:rsid w:val="008F120A"/>
    <w:rsid w:val="008F1393"/>
    <w:rsid w:val="008F1D68"/>
    <w:rsid w:val="008F1F22"/>
    <w:rsid w:val="008F27E0"/>
    <w:rsid w:val="008F2892"/>
    <w:rsid w:val="008F3103"/>
    <w:rsid w:val="008F32DA"/>
    <w:rsid w:val="008F35CD"/>
    <w:rsid w:val="008F4341"/>
    <w:rsid w:val="008F48EB"/>
    <w:rsid w:val="008F4F0B"/>
    <w:rsid w:val="008F64F1"/>
    <w:rsid w:val="008F6544"/>
    <w:rsid w:val="008F698A"/>
    <w:rsid w:val="008F69C5"/>
    <w:rsid w:val="008F69D6"/>
    <w:rsid w:val="008F6DC5"/>
    <w:rsid w:val="008F7C13"/>
    <w:rsid w:val="008F7EAE"/>
    <w:rsid w:val="00900873"/>
    <w:rsid w:val="009010B5"/>
    <w:rsid w:val="00901DC6"/>
    <w:rsid w:val="0090306A"/>
    <w:rsid w:val="00903902"/>
    <w:rsid w:val="00904136"/>
    <w:rsid w:val="00904227"/>
    <w:rsid w:val="009046C4"/>
    <w:rsid w:val="00904CFB"/>
    <w:rsid w:val="009050D3"/>
    <w:rsid w:val="009056C7"/>
    <w:rsid w:val="00905A26"/>
    <w:rsid w:val="009062A5"/>
    <w:rsid w:val="009068D7"/>
    <w:rsid w:val="00906B2F"/>
    <w:rsid w:val="00907463"/>
    <w:rsid w:val="00907C10"/>
    <w:rsid w:val="00910774"/>
    <w:rsid w:val="00910928"/>
    <w:rsid w:val="00910FA7"/>
    <w:rsid w:val="00911272"/>
    <w:rsid w:val="00911463"/>
    <w:rsid w:val="009115FF"/>
    <w:rsid w:val="00911D74"/>
    <w:rsid w:val="00911D81"/>
    <w:rsid w:val="00912269"/>
    <w:rsid w:val="009122ED"/>
    <w:rsid w:val="009129F8"/>
    <w:rsid w:val="00912E15"/>
    <w:rsid w:val="009135D6"/>
    <w:rsid w:val="009140A6"/>
    <w:rsid w:val="0091424F"/>
    <w:rsid w:val="00914256"/>
    <w:rsid w:val="0091478C"/>
    <w:rsid w:val="00914AAC"/>
    <w:rsid w:val="00914C77"/>
    <w:rsid w:val="00914DF1"/>
    <w:rsid w:val="0091570B"/>
    <w:rsid w:val="00915E73"/>
    <w:rsid w:val="009163AA"/>
    <w:rsid w:val="00916596"/>
    <w:rsid w:val="00916C9C"/>
    <w:rsid w:val="00916DD3"/>
    <w:rsid w:val="00916E9E"/>
    <w:rsid w:val="00917E82"/>
    <w:rsid w:val="00920D1F"/>
    <w:rsid w:val="00920DA9"/>
    <w:rsid w:val="0092144B"/>
    <w:rsid w:val="009216FE"/>
    <w:rsid w:val="00921AA7"/>
    <w:rsid w:val="00921ACB"/>
    <w:rsid w:val="009224BB"/>
    <w:rsid w:val="0092289B"/>
    <w:rsid w:val="00922EA1"/>
    <w:rsid w:val="0092312F"/>
    <w:rsid w:val="0092369B"/>
    <w:rsid w:val="009237E1"/>
    <w:rsid w:val="00923D4E"/>
    <w:rsid w:val="00924D87"/>
    <w:rsid w:val="00924E35"/>
    <w:rsid w:val="0092501B"/>
    <w:rsid w:val="00925B05"/>
    <w:rsid w:val="00925BEC"/>
    <w:rsid w:val="00926107"/>
    <w:rsid w:val="0092676F"/>
    <w:rsid w:val="00927727"/>
    <w:rsid w:val="00931A24"/>
    <w:rsid w:val="00932120"/>
    <w:rsid w:val="00932572"/>
    <w:rsid w:val="009326FD"/>
    <w:rsid w:val="0093288C"/>
    <w:rsid w:val="0093365A"/>
    <w:rsid w:val="00933CB4"/>
    <w:rsid w:val="0093407A"/>
    <w:rsid w:val="00934988"/>
    <w:rsid w:val="00934AE0"/>
    <w:rsid w:val="00934DDC"/>
    <w:rsid w:val="009350CD"/>
    <w:rsid w:val="00935209"/>
    <w:rsid w:val="0093544C"/>
    <w:rsid w:val="00935537"/>
    <w:rsid w:val="00935BCE"/>
    <w:rsid w:val="00935C78"/>
    <w:rsid w:val="00936238"/>
    <w:rsid w:val="00936885"/>
    <w:rsid w:val="00937089"/>
    <w:rsid w:val="00937605"/>
    <w:rsid w:val="00937916"/>
    <w:rsid w:val="00937CB9"/>
    <w:rsid w:val="0094027B"/>
    <w:rsid w:val="009406B5"/>
    <w:rsid w:val="00940BF6"/>
    <w:rsid w:val="009418AA"/>
    <w:rsid w:val="00942093"/>
    <w:rsid w:val="00942247"/>
    <w:rsid w:val="00942280"/>
    <w:rsid w:val="009422B1"/>
    <w:rsid w:val="009429ED"/>
    <w:rsid w:val="00942A0C"/>
    <w:rsid w:val="00942CD4"/>
    <w:rsid w:val="00942FA9"/>
    <w:rsid w:val="0094325B"/>
    <w:rsid w:val="0094330C"/>
    <w:rsid w:val="00943AC5"/>
    <w:rsid w:val="00943AFB"/>
    <w:rsid w:val="00943D3D"/>
    <w:rsid w:val="00944754"/>
    <w:rsid w:val="009448CA"/>
    <w:rsid w:val="00944F8A"/>
    <w:rsid w:val="00945025"/>
    <w:rsid w:val="0094513C"/>
    <w:rsid w:val="0094643B"/>
    <w:rsid w:val="00946C61"/>
    <w:rsid w:val="00946E00"/>
    <w:rsid w:val="00946E54"/>
    <w:rsid w:val="00947790"/>
    <w:rsid w:val="00950554"/>
    <w:rsid w:val="00950631"/>
    <w:rsid w:val="00950C0B"/>
    <w:rsid w:val="00950D5C"/>
    <w:rsid w:val="009510A2"/>
    <w:rsid w:val="009523D6"/>
    <w:rsid w:val="00952965"/>
    <w:rsid w:val="00953257"/>
    <w:rsid w:val="00953810"/>
    <w:rsid w:val="00953829"/>
    <w:rsid w:val="009539F7"/>
    <w:rsid w:val="00953AC5"/>
    <w:rsid w:val="00953EE7"/>
    <w:rsid w:val="009545BD"/>
    <w:rsid w:val="00954642"/>
    <w:rsid w:val="0095474C"/>
    <w:rsid w:val="00954AFF"/>
    <w:rsid w:val="00955F66"/>
    <w:rsid w:val="00956BFB"/>
    <w:rsid w:val="0095711D"/>
    <w:rsid w:val="009572F6"/>
    <w:rsid w:val="009572FF"/>
    <w:rsid w:val="00957CC2"/>
    <w:rsid w:val="00960021"/>
    <w:rsid w:val="009600BC"/>
    <w:rsid w:val="009600C9"/>
    <w:rsid w:val="00960C64"/>
    <w:rsid w:val="00960EBF"/>
    <w:rsid w:val="00961AA2"/>
    <w:rsid w:val="0096217B"/>
    <w:rsid w:val="00962674"/>
    <w:rsid w:val="00962945"/>
    <w:rsid w:val="00962B6E"/>
    <w:rsid w:val="00962CB9"/>
    <w:rsid w:val="009632EB"/>
    <w:rsid w:val="0096420D"/>
    <w:rsid w:val="00964312"/>
    <w:rsid w:val="009646CA"/>
    <w:rsid w:val="0096494F"/>
    <w:rsid w:val="009649CF"/>
    <w:rsid w:val="00965B8A"/>
    <w:rsid w:val="00965CC9"/>
    <w:rsid w:val="009661DA"/>
    <w:rsid w:val="0096655E"/>
    <w:rsid w:val="00966EB6"/>
    <w:rsid w:val="009677D7"/>
    <w:rsid w:val="0097044F"/>
    <w:rsid w:val="0097071F"/>
    <w:rsid w:val="009708C5"/>
    <w:rsid w:val="00970BD0"/>
    <w:rsid w:val="009711D3"/>
    <w:rsid w:val="009717AC"/>
    <w:rsid w:val="009722FB"/>
    <w:rsid w:val="009732F3"/>
    <w:rsid w:val="00973BBD"/>
    <w:rsid w:val="009740EF"/>
    <w:rsid w:val="0097431C"/>
    <w:rsid w:val="0097509B"/>
    <w:rsid w:val="009750E1"/>
    <w:rsid w:val="009751C1"/>
    <w:rsid w:val="00975649"/>
    <w:rsid w:val="00975A2D"/>
    <w:rsid w:val="00975B92"/>
    <w:rsid w:val="00975EE3"/>
    <w:rsid w:val="00975F4A"/>
    <w:rsid w:val="009776E1"/>
    <w:rsid w:val="00977BA6"/>
    <w:rsid w:val="00977FB8"/>
    <w:rsid w:val="00980A78"/>
    <w:rsid w:val="00980B21"/>
    <w:rsid w:val="00980BA8"/>
    <w:rsid w:val="00980E06"/>
    <w:rsid w:val="00980F6C"/>
    <w:rsid w:val="009811F1"/>
    <w:rsid w:val="009812D1"/>
    <w:rsid w:val="0098131D"/>
    <w:rsid w:val="0098165F"/>
    <w:rsid w:val="0098219C"/>
    <w:rsid w:val="009822DA"/>
    <w:rsid w:val="009829F6"/>
    <w:rsid w:val="00982C5B"/>
    <w:rsid w:val="00982EAE"/>
    <w:rsid w:val="00983664"/>
    <w:rsid w:val="00983725"/>
    <w:rsid w:val="00983A32"/>
    <w:rsid w:val="00983B9E"/>
    <w:rsid w:val="00983CC7"/>
    <w:rsid w:val="00983E57"/>
    <w:rsid w:val="0098450A"/>
    <w:rsid w:val="00984547"/>
    <w:rsid w:val="009845F1"/>
    <w:rsid w:val="009858C9"/>
    <w:rsid w:val="00985A97"/>
    <w:rsid w:val="00985DD5"/>
    <w:rsid w:val="00985DE2"/>
    <w:rsid w:val="0098614D"/>
    <w:rsid w:val="00986596"/>
    <w:rsid w:val="00986738"/>
    <w:rsid w:val="0098675D"/>
    <w:rsid w:val="00986C9F"/>
    <w:rsid w:val="00986D01"/>
    <w:rsid w:val="00987158"/>
    <w:rsid w:val="009872FE"/>
    <w:rsid w:val="00987589"/>
    <w:rsid w:val="00987964"/>
    <w:rsid w:val="00987FF6"/>
    <w:rsid w:val="009907FD"/>
    <w:rsid w:val="0099099B"/>
    <w:rsid w:val="00990F3A"/>
    <w:rsid w:val="0099110E"/>
    <w:rsid w:val="009919B4"/>
    <w:rsid w:val="00991C80"/>
    <w:rsid w:val="009922DF"/>
    <w:rsid w:val="009926E0"/>
    <w:rsid w:val="009927C8"/>
    <w:rsid w:val="009929B7"/>
    <w:rsid w:val="00993393"/>
    <w:rsid w:val="00993873"/>
    <w:rsid w:val="00994206"/>
    <w:rsid w:val="0099451E"/>
    <w:rsid w:val="00994F92"/>
    <w:rsid w:val="00995425"/>
    <w:rsid w:val="009954BC"/>
    <w:rsid w:val="00995762"/>
    <w:rsid w:val="0099616E"/>
    <w:rsid w:val="00996B1A"/>
    <w:rsid w:val="009970F7"/>
    <w:rsid w:val="0099773C"/>
    <w:rsid w:val="00997823"/>
    <w:rsid w:val="0099791D"/>
    <w:rsid w:val="009A058D"/>
    <w:rsid w:val="009A0E4B"/>
    <w:rsid w:val="009A11F2"/>
    <w:rsid w:val="009A166C"/>
    <w:rsid w:val="009A191B"/>
    <w:rsid w:val="009A1D2D"/>
    <w:rsid w:val="009A1E58"/>
    <w:rsid w:val="009A2DCC"/>
    <w:rsid w:val="009A2F9F"/>
    <w:rsid w:val="009A41AF"/>
    <w:rsid w:val="009A45E7"/>
    <w:rsid w:val="009A46FF"/>
    <w:rsid w:val="009A4C8B"/>
    <w:rsid w:val="009A5527"/>
    <w:rsid w:val="009A585F"/>
    <w:rsid w:val="009A5ABC"/>
    <w:rsid w:val="009A5D7A"/>
    <w:rsid w:val="009A61EE"/>
    <w:rsid w:val="009A661B"/>
    <w:rsid w:val="009A6823"/>
    <w:rsid w:val="009A6B45"/>
    <w:rsid w:val="009A6EBA"/>
    <w:rsid w:val="009A6EBB"/>
    <w:rsid w:val="009A6FDA"/>
    <w:rsid w:val="009A7060"/>
    <w:rsid w:val="009A724F"/>
    <w:rsid w:val="009A7F10"/>
    <w:rsid w:val="009B0310"/>
    <w:rsid w:val="009B04BE"/>
    <w:rsid w:val="009B04E1"/>
    <w:rsid w:val="009B0612"/>
    <w:rsid w:val="009B097E"/>
    <w:rsid w:val="009B0DAB"/>
    <w:rsid w:val="009B19D7"/>
    <w:rsid w:val="009B1C26"/>
    <w:rsid w:val="009B1FDD"/>
    <w:rsid w:val="009B2293"/>
    <w:rsid w:val="009B279D"/>
    <w:rsid w:val="009B2DD0"/>
    <w:rsid w:val="009B2E4E"/>
    <w:rsid w:val="009B3487"/>
    <w:rsid w:val="009B3E26"/>
    <w:rsid w:val="009B3EF5"/>
    <w:rsid w:val="009B424F"/>
    <w:rsid w:val="009B4F95"/>
    <w:rsid w:val="009B51A1"/>
    <w:rsid w:val="009B5483"/>
    <w:rsid w:val="009B59A7"/>
    <w:rsid w:val="009B5B64"/>
    <w:rsid w:val="009B6506"/>
    <w:rsid w:val="009C0E58"/>
    <w:rsid w:val="009C1088"/>
    <w:rsid w:val="009C10CA"/>
    <w:rsid w:val="009C1130"/>
    <w:rsid w:val="009C159A"/>
    <w:rsid w:val="009C15DA"/>
    <w:rsid w:val="009C17D9"/>
    <w:rsid w:val="009C19CB"/>
    <w:rsid w:val="009C1F14"/>
    <w:rsid w:val="009C2596"/>
    <w:rsid w:val="009C320B"/>
    <w:rsid w:val="009C3399"/>
    <w:rsid w:val="009C36F6"/>
    <w:rsid w:val="009C3706"/>
    <w:rsid w:val="009C3A3A"/>
    <w:rsid w:val="009C3E63"/>
    <w:rsid w:val="009C4198"/>
    <w:rsid w:val="009C4239"/>
    <w:rsid w:val="009C4277"/>
    <w:rsid w:val="009C476C"/>
    <w:rsid w:val="009C4788"/>
    <w:rsid w:val="009C47F7"/>
    <w:rsid w:val="009C4BE5"/>
    <w:rsid w:val="009C4E6E"/>
    <w:rsid w:val="009C5101"/>
    <w:rsid w:val="009C55CE"/>
    <w:rsid w:val="009C597A"/>
    <w:rsid w:val="009C5AA8"/>
    <w:rsid w:val="009C5D6E"/>
    <w:rsid w:val="009C5D76"/>
    <w:rsid w:val="009C5E1A"/>
    <w:rsid w:val="009C68A0"/>
    <w:rsid w:val="009C6A45"/>
    <w:rsid w:val="009C6CEA"/>
    <w:rsid w:val="009C7298"/>
    <w:rsid w:val="009C7AF6"/>
    <w:rsid w:val="009C7B85"/>
    <w:rsid w:val="009C7CA2"/>
    <w:rsid w:val="009C7FCF"/>
    <w:rsid w:val="009D0254"/>
    <w:rsid w:val="009D02A1"/>
    <w:rsid w:val="009D031C"/>
    <w:rsid w:val="009D0737"/>
    <w:rsid w:val="009D0790"/>
    <w:rsid w:val="009D0EC3"/>
    <w:rsid w:val="009D0EDB"/>
    <w:rsid w:val="009D1A64"/>
    <w:rsid w:val="009D1A76"/>
    <w:rsid w:val="009D1FBE"/>
    <w:rsid w:val="009D23B2"/>
    <w:rsid w:val="009D4256"/>
    <w:rsid w:val="009D4392"/>
    <w:rsid w:val="009D439F"/>
    <w:rsid w:val="009D4406"/>
    <w:rsid w:val="009D58CF"/>
    <w:rsid w:val="009D5B91"/>
    <w:rsid w:val="009D5DF4"/>
    <w:rsid w:val="009D632D"/>
    <w:rsid w:val="009D792E"/>
    <w:rsid w:val="009E0143"/>
    <w:rsid w:val="009E022F"/>
    <w:rsid w:val="009E073B"/>
    <w:rsid w:val="009E0DFE"/>
    <w:rsid w:val="009E0E94"/>
    <w:rsid w:val="009E129E"/>
    <w:rsid w:val="009E19CF"/>
    <w:rsid w:val="009E1B17"/>
    <w:rsid w:val="009E1CB0"/>
    <w:rsid w:val="009E202D"/>
    <w:rsid w:val="009E28B7"/>
    <w:rsid w:val="009E2946"/>
    <w:rsid w:val="009E29DA"/>
    <w:rsid w:val="009E2A2D"/>
    <w:rsid w:val="009E2D9B"/>
    <w:rsid w:val="009E3021"/>
    <w:rsid w:val="009E31F5"/>
    <w:rsid w:val="009E31F6"/>
    <w:rsid w:val="009E3810"/>
    <w:rsid w:val="009E3ED3"/>
    <w:rsid w:val="009E470B"/>
    <w:rsid w:val="009E4C07"/>
    <w:rsid w:val="009E5008"/>
    <w:rsid w:val="009E59CA"/>
    <w:rsid w:val="009E6207"/>
    <w:rsid w:val="009E6610"/>
    <w:rsid w:val="009E68A2"/>
    <w:rsid w:val="009F0455"/>
    <w:rsid w:val="009F04A1"/>
    <w:rsid w:val="009F12D9"/>
    <w:rsid w:val="009F2369"/>
    <w:rsid w:val="009F2F18"/>
    <w:rsid w:val="009F314E"/>
    <w:rsid w:val="009F3D5C"/>
    <w:rsid w:val="009F3D96"/>
    <w:rsid w:val="009F47AA"/>
    <w:rsid w:val="009F5A17"/>
    <w:rsid w:val="009F5D99"/>
    <w:rsid w:val="009F5F1F"/>
    <w:rsid w:val="009F6BB5"/>
    <w:rsid w:val="009F6ED2"/>
    <w:rsid w:val="009F72BC"/>
    <w:rsid w:val="009F77B0"/>
    <w:rsid w:val="009F7D7E"/>
    <w:rsid w:val="009F7D9B"/>
    <w:rsid w:val="00A0012B"/>
    <w:rsid w:val="00A003ED"/>
    <w:rsid w:val="00A00A1F"/>
    <w:rsid w:val="00A00D2D"/>
    <w:rsid w:val="00A01046"/>
    <w:rsid w:val="00A01184"/>
    <w:rsid w:val="00A019FD"/>
    <w:rsid w:val="00A01A43"/>
    <w:rsid w:val="00A02090"/>
    <w:rsid w:val="00A02C92"/>
    <w:rsid w:val="00A03302"/>
    <w:rsid w:val="00A03342"/>
    <w:rsid w:val="00A034B3"/>
    <w:rsid w:val="00A037C2"/>
    <w:rsid w:val="00A03D43"/>
    <w:rsid w:val="00A040EE"/>
    <w:rsid w:val="00A04380"/>
    <w:rsid w:val="00A045BD"/>
    <w:rsid w:val="00A0461C"/>
    <w:rsid w:val="00A046B1"/>
    <w:rsid w:val="00A05472"/>
    <w:rsid w:val="00A0581F"/>
    <w:rsid w:val="00A05AB4"/>
    <w:rsid w:val="00A05C32"/>
    <w:rsid w:val="00A05CD5"/>
    <w:rsid w:val="00A05F7C"/>
    <w:rsid w:val="00A06253"/>
    <w:rsid w:val="00A063E7"/>
    <w:rsid w:val="00A0653F"/>
    <w:rsid w:val="00A066D1"/>
    <w:rsid w:val="00A0692C"/>
    <w:rsid w:val="00A102E0"/>
    <w:rsid w:val="00A10D7C"/>
    <w:rsid w:val="00A10E05"/>
    <w:rsid w:val="00A110B2"/>
    <w:rsid w:val="00A111D1"/>
    <w:rsid w:val="00A113D1"/>
    <w:rsid w:val="00A11697"/>
    <w:rsid w:val="00A11A41"/>
    <w:rsid w:val="00A11CA3"/>
    <w:rsid w:val="00A11CD0"/>
    <w:rsid w:val="00A11D09"/>
    <w:rsid w:val="00A122A1"/>
    <w:rsid w:val="00A13948"/>
    <w:rsid w:val="00A13C69"/>
    <w:rsid w:val="00A13D34"/>
    <w:rsid w:val="00A1410A"/>
    <w:rsid w:val="00A146C6"/>
    <w:rsid w:val="00A148C5"/>
    <w:rsid w:val="00A14B2B"/>
    <w:rsid w:val="00A154E2"/>
    <w:rsid w:val="00A1555B"/>
    <w:rsid w:val="00A155C5"/>
    <w:rsid w:val="00A15624"/>
    <w:rsid w:val="00A1564D"/>
    <w:rsid w:val="00A158E9"/>
    <w:rsid w:val="00A165B1"/>
    <w:rsid w:val="00A16654"/>
    <w:rsid w:val="00A16AD8"/>
    <w:rsid w:val="00A16D0B"/>
    <w:rsid w:val="00A16F48"/>
    <w:rsid w:val="00A173B6"/>
    <w:rsid w:val="00A1788D"/>
    <w:rsid w:val="00A17EBE"/>
    <w:rsid w:val="00A17F6A"/>
    <w:rsid w:val="00A202A8"/>
    <w:rsid w:val="00A209BF"/>
    <w:rsid w:val="00A20D0B"/>
    <w:rsid w:val="00A213D0"/>
    <w:rsid w:val="00A21B26"/>
    <w:rsid w:val="00A21BF6"/>
    <w:rsid w:val="00A21C95"/>
    <w:rsid w:val="00A21CF3"/>
    <w:rsid w:val="00A21FAC"/>
    <w:rsid w:val="00A21FCB"/>
    <w:rsid w:val="00A22CAB"/>
    <w:rsid w:val="00A238F4"/>
    <w:rsid w:val="00A23F5E"/>
    <w:rsid w:val="00A24813"/>
    <w:rsid w:val="00A24FDC"/>
    <w:rsid w:val="00A25495"/>
    <w:rsid w:val="00A25936"/>
    <w:rsid w:val="00A2606E"/>
    <w:rsid w:val="00A265E6"/>
    <w:rsid w:val="00A26FD5"/>
    <w:rsid w:val="00A2783D"/>
    <w:rsid w:val="00A27AEC"/>
    <w:rsid w:val="00A27F78"/>
    <w:rsid w:val="00A30AE3"/>
    <w:rsid w:val="00A31057"/>
    <w:rsid w:val="00A312F0"/>
    <w:rsid w:val="00A313A6"/>
    <w:rsid w:val="00A31954"/>
    <w:rsid w:val="00A31EE8"/>
    <w:rsid w:val="00A320DB"/>
    <w:rsid w:val="00A322AF"/>
    <w:rsid w:val="00A32A21"/>
    <w:rsid w:val="00A32A41"/>
    <w:rsid w:val="00A33694"/>
    <w:rsid w:val="00A33C87"/>
    <w:rsid w:val="00A33EAA"/>
    <w:rsid w:val="00A3455F"/>
    <w:rsid w:val="00A35015"/>
    <w:rsid w:val="00A354B7"/>
    <w:rsid w:val="00A35BB5"/>
    <w:rsid w:val="00A35D16"/>
    <w:rsid w:val="00A363B7"/>
    <w:rsid w:val="00A3716C"/>
    <w:rsid w:val="00A37BCD"/>
    <w:rsid w:val="00A40F6C"/>
    <w:rsid w:val="00A41689"/>
    <w:rsid w:val="00A4179D"/>
    <w:rsid w:val="00A41E27"/>
    <w:rsid w:val="00A41F8C"/>
    <w:rsid w:val="00A42592"/>
    <w:rsid w:val="00A425BF"/>
    <w:rsid w:val="00A427AF"/>
    <w:rsid w:val="00A42DFB"/>
    <w:rsid w:val="00A4364B"/>
    <w:rsid w:val="00A43B00"/>
    <w:rsid w:val="00A43C59"/>
    <w:rsid w:val="00A4425F"/>
    <w:rsid w:val="00A4454A"/>
    <w:rsid w:val="00A4493B"/>
    <w:rsid w:val="00A451CE"/>
    <w:rsid w:val="00A454AD"/>
    <w:rsid w:val="00A45533"/>
    <w:rsid w:val="00A4559C"/>
    <w:rsid w:val="00A4578B"/>
    <w:rsid w:val="00A45983"/>
    <w:rsid w:val="00A45C41"/>
    <w:rsid w:val="00A45D17"/>
    <w:rsid w:val="00A45F7A"/>
    <w:rsid w:val="00A46C02"/>
    <w:rsid w:val="00A47126"/>
    <w:rsid w:val="00A47CB0"/>
    <w:rsid w:val="00A50048"/>
    <w:rsid w:val="00A50B7D"/>
    <w:rsid w:val="00A50ECD"/>
    <w:rsid w:val="00A50F9D"/>
    <w:rsid w:val="00A517A4"/>
    <w:rsid w:val="00A518F3"/>
    <w:rsid w:val="00A51FD9"/>
    <w:rsid w:val="00A523F9"/>
    <w:rsid w:val="00A52729"/>
    <w:rsid w:val="00A528E4"/>
    <w:rsid w:val="00A53599"/>
    <w:rsid w:val="00A53675"/>
    <w:rsid w:val="00A53723"/>
    <w:rsid w:val="00A53835"/>
    <w:rsid w:val="00A53F0B"/>
    <w:rsid w:val="00A54301"/>
    <w:rsid w:val="00A54CBA"/>
    <w:rsid w:val="00A55380"/>
    <w:rsid w:val="00A55A43"/>
    <w:rsid w:val="00A564D7"/>
    <w:rsid w:val="00A56683"/>
    <w:rsid w:val="00A568CB"/>
    <w:rsid w:val="00A56B6A"/>
    <w:rsid w:val="00A56E3A"/>
    <w:rsid w:val="00A56EEA"/>
    <w:rsid w:val="00A578DC"/>
    <w:rsid w:val="00A57C21"/>
    <w:rsid w:val="00A60705"/>
    <w:rsid w:val="00A608F8"/>
    <w:rsid w:val="00A608FD"/>
    <w:rsid w:val="00A60AFB"/>
    <w:rsid w:val="00A60D53"/>
    <w:rsid w:val="00A6103F"/>
    <w:rsid w:val="00A61CA9"/>
    <w:rsid w:val="00A61D4E"/>
    <w:rsid w:val="00A61E03"/>
    <w:rsid w:val="00A62834"/>
    <w:rsid w:val="00A6285F"/>
    <w:rsid w:val="00A62867"/>
    <w:rsid w:val="00A62927"/>
    <w:rsid w:val="00A63045"/>
    <w:rsid w:val="00A63288"/>
    <w:rsid w:val="00A637D8"/>
    <w:rsid w:val="00A63AF8"/>
    <w:rsid w:val="00A63B66"/>
    <w:rsid w:val="00A63DF6"/>
    <w:rsid w:val="00A640E2"/>
    <w:rsid w:val="00A640F1"/>
    <w:rsid w:val="00A640FA"/>
    <w:rsid w:val="00A6498D"/>
    <w:rsid w:val="00A64D65"/>
    <w:rsid w:val="00A65425"/>
    <w:rsid w:val="00A664C6"/>
    <w:rsid w:val="00A665A5"/>
    <w:rsid w:val="00A66636"/>
    <w:rsid w:val="00A66F8E"/>
    <w:rsid w:val="00A6725B"/>
    <w:rsid w:val="00A679E3"/>
    <w:rsid w:val="00A70605"/>
    <w:rsid w:val="00A710DF"/>
    <w:rsid w:val="00A71ADE"/>
    <w:rsid w:val="00A720F2"/>
    <w:rsid w:val="00A722B6"/>
    <w:rsid w:val="00A72BC4"/>
    <w:rsid w:val="00A72CA2"/>
    <w:rsid w:val="00A7301D"/>
    <w:rsid w:val="00A73134"/>
    <w:rsid w:val="00A7343F"/>
    <w:rsid w:val="00A73775"/>
    <w:rsid w:val="00A73A5E"/>
    <w:rsid w:val="00A73A68"/>
    <w:rsid w:val="00A7444E"/>
    <w:rsid w:val="00A7475B"/>
    <w:rsid w:val="00A747F6"/>
    <w:rsid w:val="00A74999"/>
    <w:rsid w:val="00A7523C"/>
    <w:rsid w:val="00A757B8"/>
    <w:rsid w:val="00A75D8E"/>
    <w:rsid w:val="00A76001"/>
    <w:rsid w:val="00A76335"/>
    <w:rsid w:val="00A76C9E"/>
    <w:rsid w:val="00A7779C"/>
    <w:rsid w:val="00A777B2"/>
    <w:rsid w:val="00A805C8"/>
    <w:rsid w:val="00A81952"/>
    <w:rsid w:val="00A81D0D"/>
    <w:rsid w:val="00A8203E"/>
    <w:rsid w:val="00A82461"/>
    <w:rsid w:val="00A82521"/>
    <w:rsid w:val="00A825D4"/>
    <w:rsid w:val="00A828F6"/>
    <w:rsid w:val="00A82B73"/>
    <w:rsid w:val="00A82C9A"/>
    <w:rsid w:val="00A82DD8"/>
    <w:rsid w:val="00A8315E"/>
    <w:rsid w:val="00A8390D"/>
    <w:rsid w:val="00A83964"/>
    <w:rsid w:val="00A83D80"/>
    <w:rsid w:val="00A8412E"/>
    <w:rsid w:val="00A84384"/>
    <w:rsid w:val="00A8450C"/>
    <w:rsid w:val="00A845B6"/>
    <w:rsid w:val="00A845C4"/>
    <w:rsid w:val="00A8492F"/>
    <w:rsid w:val="00A84E52"/>
    <w:rsid w:val="00A85374"/>
    <w:rsid w:val="00A85381"/>
    <w:rsid w:val="00A85F90"/>
    <w:rsid w:val="00A866AB"/>
    <w:rsid w:val="00A86E8B"/>
    <w:rsid w:val="00A86EC8"/>
    <w:rsid w:val="00A87141"/>
    <w:rsid w:val="00A87164"/>
    <w:rsid w:val="00A90742"/>
    <w:rsid w:val="00A918EE"/>
    <w:rsid w:val="00A91D2C"/>
    <w:rsid w:val="00A921E1"/>
    <w:rsid w:val="00A9245F"/>
    <w:rsid w:val="00A92F2B"/>
    <w:rsid w:val="00A93072"/>
    <w:rsid w:val="00A934D0"/>
    <w:rsid w:val="00A938BD"/>
    <w:rsid w:val="00A93953"/>
    <w:rsid w:val="00A93CA0"/>
    <w:rsid w:val="00A94DC8"/>
    <w:rsid w:val="00A95328"/>
    <w:rsid w:val="00A959D8"/>
    <w:rsid w:val="00A95CF9"/>
    <w:rsid w:val="00A975A8"/>
    <w:rsid w:val="00AA0FBC"/>
    <w:rsid w:val="00AA113D"/>
    <w:rsid w:val="00AA2DE1"/>
    <w:rsid w:val="00AA33F8"/>
    <w:rsid w:val="00AA3CA6"/>
    <w:rsid w:val="00AA3E6F"/>
    <w:rsid w:val="00AA47FD"/>
    <w:rsid w:val="00AA4A7A"/>
    <w:rsid w:val="00AA4B98"/>
    <w:rsid w:val="00AA5AF3"/>
    <w:rsid w:val="00AA612E"/>
    <w:rsid w:val="00AA69EA"/>
    <w:rsid w:val="00AA6BD5"/>
    <w:rsid w:val="00AA6BD8"/>
    <w:rsid w:val="00AA6C7D"/>
    <w:rsid w:val="00AA6DCF"/>
    <w:rsid w:val="00AA6E48"/>
    <w:rsid w:val="00AA71D5"/>
    <w:rsid w:val="00AA7C04"/>
    <w:rsid w:val="00AA7D68"/>
    <w:rsid w:val="00AA7FD6"/>
    <w:rsid w:val="00AB042A"/>
    <w:rsid w:val="00AB049F"/>
    <w:rsid w:val="00AB0C04"/>
    <w:rsid w:val="00AB0CAA"/>
    <w:rsid w:val="00AB119F"/>
    <w:rsid w:val="00AB162E"/>
    <w:rsid w:val="00AB18FB"/>
    <w:rsid w:val="00AB194F"/>
    <w:rsid w:val="00AB19EF"/>
    <w:rsid w:val="00AB1B75"/>
    <w:rsid w:val="00AB1D0F"/>
    <w:rsid w:val="00AB25CF"/>
    <w:rsid w:val="00AB2D34"/>
    <w:rsid w:val="00AB3195"/>
    <w:rsid w:val="00AB323D"/>
    <w:rsid w:val="00AB3430"/>
    <w:rsid w:val="00AB37B9"/>
    <w:rsid w:val="00AB3EBA"/>
    <w:rsid w:val="00AB4392"/>
    <w:rsid w:val="00AB48DB"/>
    <w:rsid w:val="00AB4AD1"/>
    <w:rsid w:val="00AB4BB0"/>
    <w:rsid w:val="00AB5581"/>
    <w:rsid w:val="00AB5E07"/>
    <w:rsid w:val="00AB5F5C"/>
    <w:rsid w:val="00AB60D6"/>
    <w:rsid w:val="00AB70D1"/>
    <w:rsid w:val="00AB7CFA"/>
    <w:rsid w:val="00AC025A"/>
    <w:rsid w:val="00AC04EF"/>
    <w:rsid w:val="00AC0EB0"/>
    <w:rsid w:val="00AC11F4"/>
    <w:rsid w:val="00AC1AD5"/>
    <w:rsid w:val="00AC20E1"/>
    <w:rsid w:val="00AC2B35"/>
    <w:rsid w:val="00AC33C0"/>
    <w:rsid w:val="00AC3B26"/>
    <w:rsid w:val="00AC5B48"/>
    <w:rsid w:val="00AC628B"/>
    <w:rsid w:val="00AC65EA"/>
    <w:rsid w:val="00AC681E"/>
    <w:rsid w:val="00AC6986"/>
    <w:rsid w:val="00AC69F0"/>
    <w:rsid w:val="00AC6BFD"/>
    <w:rsid w:val="00AC6CF3"/>
    <w:rsid w:val="00AC717D"/>
    <w:rsid w:val="00AC7266"/>
    <w:rsid w:val="00AC743E"/>
    <w:rsid w:val="00AC76C2"/>
    <w:rsid w:val="00AC7B5C"/>
    <w:rsid w:val="00AC7D8F"/>
    <w:rsid w:val="00AC7F90"/>
    <w:rsid w:val="00AD040E"/>
    <w:rsid w:val="00AD0BA5"/>
    <w:rsid w:val="00AD0CB6"/>
    <w:rsid w:val="00AD0E4C"/>
    <w:rsid w:val="00AD0E7C"/>
    <w:rsid w:val="00AD1415"/>
    <w:rsid w:val="00AD1450"/>
    <w:rsid w:val="00AD1DA1"/>
    <w:rsid w:val="00AD2117"/>
    <w:rsid w:val="00AD24F5"/>
    <w:rsid w:val="00AD256D"/>
    <w:rsid w:val="00AD27E0"/>
    <w:rsid w:val="00AD2C33"/>
    <w:rsid w:val="00AD30F8"/>
    <w:rsid w:val="00AD3DA4"/>
    <w:rsid w:val="00AD3F4D"/>
    <w:rsid w:val="00AD3F8F"/>
    <w:rsid w:val="00AD470E"/>
    <w:rsid w:val="00AD4E82"/>
    <w:rsid w:val="00AD523D"/>
    <w:rsid w:val="00AD5C33"/>
    <w:rsid w:val="00AD622A"/>
    <w:rsid w:val="00AD6502"/>
    <w:rsid w:val="00AD65A2"/>
    <w:rsid w:val="00AD6BB4"/>
    <w:rsid w:val="00AD713C"/>
    <w:rsid w:val="00AE0695"/>
    <w:rsid w:val="00AE09D2"/>
    <w:rsid w:val="00AE0AA9"/>
    <w:rsid w:val="00AE0C05"/>
    <w:rsid w:val="00AE1590"/>
    <w:rsid w:val="00AE173A"/>
    <w:rsid w:val="00AE1DC1"/>
    <w:rsid w:val="00AE1E6A"/>
    <w:rsid w:val="00AE1F8B"/>
    <w:rsid w:val="00AE2F60"/>
    <w:rsid w:val="00AE2FA0"/>
    <w:rsid w:val="00AE300F"/>
    <w:rsid w:val="00AE3243"/>
    <w:rsid w:val="00AE37EB"/>
    <w:rsid w:val="00AE3A6E"/>
    <w:rsid w:val="00AE3A6F"/>
    <w:rsid w:val="00AE3E7E"/>
    <w:rsid w:val="00AE4A91"/>
    <w:rsid w:val="00AE4FF8"/>
    <w:rsid w:val="00AE5003"/>
    <w:rsid w:val="00AE5B89"/>
    <w:rsid w:val="00AE5F5A"/>
    <w:rsid w:val="00AE60DD"/>
    <w:rsid w:val="00AE6144"/>
    <w:rsid w:val="00AE6B24"/>
    <w:rsid w:val="00AE70EB"/>
    <w:rsid w:val="00AE70F4"/>
    <w:rsid w:val="00AE715E"/>
    <w:rsid w:val="00AE71DD"/>
    <w:rsid w:val="00AF00B9"/>
    <w:rsid w:val="00AF00CF"/>
    <w:rsid w:val="00AF04C7"/>
    <w:rsid w:val="00AF1315"/>
    <w:rsid w:val="00AF151F"/>
    <w:rsid w:val="00AF19BF"/>
    <w:rsid w:val="00AF1CA0"/>
    <w:rsid w:val="00AF284E"/>
    <w:rsid w:val="00AF29E2"/>
    <w:rsid w:val="00AF2B97"/>
    <w:rsid w:val="00AF2DC3"/>
    <w:rsid w:val="00AF3226"/>
    <w:rsid w:val="00AF3B27"/>
    <w:rsid w:val="00AF421F"/>
    <w:rsid w:val="00AF4253"/>
    <w:rsid w:val="00AF4462"/>
    <w:rsid w:val="00AF4CBF"/>
    <w:rsid w:val="00AF4DB4"/>
    <w:rsid w:val="00AF53D3"/>
    <w:rsid w:val="00AF578D"/>
    <w:rsid w:val="00AF5FE7"/>
    <w:rsid w:val="00AF645E"/>
    <w:rsid w:val="00AF666C"/>
    <w:rsid w:val="00AF6770"/>
    <w:rsid w:val="00AF6FC7"/>
    <w:rsid w:val="00AF7B12"/>
    <w:rsid w:val="00B00097"/>
    <w:rsid w:val="00B004FC"/>
    <w:rsid w:val="00B00B88"/>
    <w:rsid w:val="00B011E6"/>
    <w:rsid w:val="00B01650"/>
    <w:rsid w:val="00B0215C"/>
    <w:rsid w:val="00B02FD6"/>
    <w:rsid w:val="00B0300F"/>
    <w:rsid w:val="00B033E5"/>
    <w:rsid w:val="00B036EA"/>
    <w:rsid w:val="00B0399D"/>
    <w:rsid w:val="00B03A63"/>
    <w:rsid w:val="00B03D59"/>
    <w:rsid w:val="00B04B6F"/>
    <w:rsid w:val="00B054AC"/>
    <w:rsid w:val="00B05D68"/>
    <w:rsid w:val="00B05DFE"/>
    <w:rsid w:val="00B063D1"/>
    <w:rsid w:val="00B068E6"/>
    <w:rsid w:val="00B06989"/>
    <w:rsid w:val="00B06F83"/>
    <w:rsid w:val="00B07D92"/>
    <w:rsid w:val="00B07F14"/>
    <w:rsid w:val="00B101E0"/>
    <w:rsid w:val="00B104E0"/>
    <w:rsid w:val="00B10676"/>
    <w:rsid w:val="00B10AF4"/>
    <w:rsid w:val="00B1184B"/>
    <w:rsid w:val="00B1211C"/>
    <w:rsid w:val="00B129CF"/>
    <w:rsid w:val="00B12C31"/>
    <w:rsid w:val="00B12E57"/>
    <w:rsid w:val="00B13B04"/>
    <w:rsid w:val="00B13E87"/>
    <w:rsid w:val="00B14024"/>
    <w:rsid w:val="00B144C5"/>
    <w:rsid w:val="00B146A6"/>
    <w:rsid w:val="00B14B51"/>
    <w:rsid w:val="00B153A8"/>
    <w:rsid w:val="00B15470"/>
    <w:rsid w:val="00B15A20"/>
    <w:rsid w:val="00B16706"/>
    <w:rsid w:val="00B16A04"/>
    <w:rsid w:val="00B16AD0"/>
    <w:rsid w:val="00B17E8D"/>
    <w:rsid w:val="00B201A4"/>
    <w:rsid w:val="00B201D1"/>
    <w:rsid w:val="00B20526"/>
    <w:rsid w:val="00B2077F"/>
    <w:rsid w:val="00B2096B"/>
    <w:rsid w:val="00B20AAE"/>
    <w:rsid w:val="00B20D79"/>
    <w:rsid w:val="00B2126B"/>
    <w:rsid w:val="00B213A6"/>
    <w:rsid w:val="00B220AC"/>
    <w:rsid w:val="00B22A82"/>
    <w:rsid w:val="00B22F2C"/>
    <w:rsid w:val="00B232AC"/>
    <w:rsid w:val="00B235B0"/>
    <w:rsid w:val="00B24210"/>
    <w:rsid w:val="00B24A6D"/>
    <w:rsid w:val="00B24DF6"/>
    <w:rsid w:val="00B25AE7"/>
    <w:rsid w:val="00B2624A"/>
    <w:rsid w:val="00B268C7"/>
    <w:rsid w:val="00B26BDC"/>
    <w:rsid w:val="00B2705C"/>
    <w:rsid w:val="00B276F5"/>
    <w:rsid w:val="00B27836"/>
    <w:rsid w:val="00B317A1"/>
    <w:rsid w:val="00B32581"/>
    <w:rsid w:val="00B32758"/>
    <w:rsid w:val="00B328C7"/>
    <w:rsid w:val="00B3293A"/>
    <w:rsid w:val="00B32C3C"/>
    <w:rsid w:val="00B3363C"/>
    <w:rsid w:val="00B336E3"/>
    <w:rsid w:val="00B33A27"/>
    <w:rsid w:val="00B34B6F"/>
    <w:rsid w:val="00B34DCD"/>
    <w:rsid w:val="00B34FB7"/>
    <w:rsid w:val="00B34FE2"/>
    <w:rsid w:val="00B35166"/>
    <w:rsid w:val="00B353CC"/>
    <w:rsid w:val="00B3576E"/>
    <w:rsid w:val="00B357D8"/>
    <w:rsid w:val="00B3599B"/>
    <w:rsid w:val="00B360F4"/>
    <w:rsid w:val="00B36720"/>
    <w:rsid w:val="00B367FA"/>
    <w:rsid w:val="00B36A00"/>
    <w:rsid w:val="00B37167"/>
    <w:rsid w:val="00B37518"/>
    <w:rsid w:val="00B3781D"/>
    <w:rsid w:val="00B37BA8"/>
    <w:rsid w:val="00B37BFC"/>
    <w:rsid w:val="00B40358"/>
    <w:rsid w:val="00B40445"/>
    <w:rsid w:val="00B4044A"/>
    <w:rsid w:val="00B41029"/>
    <w:rsid w:val="00B41235"/>
    <w:rsid w:val="00B415A0"/>
    <w:rsid w:val="00B415B3"/>
    <w:rsid w:val="00B41614"/>
    <w:rsid w:val="00B41D10"/>
    <w:rsid w:val="00B42851"/>
    <w:rsid w:val="00B428E9"/>
    <w:rsid w:val="00B42EB2"/>
    <w:rsid w:val="00B42F80"/>
    <w:rsid w:val="00B42F88"/>
    <w:rsid w:val="00B432CC"/>
    <w:rsid w:val="00B435CB"/>
    <w:rsid w:val="00B43790"/>
    <w:rsid w:val="00B4407F"/>
    <w:rsid w:val="00B45E21"/>
    <w:rsid w:val="00B45FA9"/>
    <w:rsid w:val="00B45FFE"/>
    <w:rsid w:val="00B46069"/>
    <w:rsid w:val="00B46551"/>
    <w:rsid w:val="00B469BC"/>
    <w:rsid w:val="00B46BAC"/>
    <w:rsid w:val="00B46CCC"/>
    <w:rsid w:val="00B46EF0"/>
    <w:rsid w:val="00B4723F"/>
    <w:rsid w:val="00B4741A"/>
    <w:rsid w:val="00B47777"/>
    <w:rsid w:val="00B479BF"/>
    <w:rsid w:val="00B505C8"/>
    <w:rsid w:val="00B50AE7"/>
    <w:rsid w:val="00B50DB8"/>
    <w:rsid w:val="00B51104"/>
    <w:rsid w:val="00B51540"/>
    <w:rsid w:val="00B517E4"/>
    <w:rsid w:val="00B520C1"/>
    <w:rsid w:val="00B525F7"/>
    <w:rsid w:val="00B5270E"/>
    <w:rsid w:val="00B5323F"/>
    <w:rsid w:val="00B53308"/>
    <w:rsid w:val="00B53654"/>
    <w:rsid w:val="00B53683"/>
    <w:rsid w:val="00B538D7"/>
    <w:rsid w:val="00B538F3"/>
    <w:rsid w:val="00B53905"/>
    <w:rsid w:val="00B543A6"/>
    <w:rsid w:val="00B54691"/>
    <w:rsid w:val="00B549BA"/>
    <w:rsid w:val="00B549CF"/>
    <w:rsid w:val="00B54B5B"/>
    <w:rsid w:val="00B54E7E"/>
    <w:rsid w:val="00B5516F"/>
    <w:rsid w:val="00B55545"/>
    <w:rsid w:val="00B5562E"/>
    <w:rsid w:val="00B5595B"/>
    <w:rsid w:val="00B55B9B"/>
    <w:rsid w:val="00B55D65"/>
    <w:rsid w:val="00B55FB1"/>
    <w:rsid w:val="00B57000"/>
    <w:rsid w:val="00B5786E"/>
    <w:rsid w:val="00B57AD9"/>
    <w:rsid w:val="00B57F10"/>
    <w:rsid w:val="00B60939"/>
    <w:rsid w:val="00B60AFD"/>
    <w:rsid w:val="00B61341"/>
    <w:rsid w:val="00B62108"/>
    <w:rsid w:val="00B623D6"/>
    <w:rsid w:val="00B62715"/>
    <w:rsid w:val="00B632E5"/>
    <w:rsid w:val="00B63449"/>
    <w:rsid w:val="00B63D21"/>
    <w:rsid w:val="00B64C37"/>
    <w:rsid w:val="00B64E50"/>
    <w:rsid w:val="00B64EBD"/>
    <w:rsid w:val="00B6510D"/>
    <w:rsid w:val="00B65611"/>
    <w:rsid w:val="00B6564B"/>
    <w:rsid w:val="00B65A99"/>
    <w:rsid w:val="00B65B65"/>
    <w:rsid w:val="00B65C03"/>
    <w:rsid w:val="00B65CAF"/>
    <w:rsid w:val="00B660D0"/>
    <w:rsid w:val="00B66182"/>
    <w:rsid w:val="00B66378"/>
    <w:rsid w:val="00B66F6E"/>
    <w:rsid w:val="00B676E3"/>
    <w:rsid w:val="00B67847"/>
    <w:rsid w:val="00B70324"/>
    <w:rsid w:val="00B70C0D"/>
    <w:rsid w:val="00B70D4F"/>
    <w:rsid w:val="00B70E8E"/>
    <w:rsid w:val="00B717F3"/>
    <w:rsid w:val="00B719A2"/>
    <w:rsid w:val="00B71DFE"/>
    <w:rsid w:val="00B720A8"/>
    <w:rsid w:val="00B72DDC"/>
    <w:rsid w:val="00B72F7D"/>
    <w:rsid w:val="00B736A7"/>
    <w:rsid w:val="00B73AC4"/>
    <w:rsid w:val="00B74019"/>
    <w:rsid w:val="00B742DA"/>
    <w:rsid w:val="00B74545"/>
    <w:rsid w:val="00B745CB"/>
    <w:rsid w:val="00B74C64"/>
    <w:rsid w:val="00B74C90"/>
    <w:rsid w:val="00B75AA2"/>
    <w:rsid w:val="00B76AE1"/>
    <w:rsid w:val="00B76B91"/>
    <w:rsid w:val="00B76C92"/>
    <w:rsid w:val="00B76E0B"/>
    <w:rsid w:val="00B77F3B"/>
    <w:rsid w:val="00B802C9"/>
    <w:rsid w:val="00B804DA"/>
    <w:rsid w:val="00B806E8"/>
    <w:rsid w:val="00B81012"/>
    <w:rsid w:val="00B812A9"/>
    <w:rsid w:val="00B8164B"/>
    <w:rsid w:val="00B818A4"/>
    <w:rsid w:val="00B81C41"/>
    <w:rsid w:val="00B8229E"/>
    <w:rsid w:val="00B82452"/>
    <w:rsid w:val="00B82AD9"/>
    <w:rsid w:val="00B82C39"/>
    <w:rsid w:val="00B83C3B"/>
    <w:rsid w:val="00B84117"/>
    <w:rsid w:val="00B858F0"/>
    <w:rsid w:val="00B85AA2"/>
    <w:rsid w:val="00B8649C"/>
    <w:rsid w:val="00B86776"/>
    <w:rsid w:val="00B8695D"/>
    <w:rsid w:val="00B86AE4"/>
    <w:rsid w:val="00B86BF8"/>
    <w:rsid w:val="00B87290"/>
    <w:rsid w:val="00B8752E"/>
    <w:rsid w:val="00B87779"/>
    <w:rsid w:val="00B87823"/>
    <w:rsid w:val="00B87D15"/>
    <w:rsid w:val="00B87F0A"/>
    <w:rsid w:val="00B87FAA"/>
    <w:rsid w:val="00B905BE"/>
    <w:rsid w:val="00B91191"/>
    <w:rsid w:val="00B9143C"/>
    <w:rsid w:val="00B91586"/>
    <w:rsid w:val="00B919C4"/>
    <w:rsid w:val="00B921AF"/>
    <w:rsid w:val="00B92A74"/>
    <w:rsid w:val="00B92D0B"/>
    <w:rsid w:val="00B92EDE"/>
    <w:rsid w:val="00B9384C"/>
    <w:rsid w:val="00B93B1B"/>
    <w:rsid w:val="00B9439D"/>
    <w:rsid w:val="00B94945"/>
    <w:rsid w:val="00B94DD6"/>
    <w:rsid w:val="00B95792"/>
    <w:rsid w:val="00B95EA9"/>
    <w:rsid w:val="00B95ECD"/>
    <w:rsid w:val="00B95FFD"/>
    <w:rsid w:val="00B9639F"/>
    <w:rsid w:val="00B9642B"/>
    <w:rsid w:val="00B96958"/>
    <w:rsid w:val="00B97069"/>
    <w:rsid w:val="00B97226"/>
    <w:rsid w:val="00B97391"/>
    <w:rsid w:val="00B9790D"/>
    <w:rsid w:val="00B97BBB"/>
    <w:rsid w:val="00BA0044"/>
    <w:rsid w:val="00BA0802"/>
    <w:rsid w:val="00BA1D85"/>
    <w:rsid w:val="00BA2BF1"/>
    <w:rsid w:val="00BA322D"/>
    <w:rsid w:val="00BA3FFD"/>
    <w:rsid w:val="00BA40DF"/>
    <w:rsid w:val="00BA42E2"/>
    <w:rsid w:val="00BA46F5"/>
    <w:rsid w:val="00BA4B12"/>
    <w:rsid w:val="00BA5016"/>
    <w:rsid w:val="00BA5DA0"/>
    <w:rsid w:val="00BA5FAE"/>
    <w:rsid w:val="00BA63FA"/>
    <w:rsid w:val="00BA656A"/>
    <w:rsid w:val="00BA6DAA"/>
    <w:rsid w:val="00BA6E77"/>
    <w:rsid w:val="00BA7B03"/>
    <w:rsid w:val="00BB00B3"/>
    <w:rsid w:val="00BB015F"/>
    <w:rsid w:val="00BB02C7"/>
    <w:rsid w:val="00BB0307"/>
    <w:rsid w:val="00BB04E2"/>
    <w:rsid w:val="00BB0BDD"/>
    <w:rsid w:val="00BB0F87"/>
    <w:rsid w:val="00BB11AF"/>
    <w:rsid w:val="00BB176C"/>
    <w:rsid w:val="00BB21E3"/>
    <w:rsid w:val="00BB2A73"/>
    <w:rsid w:val="00BB3321"/>
    <w:rsid w:val="00BB362D"/>
    <w:rsid w:val="00BB363B"/>
    <w:rsid w:val="00BB3A45"/>
    <w:rsid w:val="00BB438A"/>
    <w:rsid w:val="00BB4ACC"/>
    <w:rsid w:val="00BB57DA"/>
    <w:rsid w:val="00BB6DE1"/>
    <w:rsid w:val="00BB703E"/>
    <w:rsid w:val="00BB732D"/>
    <w:rsid w:val="00BB7405"/>
    <w:rsid w:val="00BB7530"/>
    <w:rsid w:val="00BB79A6"/>
    <w:rsid w:val="00BB7A12"/>
    <w:rsid w:val="00BB7D37"/>
    <w:rsid w:val="00BC06EA"/>
    <w:rsid w:val="00BC07D7"/>
    <w:rsid w:val="00BC0ABC"/>
    <w:rsid w:val="00BC0B2D"/>
    <w:rsid w:val="00BC0EAD"/>
    <w:rsid w:val="00BC108F"/>
    <w:rsid w:val="00BC12F3"/>
    <w:rsid w:val="00BC1CF5"/>
    <w:rsid w:val="00BC26D7"/>
    <w:rsid w:val="00BC3631"/>
    <w:rsid w:val="00BC39C7"/>
    <w:rsid w:val="00BC3F81"/>
    <w:rsid w:val="00BC4337"/>
    <w:rsid w:val="00BC591F"/>
    <w:rsid w:val="00BC5BAF"/>
    <w:rsid w:val="00BC6470"/>
    <w:rsid w:val="00BC64D4"/>
    <w:rsid w:val="00BC65E4"/>
    <w:rsid w:val="00BC6EC0"/>
    <w:rsid w:val="00BC75A9"/>
    <w:rsid w:val="00BC7987"/>
    <w:rsid w:val="00BC7C20"/>
    <w:rsid w:val="00BC7D6D"/>
    <w:rsid w:val="00BD02BA"/>
    <w:rsid w:val="00BD1A2F"/>
    <w:rsid w:val="00BD1D42"/>
    <w:rsid w:val="00BD2108"/>
    <w:rsid w:val="00BD2408"/>
    <w:rsid w:val="00BD2575"/>
    <w:rsid w:val="00BD3FE5"/>
    <w:rsid w:val="00BD5731"/>
    <w:rsid w:val="00BD64E3"/>
    <w:rsid w:val="00BD68A3"/>
    <w:rsid w:val="00BD6938"/>
    <w:rsid w:val="00BD6BEC"/>
    <w:rsid w:val="00BD6CF3"/>
    <w:rsid w:val="00BD754C"/>
    <w:rsid w:val="00BD7674"/>
    <w:rsid w:val="00BD791C"/>
    <w:rsid w:val="00BE07C1"/>
    <w:rsid w:val="00BE0ECA"/>
    <w:rsid w:val="00BE0F7A"/>
    <w:rsid w:val="00BE109F"/>
    <w:rsid w:val="00BE131C"/>
    <w:rsid w:val="00BE1D39"/>
    <w:rsid w:val="00BE2180"/>
    <w:rsid w:val="00BE21F2"/>
    <w:rsid w:val="00BE2448"/>
    <w:rsid w:val="00BE2543"/>
    <w:rsid w:val="00BE277A"/>
    <w:rsid w:val="00BE2B76"/>
    <w:rsid w:val="00BE343C"/>
    <w:rsid w:val="00BE39B7"/>
    <w:rsid w:val="00BE4275"/>
    <w:rsid w:val="00BE4A1E"/>
    <w:rsid w:val="00BE4F8B"/>
    <w:rsid w:val="00BE53B9"/>
    <w:rsid w:val="00BE67B8"/>
    <w:rsid w:val="00BE68C0"/>
    <w:rsid w:val="00BE6B01"/>
    <w:rsid w:val="00BE6CAF"/>
    <w:rsid w:val="00BE6D27"/>
    <w:rsid w:val="00BE6ED8"/>
    <w:rsid w:val="00BE71FF"/>
    <w:rsid w:val="00BE7A4C"/>
    <w:rsid w:val="00BE7B91"/>
    <w:rsid w:val="00BE7EA6"/>
    <w:rsid w:val="00BE7ED9"/>
    <w:rsid w:val="00BF00F4"/>
    <w:rsid w:val="00BF02FD"/>
    <w:rsid w:val="00BF0484"/>
    <w:rsid w:val="00BF05B2"/>
    <w:rsid w:val="00BF06AE"/>
    <w:rsid w:val="00BF09A3"/>
    <w:rsid w:val="00BF0E13"/>
    <w:rsid w:val="00BF0F95"/>
    <w:rsid w:val="00BF1554"/>
    <w:rsid w:val="00BF1623"/>
    <w:rsid w:val="00BF17F4"/>
    <w:rsid w:val="00BF18E0"/>
    <w:rsid w:val="00BF2433"/>
    <w:rsid w:val="00BF2A81"/>
    <w:rsid w:val="00BF3A62"/>
    <w:rsid w:val="00BF48C0"/>
    <w:rsid w:val="00BF548E"/>
    <w:rsid w:val="00BF5960"/>
    <w:rsid w:val="00BF5EFA"/>
    <w:rsid w:val="00BF61C9"/>
    <w:rsid w:val="00BF628A"/>
    <w:rsid w:val="00BF6A90"/>
    <w:rsid w:val="00BF6AF5"/>
    <w:rsid w:val="00BF6C94"/>
    <w:rsid w:val="00BF6DC8"/>
    <w:rsid w:val="00BF6E8A"/>
    <w:rsid w:val="00BF6FB4"/>
    <w:rsid w:val="00BF6FD4"/>
    <w:rsid w:val="00BF7285"/>
    <w:rsid w:val="00BF7D7F"/>
    <w:rsid w:val="00C00424"/>
    <w:rsid w:val="00C011F7"/>
    <w:rsid w:val="00C01DF8"/>
    <w:rsid w:val="00C02224"/>
    <w:rsid w:val="00C028B0"/>
    <w:rsid w:val="00C02E68"/>
    <w:rsid w:val="00C03248"/>
    <w:rsid w:val="00C039EA"/>
    <w:rsid w:val="00C04090"/>
    <w:rsid w:val="00C045A2"/>
    <w:rsid w:val="00C04A30"/>
    <w:rsid w:val="00C05245"/>
    <w:rsid w:val="00C056AC"/>
    <w:rsid w:val="00C079DE"/>
    <w:rsid w:val="00C07BD0"/>
    <w:rsid w:val="00C100B0"/>
    <w:rsid w:val="00C101F2"/>
    <w:rsid w:val="00C106E9"/>
    <w:rsid w:val="00C109B2"/>
    <w:rsid w:val="00C10A69"/>
    <w:rsid w:val="00C1179F"/>
    <w:rsid w:val="00C125E2"/>
    <w:rsid w:val="00C1296F"/>
    <w:rsid w:val="00C12A64"/>
    <w:rsid w:val="00C12C14"/>
    <w:rsid w:val="00C12D07"/>
    <w:rsid w:val="00C12DDB"/>
    <w:rsid w:val="00C13BEC"/>
    <w:rsid w:val="00C13C07"/>
    <w:rsid w:val="00C13D41"/>
    <w:rsid w:val="00C14054"/>
    <w:rsid w:val="00C14273"/>
    <w:rsid w:val="00C151C3"/>
    <w:rsid w:val="00C152E2"/>
    <w:rsid w:val="00C15AAB"/>
    <w:rsid w:val="00C15B5B"/>
    <w:rsid w:val="00C15F04"/>
    <w:rsid w:val="00C161B7"/>
    <w:rsid w:val="00C16481"/>
    <w:rsid w:val="00C16579"/>
    <w:rsid w:val="00C167BF"/>
    <w:rsid w:val="00C169AD"/>
    <w:rsid w:val="00C16CCC"/>
    <w:rsid w:val="00C17082"/>
    <w:rsid w:val="00C1765B"/>
    <w:rsid w:val="00C17690"/>
    <w:rsid w:val="00C176A5"/>
    <w:rsid w:val="00C17793"/>
    <w:rsid w:val="00C1786B"/>
    <w:rsid w:val="00C179B3"/>
    <w:rsid w:val="00C17E3F"/>
    <w:rsid w:val="00C200AA"/>
    <w:rsid w:val="00C20247"/>
    <w:rsid w:val="00C2052D"/>
    <w:rsid w:val="00C20A1C"/>
    <w:rsid w:val="00C20AF3"/>
    <w:rsid w:val="00C20B62"/>
    <w:rsid w:val="00C20B7E"/>
    <w:rsid w:val="00C2129A"/>
    <w:rsid w:val="00C216BD"/>
    <w:rsid w:val="00C21AE8"/>
    <w:rsid w:val="00C22676"/>
    <w:rsid w:val="00C237ED"/>
    <w:rsid w:val="00C238E8"/>
    <w:rsid w:val="00C23D51"/>
    <w:rsid w:val="00C24632"/>
    <w:rsid w:val="00C249FB"/>
    <w:rsid w:val="00C25003"/>
    <w:rsid w:val="00C25418"/>
    <w:rsid w:val="00C25D9C"/>
    <w:rsid w:val="00C25F4D"/>
    <w:rsid w:val="00C26BC7"/>
    <w:rsid w:val="00C26D1B"/>
    <w:rsid w:val="00C2778B"/>
    <w:rsid w:val="00C27886"/>
    <w:rsid w:val="00C3076F"/>
    <w:rsid w:val="00C3100E"/>
    <w:rsid w:val="00C31543"/>
    <w:rsid w:val="00C31649"/>
    <w:rsid w:val="00C31F88"/>
    <w:rsid w:val="00C32012"/>
    <w:rsid w:val="00C32379"/>
    <w:rsid w:val="00C328DF"/>
    <w:rsid w:val="00C32C11"/>
    <w:rsid w:val="00C32D51"/>
    <w:rsid w:val="00C335F2"/>
    <w:rsid w:val="00C33D2F"/>
    <w:rsid w:val="00C342F9"/>
    <w:rsid w:val="00C3434C"/>
    <w:rsid w:val="00C34932"/>
    <w:rsid w:val="00C34E0D"/>
    <w:rsid w:val="00C3502A"/>
    <w:rsid w:val="00C35569"/>
    <w:rsid w:val="00C35B1B"/>
    <w:rsid w:val="00C35CB3"/>
    <w:rsid w:val="00C36394"/>
    <w:rsid w:val="00C371D2"/>
    <w:rsid w:val="00C3792C"/>
    <w:rsid w:val="00C37E82"/>
    <w:rsid w:val="00C40213"/>
    <w:rsid w:val="00C40385"/>
    <w:rsid w:val="00C40661"/>
    <w:rsid w:val="00C40A7A"/>
    <w:rsid w:val="00C4140B"/>
    <w:rsid w:val="00C41768"/>
    <w:rsid w:val="00C4218F"/>
    <w:rsid w:val="00C42999"/>
    <w:rsid w:val="00C42A8B"/>
    <w:rsid w:val="00C43582"/>
    <w:rsid w:val="00C43942"/>
    <w:rsid w:val="00C43C6A"/>
    <w:rsid w:val="00C4425B"/>
    <w:rsid w:val="00C4493D"/>
    <w:rsid w:val="00C4521A"/>
    <w:rsid w:val="00C4612E"/>
    <w:rsid w:val="00C4668F"/>
    <w:rsid w:val="00C466AA"/>
    <w:rsid w:val="00C46C65"/>
    <w:rsid w:val="00C46C8D"/>
    <w:rsid w:val="00C46CEA"/>
    <w:rsid w:val="00C472C0"/>
    <w:rsid w:val="00C475AA"/>
    <w:rsid w:val="00C47A97"/>
    <w:rsid w:val="00C47D0B"/>
    <w:rsid w:val="00C47F15"/>
    <w:rsid w:val="00C500FF"/>
    <w:rsid w:val="00C50604"/>
    <w:rsid w:val="00C506F5"/>
    <w:rsid w:val="00C5150B"/>
    <w:rsid w:val="00C5165C"/>
    <w:rsid w:val="00C51BFC"/>
    <w:rsid w:val="00C51EA6"/>
    <w:rsid w:val="00C520B9"/>
    <w:rsid w:val="00C525AA"/>
    <w:rsid w:val="00C526C5"/>
    <w:rsid w:val="00C53C98"/>
    <w:rsid w:val="00C540E7"/>
    <w:rsid w:val="00C542A3"/>
    <w:rsid w:val="00C545B8"/>
    <w:rsid w:val="00C54D38"/>
    <w:rsid w:val="00C55300"/>
    <w:rsid w:val="00C5539D"/>
    <w:rsid w:val="00C5545B"/>
    <w:rsid w:val="00C55866"/>
    <w:rsid w:val="00C55A1A"/>
    <w:rsid w:val="00C55ADF"/>
    <w:rsid w:val="00C55BFC"/>
    <w:rsid w:val="00C55C01"/>
    <w:rsid w:val="00C561C6"/>
    <w:rsid w:val="00C56262"/>
    <w:rsid w:val="00C56790"/>
    <w:rsid w:val="00C56FCF"/>
    <w:rsid w:val="00C5704D"/>
    <w:rsid w:val="00C57B6C"/>
    <w:rsid w:val="00C57E47"/>
    <w:rsid w:val="00C57FC7"/>
    <w:rsid w:val="00C60138"/>
    <w:rsid w:val="00C608DF"/>
    <w:rsid w:val="00C61024"/>
    <w:rsid w:val="00C61116"/>
    <w:rsid w:val="00C61FAB"/>
    <w:rsid w:val="00C62365"/>
    <w:rsid w:val="00C628A6"/>
    <w:rsid w:val="00C6339C"/>
    <w:rsid w:val="00C638BB"/>
    <w:rsid w:val="00C63B78"/>
    <w:rsid w:val="00C63CE2"/>
    <w:rsid w:val="00C64015"/>
    <w:rsid w:val="00C64322"/>
    <w:rsid w:val="00C64344"/>
    <w:rsid w:val="00C64D7C"/>
    <w:rsid w:val="00C650C8"/>
    <w:rsid w:val="00C650E0"/>
    <w:rsid w:val="00C65108"/>
    <w:rsid w:val="00C65576"/>
    <w:rsid w:val="00C65788"/>
    <w:rsid w:val="00C66070"/>
    <w:rsid w:val="00C6613C"/>
    <w:rsid w:val="00C66165"/>
    <w:rsid w:val="00C66C34"/>
    <w:rsid w:val="00C66F83"/>
    <w:rsid w:val="00C67EC8"/>
    <w:rsid w:val="00C70450"/>
    <w:rsid w:val="00C7060A"/>
    <w:rsid w:val="00C7151A"/>
    <w:rsid w:val="00C71692"/>
    <w:rsid w:val="00C717E3"/>
    <w:rsid w:val="00C71E87"/>
    <w:rsid w:val="00C71F60"/>
    <w:rsid w:val="00C71FF8"/>
    <w:rsid w:val="00C72241"/>
    <w:rsid w:val="00C72798"/>
    <w:rsid w:val="00C7384D"/>
    <w:rsid w:val="00C74387"/>
    <w:rsid w:val="00C74693"/>
    <w:rsid w:val="00C74BA2"/>
    <w:rsid w:val="00C750C8"/>
    <w:rsid w:val="00C7522A"/>
    <w:rsid w:val="00C7560F"/>
    <w:rsid w:val="00C75665"/>
    <w:rsid w:val="00C75F8C"/>
    <w:rsid w:val="00C769BD"/>
    <w:rsid w:val="00C77047"/>
    <w:rsid w:val="00C773C4"/>
    <w:rsid w:val="00C776E1"/>
    <w:rsid w:val="00C800CD"/>
    <w:rsid w:val="00C80235"/>
    <w:rsid w:val="00C80A0E"/>
    <w:rsid w:val="00C80D0B"/>
    <w:rsid w:val="00C816A2"/>
    <w:rsid w:val="00C81C41"/>
    <w:rsid w:val="00C8208E"/>
    <w:rsid w:val="00C8213F"/>
    <w:rsid w:val="00C826A0"/>
    <w:rsid w:val="00C838F3"/>
    <w:rsid w:val="00C83D87"/>
    <w:rsid w:val="00C83FDC"/>
    <w:rsid w:val="00C845FD"/>
    <w:rsid w:val="00C85154"/>
    <w:rsid w:val="00C855CD"/>
    <w:rsid w:val="00C85F7F"/>
    <w:rsid w:val="00C8657A"/>
    <w:rsid w:val="00C86B47"/>
    <w:rsid w:val="00C8743D"/>
    <w:rsid w:val="00C8797A"/>
    <w:rsid w:val="00C900B8"/>
    <w:rsid w:val="00C90422"/>
    <w:rsid w:val="00C90C71"/>
    <w:rsid w:val="00C90F85"/>
    <w:rsid w:val="00C91724"/>
    <w:rsid w:val="00C91B58"/>
    <w:rsid w:val="00C91FD1"/>
    <w:rsid w:val="00C9244B"/>
    <w:rsid w:val="00C9297F"/>
    <w:rsid w:val="00C931CF"/>
    <w:rsid w:val="00C931D7"/>
    <w:rsid w:val="00C938CF"/>
    <w:rsid w:val="00C93A54"/>
    <w:rsid w:val="00C93FEB"/>
    <w:rsid w:val="00C94053"/>
    <w:rsid w:val="00C94D7D"/>
    <w:rsid w:val="00C9536B"/>
    <w:rsid w:val="00C95389"/>
    <w:rsid w:val="00C9545B"/>
    <w:rsid w:val="00C9620C"/>
    <w:rsid w:val="00C9624D"/>
    <w:rsid w:val="00C969DA"/>
    <w:rsid w:val="00C977EC"/>
    <w:rsid w:val="00C97C8F"/>
    <w:rsid w:val="00CA036C"/>
    <w:rsid w:val="00CA09D7"/>
    <w:rsid w:val="00CA0CF1"/>
    <w:rsid w:val="00CA0D44"/>
    <w:rsid w:val="00CA113D"/>
    <w:rsid w:val="00CA113E"/>
    <w:rsid w:val="00CA17A8"/>
    <w:rsid w:val="00CA1C03"/>
    <w:rsid w:val="00CA24A7"/>
    <w:rsid w:val="00CA2C77"/>
    <w:rsid w:val="00CA35BB"/>
    <w:rsid w:val="00CA365C"/>
    <w:rsid w:val="00CA39EA"/>
    <w:rsid w:val="00CA3AC1"/>
    <w:rsid w:val="00CA3F70"/>
    <w:rsid w:val="00CA4041"/>
    <w:rsid w:val="00CA4066"/>
    <w:rsid w:val="00CA444F"/>
    <w:rsid w:val="00CA5245"/>
    <w:rsid w:val="00CA5423"/>
    <w:rsid w:val="00CA5BCE"/>
    <w:rsid w:val="00CA5E33"/>
    <w:rsid w:val="00CA5FD2"/>
    <w:rsid w:val="00CA61F3"/>
    <w:rsid w:val="00CA678B"/>
    <w:rsid w:val="00CA6A5E"/>
    <w:rsid w:val="00CA6C1D"/>
    <w:rsid w:val="00CA6E38"/>
    <w:rsid w:val="00CA71F4"/>
    <w:rsid w:val="00CA73BD"/>
    <w:rsid w:val="00CA79B4"/>
    <w:rsid w:val="00CA7A50"/>
    <w:rsid w:val="00CA7B09"/>
    <w:rsid w:val="00CA7DFE"/>
    <w:rsid w:val="00CB03C1"/>
    <w:rsid w:val="00CB04A3"/>
    <w:rsid w:val="00CB0531"/>
    <w:rsid w:val="00CB12A5"/>
    <w:rsid w:val="00CB15B6"/>
    <w:rsid w:val="00CB18A7"/>
    <w:rsid w:val="00CB1CAC"/>
    <w:rsid w:val="00CB292F"/>
    <w:rsid w:val="00CB2F2A"/>
    <w:rsid w:val="00CB3D13"/>
    <w:rsid w:val="00CB3FF7"/>
    <w:rsid w:val="00CB420B"/>
    <w:rsid w:val="00CB45A9"/>
    <w:rsid w:val="00CB4711"/>
    <w:rsid w:val="00CB4B8F"/>
    <w:rsid w:val="00CB4CE1"/>
    <w:rsid w:val="00CB4F63"/>
    <w:rsid w:val="00CB5B1A"/>
    <w:rsid w:val="00CB5E3A"/>
    <w:rsid w:val="00CB5EE4"/>
    <w:rsid w:val="00CB6636"/>
    <w:rsid w:val="00CB67C1"/>
    <w:rsid w:val="00CB6B22"/>
    <w:rsid w:val="00CB6F9D"/>
    <w:rsid w:val="00CB7739"/>
    <w:rsid w:val="00CB786B"/>
    <w:rsid w:val="00CB7F39"/>
    <w:rsid w:val="00CB7F5F"/>
    <w:rsid w:val="00CC0564"/>
    <w:rsid w:val="00CC069F"/>
    <w:rsid w:val="00CC1564"/>
    <w:rsid w:val="00CC1B39"/>
    <w:rsid w:val="00CC2778"/>
    <w:rsid w:val="00CC2D80"/>
    <w:rsid w:val="00CC3077"/>
    <w:rsid w:val="00CC35EA"/>
    <w:rsid w:val="00CC3848"/>
    <w:rsid w:val="00CC3862"/>
    <w:rsid w:val="00CC44DC"/>
    <w:rsid w:val="00CC4553"/>
    <w:rsid w:val="00CC45C6"/>
    <w:rsid w:val="00CC4E8E"/>
    <w:rsid w:val="00CC521B"/>
    <w:rsid w:val="00CC52B3"/>
    <w:rsid w:val="00CC5381"/>
    <w:rsid w:val="00CC5819"/>
    <w:rsid w:val="00CC65AF"/>
    <w:rsid w:val="00CC723C"/>
    <w:rsid w:val="00CC77F3"/>
    <w:rsid w:val="00CC7B0E"/>
    <w:rsid w:val="00CC7D55"/>
    <w:rsid w:val="00CD003C"/>
    <w:rsid w:val="00CD039D"/>
    <w:rsid w:val="00CD0B05"/>
    <w:rsid w:val="00CD0DF1"/>
    <w:rsid w:val="00CD0E4D"/>
    <w:rsid w:val="00CD0E8D"/>
    <w:rsid w:val="00CD1079"/>
    <w:rsid w:val="00CD1D12"/>
    <w:rsid w:val="00CD3105"/>
    <w:rsid w:val="00CD346F"/>
    <w:rsid w:val="00CD3F77"/>
    <w:rsid w:val="00CD4022"/>
    <w:rsid w:val="00CD50E6"/>
    <w:rsid w:val="00CD5D02"/>
    <w:rsid w:val="00CD6225"/>
    <w:rsid w:val="00CD68CF"/>
    <w:rsid w:val="00CD6ADC"/>
    <w:rsid w:val="00CD6ADD"/>
    <w:rsid w:val="00CD6B3F"/>
    <w:rsid w:val="00CD6F1E"/>
    <w:rsid w:val="00CD7193"/>
    <w:rsid w:val="00CD7497"/>
    <w:rsid w:val="00CD74FB"/>
    <w:rsid w:val="00CD76C5"/>
    <w:rsid w:val="00CD7B02"/>
    <w:rsid w:val="00CD7C13"/>
    <w:rsid w:val="00CE074C"/>
    <w:rsid w:val="00CE0D7B"/>
    <w:rsid w:val="00CE18B6"/>
    <w:rsid w:val="00CE1FB5"/>
    <w:rsid w:val="00CE1FE3"/>
    <w:rsid w:val="00CE24D4"/>
    <w:rsid w:val="00CE2F99"/>
    <w:rsid w:val="00CE2FCB"/>
    <w:rsid w:val="00CE303A"/>
    <w:rsid w:val="00CE342C"/>
    <w:rsid w:val="00CE34E8"/>
    <w:rsid w:val="00CE367F"/>
    <w:rsid w:val="00CE38C8"/>
    <w:rsid w:val="00CE3E2F"/>
    <w:rsid w:val="00CE497B"/>
    <w:rsid w:val="00CE4AEE"/>
    <w:rsid w:val="00CE4C15"/>
    <w:rsid w:val="00CE5407"/>
    <w:rsid w:val="00CE5485"/>
    <w:rsid w:val="00CE5545"/>
    <w:rsid w:val="00CE56A1"/>
    <w:rsid w:val="00CE57F4"/>
    <w:rsid w:val="00CE5F64"/>
    <w:rsid w:val="00CE623B"/>
    <w:rsid w:val="00CE6274"/>
    <w:rsid w:val="00CE6A52"/>
    <w:rsid w:val="00CE6A55"/>
    <w:rsid w:val="00CE6E4C"/>
    <w:rsid w:val="00CE769C"/>
    <w:rsid w:val="00CE77B6"/>
    <w:rsid w:val="00CE7B15"/>
    <w:rsid w:val="00CE7F7E"/>
    <w:rsid w:val="00CE7FBE"/>
    <w:rsid w:val="00CF05EA"/>
    <w:rsid w:val="00CF0D9D"/>
    <w:rsid w:val="00CF0DC5"/>
    <w:rsid w:val="00CF17D0"/>
    <w:rsid w:val="00CF261A"/>
    <w:rsid w:val="00CF2B8D"/>
    <w:rsid w:val="00CF2C40"/>
    <w:rsid w:val="00CF3A4A"/>
    <w:rsid w:val="00CF3DA7"/>
    <w:rsid w:val="00CF456B"/>
    <w:rsid w:val="00CF49B6"/>
    <w:rsid w:val="00CF4A9F"/>
    <w:rsid w:val="00CF5294"/>
    <w:rsid w:val="00CF52E5"/>
    <w:rsid w:val="00CF530A"/>
    <w:rsid w:val="00CF54AF"/>
    <w:rsid w:val="00CF554E"/>
    <w:rsid w:val="00CF5A22"/>
    <w:rsid w:val="00CF5A5B"/>
    <w:rsid w:val="00CF656C"/>
    <w:rsid w:val="00CF6CDB"/>
    <w:rsid w:val="00CF6D55"/>
    <w:rsid w:val="00CF6E69"/>
    <w:rsid w:val="00CF755A"/>
    <w:rsid w:val="00CF7BBD"/>
    <w:rsid w:val="00CF7F68"/>
    <w:rsid w:val="00D00027"/>
    <w:rsid w:val="00D013C8"/>
    <w:rsid w:val="00D01BAE"/>
    <w:rsid w:val="00D01FBD"/>
    <w:rsid w:val="00D01FCC"/>
    <w:rsid w:val="00D0262E"/>
    <w:rsid w:val="00D02772"/>
    <w:rsid w:val="00D02F29"/>
    <w:rsid w:val="00D03762"/>
    <w:rsid w:val="00D03C94"/>
    <w:rsid w:val="00D03DF6"/>
    <w:rsid w:val="00D0460D"/>
    <w:rsid w:val="00D04CF0"/>
    <w:rsid w:val="00D04D63"/>
    <w:rsid w:val="00D05408"/>
    <w:rsid w:val="00D0557D"/>
    <w:rsid w:val="00D05E3D"/>
    <w:rsid w:val="00D06098"/>
    <w:rsid w:val="00D06139"/>
    <w:rsid w:val="00D0634A"/>
    <w:rsid w:val="00D0653F"/>
    <w:rsid w:val="00D06AE6"/>
    <w:rsid w:val="00D06D27"/>
    <w:rsid w:val="00D07D00"/>
    <w:rsid w:val="00D07D6A"/>
    <w:rsid w:val="00D10428"/>
    <w:rsid w:val="00D10868"/>
    <w:rsid w:val="00D10DB6"/>
    <w:rsid w:val="00D110BD"/>
    <w:rsid w:val="00D117E2"/>
    <w:rsid w:val="00D11F80"/>
    <w:rsid w:val="00D12286"/>
    <w:rsid w:val="00D1245C"/>
    <w:rsid w:val="00D1298E"/>
    <w:rsid w:val="00D12C22"/>
    <w:rsid w:val="00D13054"/>
    <w:rsid w:val="00D13253"/>
    <w:rsid w:val="00D13675"/>
    <w:rsid w:val="00D141E1"/>
    <w:rsid w:val="00D1476D"/>
    <w:rsid w:val="00D149A7"/>
    <w:rsid w:val="00D15314"/>
    <w:rsid w:val="00D15368"/>
    <w:rsid w:val="00D16141"/>
    <w:rsid w:val="00D162D9"/>
    <w:rsid w:val="00D163FB"/>
    <w:rsid w:val="00D16419"/>
    <w:rsid w:val="00D16D2F"/>
    <w:rsid w:val="00D16D5A"/>
    <w:rsid w:val="00D16F28"/>
    <w:rsid w:val="00D173BE"/>
    <w:rsid w:val="00D17768"/>
    <w:rsid w:val="00D179FF"/>
    <w:rsid w:val="00D17D6C"/>
    <w:rsid w:val="00D17F65"/>
    <w:rsid w:val="00D203EE"/>
    <w:rsid w:val="00D203F8"/>
    <w:rsid w:val="00D20C1A"/>
    <w:rsid w:val="00D211B0"/>
    <w:rsid w:val="00D2155B"/>
    <w:rsid w:val="00D215E9"/>
    <w:rsid w:val="00D21662"/>
    <w:rsid w:val="00D21714"/>
    <w:rsid w:val="00D22134"/>
    <w:rsid w:val="00D221EF"/>
    <w:rsid w:val="00D22438"/>
    <w:rsid w:val="00D23CA1"/>
    <w:rsid w:val="00D23D11"/>
    <w:rsid w:val="00D23DCC"/>
    <w:rsid w:val="00D23FA8"/>
    <w:rsid w:val="00D244B6"/>
    <w:rsid w:val="00D2464D"/>
    <w:rsid w:val="00D24959"/>
    <w:rsid w:val="00D24FD1"/>
    <w:rsid w:val="00D2576A"/>
    <w:rsid w:val="00D257EA"/>
    <w:rsid w:val="00D25DEE"/>
    <w:rsid w:val="00D263AF"/>
    <w:rsid w:val="00D269B8"/>
    <w:rsid w:val="00D26A25"/>
    <w:rsid w:val="00D27318"/>
    <w:rsid w:val="00D2754D"/>
    <w:rsid w:val="00D27B27"/>
    <w:rsid w:val="00D27C66"/>
    <w:rsid w:val="00D27DED"/>
    <w:rsid w:val="00D27E7A"/>
    <w:rsid w:val="00D303FB"/>
    <w:rsid w:val="00D30998"/>
    <w:rsid w:val="00D31575"/>
    <w:rsid w:val="00D31A1F"/>
    <w:rsid w:val="00D31A8C"/>
    <w:rsid w:val="00D32E6A"/>
    <w:rsid w:val="00D331FE"/>
    <w:rsid w:val="00D33BE9"/>
    <w:rsid w:val="00D33F93"/>
    <w:rsid w:val="00D33FD7"/>
    <w:rsid w:val="00D33FFA"/>
    <w:rsid w:val="00D343CD"/>
    <w:rsid w:val="00D34A1B"/>
    <w:rsid w:val="00D34D90"/>
    <w:rsid w:val="00D35145"/>
    <w:rsid w:val="00D357FF"/>
    <w:rsid w:val="00D35B64"/>
    <w:rsid w:val="00D35EF6"/>
    <w:rsid w:val="00D362F7"/>
    <w:rsid w:val="00D366BF"/>
    <w:rsid w:val="00D37F09"/>
    <w:rsid w:val="00D37FC0"/>
    <w:rsid w:val="00D409F1"/>
    <w:rsid w:val="00D41049"/>
    <w:rsid w:val="00D413B6"/>
    <w:rsid w:val="00D424C7"/>
    <w:rsid w:val="00D42543"/>
    <w:rsid w:val="00D4293F"/>
    <w:rsid w:val="00D42D23"/>
    <w:rsid w:val="00D42DA9"/>
    <w:rsid w:val="00D42FDE"/>
    <w:rsid w:val="00D430F5"/>
    <w:rsid w:val="00D4388D"/>
    <w:rsid w:val="00D439B2"/>
    <w:rsid w:val="00D43B2A"/>
    <w:rsid w:val="00D43D83"/>
    <w:rsid w:val="00D440AB"/>
    <w:rsid w:val="00D441C9"/>
    <w:rsid w:val="00D443D0"/>
    <w:rsid w:val="00D454F9"/>
    <w:rsid w:val="00D45704"/>
    <w:rsid w:val="00D457AE"/>
    <w:rsid w:val="00D458A6"/>
    <w:rsid w:val="00D46200"/>
    <w:rsid w:val="00D46F06"/>
    <w:rsid w:val="00D47242"/>
    <w:rsid w:val="00D473E2"/>
    <w:rsid w:val="00D47575"/>
    <w:rsid w:val="00D47C10"/>
    <w:rsid w:val="00D50462"/>
    <w:rsid w:val="00D50A7A"/>
    <w:rsid w:val="00D50E59"/>
    <w:rsid w:val="00D50FAB"/>
    <w:rsid w:val="00D50FD8"/>
    <w:rsid w:val="00D517C0"/>
    <w:rsid w:val="00D51808"/>
    <w:rsid w:val="00D51E71"/>
    <w:rsid w:val="00D51FCF"/>
    <w:rsid w:val="00D5243B"/>
    <w:rsid w:val="00D52753"/>
    <w:rsid w:val="00D52820"/>
    <w:rsid w:val="00D52C56"/>
    <w:rsid w:val="00D53025"/>
    <w:rsid w:val="00D533EC"/>
    <w:rsid w:val="00D534AA"/>
    <w:rsid w:val="00D53E1A"/>
    <w:rsid w:val="00D53FA6"/>
    <w:rsid w:val="00D53FF0"/>
    <w:rsid w:val="00D54076"/>
    <w:rsid w:val="00D54439"/>
    <w:rsid w:val="00D54A3A"/>
    <w:rsid w:val="00D55255"/>
    <w:rsid w:val="00D5566C"/>
    <w:rsid w:val="00D55738"/>
    <w:rsid w:val="00D5574F"/>
    <w:rsid w:val="00D561B0"/>
    <w:rsid w:val="00D56614"/>
    <w:rsid w:val="00D56A95"/>
    <w:rsid w:val="00D56C97"/>
    <w:rsid w:val="00D57BFC"/>
    <w:rsid w:val="00D6144C"/>
    <w:rsid w:val="00D614BA"/>
    <w:rsid w:val="00D6160F"/>
    <w:rsid w:val="00D61834"/>
    <w:rsid w:val="00D61FEA"/>
    <w:rsid w:val="00D621B7"/>
    <w:rsid w:val="00D62815"/>
    <w:rsid w:val="00D628E4"/>
    <w:rsid w:val="00D633FF"/>
    <w:rsid w:val="00D63901"/>
    <w:rsid w:val="00D64068"/>
    <w:rsid w:val="00D6431E"/>
    <w:rsid w:val="00D6462F"/>
    <w:rsid w:val="00D64FC2"/>
    <w:rsid w:val="00D65B2A"/>
    <w:rsid w:val="00D67917"/>
    <w:rsid w:val="00D67A3C"/>
    <w:rsid w:val="00D67C65"/>
    <w:rsid w:val="00D67F56"/>
    <w:rsid w:val="00D7037F"/>
    <w:rsid w:val="00D70458"/>
    <w:rsid w:val="00D70D35"/>
    <w:rsid w:val="00D70F16"/>
    <w:rsid w:val="00D716CD"/>
    <w:rsid w:val="00D72291"/>
    <w:rsid w:val="00D725A6"/>
    <w:rsid w:val="00D7291D"/>
    <w:rsid w:val="00D72BD0"/>
    <w:rsid w:val="00D72F57"/>
    <w:rsid w:val="00D73479"/>
    <w:rsid w:val="00D739AA"/>
    <w:rsid w:val="00D73AED"/>
    <w:rsid w:val="00D73F9D"/>
    <w:rsid w:val="00D743A2"/>
    <w:rsid w:val="00D745B8"/>
    <w:rsid w:val="00D74674"/>
    <w:rsid w:val="00D74AA5"/>
    <w:rsid w:val="00D74BC9"/>
    <w:rsid w:val="00D74F37"/>
    <w:rsid w:val="00D755D1"/>
    <w:rsid w:val="00D7563F"/>
    <w:rsid w:val="00D757EF"/>
    <w:rsid w:val="00D758A2"/>
    <w:rsid w:val="00D758E5"/>
    <w:rsid w:val="00D75B25"/>
    <w:rsid w:val="00D75DA4"/>
    <w:rsid w:val="00D76A44"/>
    <w:rsid w:val="00D7742A"/>
    <w:rsid w:val="00D8035F"/>
    <w:rsid w:val="00D80BCB"/>
    <w:rsid w:val="00D80FCD"/>
    <w:rsid w:val="00D815EF"/>
    <w:rsid w:val="00D816E9"/>
    <w:rsid w:val="00D81C50"/>
    <w:rsid w:val="00D81C75"/>
    <w:rsid w:val="00D81F26"/>
    <w:rsid w:val="00D8239E"/>
    <w:rsid w:val="00D827CC"/>
    <w:rsid w:val="00D82E08"/>
    <w:rsid w:val="00D8308F"/>
    <w:rsid w:val="00D838A5"/>
    <w:rsid w:val="00D83AFA"/>
    <w:rsid w:val="00D842CD"/>
    <w:rsid w:val="00D84B0F"/>
    <w:rsid w:val="00D85211"/>
    <w:rsid w:val="00D85437"/>
    <w:rsid w:val="00D8579D"/>
    <w:rsid w:val="00D85DFC"/>
    <w:rsid w:val="00D86231"/>
    <w:rsid w:val="00D86580"/>
    <w:rsid w:val="00D86618"/>
    <w:rsid w:val="00D86725"/>
    <w:rsid w:val="00D86AE4"/>
    <w:rsid w:val="00D87AAE"/>
    <w:rsid w:val="00D87DA9"/>
    <w:rsid w:val="00D90158"/>
    <w:rsid w:val="00D906AB"/>
    <w:rsid w:val="00D90715"/>
    <w:rsid w:val="00D90A0F"/>
    <w:rsid w:val="00D90C7B"/>
    <w:rsid w:val="00D916C2"/>
    <w:rsid w:val="00D91923"/>
    <w:rsid w:val="00D92098"/>
    <w:rsid w:val="00D92447"/>
    <w:rsid w:val="00D9288F"/>
    <w:rsid w:val="00D92B5B"/>
    <w:rsid w:val="00D92FE8"/>
    <w:rsid w:val="00D93753"/>
    <w:rsid w:val="00D9386A"/>
    <w:rsid w:val="00D93A8A"/>
    <w:rsid w:val="00D93EC6"/>
    <w:rsid w:val="00D94413"/>
    <w:rsid w:val="00D9456F"/>
    <w:rsid w:val="00D95421"/>
    <w:rsid w:val="00D957E9"/>
    <w:rsid w:val="00D95EE3"/>
    <w:rsid w:val="00D96D0B"/>
    <w:rsid w:val="00D977CC"/>
    <w:rsid w:val="00DA0084"/>
    <w:rsid w:val="00DA0736"/>
    <w:rsid w:val="00DA0927"/>
    <w:rsid w:val="00DA0D8E"/>
    <w:rsid w:val="00DA107A"/>
    <w:rsid w:val="00DA1AD4"/>
    <w:rsid w:val="00DA24D6"/>
    <w:rsid w:val="00DA273D"/>
    <w:rsid w:val="00DA3167"/>
    <w:rsid w:val="00DA4A27"/>
    <w:rsid w:val="00DA4DC3"/>
    <w:rsid w:val="00DA5A21"/>
    <w:rsid w:val="00DA5E2A"/>
    <w:rsid w:val="00DA60D8"/>
    <w:rsid w:val="00DA610A"/>
    <w:rsid w:val="00DA663B"/>
    <w:rsid w:val="00DA6A2E"/>
    <w:rsid w:val="00DA6CEF"/>
    <w:rsid w:val="00DA7459"/>
    <w:rsid w:val="00DA757F"/>
    <w:rsid w:val="00DA7659"/>
    <w:rsid w:val="00DA77A5"/>
    <w:rsid w:val="00DA7F6D"/>
    <w:rsid w:val="00DB0AFF"/>
    <w:rsid w:val="00DB0D2D"/>
    <w:rsid w:val="00DB1257"/>
    <w:rsid w:val="00DB1603"/>
    <w:rsid w:val="00DB3834"/>
    <w:rsid w:val="00DB3909"/>
    <w:rsid w:val="00DB3DBF"/>
    <w:rsid w:val="00DB484F"/>
    <w:rsid w:val="00DB4E72"/>
    <w:rsid w:val="00DB5D0F"/>
    <w:rsid w:val="00DB5EE6"/>
    <w:rsid w:val="00DB63BD"/>
    <w:rsid w:val="00DB6462"/>
    <w:rsid w:val="00DB6542"/>
    <w:rsid w:val="00DB70DD"/>
    <w:rsid w:val="00DB71C5"/>
    <w:rsid w:val="00DB7674"/>
    <w:rsid w:val="00DB780F"/>
    <w:rsid w:val="00DB78D3"/>
    <w:rsid w:val="00DB7987"/>
    <w:rsid w:val="00DB7ADA"/>
    <w:rsid w:val="00DB7BD5"/>
    <w:rsid w:val="00DB7CE1"/>
    <w:rsid w:val="00DC0208"/>
    <w:rsid w:val="00DC04F6"/>
    <w:rsid w:val="00DC0690"/>
    <w:rsid w:val="00DC0767"/>
    <w:rsid w:val="00DC08EF"/>
    <w:rsid w:val="00DC09CF"/>
    <w:rsid w:val="00DC0DE0"/>
    <w:rsid w:val="00DC172F"/>
    <w:rsid w:val="00DC1D65"/>
    <w:rsid w:val="00DC23A5"/>
    <w:rsid w:val="00DC2609"/>
    <w:rsid w:val="00DC2DBD"/>
    <w:rsid w:val="00DC2DE3"/>
    <w:rsid w:val="00DC3007"/>
    <w:rsid w:val="00DC317D"/>
    <w:rsid w:val="00DC31D0"/>
    <w:rsid w:val="00DC3530"/>
    <w:rsid w:val="00DC3A30"/>
    <w:rsid w:val="00DC3BDB"/>
    <w:rsid w:val="00DC3C57"/>
    <w:rsid w:val="00DC3E93"/>
    <w:rsid w:val="00DC46DD"/>
    <w:rsid w:val="00DC4D2D"/>
    <w:rsid w:val="00DC4D51"/>
    <w:rsid w:val="00DC4E43"/>
    <w:rsid w:val="00DC5501"/>
    <w:rsid w:val="00DC5AD3"/>
    <w:rsid w:val="00DC6379"/>
    <w:rsid w:val="00DC65EF"/>
    <w:rsid w:val="00DC66D2"/>
    <w:rsid w:val="00DC6A98"/>
    <w:rsid w:val="00DC7154"/>
    <w:rsid w:val="00DC7901"/>
    <w:rsid w:val="00DC7E8A"/>
    <w:rsid w:val="00DD00A3"/>
    <w:rsid w:val="00DD0449"/>
    <w:rsid w:val="00DD0BD6"/>
    <w:rsid w:val="00DD0F78"/>
    <w:rsid w:val="00DD135B"/>
    <w:rsid w:val="00DD1C0C"/>
    <w:rsid w:val="00DD1DAB"/>
    <w:rsid w:val="00DD234D"/>
    <w:rsid w:val="00DD26FB"/>
    <w:rsid w:val="00DD2737"/>
    <w:rsid w:val="00DD273C"/>
    <w:rsid w:val="00DD3459"/>
    <w:rsid w:val="00DD363D"/>
    <w:rsid w:val="00DD3A66"/>
    <w:rsid w:val="00DD3AC2"/>
    <w:rsid w:val="00DD3D6B"/>
    <w:rsid w:val="00DD3F28"/>
    <w:rsid w:val="00DD4537"/>
    <w:rsid w:val="00DD4A1C"/>
    <w:rsid w:val="00DD4BFB"/>
    <w:rsid w:val="00DD4E15"/>
    <w:rsid w:val="00DD558E"/>
    <w:rsid w:val="00DD568D"/>
    <w:rsid w:val="00DD5A08"/>
    <w:rsid w:val="00DD5C57"/>
    <w:rsid w:val="00DD6266"/>
    <w:rsid w:val="00DD6D88"/>
    <w:rsid w:val="00DD6EF0"/>
    <w:rsid w:val="00DD74C3"/>
    <w:rsid w:val="00DD7BA7"/>
    <w:rsid w:val="00DD7DDD"/>
    <w:rsid w:val="00DE021F"/>
    <w:rsid w:val="00DE0D3F"/>
    <w:rsid w:val="00DE1251"/>
    <w:rsid w:val="00DE1664"/>
    <w:rsid w:val="00DE20E0"/>
    <w:rsid w:val="00DE2164"/>
    <w:rsid w:val="00DE2304"/>
    <w:rsid w:val="00DE2855"/>
    <w:rsid w:val="00DE2997"/>
    <w:rsid w:val="00DE2A09"/>
    <w:rsid w:val="00DE3138"/>
    <w:rsid w:val="00DE34C4"/>
    <w:rsid w:val="00DE37F8"/>
    <w:rsid w:val="00DE4364"/>
    <w:rsid w:val="00DE4589"/>
    <w:rsid w:val="00DE4686"/>
    <w:rsid w:val="00DE4AB7"/>
    <w:rsid w:val="00DE4FCB"/>
    <w:rsid w:val="00DE511B"/>
    <w:rsid w:val="00DE52D6"/>
    <w:rsid w:val="00DE5A0F"/>
    <w:rsid w:val="00DE5C28"/>
    <w:rsid w:val="00DE5D07"/>
    <w:rsid w:val="00DE67C0"/>
    <w:rsid w:val="00DE6883"/>
    <w:rsid w:val="00DE6B07"/>
    <w:rsid w:val="00DE6EC5"/>
    <w:rsid w:val="00DE72A7"/>
    <w:rsid w:val="00DE734C"/>
    <w:rsid w:val="00DE7667"/>
    <w:rsid w:val="00DE7832"/>
    <w:rsid w:val="00DF0743"/>
    <w:rsid w:val="00DF160A"/>
    <w:rsid w:val="00DF18FC"/>
    <w:rsid w:val="00DF1C32"/>
    <w:rsid w:val="00DF1C7A"/>
    <w:rsid w:val="00DF1D21"/>
    <w:rsid w:val="00DF2D94"/>
    <w:rsid w:val="00DF41F4"/>
    <w:rsid w:val="00DF4506"/>
    <w:rsid w:val="00DF460D"/>
    <w:rsid w:val="00DF4C44"/>
    <w:rsid w:val="00DF523B"/>
    <w:rsid w:val="00DF5789"/>
    <w:rsid w:val="00DF5D2B"/>
    <w:rsid w:val="00DF63A6"/>
    <w:rsid w:val="00DF6FF5"/>
    <w:rsid w:val="00DF7D1B"/>
    <w:rsid w:val="00E00398"/>
    <w:rsid w:val="00E0040E"/>
    <w:rsid w:val="00E005E6"/>
    <w:rsid w:val="00E00E8E"/>
    <w:rsid w:val="00E01581"/>
    <w:rsid w:val="00E01845"/>
    <w:rsid w:val="00E01AB1"/>
    <w:rsid w:val="00E0268D"/>
    <w:rsid w:val="00E02980"/>
    <w:rsid w:val="00E02BA6"/>
    <w:rsid w:val="00E02CEC"/>
    <w:rsid w:val="00E02D0C"/>
    <w:rsid w:val="00E02FA0"/>
    <w:rsid w:val="00E0367E"/>
    <w:rsid w:val="00E040FF"/>
    <w:rsid w:val="00E041CD"/>
    <w:rsid w:val="00E0490A"/>
    <w:rsid w:val="00E04F18"/>
    <w:rsid w:val="00E05599"/>
    <w:rsid w:val="00E05630"/>
    <w:rsid w:val="00E05A84"/>
    <w:rsid w:val="00E05F68"/>
    <w:rsid w:val="00E05FE8"/>
    <w:rsid w:val="00E068E6"/>
    <w:rsid w:val="00E06DBB"/>
    <w:rsid w:val="00E07075"/>
    <w:rsid w:val="00E07DB6"/>
    <w:rsid w:val="00E100D0"/>
    <w:rsid w:val="00E10149"/>
    <w:rsid w:val="00E1043B"/>
    <w:rsid w:val="00E10ED3"/>
    <w:rsid w:val="00E11340"/>
    <w:rsid w:val="00E115B0"/>
    <w:rsid w:val="00E11622"/>
    <w:rsid w:val="00E11869"/>
    <w:rsid w:val="00E11CC0"/>
    <w:rsid w:val="00E11E2F"/>
    <w:rsid w:val="00E122A1"/>
    <w:rsid w:val="00E122A6"/>
    <w:rsid w:val="00E131C1"/>
    <w:rsid w:val="00E13438"/>
    <w:rsid w:val="00E13741"/>
    <w:rsid w:val="00E13B8C"/>
    <w:rsid w:val="00E13F76"/>
    <w:rsid w:val="00E14526"/>
    <w:rsid w:val="00E14565"/>
    <w:rsid w:val="00E1459C"/>
    <w:rsid w:val="00E14B63"/>
    <w:rsid w:val="00E1521C"/>
    <w:rsid w:val="00E1538D"/>
    <w:rsid w:val="00E1635F"/>
    <w:rsid w:val="00E16372"/>
    <w:rsid w:val="00E1767D"/>
    <w:rsid w:val="00E1768C"/>
    <w:rsid w:val="00E176B0"/>
    <w:rsid w:val="00E17B63"/>
    <w:rsid w:val="00E17E87"/>
    <w:rsid w:val="00E17ECB"/>
    <w:rsid w:val="00E209F8"/>
    <w:rsid w:val="00E20DE4"/>
    <w:rsid w:val="00E20E4D"/>
    <w:rsid w:val="00E20ED6"/>
    <w:rsid w:val="00E20F15"/>
    <w:rsid w:val="00E21358"/>
    <w:rsid w:val="00E2136B"/>
    <w:rsid w:val="00E213C8"/>
    <w:rsid w:val="00E219F7"/>
    <w:rsid w:val="00E21B0B"/>
    <w:rsid w:val="00E21B65"/>
    <w:rsid w:val="00E21C99"/>
    <w:rsid w:val="00E2249B"/>
    <w:rsid w:val="00E22A0D"/>
    <w:rsid w:val="00E22A22"/>
    <w:rsid w:val="00E22C2E"/>
    <w:rsid w:val="00E22C94"/>
    <w:rsid w:val="00E23231"/>
    <w:rsid w:val="00E2355C"/>
    <w:rsid w:val="00E23FA6"/>
    <w:rsid w:val="00E24458"/>
    <w:rsid w:val="00E244F6"/>
    <w:rsid w:val="00E249BA"/>
    <w:rsid w:val="00E2551A"/>
    <w:rsid w:val="00E269AE"/>
    <w:rsid w:val="00E26C02"/>
    <w:rsid w:val="00E270E0"/>
    <w:rsid w:val="00E2716A"/>
    <w:rsid w:val="00E27458"/>
    <w:rsid w:val="00E2746F"/>
    <w:rsid w:val="00E2771E"/>
    <w:rsid w:val="00E27BC6"/>
    <w:rsid w:val="00E302EF"/>
    <w:rsid w:val="00E3062A"/>
    <w:rsid w:val="00E311EF"/>
    <w:rsid w:val="00E31A0E"/>
    <w:rsid w:val="00E31AB1"/>
    <w:rsid w:val="00E32180"/>
    <w:rsid w:val="00E32253"/>
    <w:rsid w:val="00E3255C"/>
    <w:rsid w:val="00E32852"/>
    <w:rsid w:val="00E32F15"/>
    <w:rsid w:val="00E337BC"/>
    <w:rsid w:val="00E34943"/>
    <w:rsid w:val="00E34948"/>
    <w:rsid w:val="00E34BB0"/>
    <w:rsid w:val="00E35178"/>
    <w:rsid w:val="00E35197"/>
    <w:rsid w:val="00E35FCF"/>
    <w:rsid w:val="00E3617A"/>
    <w:rsid w:val="00E3689E"/>
    <w:rsid w:val="00E36A5B"/>
    <w:rsid w:val="00E37160"/>
    <w:rsid w:val="00E37569"/>
    <w:rsid w:val="00E37679"/>
    <w:rsid w:val="00E37BAE"/>
    <w:rsid w:val="00E401B2"/>
    <w:rsid w:val="00E40A57"/>
    <w:rsid w:val="00E40E56"/>
    <w:rsid w:val="00E410FF"/>
    <w:rsid w:val="00E4132B"/>
    <w:rsid w:val="00E41E30"/>
    <w:rsid w:val="00E41F52"/>
    <w:rsid w:val="00E42F73"/>
    <w:rsid w:val="00E43677"/>
    <w:rsid w:val="00E43BF5"/>
    <w:rsid w:val="00E43D70"/>
    <w:rsid w:val="00E4449F"/>
    <w:rsid w:val="00E453A4"/>
    <w:rsid w:val="00E45568"/>
    <w:rsid w:val="00E45978"/>
    <w:rsid w:val="00E460A5"/>
    <w:rsid w:val="00E46269"/>
    <w:rsid w:val="00E466F3"/>
    <w:rsid w:val="00E475F2"/>
    <w:rsid w:val="00E47B2C"/>
    <w:rsid w:val="00E50119"/>
    <w:rsid w:val="00E514DF"/>
    <w:rsid w:val="00E51560"/>
    <w:rsid w:val="00E515D7"/>
    <w:rsid w:val="00E51FD5"/>
    <w:rsid w:val="00E528AA"/>
    <w:rsid w:val="00E5323A"/>
    <w:rsid w:val="00E53FC8"/>
    <w:rsid w:val="00E54347"/>
    <w:rsid w:val="00E54365"/>
    <w:rsid w:val="00E54587"/>
    <w:rsid w:val="00E54B32"/>
    <w:rsid w:val="00E55424"/>
    <w:rsid w:val="00E55915"/>
    <w:rsid w:val="00E55AE5"/>
    <w:rsid w:val="00E55BB5"/>
    <w:rsid w:val="00E56519"/>
    <w:rsid w:val="00E569D2"/>
    <w:rsid w:val="00E56A74"/>
    <w:rsid w:val="00E56CD0"/>
    <w:rsid w:val="00E5731E"/>
    <w:rsid w:val="00E604B8"/>
    <w:rsid w:val="00E60D76"/>
    <w:rsid w:val="00E6164D"/>
    <w:rsid w:val="00E6190D"/>
    <w:rsid w:val="00E61AE8"/>
    <w:rsid w:val="00E61EF7"/>
    <w:rsid w:val="00E63030"/>
    <w:rsid w:val="00E63274"/>
    <w:rsid w:val="00E63483"/>
    <w:rsid w:val="00E636A6"/>
    <w:rsid w:val="00E63DFC"/>
    <w:rsid w:val="00E63FF9"/>
    <w:rsid w:val="00E64887"/>
    <w:rsid w:val="00E6488D"/>
    <w:rsid w:val="00E648D1"/>
    <w:rsid w:val="00E6504B"/>
    <w:rsid w:val="00E651CC"/>
    <w:rsid w:val="00E652E9"/>
    <w:rsid w:val="00E659FF"/>
    <w:rsid w:val="00E65E79"/>
    <w:rsid w:val="00E66067"/>
    <w:rsid w:val="00E6653C"/>
    <w:rsid w:val="00E666F4"/>
    <w:rsid w:val="00E66BA2"/>
    <w:rsid w:val="00E67416"/>
    <w:rsid w:val="00E67705"/>
    <w:rsid w:val="00E67839"/>
    <w:rsid w:val="00E67AF5"/>
    <w:rsid w:val="00E67D62"/>
    <w:rsid w:val="00E703DF"/>
    <w:rsid w:val="00E704AD"/>
    <w:rsid w:val="00E70AF7"/>
    <w:rsid w:val="00E70E33"/>
    <w:rsid w:val="00E7155F"/>
    <w:rsid w:val="00E717D5"/>
    <w:rsid w:val="00E718B6"/>
    <w:rsid w:val="00E72024"/>
    <w:rsid w:val="00E721C1"/>
    <w:rsid w:val="00E72335"/>
    <w:rsid w:val="00E723BA"/>
    <w:rsid w:val="00E72620"/>
    <w:rsid w:val="00E72E1F"/>
    <w:rsid w:val="00E73436"/>
    <w:rsid w:val="00E734BD"/>
    <w:rsid w:val="00E73581"/>
    <w:rsid w:val="00E73705"/>
    <w:rsid w:val="00E73A6A"/>
    <w:rsid w:val="00E744C8"/>
    <w:rsid w:val="00E749DC"/>
    <w:rsid w:val="00E74B3B"/>
    <w:rsid w:val="00E74CAF"/>
    <w:rsid w:val="00E74E74"/>
    <w:rsid w:val="00E750DF"/>
    <w:rsid w:val="00E7516B"/>
    <w:rsid w:val="00E7525C"/>
    <w:rsid w:val="00E754E4"/>
    <w:rsid w:val="00E75E3E"/>
    <w:rsid w:val="00E76027"/>
    <w:rsid w:val="00E765D2"/>
    <w:rsid w:val="00E77752"/>
    <w:rsid w:val="00E778D5"/>
    <w:rsid w:val="00E80926"/>
    <w:rsid w:val="00E80932"/>
    <w:rsid w:val="00E81CE0"/>
    <w:rsid w:val="00E81DCF"/>
    <w:rsid w:val="00E831A6"/>
    <w:rsid w:val="00E831CF"/>
    <w:rsid w:val="00E831EB"/>
    <w:rsid w:val="00E833F7"/>
    <w:rsid w:val="00E83BDF"/>
    <w:rsid w:val="00E84114"/>
    <w:rsid w:val="00E84E73"/>
    <w:rsid w:val="00E851E4"/>
    <w:rsid w:val="00E855E7"/>
    <w:rsid w:val="00E8613C"/>
    <w:rsid w:val="00E86382"/>
    <w:rsid w:val="00E86522"/>
    <w:rsid w:val="00E86D48"/>
    <w:rsid w:val="00E87A1D"/>
    <w:rsid w:val="00E903C7"/>
    <w:rsid w:val="00E9081F"/>
    <w:rsid w:val="00E9091C"/>
    <w:rsid w:val="00E9094A"/>
    <w:rsid w:val="00E9111E"/>
    <w:rsid w:val="00E9134C"/>
    <w:rsid w:val="00E91618"/>
    <w:rsid w:val="00E9186D"/>
    <w:rsid w:val="00E918B6"/>
    <w:rsid w:val="00E91D35"/>
    <w:rsid w:val="00E91F41"/>
    <w:rsid w:val="00E92197"/>
    <w:rsid w:val="00E925AA"/>
    <w:rsid w:val="00E926A5"/>
    <w:rsid w:val="00E92B9F"/>
    <w:rsid w:val="00E92BE8"/>
    <w:rsid w:val="00E92D41"/>
    <w:rsid w:val="00E935A8"/>
    <w:rsid w:val="00E93C02"/>
    <w:rsid w:val="00E93C5B"/>
    <w:rsid w:val="00E93D13"/>
    <w:rsid w:val="00E93E5C"/>
    <w:rsid w:val="00E9434F"/>
    <w:rsid w:val="00E94C2E"/>
    <w:rsid w:val="00E94EF0"/>
    <w:rsid w:val="00E950E1"/>
    <w:rsid w:val="00E9576C"/>
    <w:rsid w:val="00E958A0"/>
    <w:rsid w:val="00E97094"/>
    <w:rsid w:val="00E97F84"/>
    <w:rsid w:val="00EA012E"/>
    <w:rsid w:val="00EA044D"/>
    <w:rsid w:val="00EA07B8"/>
    <w:rsid w:val="00EA087F"/>
    <w:rsid w:val="00EA0B19"/>
    <w:rsid w:val="00EA15AA"/>
    <w:rsid w:val="00EA17C3"/>
    <w:rsid w:val="00EA2CAA"/>
    <w:rsid w:val="00EA33B5"/>
    <w:rsid w:val="00EA3864"/>
    <w:rsid w:val="00EA4415"/>
    <w:rsid w:val="00EA44D9"/>
    <w:rsid w:val="00EA4747"/>
    <w:rsid w:val="00EA4DDB"/>
    <w:rsid w:val="00EA5236"/>
    <w:rsid w:val="00EA5492"/>
    <w:rsid w:val="00EA58C9"/>
    <w:rsid w:val="00EA5AE3"/>
    <w:rsid w:val="00EA5C6F"/>
    <w:rsid w:val="00EA5F79"/>
    <w:rsid w:val="00EA6108"/>
    <w:rsid w:val="00EA6191"/>
    <w:rsid w:val="00EA6350"/>
    <w:rsid w:val="00EA692F"/>
    <w:rsid w:val="00EA6DCE"/>
    <w:rsid w:val="00EA7673"/>
    <w:rsid w:val="00EA7F1C"/>
    <w:rsid w:val="00EB0B13"/>
    <w:rsid w:val="00EB0C6A"/>
    <w:rsid w:val="00EB1139"/>
    <w:rsid w:val="00EB12B7"/>
    <w:rsid w:val="00EB15B6"/>
    <w:rsid w:val="00EB17AB"/>
    <w:rsid w:val="00EB1A17"/>
    <w:rsid w:val="00EB1CB3"/>
    <w:rsid w:val="00EB2049"/>
    <w:rsid w:val="00EB234D"/>
    <w:rsid w:val="00EB2693"/>
    <w:rsid w:val="00EB2A20"/>
    <w:rsid w:val="00EB3165"/>
    <w:rsid w:val="00EB32D9"/>
    <w:rsid w:val="00EB3B81"/>
    <w:rsid w:val="00EB3D06"/>
    <w:rsid w:val="00EB3D45"/>
    <w:rsid w:val="00EB42A3"/>
    <w:rsid w:val="00EB4916"/>
    <w:rsid w:val="00EB4F87"/>
    <w:rsid w:val="00EB4FD0"/>
    <w:rsid w:val="00EB6A85"/>
    <w:rsid w:val="00EB71E2"/>
    <w:rsid w:val="00EC00C9"/>
    <w:rsid w:val="00EC0752"/>
    <w:rsid w:val="00EC0DD9"/>
    <w:rsid w:val="00EC14D1"/>
    <w:rsid w:val="00EC19CE"/>
    <w:rsid w:val="00EC2649"/>
    <w:rsid w:val="00EC28B8"/>
    <w:rsid w:val="00EC2994"/>
    <w:rsid w:val="00EC2C69"/>
    <w:rsid w:val="00EC31ED"/>
    <w:rsid w:val="00EC35DC"/>
    <w:rsid w:val="00EC36C3"/>
    <w:rsid w:val="00EC3A7D"/>
    <w:rsid w:val="00EC3B72"/>
    <w:rsid w:val="00EC3CE0"/>
    <w:rsid w:val="00EC3E8B"/>
    <w:rsid w:val="00EC3EEB"/>
    <w:rsid w:val="00EC4665"/>
    <w:rsid w:val="00EC4668"/>
    <w:rsid w:val="00EC4AA2"/>
    <w:rsid w:val="00EC4CD4"/>
    <w:rsid w:val="00EC5836"/>
    <w:rsid w:val="00EC60D5"/>
    <w:rsid w:val="00EC66A6"/>
    <w:rsid w:val="00EC6775"/>
    <w:rsid w:val="00EC6849"/>
    <w:rsid w:val="00EC688C"/>
    <w:rsid w:val="00EC7025"/>
    <w:rsid w:val="00EC70E8"/>
    <w:rsid w:val="00EC71D9"/>
    <w:rsid w:val="00EC7BF3"/>
    <w:rsid w:val="00EC7E48"/>
    <w:rsid w:val="00ED0113"/>
    <w:rsid w:val="00ED227A"/>
    <w:rsid w:val="00ED23C1"/>
    <w:rsid w:val="00ED257A"/>
    <w:rsid w:val="00ED28E3"/>
    <w:rsid w:val="00ED2BEC"/>
    <w:rsid w:val="00ED2E80"/>
    <w:rsid w:val="00ED33D6"/>
    <w:rsid w:val="00ED39C7"/>
    <w:rsid w:val="00ED4FD9"/>
    <w:rsid w:val="00ED50E9"/>
    <w:rsid w:val="00ED57EA"/>
    <w:rsid w:val="00ED58D2"/>
    <w:rsid w:val="00ED5A27"/>
    <w:rsid w:val="00ED5BCC"/>
    <w:rsid w:val="00ED5BD4"/>
    <w:rsid w:val="00ED60CF"/>
    <w:rsid w:val="00ED61F8"/>
    <w:rsid w:val="00ED656C"/>
    <w:rsid w:val="00ED7BD1"/>
    <w:rsid w:val="00ED7F14"/>
    <w:rsid w:val="00EE07D3"/>
    <w:rsid w:val="00EE0BEE"/>
    <w:rsid w:val="00EE10D7"/>
    <w:rsid w:val="00EE1996"/>
    <w:rsid w:val="00EE1C01"/>
    <w:rsid w:val="00EE1C57"/>
    <w:rsid w:val="00EE1E4E"/>
    <w:rsid w:val="00EE2072"/>
    <w:rsid w:val="00EE22AF"/>
    <w:rsid w:val="00EE28F8"/>
    <w:rsid w:val="00EE2948"/>
    <w:rsid w:val="00EE2C12"/>
    <w:rsid w:val="00EE3D38"/>
    <w:rsid w:val="00EE4012"/>
    <w:rsid w:val="00EE40BC"/>
    <w:rsid w:val="00EE43C2"/>
    <w:rsid w:val="00EE4502"/>
    <w:rsid w:val="00EE4910"/>
    <w:rsid w:val="00EE5E65"/>
    <w:rsid w:val="00EE5F6E"/>
    <w:rsid w:val="00EE628E"/>
    <w:rsid w:val="00EE6F8F"/>
    <w:rsid w:val="00EE709D"/>
    <w:rsid w:val="00EE7554"/>
    <w:rsid w:val="00EE7723"/>
    <w:rsid w:val="00EF0171"/>
    <w:rsid w:val="00EF0C27"/>
    <w:rsid w:val="00EF0FC3"/>
    <w:rsid w:val="00EF12CD"/>
    <w:rsid w:val="00EF1870"/>
    <w:rsid w:val="00EF1954"/>
    <w:rsid w:val="00EF1B25"/>
    <w:rsid w:val="00EF1DA0"/>
    <w:rsid w:val="00EF227C"/>
    <w:rsid w:val="00EF24F2"/>
    <w:rsid w:val="00EF254B"/>
    <w:rsid w:val="00EF2A9A"/>
    <w:rsid w:val="00EF2F64"/>
    <w:rsid w:val="00EF3522"/>
    <w:rsid w:val="00EF3F17"/>
    <w:rsid w:val="00EF42B6"/>
    <w:rsid w:val="00EF4747"/>
    <w:rsid w:val="00EF4BF8"/>
    <w:rsid w:val="00EF4DAE"/>
    <w:rsid w:val="00EF55B2"/>
    <w:rsid w:val="00EF5CE4"/>
    <w:rsid w:val="00EF5EAD"/>
    <w:rsid w:val="00EF648D"/>
    <w:rsid w:val="00EF6973"/>
    <w:rsid w:val="00EF6A19"/>
    <w:rsid w:val="00EF6B33"/>
    <w:rsid w:val="00EF6BF0"/>
    <w:rsid w:val="00EF6DF3"/>
    <w:rsid w:val="00EF6E92"/>
    <w:rsid w:val="00EF7753"/>
    <w:rsid w:val="00F01151"/>
    <w:rsid w:val="00F01AA5"/>
    <w:rsid w:val="00F02253"/>
    <w:rsid w:val="00F0227F"/>
    <w:rsid w:val="00F023DE"/>
    <w:rsid w:val="00F02DF9"/>
    <w:rsid w:val="00F03208"/>
    <w:rsid w:val="00F0378C"/>
    <w:rsid w:val="00F03C2E"/>
    <w:rsid w:val="00F0492C"/>
    <w:rsid w:val="00F04A66"/>
    <w:rsid w:val="00F04A83"/>
    <w:rsid w:val="00F04B4B"/>
    <w:rsid w:val="00F04F0A"/>
    <w:rsid w:val="00F04F1C"/>
    <w:rsid w:val="00F0516C"/>
    <w:rsid w:val="00F05DB8"/>
    <w:rsid w:val="00F0644F"/>
    <w:rsid w:val="00F067A2"/>
    <w:rsid w:val="00F06AA9"/>
    <w:rsid w:val="00F06E51"/>
    <w:rsid w:val="00F073F0"/>
    <w:rsid w:val="00F07B9E"/>
    <w:rsid w:val="00F07BA3"/>
    <w:rsid w:val="00F07C96"/>
    <w:rsid w:val="00F07CF3"/>
    <w:rsid w:val="00F07F45"/>
    <w:rsid w:val="00F10124"/>
    <w:rsid w:val="00F107CF"/>
    <w:rsid w:val="00F1116F"/>
    <w:rsid w:val="00F11346"/>
    <w:rsid w:val="00F1180B"/>
    <w:rsid w:val="00F1246F"/>
    <w:rsid w:val="00F1263A"/>
    <w:rsid w:val="00F12802"/>
    <w:rsid w:val="00F12D62"/>
    <w:rsid w:val="00F13020"/>
    <w:rsid w:val="00F13276"/>
    <w:rsid w:val="00F133F3"/>
    <w:rsid w:val="00F136AD"/>
    <w:rsid w:val="00F136DC"/>
    <w:rsid w:val="00F1370B"/>
    <w:rsid w:val="00F13786"/>
    <w:rsid w:val="00F1457C"/>
    <w:rsid w:val="00F149D4"/>
    <w:rsid w:val="00F15546"/>
    <w:rsid w:val="00F15640"/>
    <w:rsid w:val="00F15B77"/>
    <w:rsid w:val="00F15BA0"/>
    <w:rsid w:val="00F16CB1"/>
    <w:rsid w:val="00F16F3B"/>
    <w:rsid w:val="00F175EE"/>
    <w:rsid w:val="00F17CB0"/>
    <w:rsid w:val="00F2073E"/>
    <w:rsid w:val="00F20B52"/>
    <w:rsid w:val="00F20C99"/>
    <w:rsid w:val="00F21345"/>
    <w:rsid w:val="00F21526"/>
    <w:rsid w:val="00F2160A"/>
    <w:rsid w:val="00F22021"/>
    <w:rsid w:val="00F2219C"/>
    <w:rsid w:val="00F2230C"/>
    <w:rsid w:val="00F22657"/>
    <w:rsid w:val="00F22AEB"/>
    <w:rsid w:val="00F2334B"/>
    <w:rsid w:val="00F23640"/>
    <w:rsid w:val="00F23C7D"/>
    <w:rsid w:val="00F23DD0"/>
    <w:rsid w:val="00F2421A"/>
    <w:rsid w:val="00F24408"/>
    <w:rsid w:val="00F24837"/>
    <w:rsid w:val="00F25242"/>
    <w:rsid w:val="00F255C5"/>
    <w:rsid w:val="00F2575F"/>
    <w:rsid w:val="00F25A7E"/>
    <w:rsid w:val="00F25AB7"/>
    <w:rsid w:val="00F25C85"/>
    <w:rsid w:val="00F25DD2"/>
    <w:rsid w:val="00F25E60"/>
    <w:rsid w:val="00F25F22"/>
    <w:rsid w:val="00F26098"/>
    <w:rsid w:val="00F2640C"/>
    <w:rsid w:val="00F2666F"/>
    <w:rsid w:val="00F26A3B"/>
    <w:rsid w:val="00F271E0"/>
    <w:rsid w:val="00F27565"/>
    <w:rsid w:val="00F30B9F"/>
    <w:rsid w:val="00F3100A"/>
    <w:rsid w:val="00F310D4"/>
    <w:rsid w:val="00F312E2"/>
    <w:rsid w:val="00F31669"/>
    <w:rsid w:val="00F316BD"/>
    <w:rsid w:val="00F31D5A"/>
    <w:rsid w:val="00F31E90"/>
    <w:rsid w:val="00F32371"/>
    <w:rsid w:val="00F324EE"/>
    <w:rsid w:val="00F32AD3"/>
    <w:rsid w:val="00F3328B"/>
    <w:rsid w:val="00F3350E"/>
    <w:rsid w:val="00F33975"/>
    <w:rsid w:val="00F339B8"/>
    <w:rsid w:val="00F33D3A"/>
    <w:rsid w:val="00F33DE9"/>
    <w:rsid w:val="00F3485A"/>
    <w:rsid w:val="00F35D51"/>
    <w:rsid w:val="00F35E6D"/>
    <w:rsid w:val="00F3619A"/>
    <w:rsid w:val="00F36863"/>
    <w:rsid w:val="00F36EC7"/>
    <w:rsid w:val="00F37032"/>
    <w:rsid w:val="00F37798"/>
    <w:rsid w:val="00F40AAA"/>
    <w:rsid w:val="00F40BA7"/>
    <w:rsid w:val="00F40F9D"/>
    <w:rsid w:val="00F412C5"/>
    <w:rsid w:val="00F41ACD"/>
    <w:rsid w:val="00F42116"/>
    <w:rsid w:val="00F4295D"/>
    <w:rsid w:val="00F42BA9"/>
    <w:rsid w:val="00F4353B"/>
    <w:rsid w:val="00F43A0C"/>
    <w:rsid w:val="00F43E55"/>
    <w:rsid w:val="00F44AE6"/>
    <w:rsid w:val="00F44C1C"/>
    <w:rsid w:val="00F4528E"/>
    <w:rsid w:val="00F4599B"/>
    <w:rsid w:val="00F45C6F"/>
    <w:rsid w:val="00F45F03"/>
    <w:rsid w:val="00F46044"/>
    <w:rsid w:val="00F46933"/>
    <w:rsid w:val="00F46BAA"/>
    <w:rsid w:val="00F46CB6"/>
    <w:rsid w:val="00F4701B"/>
    <w:rsid w:val="00F47445"/>
    <w:rsid w:val="00F4756D"/>
    <w:rsid w:val="00F47BD6"/>
    <w:rsid w:val="00F47BE7"/>
    <w:rsid w:val="00F47DE8"/>
    <w:rsid w:val="00F50199"/>
    <w:rsid w:val="00F501D2"/>
    <w:rsid w:val="00F504F0"/>
    <w:rsid w:val="00F50DBC"/>
    <w:rsid w:val="00F51A9A"/>
    <w:rsid w:val="00F51F17"/>
    <w:rsid w:val="00F52199"/>
    <w:rsid w:val="00F52C2E"/>
    <w:rsid w:val="00F53512"/>
    <w:rsid w:val="00F53AEE"/>
    <w:rsid w:val="00F542C1"/>
    <w:rsid w:val="00F547C6"/>
    <w:rsid w:val="00F54981"/>
    <w:rsid w:val="00F54D6C"/>
    <w:rsid w:val="00F54DBE"/>
    <w:rsid w:val="00F54F0E"/>
    <w:rsid w:val="00F55215"/>
    <w:rsid w:val="00F55346"/>
    <w:rsid w:val="00F5540C"/>
    <w:rsid w:val="00F5546F"/>
    <w:rsid w:val="00F559E0"/>
    <w:rsid w:val="00F55BF1"/>
    <w:rsid w:val="00F55D34"/>
    <w:rsid w:val="00F55E73"/>
    <w:rsid w:val="00F55EDA"/>
    <w:rsid w:val="00F56157"/>
    <w:rsid w:val="00F56660"/>
    <w:rsid w:val="00F56C80"/>
    <w:rsid w:val="00F57229"/>
    <w:rsid w:val="00F575C8"/>
    <w:rsid w:val="00F5777C"/>
    <w:rsid w:val="00F578C2"/>
    <w:rsid w:val="00F60092"/>
    <w:rsid w:val="00F60EFC"/>
    <w:rsid w:val="00F612E6"/>
    <w:rsid w:val="00F61A05"/>
    <w:rsid w:val="00F61A50"/>
    <w:rsid w:val="00F61C18"/>
    <w:rsid w:val="00F61E33"/>
    <w:rsid w:val="00F6226F"/>
    <w:rsid w:val="00F62711"/>
    <w:rsid w:val="00F6283D"/>
    <w:rsid w:val="00F62BD9"/>
    <w:rsid w:val="00F64083"/>
    <w:rsid w:val="00F64BA3"/>
    <w:rsid w:val="00F64BCC"/>
    <w:rsid w:val="00F64D33"/>
    <w:rsid w:val="00F6575B"/>
    <w:rsid w:val="00F6582C"/>
    <w:rsid w:val="00F6592B"/>
    <w:rsid w:val="00F659D4"/>
    <w:rsid w:val="00F65A01"/>
    <w:rsid w:val="00F65B50"/>
    <w:rsid w:val="00F65F4B"/>
    <w:rsid w:val="00F6602A"/>
    <w:rsid w:val="00F6661F"/>
    <w:rsid w:val="00F6694E"/>
    <w:rsid w:val="00F66B5A"/>
    <w:rsid w:val="00F66C83"/>
    <w:rsid w:val="00F66D80"/>
    <w:rsid w:val="00F67A69"/>
    <w:rsid w:val="00F67E4D"/>
    <w:rsid w:val="00F700BF"/>
    <w:rsid w:val="00F70260"/>
    <w:rsid w:val="00F70585"/>
    <w:rsid w:val="00F70BFF"/>
    <w:rsid w:val="00F70C25"/>
    <w:rsid w:val="00F70C9D"/>
    <w:rsid w:val="00F73074"/>
    <w:rsid w:val="00F73677"/>
    <w:rsid w:val="00F7433D"/>
    <w:rsid w:val="00F74CD9"/>
    <w:rsid w:val="00F759CF"/>
    <w:rsid w:val="00F75AD9"/>
    <w:rsid w:val="00F75AF7"/>
    <w:rsid w:val="00F75E8B"/>
    <w:rsid w:val="00F76ED1"/>
    <w:rsid w:val="00F774F7"/>
    <w:rsid w:val="00F778D3"/>
    <w:rsid w:val="00F8045C"/>
    <w:rsid w:val="00F806B9"/>
    <w:rsid w:val="00F80735"/>
    <w:rsid w:val="00F80A7B"/>
    <w:rsid w:val="00F80C55"/>
    <w:rsid w:val="00F80E5D"/>
    <w:rsid w:val="00F8153D"/>
    <w:rsid w:val="00F81E78"/>
    <w:rsid w:val="00F82549"/>
    <w:rsid w:val="00F82D23"/>
    <w:rsid w:val="00F837F8"/>
    <w:rsid w:val="00F83862"/>
    <w:rsid w:val="00F841FF"/>
    <w:rsid w:val="00F84513"/>
    <w:rsid w:val="00F85142"/>
    <w:rsid w:val="00F851CE"/>
    <w:rsid w:val="00F852B7"/>
    <w:rsid w:val="00F852C7"/>
    <w:rsid w:val="00F85BA1"/>
    <w:rsid w:val="00F8621F"/>
    <w:rsid w:val="00F8678D"/>
    <w:rsid w:val="00F8739B"/>
    <w:rsid w:val="00F87A75"/>
    <w:rsid w:val="00F87B0E"/>
    <w:rsid w:val="00F87F14"/>
    <w:rsid w:val="00F90D58"/>
    <w:rsid w:val="00F9102C"/>
    <w:rsid w:val="00F910C9"/>
    <w:rsid w:val="00F91219"/>
    <w:rsid w:val="00F91C3A"/>
    <w:rsid w:val="00F92444"/>
    <w:rsid w:val="00F929F9"/>
    <w:rsid w:val="00F92A4F"/>
    <w:rsid w:val="00F92B17"/>
    <w:rsid w:val="00F9393E"/>
    <w:rsid w:val="00F9400A"/>
    <w:rsid w:val="00F942AF"/>
    <w:rsid w:val="00F947FB"/>
    <w:rsid w:val="00F95195"/>
    <w:rsid w:val="00F95BE4"/>
    <w:rsid w:val="00F95EAC"/>
    <w:rsid w:val="00F96149"/>
    <w:rsid w:val="00F96309"/>
    <w:rsid w:val="00F963D0"/>
    <w:rsid w:val="00F96D43"/>
    <w:rsid w:val="00F96E9C"/>
    <w:rsid w:val="00F96FD0"/>
    <w:rsid w:val="00F97101"/>
    <w:rsid w:val="00F972FB"/>
    <w:rsid w:val="00F97A78"/>
    <w:rsid w:val="00FA0484"/>
    <w:rsid w:val="00FA0729"/>
    <w:rsid w:val="00FA0B20"/>
    <w:rsid w:val="00FA0CBB"/>
    <w:rsid w:val="00FA1FF9"/>
    <w:rsid w:val="00FA1FFD"/>
    <w:rsid w:val="00FA20F4"/>
    <w:rsid w:val="00FA24E7"/>
    <w:rsid w:val="00FA28B4"/>
    <w:rsid w:val="00FA31AF"/>
    <w:rsid w:val="00FA33B1"/>
    <w:rsid w:val="00FA4415"/>
    <w:rsid w:val="00FA4458"/>
    <w:rsid w:val="00FA5BF3"/>
    <w:rsid w:val="00FA5EE6"/>
    <w:rsid w:val="00FA61EC"/>
    <w:rsid w:val="00FA631A"/>
    <w:rsid w:val="00FA686B"/>
    <w:rsid w:val="00FA69F0"/>
    <w:rsid w:val="00FA78BE"/>
    <w:rsid w:val="00FA7956"/>
    <w:rsid w:val="00FA7BF9"/>
    <w:rsid w:val="00FA7CE8"/>
    <w:rsid w:val="00FB06CC"/>
    <w:rsid w:val="00FB11CA"/>
    <w:rsid w:val="00FB1C1C"/>
    <w:rsid w:val="00FB1EBF"/>
    <w:rsid w:val="00FB23A7"/>
    <w:rsid w:val="00FB27A4"/>
    <w:rsid w:val="00FB2F0E"/>
    <w:rsid w:val="00FB2FCB"/>
    <w:rsid w:val="00FB308C"/>
    <w:rsid w:val="00FB3A99"/>
    <w:rsid w:val="00FB3BCB"/>
    <w:rsid w:val="00FB412E"/>
    <w:rsid w:val="00FB4671"/>
    <w:rsid w:val="00FB4C4E"/>
    <w:rsid w:val="00FB51C6"/>
    <w:rsid w:val="00FB55DE"/>
    <w:rsid w:val="00FB5F92"/>
    <w:rsid w:val="00FB6946"/>
    <w:rsid w:val="00FB6C17"/>
    <w:rsid w:val="00FB7422"/>
    <w:rsid w:val="00FB75D6"/>
    <w:rsid w:val="00FB7808"/>
    <w:rsid w:val="00FB781C"/>
    <w:rsid w:val="00FB7C55"/>
    <w:rsid w:val="00FC0A8E"/>
    <w:rsid w:val="00FC1074"/>
    <w:rsid w:val="00FC184D"/>
    <w:rsid w:val="00FC1884"/>
    <w:rsid w:val="00FC18D6"/>
    <w:rsid w:val="00FC19B1"/>
    <w:rsid w:val="00FC19CB"/>
    <w:rsid w:val="00FC1FB6"/>
    <w:rsid w:val="00FC2134"/>
    <w:rsid w:val="00FC2A35"/>
    <w:rsid w:val="00FC371C"/>
    <w:rsid w:val="00FC371D"/>
    <w:rsid w:val="00FC3D08"/>
    <w:rsid w:val="00FC4192"/>
    <w:rsid w:val="00FC49DA"/>
    <w:rsid w:val="00FC4E05"/>
    <w:rsid w:val="00FC4EB9"/>
    <w:rsid w:val="00FC538B"/>
    <w:rsid w:val="00FC5F0B"/>
    <w:rsid w:val="00FC6016"/>
    <w:rsid w:val="00FC6E30"/>
    <w:rsid w:val="00FC7041"/>
    <w:rsid w:val="00FC7277"/>
    <w:rsid w:val="00FC7523"/>
    <w:rsid w:val="00FC7711"/>
    <w:rsid w:val="00FC7FBD"/>
    <w:rsid w:val="00FD0714"/>
    <w:rsid w:val="00FD0DC6"/>
    <w:rsid w:val="00FD1CFD"/>
    <w:rsid w:val="00FD1DD8"/>
    <w:rsid w:val="00FD2025"/>
    <w:rsid w:val="00FD2100"/>
    <w:rsid w:val="00FD27F2"/>
    <w:rsid w:val="00FD3226"/>
    <w:rsid w:val="00FD3532"/>
    <w:rsid w:val="00FD3A57"/>
    <w:rsid w:val="00FD3E53"/>
    <w:rsid w:val="00FD4020"/>
    <w:rsid w:val="00FD436C"/>
    <w:rsid w:val="00FD446D"/>
    <w:rsid w:val="00FD447D"/>
    <w:rsid w:val="00FD46A3"/>
    <w:rsid w:val="00FD4F2C"/>
    <w:rsid w:val="00FD5BB0"/>
    <w:rsid w:val="00FD5E79"/>
    <w:rsid w:val="00FD6242"/>
    <w:rsid w:val="00FD6394"/>
    <w:rsid w:val="00FD7FE8"/>
    <w:rsid w:val="00FE0E6C"/>
    <w:rsid w:val="00FE0F99"/>
    <w:rsid w:val="00FE1605"/>
    <w:rsid w:val="00FE1CDC"/>
    <w:rsid w:val="00FE2409"/>
    <w:rsid w:val="00FE2FDC"/>
    <w:rsid w:val="00FE3094"/>
    <w:rsid w:val="00FE3216"/>
    <w:rsid w:val="00FE4793"/>
    <w:rsid w:val="00FE481A"/>
    <w:rsid w:val="00FE592B"/>
    <w:rsid w:val="00FE5D89"/>
    <w:rsid w:val="00FE5E3F"/>
    <w:rsid w:val="00FE6344"/>
    <w:rsid w:val="00FE64CB"/>
    <w:rsid w:val="00FE6B46"/>
    <w:rsid w:val="00FE6F80"/>
    <w:rsid w:val="00FE70C3"/>
    <w:rsid w:val="00FE71CB"/>
    <w:rsid w:val="00FE729D"/>
    <w:rsid w:val="00FE79B1"/>
    <w:rsid w:val="00FE7CC5"/>
    <w:rsid w:val="00FE7DDD"/>
    <w:rsid w:val="00FF0356"/>
    <w:rsid w:val="00FF0357"/>
    <w:rsid w:val="00FF07F7"/>
    <w:rsid w:val="00FF0A7D"/>
    <w:rsid w:val="00FF0AE6"/>
    <w:rsid w:val="00FF1FAF"/>
    <w:rsid w:val="00FF2AD9"/>
    <w:rsid w:val="00FF33B8"/>
    <w:rsid w:val="00FF359F"/>
    <w:rsid w:val="00FF3D8F"/>
    <w:rsid w:val="00FF3DCF"/>
    <w:rsid w:val="00FF47C6"/>
    <w:rsid w:val="00FF47F7"/>
    <w:rsid w:val="00FF492C"/>
    <w:rsid w:val="00FF4A21"/>
    <w:rsid w:val="00FF5801"/>
    <w:rsid w:val="00FF59DA"/>
    <w:rsid w:val="00FF5A54"/>
    <w:rsid w:val="00FF5AA3"/>
    <w:rsid w:val="00FF5AC4"/>
    <w:rsid w:val="00FF5AD8"/>
    <w:rsid w:val="00FF6753"/>
    <w:rsid w:val="00FF7027"/>
    <w:rsid w:val="00FF74B8"/>
    <w:rsid w:val="010A826B"/>
    <w:rsid w:val="012A368D"/>
    <w:rsid w:val="0133EDFD"/>
    <w:rsid w:val="01AEF45F"/>
    <w:rsid w:val="01B7831D"/>
    <w:rsid w:val="01BDA90A"/>
    <w:rsid w:val="01CFD568"/>
    <w:rsid w:val="024F519D"/>
    <w:rsid w:val="0269CF2D"/>
    <w:rsid w:val="02D30118"/>
    <w:rsid w:val="02D90CAA"/>
    <w:rsid w:val="02ECFF70"/>
    <w:rsid w:val="02FB44EF"/>
    <w:rsid w:val="02FE470B"/>
    <w:rsid w:val="031A946A"/>
    <w:rsid w:val="0362C7B7"/>
    <w:rsid w:val="0372A1C8"/>
    <w:rsid w:val="03A50E2D"/>
    <w:rsid w:val="03BB248C"/>
    <w:rsid w:val="03CDDAE2"/>
    <w:rsid w:val="03D1E471"/>
    <w:rsid w:val="03E63DD7"/>
    <w:rsid w:val="04295FC1"/>
    <w:rsid w:val="046AC616"/>
    <w:rsid w:val="04BBE21C"/>
    <w:rsid w:val="04D7CC4C"/>
    <w:rsid w:val="055E38FC"/>
    <w:rsid w:val="057BC87B"/>
    <w:rsid w:val="05E546B5"/>
    <w:rsid w:val="05EBEC5D"/>
    <w:rsid w:val="0631C516"/>
    <w:rsid w:val="063F9735"/>
    <w:rsid w:val="06542D3F"/>
    <w:rsid w:val="068C2FF9"/>
    <w:rsid w:val="06E8704B"/>
    <w:rsid w:val="06F0C17D"/>
    <w:rsid w:val="075D140B"/>
    <w:rsid w:val="07C9AC82"/>
    <w:rsid w:val="07F0D550"/>
    <w:rsid w:val="08131D66"/>
    <w:rsid w:val="089F7677"/>
    <w:rsid w:val="08F5062D"/>
    <w:rsid w:val="08F631E3"/>
    <w:rsid w:val="0903F94F"/>
    <w:rsid w:val="095F1295"/>
    <w:rsid w:val="09656D6D"/>
    <w:rsid w:val="099E0FBA"/>
    <w:rsid w:val="09B60927"/>
    <w:rsid w:val="09B925BD"/>
    <w:rsid w:val="09C211C5"/>
    <w:rsid w:val="0AA179ED"/>
    <w:rsid w:val="0AA61863"/>
    <w:rsid w:val="0ACD5412"/>
    <w:rsid w:val="0AEE2B91"/>
    <w:rsid w:val="0B4B1BED"/>
    <w:rsid w:val="0B563A3E"/>
    <w:rsid w:val="0BA9F589"/>
    <w:rsid w:val="0BB73141"/>
    <w:rsid w:val="0BEC5951"/>
    <w:rsid w:val="0C5AAC23"/>
    <w:rsid w:val="0C5D5DA1"/>
    <w:rsid w:val="0C6B44EA"/>
    <w:rsid w:val="0C8167E3"/>
    <w:rsid w:val="0CAEB4EA"/>
    <w:rsid w:val="0D0EBF64"/>
    <w:rsid w:val="0D1AD4D6"/>
    <w:rsid w:val="0D5E92F3"/>
    <w:rsid w:val="0DCE118E"/>
    <w:rsid w:val="0DD2C5F3"/>
    <w:rsid w:val="0DD61EA0"/>
    <w:rsid w:val="0DFE0F00"/>
    <w:rsid w:val="0E51EFE0"/>
    <w:rsid w:val="0E9473F2"/>
    <w:rsid w:val="0EA466EC"/>
    <w:rsid w:val="0EBBE034"/>
    <w:rsid w:val="0EC60361"/>
    <w:rsid w:val="0F2B3A81"/>
    <w:rsid w:val="0F35ACBB"/>
    <w:rsid w:val="0F585F17"/>
    <w:rsid w:val="0F911B9B"/>
    <w:rsid w:val="0FC1E13C"/>
    <w:rsid w:val="104E6249"/>
    <w:rsid w:val="106F1D22"/>
    <w:rsid w:val="10ED3E01"/>
    <w:rsid w:val="11F9EE80"/>
    <w:rsid w:val="11FE1053"/>
    <w:rsid w:val="12191DD2"/>
    <w:rsid w:val="1226D76C"/>
    <w:rsid w:val="124C8A73"/>
    <w:rsid w:val="1264B6B1"/>
    <w:rsid w:val="12685F2C"/>
    <w:rsid w:val="127A644C"/>
    <w:rsid w:val="12B3BBBD"/>
    <w:rsid w:val="12D119E8"/>
    <w:rsid w:val="134524D1"/>
    <w:rsid w:val="1375E44E"/>
    <w:rsid w:val="139B900D"/>
    <w:rsid w:val="13DF3BF2"/>
    <w:rsid w:val="14373695"/>
    <w:rsid w:val="148CB112"/>
    <w:rsid w:val="14A253C3"/>
    <w:rsid w:val="14EFFB63"/>
    <w:rsid w:val="15458673"/>
    <w:rsid w:val="154D01D5"/>
    <w:rsid w:val="15F2EDA9"/>
    <w:rsid w:val="167C40BB"/>
    <w:rsid w:val="16B6DA9F"/>
    <w:rsid w:val="16DE29F1"/>
    <w:rsid w:val="16F87767"/>
    <w:rsid w:val="170B5190"/>
    <w:rsid w:val="171873B2"/>
    <w:rsid w:val="172D3E79"/>
    <w:rsid w:val="174B778F"/>
    <w:rsid w:val="174BC10C"/>
    <w:rsid w:val="179BAA39"/>
    <w:rsid w:val="17FAF0D0"/>
    <w:rsid w:val="181BDDE5"/>
    <w:rsid w:val="1828D4AC"/>
    <w:rsid w:val="183C50BD"/>
    <w:rsid w:val="18698BA8"/>
    <w:rsid w:val="186EAB09"/>
    <w:rsid w:val="188E8674"/>
    <w:rsid w:val="18954438"/>
    <w:rsid w:val="18BE263A"/>
    <w:rsid w:val="18E1453C"/>
    <w:rsid w:val="18EB8C00"/>
    <w:rsid w:val="19114B52"/>
    <w:rsid w:val="1940C59D"/>
    <w:rsid w:val="194167CA"/>
    <w:rsid w:val="19471B96"/>
    <w:rsid w:val="196D743B"/>
    <w:rsid w:val="1971B940"/>
    <w:rsid w:val="19998323"/>
    <w:rsid w:val="19E09A89"/>
    <w:rsid w:val="19E0CC5F"/>
    <w:rsid w:val="1A48B3CE"/>
    <w:rsid w:val="1A508876"/>
    <w:rsid w:val="1A55C0C0"/>
    <w:rsid w:val="1ACD1361"/>
    <w:rsid w:val="1ADFADF4"/>
    <w:rsid w:val="1B1EB85D"/>
    <w:rsid w:val="1B9EC3F2"/>
    <w:rsid w:val="1BB68722"/>
    <w:rsid w:val="1C2DE578"/>
    <w:rsid w:val="1CE069C2"/>
    <w:rsid w:val="1D138FEF"/>
    <w:rsid w:val="1D5001B4"/>
    <w:rsid w:val="1D52DB79"/>
    <w:rsid w:val="1DDBA94D"/>
    <w:rsid w:val="1E95E59E"/>
    <w:rsid w:val="1E9B3718"/>
    <w:rsid w:val="1EA2E811"/>
    <w:rsid w:val="1ED3BED3"/>
    <w:rsid w:val="1F0694F7"/>
    <w:rsid w:val="1F409E70"/>
    <w:rsid w:val="1F94F2DC"/>
    <w:rsid w:val="2035EC8A"/>
    <w:rsid w:val="203BA146"/>
    <w:rsid w:val="20A21C5C"/>
    <w:rsid w:val="20A72140"/>
    <w:rsid w:val="20FEF012"/>
    <w:rsid w:val="213959C4"/>
    <w:rsid w:val="213EA532"/>
    <w:rsid w:val="21A8EFCD"/>
    <w:rsid w:val="21E81F9E"/>
    <w:rsid w:val="21EF1105"/>
    <w:rsid w:val="21F0E205"/>
    <w:rsid w:val="2205139A"/>
    <w:rsid w:val="220EBD95"/>
    <w:rsid w:val="22566757"/>
    <w:rsid w:val="22C0848D"/>
    <w:rsid w:val="22C51814"/>
    <w:rsid w:val="231E16F9"/>
    <w:rsid w:val="233DD5B3"/>
    <w:rsid w:val="2345460E"/>
    <w:rsid w:val="238878EE"/>
    <w:rsid w:val="24140F93"/>
    <w:rsid w:val="24264AF8"/>
    <w:rsid w:val="243561E4"/>
    <w:rsid w:val="24702B0E"/>
    <w:rsid w:val="2474F06B"/>
    <w:rsid w:val="24AF71AC"/>
    <w:rsid w:val="24C5536B"/>
    <w:rsid w:val="25023C61"/>
    <w:rsid w:val="25156FAD"/>
    <w:rsid w:val="2543B0C9"/>
    <w:rsid w:val="256C9DFF"/>
    <w:rsid w:val="26157EF1"/>
    <w:rsid w:val="263D4F0F"/>
    <w:rsid w:val="265026AD"/>
    <w:rsid w:val="2684EB8D"/>
    <w:rsid w:val="26E4F554"/>
    <w:rsid w:val="2760C516"/>
    <w:rsid w:val="2783207B"/>
    <w:rsid w:val="278D9224"/>
    <w:rsid w:val="279DF3AD"/>
    <w:rsid w:val="27B02CD0"/>
    <w:rsid w:val="27CF39AC"/>
    <w:rsid w:val="27D8AC1C"/>
    <w:rsid w:val="28552080"/>
    <w:rsid w:val="28597909"/>
    <w:rsid w:val="294C8B00"/>
    <w:rsid w:val="29A29206"/>
    <w:rsid w:val="29AC6A8F"/>
    <w:rsid w:val="29ED48C9"/>
    <w:rsid w:val="29FE8953"/>
    <w:rsid w:val="2A4331CD"/>
    <w:rsid w:val="2A953EC2"/>
    <w:rsid w:val="2AA48D3D"/>
    <w:rsid w:val="2B19160D"/>
    <w:rsid w:val="2B274D46"/>
    <w:rsid w:val="2B3E6B57"/>
    <w:rsid w:val="2B5A5540"/>
    <w:rsid w:val="2BA3CEE0"/>
    <w:rsid w:val="2BA9F67C"/>
    <w:rsid w:val="2C19A1F1"/>
    <w:rsid w:val="2C1CAE68"/>
    <w:rsid w:val="2C2DEDDC"/>
    <w:rsid w:val="2C34CCC8"/>
    <w:rsid w:val="2C3D4312"/>
    <w:rsid w:val="2C63BE58"/>
    <w:rsid w:val="2C717F68"/>
    <w:rsid w:val="2C80A95F"/>
    <w:rsid w:val="2D2D4537"/>
    <w:rsid w:val="2D56BD32"/>
    <w:rsid w:val="2D66D1EE"/>
    <w:rsid w:val="2D89BADF"/>
    <w:rsid w:val="2D97213D"/>
    <w:rsid w:val="2DB39133"/>
    <w:rsid w:val="2DC1F616"/>
    <w:rsid w:val="2DC6DB6E"/>
    <w:rsid w:val="2DE2B8F4"/>
    <w:rsid w:val="2E1CC46B"/>
    <w:rsid w:val="2E89FDE4"/>
    <w:rsid w:val="2EBA6B6F"/>
    <w:rsid w:val="2EC28CD7"/>
    <w:rsid w:val="2EE1698A"/>
    <w:rsid w:val="2EE43831"/>
    <w:rsid w:val="2EFCFA07"/>
    <w:rsid w:val="2F092BCA"/>
    <w:rsid w:val="2FA03685"/>
    <w:rsid w:val="301CBD62"/>
    <w:rsid w:val="302A8203"/>
    <w:rsid w:val="3063C935"/>
    <w:rsid w:val="309E2B07"/>
    <w:rsid w:val="30AF6ADA"/>
    <w:rsid w:val="31A5AFE0"/>
    <w:rsid w:val="31A844AF"/>
    <w:rsid w:val="31B75816"/>
    <w:rsid w:val="32172FC4"/>
    <w:rsid w:val="3244CDEE"/>
    <w:rsid w:val="32683FB5"/>
    <w:rsid w:val="32A5EC2F"/>
    <w:rsid w:val="32BC6C4B"/>
    <w:rsid w:val="33571EDE"/>
    <w:rsid w:val="3396AE01"/>
    <w:rsid w:val="34F227BE"/>
    <w:rsid w:val="35566905"/>
    <w:rsid w:val="3598F3DE"/>
    <w:rsid w:val="35D7098A"/>
    <w:rsid w:val="35D73A2D"/>
    <w:rsid w:val="3619CD0C"/>
    <w:rsid w:val="3634F98F"/>
    <w:rsid w:val="3643860E"/>
    <w:rsid w:val="366B85B4"/>
    <w:rsid w:val="369B417F"/>
    <w:rsid w:val="369DD8E1"/>
    <w:rsid w:val="36ACA02F"/>
    <w:rsid w:val="36C4C53A"/>
    <w:rsid w:val="3752541D"/>
    <w:rsid w:val="3768F75C"/>
    <w:rsid w:val="376E3C0C"/>
    <w:rsid w:val="379CC46E"/>
    <w:rsid w:val="37EED4BF"/>
    <w:rsid w:val="38568906"/>
    <w:rsid w:val="39517961"/>
    <w:rsid w:val="39EB415B"/>
    <w:rsid w:val="3A0DF857"/>
    <w:rsid w:val="3A186610"/>
    <w:rsid w:val="3A24412A"/>
    <w:rsid w:val="3A39289E"/>
    <w:rsid w:val="3A6870B8"/>
    <w:rsid w:val="3A823F05"/>
    <w:rsid w:val="3A8D4EDE"/>
    <w:rsid w:val="3AA60E89"/>
    <w:rsid w:val="3AB84114"/>
    <w:rsid w:val="3B1BE573"/>
    <w:rsid w:val="3B26AEA7"/>
    <w:rsid w:val="3B66C617"/>
    <w:rsid w:val="3B86202A"/>
    <w:rsid w:val="3B9670D1"/>
    <w:rsid w:val="3BDD37E4"/>
    <w:rsid w:val="3BFF244E"/>
    <w:rsid w:val="3C0ED12B"/>
    <w:rsid w:val="3C5E97AD"/>
    <w:rsid w:val="3C80AD31"/>
    <w:rsid w:val="3CA3FD55"/>
    <w:rsid w:val="3CC4CAE9"/>
    <w:rsid w:val="3CD6EFC4"/>
    <w:rsid w:val="3CD8016E"/>
    <w:rsid w:val="3CE488B0"/>
    <w:rsid w:val="3CFA771C"/>
    <w:rsid w:val="3D2A9733"/>
    <w:rsid w:val="3D413863"/>
    <w:rsid w:val="3D47CAD0"/>
    <w:rsid w:val="3D7B09FA"/>
    <w:rsid w:val="3E5D797B"/>
    <w:rsid w:val="3EAC8622"/>
    <w:rsid w:val="3EE1E4F9"/>
    <w:rsid w:val="3EF7B22E"/>
    <w:rsid w:val="3F3CFA43"/>
    <w:rsid w:val="3F4E6DCA"/>
    <w:rsid w:val="3F67D989"/>
    <w:rsid w:val="3F837EAB"/>
    <w:rsid w:val="3FD18B43"/>
    <w:rsid w:val="4037B897"/>
    <w:rsid w:val="4093A5FF"/>
    <w:rsid w:val="4095ED13"/>
    <w:rsid w:val="40F0D0B5"/>
    <w:rsid w:val="418A8F7F"/>
    <w:rsid w:val="4191DAF5"/>
    <w:rsid w:val="41A35892"/>
    <w:rsid w:val="41A91AE5"/>
    <w:rsid w:val="41B477E1"/>
    <w:rsid w:val="41B8BBF1"/>
    <w:rsid w:val="41CD4278"/>
    <w:rsid w:val="41DA393C"/>
    <w:rsid w:val="420C5369"/>
    <w:rsid w:val="421DFE7A"/>
    <w:rsid w:val="4265B6F5"/>
    <w:rsid w:val="42755E35"/>
    <w:rsid w:val="4283AF47"/>
    <w:rsid w:val="42EABE7A"/>
    <w:rsid w:val="4343E8F3"/>
    <w:rsid w:val="4366A717"/>
    <w:rsid w:val="437F13C6"/>
    <w:rsid w:val="43849997"/>
    <w:rsid w:val="43DE7EEF"/>
    <w:rsid w:val="443C9881"/>
    <w:rsid w:val="4449672A"/>
    <w:rsid w:val="446BCD79"/>
    <w:rsid w:val="447181AF"/>
    <w:rsid w:val="449943B2"/>
    <w:rsid w:val="44F608FF"/>
    <w:rsid w:val="452FC43F"/>
    <w:rsid w:val="455BFB43"/>
    <w:rsid w:val="4598523F"/>
    <w:rsid w:val="45DE42A1"/>
    <w:rsid w:val="45DEBD1A"/>
    <w:rsid w:val="46380841"/>
    <w:rsid w:val="46601AEF"/>
    <w:rsid w:val="4699F645"/>
    <w:rsid w:val="46BF6E5A"/>
    <w:rsid w:val="471703EF"/>
    <w:rsid w:val="472DE011"/>
    <w:rsid w:val="47526E5E"/>
    <w:rsid w:val="475D8A08"/>
    <w:rsid w:val="47B5C103"/>
    <w:rsid w:val="47D44B9A"/>
    <w:rsid w:val="47DB4CCC"/>
    <w:rsid w:val="47EAE76F"/>
    <w:rsid w:val="480FE299"/>
    <w:rsid w:val="4819314A"/>
    <w:rsid w:val="482AA2BA"/>
    <w:rsid w:val="482ECEB3"/>
    <w:rsid w:val="482F0A87"/>
    <w:rsid w:val="48572AD8"/>
    <w:rsid w:val="488011BF"/>
    <w:rsid w:val="4884402E"/>
    <w:rsid w:val="48C4A3D7"/>
    <w:rsid w:val="490881C0"/>
    <w:rsid w:val="4933FF82"/>
    <w:rsid w:val="4981C65B"/>
    <w:rsid w:val="49A01A45"/>
    <w:rsid w:val="49E62266"/>
    <w:rsid w:val="49FD7611"/>
    <w:rsid w:val="4A62BFC9"/>
    <w:rsid w:val="4AB08A32"/>
    <w:rsid w:val="4AB78631"/>
    <w:rsid w:val="4ADEA3C5"/>
    <w:rsid w:val="4B36C402"/>
    <w:rsid w:val="4B442B03"/>
    <w:rsid w:val="4B47358B"/>
    <w:rsid w:val="4B4E4619"/>
    <w:rsid w:val="4B8B7A35"/>
    <w:rsid w:val="4BA404A7"/>
    <w:rsid w:val="4C7ADB81"/>
    <w:rsid w:val="4C7CB214"/>
    <w:rsid w:val="4CB6D724"/>
    <w:rsid w:val="4CE42A5E"/>
    <w:rsid w:val="4CE4596C"/>
    <w:rsid w:val="4CEB73C4"/>
    <w:rsid w:val="4D4DD720"/>
    <w:rsid w:val="4D6CDEA2"/>
    <w:rsid w:val="4D951BC6"/>
    <w:rsid w:val="4DA4C10D"/>
    <w:rsid w:val="4DAA2BED"/>
    <w:rsid w:val="4DFBC96E"/>
    <w:rsid w:val="4E079EE7"/>
    <w:rsid w:val="4E4D9F53"/>
    <w:rsid w:val="4E931EBD"/>
    <w:rsid w:val="4E96B976"/>
    <w:rsid w:val="4EC1C96B"/>
    <w:rsid w:val="4EC396A8"/>
    <w:rsid w:val="4EEBAD1A"/>
    <w:rsid w:val="4F1C9950"/>
    <w:rsid w:val="4F26D763"/>
    <w:rsid w:val="4F4B5DDB"/>
    <w:rsid w:val="4F632167"/>
    <w:rsid w:val="4F803CAF"/>
    <w:rsid w:val="4F94DC1D"/>
    <w:rsid w:val="4FBA166F"/>
    <w:rsid w:val="5004C225"/>
    <w:rsid w:val="502C291C"/>
    <w:rsid w:val="5056B3F8"/>
    <w:rsid w:val="505767FB"/>
    <w:rsid w:val="50B5A825"/>
    <w:rsid w:val="50FBE9AF"/>
    <w:rsid w:val="5100EB70"/>
    <w:rsid w:val="511B0659"/>
    <w:rsid w:val="51BD6C35"/>
    <w:rsid w:val="51DB5535"/>
    <w:rsid w:val="521387B8"/>
    <w:rsid w:val="5231F477"/>
    <w:rsid w:val="5234335C"/>
    <w:rsid w:val="523882FA"/>
    <w:rsid w:val="52885AD1"/>
    <w:rsid w:val="52922AA0"/>
    <w:rsid w:val="52A72414"/>
    <w:rsid w:val="52B36DFF"/>
    <w:rsid w:val="52D1F3A3"/>
    <w:rsid w:val="5315E89B"/>
    <w:rsid w:val="53E19CBB"/>
    <w:rsid w:val="544DB985"/>
    <w:rsid w:val="5454C01C"/>
    <w:rsid w:val="5467785F"/>
    <w:rsid w:val="54A0914C"/>
    <w:rsid w:val="54A4D1BE"/>
    <w:rsid w:val="54DD9BB0"/>
    <w:rsid w:val="567A40F2"/>
    <w:rsid w:val="567B3279"/>
    <w:rsid w:val="56830EE0"/>
    <w:rsid w:val="56892D11"/>
    <w:rsid w:val="56D3AE51"/>
    <w:rsid w:val="56F2E866"/>
    <w:rsid w:val="570F995A"/>
    <w:rsid w:val="57958FE6"/>
    <w:rsid w:val="579DE467"/>
    <w:rsid w:val="57C360CA"/>
    <w:rsid w:val="57C6EAA8"/>
    <w:rsid w:val="57D42164"/>
    <w:rsid w:val="580842C8"/>
    <w:rsid w:val="582BBEEE"/>
    <w:rsid w:val="585812EA"/>
    <w:rsid w:val="586FA7B0"/>
    <w:rsid w:val="58C28865"/>
    <w:rsid w:val="58D13F38"/>
    <w:rsid w:val="58EB7652"/>
    <w:rsid w:val="5912B258"/>
    <w:rsid w:val="593E26DB"/>
    <w:rsid w:val="5972BE31"/>
    <w:rsid w:val="598D7436"/>
    <w:rsid w:val="59EF13BE"/>
    <w:rsid w:val="5A2C8CF9"/>
    <w:rsid w:val="5A630D44"/>
    <w:rsid w:val="5A72FCA6"/>
    <w:rsid w:val="5A750235"/>
    <w:rsid w:val="5A957087"/>
    <w:rsid w:val="5AE28A70"/>
    <w:rsid w:val="5AF9AB5E"/>
    <w:rsid w:val="5B0F5766"/>
    <w:rsid w:val="5B25D3FF"/>
    <w:rsid w:val="5B3C4F05"/>
    <w:rsid w:val="5B44C870"/>
    <w:rsid w:val="5B5B92ED"/>
    <w:rsid w:val="5BA9E01F"/>
    <w:rsid w:val="5BB8F383"/>
    <w:rsid w:val="5BEE0BC3"/>
    <w:rsid w:val="5C871C13"/>
    <w:rsid w:val="5C9377EE"/>
    <w:rsid w:val="5CA563DE"/>
    <w:rsid w:val="5CC594DC"/>
    <w:rsid w:val="5CE44CDF"/>
    <w:rsid w:val="5D4C671F"/>
    <w:rsid w:val="5D867AB4"/>
    <w:rsid w:val="5DCC9677"/>
    <w:rsid w:val="5E191FE2"/>
    <w:rsid w:val="5E33E39F"/>
    <w:rsid w:val="5E581B4B"/>
    <w:rsid w:val="5E6A2D68"/>
    <w:rsid w:val="5E91C851"/>
    <w:rsid w:val="5EE6514D"/>
    <w:rsid w:val="5F18F0F5"/>
    <w:rsid w:val="5F4CC94D"/>
    <w:rsid w:val="5F763F25"/>
    <w:rsid w:val="5F79700B"/>
    <w:rsid w:val="5FCBED91"/>
    <w:rsid w:val="600F50E9"/>
    <w:rsid w:val="601F3DD0"/>
    <w:rsid w:val="6029BBFF"/>
    <w:rsid w:val="60491AD8"/>
    <w:rsid w:val="606FDD41"/>
    <w:rsid w:val="6087196A"/>
    <w:rsid w:val="60B8D536"/>
    <w:rsid w:val="60D60AC7"/>
    <w:rsid w:val="60F2FC62"/>
    <w:rsid w:val="611C45BB"/>
    <w:rsid w:val="6151F0DD"/>
    <w:rsid w:val="61675DDA"/>
    <w:rsid w:val="619C2B28"/>
    <w:rsid w:val="621FD0D9"/>
    <w:rsid w:val="62223ADF"/>
    <w:rsid w:val="623BE9F5"/>
    <w:rsid w:val="62F5E44F"/>
    <w:rsid w:val="63A451CB"/>
    <w:rsid w:val="63E81026"/>
    <w:rsid w:val="64338C99"/>
    <w:rsid w:val="643C4835"/>
    <w:rsid w:val="64429EAE"/>
    <w:rsid w:val="645C38C5"/>
    <w:rsid w:val="646FD9F6"/>
    <w:rsid w:val="64D39C0F"/>
    <w:rsid w:val="64F2D1F1"/>
    <w:rsid w:val="64FF27A1"/>
    <w:rsid w:val="650C362B"/>
    <w:rsid w:val="653E2559"/>
    <w:rsid w:val="65900C96"/>
    <w:rsid w:val="6624FC10"/>
    <w:rsid w:val="6670415B"/>
    <w:rsid w:val="6686641D"/>
    <w:rsid w:val="66A0B4F5"/>
    <w:rsid w:val="66B200F1"/>
    <w:rsid w:val="66CB7C6C"/>
    <w:rsid w:val="66CD8ACB"/>
    <w:rsid w:val="66CF7ED9"/>
    <w:rsid w:val="66D26653"/>
    <w:rsid w:val="66F27CE4"/>
    <w:rsid w:val="67308CCC"/>
    <w:rsid w:val="67320DA3"/>
    <w:rsid w:val="675CC46B"/>
    <w:rsid w:val="678023E4"/>
    <w:rsid w:val="67CDD868"/>
    <w:rsid w:val="682A5FE9"/>
    <w:rsid w:val="683277E6"/>
    <w:rsid w:val="68411D63"/>
    <w:rsid w:val="6897BA6F"/>
    <w:rsid w:val="68B5E39C"/>
    <w:rsid w:val="68DEE705"/>
    <w:rsid w:val="69590B07"/>
    <w:rsid w:val="698EF73E"/>
    <w:rsid w:val="69912CD0"/>
    <w:rsid w:val="69CA6713"/>
    <w:rsid w:val="69D4012E"/>
    <w:rsid w:val="6A4825D7"/>
    <w:rsid w:val="6A55EE70"/>
    <w:rsid w:val="6A757954"/>
    <w:rsid w:val="6A7612CC"/>
    <w:rsid w:val="6A814DC3"/>
    <w:rsid w:val="6B2D4CA8"/>
    <w:rsid w:val="6B32B3A3"/>
    <w:rsid w:val="6B5488AE"/>
    <w:rsid w:val="6BA0C30A"/>
    <w:rsid w:val="6BAA96C9"/>
    <w:rsid w:val="6BCC175D"/>
    <w:rsid w:val="6C2D09E1"/>
    <w:rsid w:val="6C8D5080"/>
    <w:rsid w:val="6CEF4CEC"/>
    <w:rsid w:val="6CF7A960"/>
    <w:rsid w:val="6D08E8F9"/>
    <w:rsid w:val="6D23AC18"/>
    <w:rsid w:val="6D354F55"/>
    <w:rsid w:val="6D47F633"/>
    <w:rsid w:val="6DDDCEB6"/>
    <w:rsid w:val="6E0C00AE"/>
    <w:rsid w:val="6E6C6499"/>
    <w:rsid w:val="6E966C06"/>
    <w:rsid w:val="6F2D0909"/>
    <w:rsid w:val="6F81E4A1"/>
    <w:rsid w:val="6F8BD3D9"/>
    <w:rsid w:val="70650319"/>
    <w:rsid w:val="7077C700"/>
    <w:rsid w:val="70D15AFC"/>
    <w:rsid w:val="713D72C1"/>
    <w:rsid w:val="71D6E6DB"/>
    <w:rsid w:val="7221A8AE"/>
    <w:rsid w:val="7226ADE0"/>
    <w:rsid w:val="72A96D91"/>
    <w:rsid w:val="72CEC30D"/>
    <w:rsid w:val="72D2F4C6"/>
    <w:rsid w:val="72EDDCB6"/>
    <w:rsid w:val="72FEB77A"/>
    <w:rsid w:val="7340F729"/>
    <w:rsid w:val="73F21331"/>
    <w:rsid w:val="740B5499"/>
    <w:rsid w:val="74248088"/>
    <w:rsid w:val="74725477"/>
    <w:rsid w:val="749402A9"/>
    <w:rsid w:val="74A17E09"/>
    <w:rsid w:val="74B2D205"/>
    <w:rsid w:val="74D85CD3"/>
    <w:rsid w:val="752C6485"/>
    <w:rsid w:val="758117E4"/>
    <w:rsid w:val="759E6CEA"/>
    <w:rsid w:val="75D5AD30"/>
    <w:rsid w:val="75F77F19"/>
    <w:rsid w:val="76440EC9"/>
    <w:rsid w:val="765BC514"/>
    <w:rsid w:val="766144B9"/>
    <w:rsid w:val="7663D10F"/>
    <w:rsid w:val="7664AFF9"/>
    <w:rsid w:val="76663987"/>
    <w:rsid w:val="767F1AAA"/>
    <w:rsid w:val="767FDA92"/>
    <w:rsid w:val="76D8838D"/>
    <w:rsid w:val="7809A48F"/>
    <w:rsid w:val="78459C57"/>
    <w:rsid w:val="78475115"/>
    <w:rsid w:val="785CD947"/>
    <w:rsid w:val="78A938A4"/>
    <w:rsid w:val="78B8AD1E"/>
    <w:rsid w:val="78F9D02C"/>
    <w:rsid w:val="799CFA76"/>
    <w:rsid w:val="79E2572D"/>
    <w:rsid w:val="79E32176"/>
    <w:rsid w:val="79F17288"/>
    <w:rsid w:val="7A092685"/>
    <w:rsid w:val="7A0FB30F"/>
    <w:rsid w:val="7A1DA912"/>
    <w:rsid w:val="7A390C80"/>
    <w:rsid w:val="7A4DE812"/>
    <w:rsid w:val="7A636F20"/>
    <w:rsid w:val="7B0C5B56"/>
    <w:rsid w:val="7BC063F4"/>
    <w:rsid w:val="7BDA4309"/>
    <w:rsid w:val="7BFB85A1"/>
    <w:rsid w:val="7C1E2133"/>
    <w:rsid w:val="7C49C855"/>
    <w:rsid w:val="7C920DE2"/>
    <w:rsid w:val="7CA13BF9"/>
    <w:rsid w:val="7D056480"/>
    <w:rsid w:val="7D22254E"/>
    <w:rsid w:val="7D5C1208"/>
    <w:rsid w:val="7D6E6BC2"/>
    <w:rsid w:val="7D83DB4D"/>
    <w:rsid w:val="7DE38CEB"/>
    <w:rsid w:val="7E2447F6"/>
    <w:rsid w:val="7E685F6C"/>
    <w:rsid w:val="7E68749C"/>
    <w:rsid w:val="7EDAF7EF"/>
    <w:rsid w:val="7FA0AF70"/>
    <w:rsid w:val="7FEE1D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56C"/>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rsid w:val="00842151"/>
    <w:rPr>
      <w:sz w:val="16"/>
      <w:szCs w:val="16"/>
    </w:rPr>
  </w:style>
  <w:style w:type="paragraph" w:styleId="CommentText">
    <w:name w:val="annotation text"/>
    <w:basedOn w:val="Normal"/>
    <w:link w:val="CommentTextChar"/>
    <w:unhideWhenUsed/>
    <w:rsid w:val="00842151"/>
    <w:rPr>
      <w:sz w:val="20"/>
      <w:szCs w:val="20"/>
    </w:rPr>
  </w:style>
  <w:style w:type="character" w:customStyle="1" w:styleId="CommentTextChar">
    <w:name w:val="Comment Text Char"/>
    <w:basedOn w:val="DefaultParagraphFont"/>
    <w:link w:val="CommentText"/>
    <w:rsid w:val="00842151"/>
    <w:rPr>
      <w:rFonts w:ascii="Calibri" w:hAnsi="Calibri" w:cs="Arial"/>
    </w:rPr>
  </w:style>
  <w:style w:type="paragraph" w:styleId="CommentSubject">
    <w:name w:val="annotation subject"/>
    <w:basedOn w:val="CommentText"/>
    <w:next w:val="CommentText"/>
    <w:link w:val="CommentSubjectChar"/>
    <w:semiHidden/>
    <w:unhideWhenUsed/>
    <w:rsid w:val="00842151"/>
    <w:rPr>
      <w:b/>
      <w:bCs/>
    </w:rPr>
  </w:style>
  <w:style w:type="character" w:customStyle="1" w:styleId="CommentSubjectChar">
    <w:name w:val="Comment Subject Char"/>
    <w:basedOn w:val="CommentTextChar"/>
    <w:link w:val="CommentSubject"/>
    <w:semiHidden/>
    <w:rsid w:val="00842151"/>
    <w:rPr>
      <w:rFonts w:ascii="Calibri" w:hAnsi="Calibri" w:cs="Arial"/>
      <w:b/>
      <w:bCs/>
    </w:rPr>
  </w:style>
  <w:style w:type="paragraph" w:customStyle="1" w:styleId="PortraitFooter">
    <w:name w:val="Portrait Footer"/>
    <w:basedOn w:val="Normal"/>
    <w:link w:val="PortraitFooterChar"/>
    <w:uiPriority w:val="5"/>
    <w:qFormat/>
    <w:rsid w:val="00AD3F8F"/>
    <w:pPr>
      <w:tabs>
        <w:tab w:val="center" w:pos="5103"/>
        <w:tab w:val="right" w:pos="9637"/>
      </w:tabs>
    </w:pPr>
    <w:rPr>
      <w:rFonts w:eastAsiaTheme="minorEastAsia" w:cstheme="minorBidi"/>
      <w:sz w:val="18"/>
      <w:szCs w:val="18"/>
      <w:lang w:eastAsia="zh-CN"/>
    </w:rPr>
  </w:style>
  <w:style w:type="character" w:customStyle="1" w:styleId="PortraitFooterChar">
    <w:name w:val="Portrait Footer Char"/>
    <w:basedOn w:val="DefaultParagraphFont"/>
    <w:link w:val="PortraitFooter"/>
    <w:uiPriority w:val="5"/>
    <w:rsid w:val="00AD3F8F"/>
    <w:rPr>
      <w:rFonts w:ascii="Calibri" w:eastAsiaTheme="minorEastAsia" w:hAnsi="Calibri" w:cstheme="minorBidi"/>
      <w:sz w:val="18"/>
      <w:szCs w:val="18"/>
      <w:lang w:eastAsia="zh-CN"/>
    </w:rPr>
  </w:style>
  <w:style w:type="paragraph" w:customStyle="1" w:styleId="TableText0">
    <w:name w:val="TableText"/>
    <w:basedOn w:val="Normal"/>
    <w:link w:val="TableTextChar0"/>
    <w:uiPriority w:val="3"/>
    <w:qFormat/>
    <w:rsid w:val="00AD3F8F"/>
    <w:pPr>
      <w:spacing w:before="20" w:after="20"/>
      <w:jc w:val="left"/>
    </w:pPr>
    <w:rPr>
      <w:rFonts w:cs="Calibri"/>
      <w:bCs/>
      <w:sz w:val="20"/>
      <w:szCs w:val="20"/>
      <w:lang w:eastAsia="zh-CN"/>
    </w:rPr>
  </w:style>
  <w:style w:type="character" w:customStyle="1" w:styleId="TableTextChar0">
    <w:name w:val="TableText Char"/>
    <w:basedOn w:val="DefaultParagraphFont"/>
    <w:link w:val="TableText0"/>
    <w:uiPriority w:val="3"/>
    <w:rsid w:val="00AD3F8F"/>
    <w:rPr>
      <w:rFonts w:ascii="Calibri" w:hAnsi="Calibri" w:cs="Calibri"/>
      <w:bCs/>
      <w:lang w:eastAsia="zh-CN"/>
    </w:rPr>
  </w:style>
  <w:style w:type="paragraph" w:customStyle="1" w:styleId="TableFooter">
    <w:name w:val="Table Footer"/>
    <w:basedOn w:val="Normal"/>
    <w:link w:val="TableFooterChar"/>
    <w:qFormat/>
    <w:rsid w:val="0005022D"/>
    <w:pPr>
      <w:widowControl w:val="0"/>
    </w:pPr>
    <w:rPr>
      <w:rFonts w:ascii="Arial Narrow" w:hAnsi="Arial Narrow"/>
      <w:snapToGrid w:val="0"/>
      <w:sz w:val="18"/>
      <w:szCs w:val="22"/>
      <w:lang w:eastAsia="en-US"/>
    </w:rPr>
  </w:style>
  <w:style w:type="character" w:customStyle="1" w:styleId="TableFooterChar">
    <w:name w:val="Table Footer Char"/>
    <w:link w:val="TableFooter"/>
    <w:rsid w:val="0005022D"/>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05022D"/>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05022D"/>
    <w:rPr>
      <w:rFonts w:ascii="Arial Narrow" w:eastAsiaTheme="minorHAnsi" w:hAnsi="Arial Narrow" w:cstheme="minorBidi"/>
      <w:b/>
      <w:szCs w:val="22"/>
      <w:lang w:eastAsia="en-US"/>
    </w:rPr>
  </w:style>
  <w:style w:type="paragraph" w:customStyle="1" w:styleId="loaitem">
    <w:name w:val="loa__item"/>
    <w:basedOn w:val="Normal"/>
    <w:rsid w:val="004E4606"/>
    <w:pPr>
      <w:spacing w:before="100" w:beforeAutospacing="1" w:after="100" w:afterAutospacing="1"/>
      <w:jc w:val="left"/>
    </w:pPr>
    <w:rPr>
      <w:rFonts w:ascii="Times New Roman" w:hAnsi="Times New Roman" w:cs="Times New Roman"/>
    </w:rPr>
  </w:style>
  <w:style w:type="character" w:customStyle="1" w:styleId="refseries">
    <w:name w:val="ref__series"/>
    <w:basedOn w:val="DefaultParagraphFont"/>
    <w:rsid w:val="004E4606"/>
  </w:style>
  <w:style w:type="character" w:customStyle="1" w:styleId="refseriesdate">
    <w:name w:val="ref__seriesdate"/>
    <w:basedOn w:val="DefaultParagraphFont"/>
    <w:rsid w:val="004E4606"/>
  </w:style>
  <w:style w:type="character" w:customStyle="1" w:styleId="refseriesvolume">
    <w:name w:val="ref__seriesvolume"/>
    <w:basedOn w:val="DefaultParagraphFont"/>
    <w:rsid w:val="004E4606"/>
  </w:style>
  <w:style w:type="character" w:customStyle="1" w:styleId="refseriespages">
    <w:name w:val="ref__seriespages"/>
    <w:basedOn w:val="DefaultParagraphFont"/>
    <w:rsid w:val="004E4606"/>
  </w:style>
  <w:style w:type="paragraph" w:customStyle="1" w:styleId="TableHeadingRow0">
    <w:name w:val="TableHeadingRow"/>
    <w:basedOn w:val="TableText0"/>
    <w:uiPriority w:val="3"/>
    <w:qFormat/>
    <w:rsid w:val="0066255F"/>
    <w:pPr>
      <w:keepNext/>
      <w:spacing w:before="40" w:after="40"/>
      <w:jc w:val="center"/>
    </w:pPr>
    <w:rPr>
      <w:b/>
      <w:bCs w:val="0"/>
    </w:rPr>
  </w:style>
  <w:style w:type="paragraph" w:styleId="ListParagraph">
    <w:name w:val="List Paragraph"/>
    <w:aliases w:val="BulletPoints,Numbered para,Body Text Bullet Points,List Paragraph1,Bullet point,List Paragraph11,Recommendation,L,Bullet Point,Bulletr List Paragraph,Content descriptions,FooterText,List Bullet 1,List Paragraph2,List Paragraph21,Footnote"/>
    <w:basedOn w:val="Normal"/>
    <w:link w:val="ListParagraphChar"/>
    <w:uiPriority w:val="34"/>
    <w:qFormat/>
    <w:rsid w:val="003409A2"/>
    <w:pPr>
      <w:ind w:left="720"/>
      <w:contextualSpacing/>
    </w:pPr>
  </w:style>
  <w:style w:type="character" w:customStyle="1" w:styleId="UnresolvedMention1">
    <w:name w:val="Unresolved Mention1"/>
    <w:basedOn w:val="DefaultParagraphFont"/>
    <w:uiPriority w:val="99"/>
    <w:semiHidden/>
    <w:unhideWhenUsed/>
    <w:rsid w:val="005D4D0F"/>
    <w:rPr>
      <w:color w:val="605E5C"/>
      <w:shd w:val="clear" w:color="auto" w:fill="E1DFDD"/>
    </w:rPr>
  </w:style>
  <w:style w:type="character" w:customStyle="1" w:styleId="ng-binding">
    <w:name w:val="ng-binding"/>
    <w:basedOn w:val="DefaultParagraphFont"/>
    <w:rsid w:val="005E3341"/>
  </w:style>
  <w:style w:type="character" w:customStyle="1" w:styleId="visuallyhidden">
    <w:name w:val="visuallyhidden"/>
    <w:basedOn w:val="DefaultParagraphFont"/>
    <w:rsid w:val="005E3341"/>
  </w:style>
  <w:style w:type="paragraph" w:customStyle="1" w:styleId="source">
    <w:name w:val="source"/>
    <w:basedOn w:val="Normal"/>
    <w:rsid w:val="005E3341"/>
    <w:pPr>
      <w:spacing w:before="100" w:beforeAutospacing="1" w:after="100" w:afterAutospacing="1"/>
      <w:jc w:val="left"/>
    </w:pPr>
    <w:rPr>
      <w:rFonts w:ascii="Times New Roman" w:hAnsi="Times New Roman" w:cs="Times New Roman"/>
    </w:rPr>
  </w:style>
  <w:style w:type="paragraph" w:styleId="Caption">
    <w:name w:val="caption"/>
    <w:basedOn w:val="Tableheadingrow"/>
    <w:next w:val="Normal"/>
    <w:unhideWhenUsed/>
    <w:rsid w:val="00FB06CC"/>
    <w:rPr>
      <w:lang w:eastAsia="en-US"/>
    </w:rPr>
  </w:style>
  <w:style w:type="paragraph" w:styleId="Header">
    <w:name w:val="header"/>
    <w:aliases w:val="Page Header,Header title,he=header,cntr/bld"/>
    <w:basedOn w:val="Normal"/>
    <w:link w:val="HeaderChar"/>
    <w:uiPriority w:val="99"/>
    <w:unhideWhenUsed/>
    <w:qFormat/>
    <w:rsid w:val="008D6E80"/>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D6E80"/>
    <w:rPr>
      <w:rFonts w:ascii="Calibri" w:hAnsi="Calibri" w:cs="Arial"/>
      <w:sz w:val="24"/>
      <w:szCs w:val="24"/>
    </w:rPr>
  </w:style>
  <w:style w:type="paragraph" w:styleId="Footer">
    <w:name w:val="footer"/>
    <w:basedOn w:val="Normal"/>
    <w:link w:val="FooterChar"/>
    <w:uiPriority w:val="99"/>
    <w:unhideWhenUsed/>
    <w:rsid w:val="008D6E80"/>
    <w:pPr>
      <w:tabs>
        <w:tab w:val="center" w:pos="4513"/>
        <w:tab w:val="right" w:pos="9026"/>
      </w:tabs>
    </w:pPr>
  </w:style>
  <w:style w:type="character" w:customStyle="1" w:styleId="FooterChar">
    <w:name w:val="Footer Char"/>
    <w:basedOn w:val="DefaultParagraphFont"/>
    <w:link w:val="Footer"/>
    <w:uiPriority w:val="99"/>
    <w:rsid w:val="008D6E80"/>
    <w:rPr>
      <w:rFonts w:ascii="Calibri" w:hAnsi="Calibri" w:cs="Arial"/>
      <w:sz w:val="24"/>
      <w:szCs w:val="24"/>
    </w:rPr>
  </w:style>
  <w:style w:type="paragraph" w:customStyle="1" w:styleId="Tabletext1">
    <w:name w:val="Table text"/>
    <w:basedOn w:val="Normal"/>
    <w:link w:val="TabletextChar1"/>
    <w:uiPriority w:val="2"/>
    <w:qFormat/>
    <w:rsid w:val="00B328C7"/>
    <w:pPr>
      <w:jc w:val="left"/>
    </w:pPr>
    <w:rPr>
      <w:rFonts w:ascii="Arial Narrow" w:hAnsi="Arial Narrow" w:cs="Times New Roman"/>
      <w:snapToGrid w:val="0"/>
      <w:sz w:val="20"/>
    </w:rPr>
  </w:style>
  <w:style w:type="character" w:customStyle="1" w:styleId="TabletextChar1">
    <w:name w:val="Table text Char"/>
    <w:link w:val="Tabletext1"/>
    <w:uiPriority w:val="2"/>
    <w:rsid w:val="00B328C7"/>
    <w:rPr>
      <w:rFonts w:ascii="Arial Narrow" w:hAnsi="Arial Narrow"/>
      <w:snapToGrid w:val="0"/>
      <w:szCs w:val="24"/>
    </w:rPr>
  </w:style>
  <w:style w:type="paragraph" w:customStyle="1" w:styleId="TableFigureHeading">
    <w:name w:val="Table/Figure Heading"/>
    <w:next w:val="Normal"/>
    <w:link w:val="TableFigureHeadingChar"/>
    <w:qFormat/>
    <w:rsid w:val="00B328C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328C7"/>
    <w:rPr>
      <w:rFonts w:ascii="Arial Narrow" w:eastAsiaTheme="majorEastAsia" w:hAnsi="Arial Narrow" w:cstheme="majorBidi"/>
      <w:b/>
      <w:bCs/>
      <w:szCs w:val="24"/>
    </w:rPr>
  </w:style>
  <w:style w:type="paragraph" w:customStyle="1" w:styleId="3-BodyText">
    <w:name w:val="3-Body Text"/>
    <w:basedOn w:val="ListParagraph"/>
    <w:link w:val="3-BodyTextChar"/>
    <w:qFormat/>
    <w:rsid w:val="00B328C7"/>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B328C7"/>
    <w:rPr>
      <w:rFonts w:asciiTheme="minorHAnsi" w:hAnsiTheme="minorHAnsi" w:cs="Arial"/>
      <w:snapToGrid w:val="0"/>
      <w:sz w:val="24"/>
      <w:szCs w:val="24"/>
    </w:rPr>
  </w:style>
  <w:style w:type="table" w:customStyle="1" w:styleId="TableGrid1">
    <w:name w:val="Table Grid1"/>
    <w:basedOn w:val="TableNormal"/>
    <w:next w:val="TableGrid"/>
    <w:uiPriority w:val="59"/>
    <w:rsid w:val="00B328C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ulletPoints Char,Numbered para Char,Body Text Bullet Points Char,List Paragraph1 Char,Bullet point Char,List Paragraph11 Char,Recommendation Char,L Char,Bullet Point Char,Bulletr List Paragraph Char,Content descriptions Char"/>
    <w:basedOn w:val="DefaultParagraphFont"/>
    <w:link w:val="ListParagraph"/>
    <w:uiPriority w:val="34"/>
    <w:qFormat/>
    <w:rsid w:val="009B279D"/>
    <w:rPr>
      <w:rFonts w:ascii="Calibri" w:hAnsi="Calibri" w:cs="Arial"/>
      <w:sz w:val="24"/>
      <w:szCs w:val="24"/>
    </w:rPr>
  </w:style>
  <w:style w:type="paragraph" w:styleId="FootnoteText">
    <w:name w:val="footnote text"/>
    <w:basedOn w:val="Normal"/>
    <w:link w:val="FootnoteTextChar"/>
    <w:semiHidden/>
    <w:unhideWhenUsed/>
    <w:rsid w:val="009B279D"/>
    <w:rPr>
      <w:rFonts w:cs="Times New Roman"/>
      <w:sz w:val="20"/>
      <w:szCs w:val="20"/>
    </w:rPr>
  </w:style>
  <w:style w:type="character" w:customStyle="1" w:styleId="FootnoteTextChar">
    <w:name w:val="Footnote Text Char"/>
    <w:basedOn w:val="DefaultParagraphFont"/>
    <w:link w:val="FootnoteText"/>
    <w:semiHidden/>
    <w:rsid w:val="009B279D"/>
    <w:rPr>
      <w:rFonts w:ascii="Calibri" w:hAnsi="Calibri"/>
    </w:rPr>
  </w:style>
  <w:style w:type="character" w:styleId="FootnoteReference">
    <w:name w:val="footnote reference"/>
    <w:basedOn w:val="DefaultParagraphFont"/>
    <w:semiHidden/>
    <w:unhideWhenUsed/>
    <w:rsid w:val="009B279D"/>
    <w:rPr>
      <w:vertAlign w:val="superscript"/>
    </w:rPr>
  </w:style>
  <w:style w:type="paragraph" w:customStyle="1" w:styleId="GeneralHeading">
    <w:name w:val="General Heading"/>
    <w:qFormat/>
    <w:rsid w:val="008E0963"/>
    <w:pPr>
      <w:keepNext/>
      <w:spacing w:before="120" w:after="120"/>
      <w:ind w:left="720" w:hanging="720"/>
      <w:outlineLvl w:val="0"/>
    </w:pPr>
    <w:rPr>
      <w:rFonts w:ascii="Calibri" w:hAnsi="Calibri" w:cs="Arial"/>
      <w:b/>
      <w:snapToGrid w:val="0"/>
      <w:sz w:val="28"/>
      <w:szCs w:val="22"/>
    </w:rPr>
  </w:style>
  <w:style w:type="character" w:customStyle="1" w:styleId="UnresolvedMention2">
    <w:name w:val="Unresolved Mention2"/>
    <w:basedOn w:val="DefaultParagraphFont"/>
    <w:uiPriority w:val="99"/>
    <w:semiHidden/>
    <w:unhideWhenUsed/>
    <w:rsid w:val="005225CF"/>
    <w:rPr>
      <w:color w:val="605E5C"/>
      <w:shd w:val="clear" w:color="auto" w:fill="E1DFDD"/>
    </w:rPr>
  </w:style>
  <w:style w:type="paragraph" w:customStyle="1" w:styleId="PBACcaption">
    <w:name w:val="PBAC caption"/>
    <w:basedOn w:val="Normal"/>
    <w:link w:val="PBACcaptionChar"/>
    <w:qFormat/>
    <w:rsid w:val="00EC7E48"/>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EC7E48"/>
    <w:rPr>
      <w:rFonts w:ascii="Sabon" w:eastAsiaTheme="minorHAnsi" w:hAnsi="Sabon" w:cs="Arial"/>
      <w:b/>
      <w:sz w:val="22"/>
      <w:szCs w:val="22"/>
      <w:lang w:eastAsia="en-US"/>
    </w:rPr>
  </w:style>
  <w:style w:type="paragraph" w:customStyle="1" w:styleId="PbacTableHeading">
    <w:name w:val="Pbac Table Heading"/>
    <w:basedOn w:val="PBACTableText"/>
    <w:qFormat/>
    <w:rsid w:val="00EC7E48"/>
    <w:pPr>
      <w:spacing w:before="0" w:after="80"/>
    </w:pPr>
    <w:rPr>
      <w:rFonts w:eastAsiaTheme="minorHAnsi" w:cs="Arial"/>
      <w:b/>
    </w:rPr>
  </w:style>
  <w:style w:type="paragraph" w:customStyle="1" w:styleId="PBACTableText">
    <w:name w:val="PBAC Table Text"/>
    <w:basedOn w:val="Normal"/>
    <w:link w:val="PBACTableTextChar"/>
    <w:qFormat/>
    <w:rsid w:val="00EC7E48"/>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EC7E48"/>
    <w:rPr>
      <w:rFonts w:ascii="Arial Narrow" w:hAnsi="Arial Narrow"/>
      <w:lang w:eastAsia="en-US"/>
    </w:rPr>
  </w:style>
  <w:style w:type="paragraph" w:customStyle="1" w:styleId="Bodytextitalics">
    <w:name w:val="Body text italics"/>
    <w:basedOn w:val="BodyText"/>
    <w:qFormat/>
    <w:rsid w:val="00EC7E48"/>
    <w:rPr>
      <w:rFonts w:asciiTheme="minorHAnsi" w:eastAsiaTheme="minorHAnsi" w:hAnsiTheme="minorHAnsi" w:cstheme="minorBidi"/>
      <w:i/>
      <w:szCs w:val="22"/>
    </w:rPr>
  </w:style>
  <w:style w:type="paragraph" w:styleId="BodyText">
    <w:name w:val="Body Text"/>
    <w:basedOn w:val="Normal"/>
    <w:link w:val="BodyTextChar"/>
    <w:semiHidden/>
    <w:unhideWhenUsed/>
    <w:rsid w:val="00EC7E48"/>
    <w:pPr>
      <w:spacing w:after="120"/>
    </w:pPr>
  </w:style>
  <w:style w:type="character" w:customStyle="1" w:styleId="BodyTextChar">
    <w:name w:val="Body Text Char"/>
    <w:basedOn w:val="DefaultParagraphFont"/>
    <w:link w:val="BodyText"/>
    <w:semiHidden/>
    <w:rsid w:val="00EC7E48"/>
    <w:rPr>
      <w:rFonts w:ascii="Calibri" w:hAnsi="Calibri" w:cs="Arial"/>
      <w:sz w:val="24"/>
      <w:szCs w:val="24"/>
    </w:rPr>
  </w:style>
  <w:style w:type="paragraph" w:customStyle="1" w:styleId="PBACHeading1">
    <w:name w:val="PBAC Heading 1"/>
    <w:qFormat/>
    <w:rsid w:val="00572370"/>
    <w:pPr>
      <w:ind w:left="720" w:hanging="720"/>
      <w:outlineLvl w:val="0"/>
    </w:pPr>
    <w:rPr>
      <w:rFonts w:ascii="Calibri" w:hAnsi="Calibri" w:cs="Calibri"/>
      <w:b/>
      <w:snapToGrid w:val="0"/>
      <w:sz w:val="32"/>
      <w:szCs w:val="32"/>
      <w:lang w:eastAsia="en-US"/>
    </w:rPr>
  </w:style>
  <w:style w:type="character" w:customStyle="1" w:styleId="sourceCharChar1">
    <w:name w:val="source Char Char1"/>
    <w:link w:val="sourceChar"/>
    <w:rsid w:val="007D435C"/>
    <w:rPr>
      <w:sz w:val="18"/>
      <w:lang w:eastAsia="ja-JP"/>
    </w:rPr>
  </w:style>
  <w:style w:type="paragraph" w:customStyle="1" w:styleId="sourceChar">
    <w:name w:val="source Char"/>
    <w:basedOn w:val="Normal"/>
    <w:link w:val="sourceCharChar1"/>
    <w:rsid w:val="007D435C"/>
    <w:pPr>
      <w:tabs>
        <w:tab w:val="left" w:pos="1134"/>
      </w:tabs>
      <w:ind w:left="1134" w:hanging="1134"/>
      <w:jc w:val="left"/>
    </w:pPr>
    <w:rPr>
      <w:rFonts w:ascii="Times New Roman" w:hAnsi="Times New Roman" w:cs="Times New Roman"/>
      <w:sz w:val="18"/>
      <w:szCs w:val="20"/>
      <w:lang w:eastAsia="ja-JP"/>
    </w:rPr>
  </w:style>
  <w:style w:type="paragraph" w:customStyle="1" w:styleId="Paragraph">
    <w:name w:val="Paragraph"/>
    <w:basedOn w:val="Normal"/>
    <w:link w:val="ParagraphChar"/>
    <w:qFormat/>
    <w:rsid w:val="007D435C"/>
    <w:pPr>
      <w:spacing w:after="250" w:line="300" w:lineRule="atLeast"/>
      <w:jc w:val="left"/>
    </w:pPr>
    <w:rPr>
      <w:rFonts w:ascii="Arial" w:eastAsia="SimSun" w:hAnsi="Arial" w:cs="Times New Roman"/>
      <w:sz w:val="22"/>
      <w:lang w:val="en-US" w:eastAsia="zh-CN"/>
    </w:rPr>
  </w:style>
  <w:style w:type="character" w:customStyle="1" w:styleId="ParagraphChar">
    <w:name w:val="Paragraph Char"/>
    <w:link w:val="Paragraph"/>
    <w:qFormat/>
    <w:rsid w:val="007D435C"/>
    <w:rPr>
      <w:rFonts w:ascii="Arial" w:eastAsia="SimSun" w:hAnsi="Arial"/>
      <w:sz w:val="22"/>
      <w:szCs w:val="24"/>
      <w:lang w:val="en-US" w:eastAsia="zh-CN"/>
    </w:rPr>
  </w:style>
  <w:style w:type="paragraph" w:styleId="Subtitle">
    <w:name w:val="Subtitle"/>
    <w:basedOn w:val="Normal"/>
    <w:link w:val="SubtitleChar"/>
    <w:qFormat/>
    <w:rsid w:val="005D7FD5"/>
    <w:rPr>
      <w:rFonts w:ascii="Times New Roman" w:hAnsi="Times New Roman" w:cs="Times New Roman"/>
      <w:b/>
      <w:szCs w:val="20"/>
    </w:rPr>
  </w:style>
  <w:style w:type="character" w:customStyle="1" w:styleId="SubtitleChar">
    <w:name w:val="Subtitle Char"/>
    <w:basedOn w:val="DefaultParagraphFont"/>
    <w:link w:val="Subtitle"/>
    <w:rsid w:val="005D7FD5"/>
    <w:rPr>
      <w:b/>
      <w:sz w:val="24"/>
    </w:rPr>
  </w:style>
  <w:style w:type="character" w:customStyle="1" w:styleId="SourceNotesChar">
    <w:name w:val="SourceNotes Char"/>
    <w:basedOn w:val="DefaultParagraphFont"/>
    <w:link w:val="SourceNotes"/>
    <w:uiPriority w:val="3"/>
    <w:locked/>
    <w:rsid w:val="00F37032"/>
    <w:rPr>
      <w:rFonts w:ascii="Calibri" w:eastAsiaTheme="minorEastAsia" w:hAnsi="Calibri" w:cs="Calibri"/>
      <w:sz w:val="18"/>
      <w:szCs w:val="18"/>
    </w:rPr>
  </w:style>
  <w:style w:type="paragraph" w:customStyle="1" w:styleId="SourceNotes">
    <w:name w:val="SourceNotes"/>
    <w:basedOn w:val="Normal"/>
    <w:next w:val="Normal"/>
    <w:link w:val="SourceNotesChar"/>
    <w:uiPriority w:val="3"/>
    <w:qFormat/>
    <w:rsid w:val="00F37032"/>
    <w:pPr>
      <w:tabs>
        <w:tab w:val="left" w:pos="1100"/>
      </w:tabs>
      <w:ind w:left="1100" w:hanging="1100"/>
      <w:jc w:val="left"/>
    </w:pPr>
    <w:rPr>
      <w:rFonts w:eastAsiaTheme="minorEastAsia" w:cs="Calibri"/>
      <w:sz w:val="18"/>
      <w:szCs w:val="18"/>
    </w:rPr>
  </w:style>
  <w:style w:type="character" w:customStyle="1" w:styleId="UnresolvedMention3">
    <w:name w:val="Unresolved Mention3"/>
    <w:basedOn w:val="DefaultParagraphFont"/>
    <w:uiPriority w:val="99"/>
    <w:semiHidden/>
    <w:unhideWhenUsed/>
    <w:rsid w:val="008F0BD6"/>
    <w:rPr>
      <w:color w:val="605E5C"/>
      <w:shd w:val="clear" w:color="auto" w:fill="E1DFDD"/>
    </w:rPr>
  </w:style>
  <w:style w:type="paragraph" w:styleId="NoSpacing">
    <w:name w:val="No Spacing"/>
    <w:uiPriority w:val="1"/>
    <w:qFormat/>
    <w:rsid w:val="00093EF2"/>
    <w:rPr>
      <w:sz w:val="24"/>
      <w:szCs w:val="24"/>
      <w:lang w:eastAsia="en-US"/>
    </w:rPr>
  </w:style>
  <w:style w:type="paragraph" w:styleId="PlainText">
    <w:name w:val="Plain Text"/>
    <w:basedOn w:val="Normal"/>
    <w:link w:val="PlainTextChar"/>
    <w:uiPriority w:val="99"/>
    <w:unhideWhenUsed/>
    <w:rsid w:val="00D8579D"/>
    <w:pPr>
      <w:jc w:val="left"/>
    </w:pPr>
    <w:rPr>
      <w:rFonts w:eastAsiaTheme="minorHAnsi" w:cs="Calibri"/>
      <w:sz w:val="22"/>
      <w:szCs w:val="22"/>
      <w:lang w:eastAsia="en-US"/>
    </w:rPr>
  </w:style>
  <w:style w:type="character" w:customStyle="1" w:styleId="PlainTextChar">
    <w:name w:val="Plain Text Char"/>
    <w:basedOn w:val="DefaultParagraphFont"/>
    <w:link w:val="PlainText"/>
    <w:uiPriority w:val="99"/>
    <w:rsid w:val="00D8579D"/>
    <w:rPr>
      <w:rFonts w:ascii="Calibri" w:eastAsiaTheme="minorHAnsi" w:hAnsi="Calibri" w:cs="Calibri"/>
      <w:sz w:val="22"/>
      <w:szCs w:val="22"/>
      <w:lang w:eastAsia="en-US"/>
    </w:rPr>
  </w:style>
  <w:style w:type="paragraph" w:customStyle="1" w:styleId="3Bodytext">
    <w:name w:val="3. Body text"/>
    <w:basedOn w:val="ListParagraph"/>
    <w:link w:val="3BodytextChar"/>
    <w:qFormat/>
    <w:rsid w:val="001310D9"/>
    <w:pPr>
      <w:spacing w:after="120"/>
      <w:ind w:hanging="720"/>
      <w:contextualSpacing w:val="0"/>
      <w:jc w:val="left"/>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1310D9"/>
    <w:rPr>
      <w:rFonts w:asciiTheme="minorHAnsi" w:eastAsiaTheme="minorHAnsi" w:hAnsiTheme="minorHAnsi" w:cstheme="minorBidi"/>
      <w:sz w:val="24"/>
      <w:szCs w:val="22"/>
    </w:rPr>
  </w:style>
  <w:style w:type="paragraph" w:customStyle="1" w:styleId="COMESH2">
    <w:name w:val="COM ES H2"/>
    <w:next w:val="COMESnumberedpara"/>
    <w:qFormat/>
    <w:rsid w:val="00C17690"/>
    <w:pPr>
      <w:keepNext/>
      <w:spacing w:before="240" w:after="120"/>
      <w:ind w:left="720" w:hanging="720"/>
      <w:outlineLvl w:val="0"/>
    </w:pPr>
    <w:rPr>
      <w:rFonts w:asciiTheme="minorHAnsi" w:hAnsiTheme="minorHAnsi" w:cs="Arial"/>
      <w:b/>
      <w:snapToGrid w:val="0"/>
      <w:sz w:val="32"/>
      <w:szCs w:val="32"/>
    </w:rPr>
  </w:style>
  <w:style w:type="paragraph" w:customStyle="1" w:styleId="COMESnumberedpara">
    <w:name w:val="COM ES numbered para"/>
    <w:link w:val="COMESnumberedparaChar"/>
    <w:qFormat/>
    <w:rsid w:val="00C17690"/>
    <w:pPr>
      <w:spacing w:before="60" w:after="60"/>
      <w:ind w:left="720" w:hanging="720"/>
      <w:jc w:val="both"/>
    </w:pPr>
    <w:rPr>
      <w:rFonts w:asciiTheme="minorHAnsi" w:eastAsiaTheme="minorHAnsi" w:hAnsiTheme="minorHAnsi" w:cstheme="minorBidi"/>
      <w:sz w:val="24"/>
      <w:szCs w:val="22"/>
    </w:rPr>
  </w:style>
  <w:style w:type="character" w:customStyle="1" w:styleId="COMESnumberedparaChar">
    <w:name w:val="COM ES numbered para Char"/>
    <w:basedOn w:val="DefaultParagraphFont"/>
    <w:link w:val="COMESnumberedpara"/>
    <w:rsid w:val="00C17690"/>
    <w:rPr>
      <w:rFonts w:asciiTheme="minorHAnsi" w:eastAsiaTheme="minorHAnsi" w:hAnsiTheme="minorHAnsi" w:cstheme="minorBidi"/>
      <w:sz w:val="24"/>
      <w:szCs w:val="22"/>
    </w:rPr>
  </w:style>
  <w:style w:type="character" w:customStyle="1" w:styleId="Heading1Char">
    <w:name w:val="Heading 1 Char"/>
    <w:basedOn w:val="DefaultParagraphFont"/>
    <w:link w:val="Heading1"/>
    <w:uiPriority w:val="1"/>
    <w:rsid w:val="00DF1C7A"/>
    <w:rPr>
      <w:rFonts w:ascii="Calibri" w:hAnsi="Calibri" w:cs="Arial"/>
      <w:b/>
      <w:caps/>
      <w:sz w:val="32"/>
      <w:szCs w:val="24"/>
    </w:rPr>
  </w:style>
  <w:style w:type="character" w:customStyle="1" w:styleId="Heading3Char">
    <w:name w:val="Heading 3 Char"/>
    <w:basedOn w:val="DefaultParagraphFont"/>
    <w:link w:val="Heading3"/>
    <w:rsid w:val="00DF1C7A"/>
    <w:rPr>
      <w:rFonts w:ascii="Calibri" w:hAnsi="Calibri" w:cs="Arial"/>
      <w:sz w:val="24"/>
      <w:szCs w:val="24"/>
      <w:u w:val="single"/>
    </w:rPr>
  </w:style>
  <w:style w:type="character" w:customStyle="1" w:styleId="Heading4Char">
    <w:name w:val="Heading 4 Char"/>
    <w:basedOn w:val="DefaultParagraphFont"/>
    <w:link w:val="Heading4"/>
    <w:rsid w:val="00DF1C7A"/>
    <w:rPr>
      <w:rFonts w:ascii="Calibri" w:hAnsi="Calibri" w:cs="Arial"/>
      <w:b/>
      <w:bCs/>
      <w:i/>
      <w:sz w:val="26"/>
      <w:szCs w:val="28"/>
    </w:rPr>
  </w:style>
  <w:style w:type="character" w:customStyle="1" w:styleId="Heading5Char">
    <w:name w:val="Heading 5 Char"/>
    <w:basedOn w:val="DefaultParagraphFont"/>
    <w:link w:val="Heading5"/>
    <w:rsid w:val="00DF1C7A"/>
    <w:rPr>
      <w:rFonts w:ascii="Calibri" w:hAnsi="Calibri" w:cs="Arial"/>
      <w:b/>
      <w:bCs/>
      <w:iCs/>
      <w:sz w:val="26"/>
      <w:szCs w:val="26"/>
    </w:rPr>
  </w:style>
  <w:style w:type="character" w:customStyle="1" w:styleId="Heading6Char">
    <w:name w:val="Heading 6 Char"/>
    <w:basedOn w:val="DefaultParagraphFont"/>
    <w:link w:val="Heading6"/>
    <w:rsid w:val="00DF1C7A"/>
    <w:rPr>
      <w:rFonts w:ascii="Calibri" w:hAnsi="Calibri" w:cs="Arial"/>
      <w:b/>
      <w:bCs/>
      <w:i/>
      <w:sz w:val="24"/>
      <w:szCs w:val="24"/>
    </w:rPr>
  </w:style>
  <w:style w:type="character" w:styleId="UnresolvedMention">
    <w:name w:val="Unresolved Mention"/>
    <w:basedOn w:val="DefaultParagraphFont"/>
    <w:uiPriority w:val="99"/>
    <w:semiHidden/>
    <w:unhideWhenUsed/>
    <w:rsid w:val="00CA1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354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01248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8409515">
      <w:bodyDiv w:val="1"/>
      <w:marLeft w:val="0"/>
      <w:marRight w:val="0"/>
      <w:marTop w:val="0"/>
      <w:marBottom w:val="0"/>
      <w:divBdr>
        <w:top w:val="none" w:sz="0" w:space="0" w:color="auto"/>
        <w:left w:val="none" w:sz="0" w:space="0" w:color="auto"/>
        <w:bottom w:val="none" w:sz="0" w:space="0" w:color="auto"/>
        <w:right w:val="none" w:sz="0" w:space="0" w:color="auto"/>
      </w:divBdr>
      <w:divsChild>
        <w:div w:id="1846897214">
          <w:marLeft w:val="360"/>
          <w:marRight w:val="0"/>
          <w:marTop w:val="200"/>
          <w:marBottom w:val="0"/>
          <w:divBdr>
            <w:top w:val="none" w:sz="0" w:space="0" w:color="auto"/>
            <w:left w:val="none" w:sz="0" w:space="0" w:color="auto"/>
            <w:bottom w:val="none" w:sz="0" w:space="0" w:color="auto"/>
            <w:right w:val="none" w:sz="0" w:space="0" w:color="auto"/>
          </w:divBdr>
        </w:div>
        <w:div w:id="1162240199">
          <w:marLeft w:val="1080"/>
          <w:marRight w:val="0"/>
          <w:marTop w:val="100"/>
          <w:marBottom w:val="0"/>
          <w:divBdr>
            <w:top w:val="none" w:sz="0" w:space="0" w:color="auto"/>
            <w:left w:val="none" w:sz="0" w:space="0" w:color="auto"/>
            <w:bottom w:val="none" w:sz="0" w:space="0" w:color="auto"/>
            <w:right w:val="none" w:sz="0" w:space="0" w:color="auto"/>
          </w:divBdr>
        </w:div>
        <w:div w:id="777676014">
          <w:marLeft w:val="1080"/>
          <w:marRight w:val="0"/>
          <w:marTop w:val="100"/>
          <w:marBottom w:val="0"/>
          <w:divBdr>
            <w:top w:val="none" w:sz="0" w:space="0" w:color="auto"/>
            <w:left w:val="none" w:sz="0" w:space="0" w:color="auto"/>
            <w:bottom w:val="none" w:sz="0" w:space="0" w:color="auto"/>
            <w:right w:val="none" w:sz="0" w:space="0" w:color="auto"/>
          </w:divBdr>
        </w:div>
        <w:div w:id="1326711565">
          <w:marLeft w:val="1800"/>
          <w:marRight w:val="0"/>
          <w:marTop w:val="100"/>
          <w:marBottom w:val="0"/>
          <w:divBdr>
            <w:top w:val="none" w:sz="0" w:space="0" w:color="auto"/>
            <w:left w:val="none" w:sz="0" w:space="0" w:color="auto"/>
            <w:bottom w:val="none" w:sz="0" w:space="0" w:color="auto"/>
            <w:right w:val="none" w:sz="0" w:space="0" w:color="auto"/>
          </w:divBdr>
        </w:div>
        <w:div w:id="1231690397">
          <w:marLeft w:val="1800"/>
          <w:marRight w:val="0"/>
          <w:marTop w:val="100"/>
          <w:marBottom w:val="0"/>
          <w:divBdr>
            <w:top w:val="none" w:sz="0" w:space="0" w:color="auto"/>
            <w:left w:val="none" w:sz="0" w:space="0" w:color="auto"/>
            <w:bottom w:val="none" w:sz="0" w:space="0" w:color="auto"/>
            <w:right w:val="none" w:sz="0" w:space="0" w:color="auto"/>
          </w:divBdr>
        </w:div>
      </w:divsChild>
    </w:div>
    <w:div w:id="527841324">
      <w:bodyDiv w:val="1"/>
      <w:marLeft w:val="0"/>
      <w:marRight w:val="0"/>
      <w:marTop w:val="0"/>
      <w:marBottom w:val="0"/>
      <w:divBdr>
        <w:top w:val="none" w:sz="0" w:space="0" w:color="auto"/>
        <w:left w:val="none" w:sz="0" w:space="0" w:color="auto"/>
        <w:bottom w:val="none" w:sz="0" w:space="0" w:color="auto"/>
        <w:right w:val="none" w:sz="0" w:space="0" w:color="auto"/>
      </w:divBdr>
    </w:div>
    <w:div w:id="682048369">
      <w:bodyDiv w:val="1"/>
      <w:marLeft w:val="0"/>
      <w:marRight w:val="0"/>
      <w:marTop w:val="0"/>
      <w:marBottom w:val="0"/>
      <w:divBdr>
        <w:top w:val="none" w:sz="0" w:space="0" w:color="auto"/>
        <w:left w:val="none" w:sz="0" w:space="0" w:color="auto"/>
        <w:bottom w:val="none" w:sz="0" w:space="0" w:color="auto"/>
        <w:right w:val="none" w:sz="0" w:space="0" w:color="auto"/>
      </w:divBdr>
    </w:div>
    <w:div w:id="949320895">
      <w:bodyDiv w:val="1"/>
      <w:marLeft w:val="0"/>
      <w:marRight w:val="0"/>
      <w:marTop w:val="0"/>
      <w:marBottom w:val="0"/>
      <w:divBdr>
        <w:top w:val="none" w:sz="0" w:space="0" w:color="auto"/>
        <w:left w:val="none" w:sz="0" w:space="0" w:color="auto"/>
        <w:bottom w:val="none" w:sz="0" w:space="0" w:color="auto"/>
        <w:right w:val="none" w:sz="0" w:space="0" w:color="auto"/>
      </w:divBdr>
    </w:div>
    <w:div w:id="972520021">
      <w:bodyDiv w:val="1"/>
      <w:marLeft w:val="0"/>
      <w:marRight w:val="0"/>
      <w:marTop w:val="0"/>
      <w:marBottom w:val="0"/>
      <w:divBdr>
        <w:top w:val="none" w:sz="0" w:space="0" w:color="auto"/>
        <w:left w:val="none" w:sz="0" w:space="0" w:color="auto"/>
        <w:bottom w:val="none" w:sz="0" w:space="0" w:color="auto"/>
        <w:right w:val="none" w:sz="0" w:space="0" w:color="auto"/>
      </w:divBdr>
      <w:divsChild>
        <w:div w:id="1043946554">
          <w:marLeft w:val="0"/>
          <w:marRight w:val="0"/>
          <w:marTop w:val="150"/>
          <w:marBottom w:val="270"/>
          <w:divBdr>
            <w:top w:val="none" w:sz="0" w:space="0" w:color="auto"/>
            <w:left w:val="none" w:sz="0" w:space="0" w:color="auto"/>
            <w:bottom w:val="none" w:sz="0" w:space="0" w:color="auto"/>
            <w:right w:val="none" w:sz="0" w:space="0" w:color="auto"/>
          </w:divBdr>
        </w:div>
        <w:div w:id="1155611667">
          <w:marLeft w:val="0"/>
          <w:marRight w:val="0"/>
          <w:marTop w:val="150"/>
          <w:marBottom w:val="270"/>
          <w:divBdr>
            <w:top w:val="none" w:sz="0" w:space="0" w:color="auto"/>
            <w:left w:val="none" w:sz="0" w:space="0" w:color="auto"/>
            <w:bottom w:val="none" w:sz="0" w:space="0" w:color="auto"/>
            <w:right w:val="none" w:sz="0" w:space="0" w:color="auto"/>
          </w:divBdr>
        </w:div>
        <w:div w:id="1636181280">
          <w:marLeft w:val="0"/>
          <w:marRight w:val="0"/>
          <w:marTop w:val="150"/>
          <w:marBottom w:val="270"/>
          <w:divBdr>
            <w:top w:val="none" w:sz="0" w:space="0" w:color="auto"/>
            <w:left w:val="none" w:sz="0" w:space="0" w:color="auto"/>
            <w:bottom w:val="none" w:sz="0" w:space="0" w:color="auto"/>
            <w:right w:val="none" w:sz="0" w:space="0" w:color="auto"/>
          </w:divBdr>
        </w:div>
      </w:divsChild>
    </w:div>
    <w:div w:id="984359556">
      <w:bodyDiv w:val="1"/>
      <w:marLeft w:val="0"/>
      <w:marRight w:val="0"/>
      <w:marTop w:val="0"/>
      <w:marBottom w:val="0"/>
      <w:divBdr>
        <w:top w:val="none" w:sz="0" w:space="0" w:color="auto"/>
        <w:left w:val="none" w:sz="0" w:space="0" w:color="auto"/>
        <w:bottom w:val="none" w:sz="0" w:space="0" w:color="auto"/>
        <w:right w:val="none" w:sz="0" w:space="0" w:color="auto"/>
      </w:divBdr>
    </w:div>
    <w:div w:id="1028527172">
      <w:bodyDiv w:val="1"/>
      <w:marLeft w:val="0"/>
      <w:marRight w:val="0"/>
      <w:marTop w:val="0"/>
      <w:marBottom w:val="0"/>
      <w:divBdr>
        <w:top w:val="none" w:sz="0" w:space="0" w:color="auto"/>
        <w:left w:val="none" w:sz="0" w:space="0" w:color="auto"/>
        <w:bottom w:val="none" w:sz="0" w:space="0" w:color="auto"/>
        <w:right w:val="none" w:sz="0" w:space="0" w:color="auto"/>
      </w:divBdr>
    </w:div>
    <w:div w:id="1076591899">
      <w:bodyDiv w:val="1"/>
      <w:marLeft w:val="0"/>
      <w:marRight w:val="0"/>
      <w:marTop w:val="0"/>
      <w:marBottom w:val="0"/>
      <w:divBdr>
        <w:top w:val="none" w:sz="0" w:space="0" w:color="auto"/>
        <w:left w:val="none" w:sz="0" w:space="0" w:color="auto"/>
        <w:bottom w:val="none" w:sz="0" w:space="0" w:color="auto"/>
        <w:right w:val="none" w:sz="0" w:space="0" w:color="auto"/>
      </w:divBdr>
    </w:div>
    <w:div w:id="1086150762">
      <w:bodyDiv w:val="1"/>
      <w:marLeft w:val="0"/>
      <w:marRight w:val="0"/>
      <w:marTop w:val="0"/>
      <w:marBottom w:val="0"/>
      <w:divBdr>
        <w:top w:val="none" w:sz="0" w:space="0" w:color="auto"/>
        <w:left w:val="none" w:sz="0" w:space="0" w:color="auto"/>
        <w:bottom w:val="none" w:sz="0" w:space="0" w:color="auto"/>
        <w:right w:val="none" w:sz="0" w:space="0" w:color="auto"/>
      </w:divBdr>
    </w:div>
    <w:div w:id="1153526340">
      <w:bodyDiv w:val="1"/>
      <w:marLeft w:val="0"/>
      <w:marRight w:val="0"/>
      <w:marTop w:val="0"/>
      <w:marBottom w:val="0"/>
      <w:divBdr>
        <w:top w:val="none" w:sz="0" w:space="0" w:color="auto"/>
        <w:left w:val="none" w:sz="0" w:space="0" w:color="auto"/>
        <w:bottom w:val="none" w:sz="0" w:space="0" w:color="auto"/>
        <w:right w:val="none" w:sz="0" w:space="0" w:color="auto"/>
      </w:divBdr>
      <w:divsChild>
        <w:div w:id="398603132">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475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30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1B633-11E7-4630-A0F1-D423F8B26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6E140-E2C2-4F5E-8D0B-E577A3FA0EE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F3A5C678-C3DE-413B-8D61-1E43CA62A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2B0F4-03E6-4F87-A6A7-95E1F074EB5A}">
  <ds:schemaRefs>
    <ds:schemaRef ds:uri="http://schemas.openxmlformats.org/officeDocument/2006/bibliography"/>
  </ds:schemaRefs>
</ds:datastoreItem>
</file>

<file path=customXml/itemProps5.xml><?xml version="1.0" encoding="utf-8"?>
<ds:datastoreItem xmlns:ds="http://schemas.openxmlformats.org/officeDocument/2006/customXml" ds:itemID="{3952A7DF-14CB-4100-8C02-1DA2619AA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13218</Words>
  <Characters>76139</Characters>
  <Application>Microsoft Office Word</Application>
  <DocSecurity>0</DocSecurity>
  <Lines>2114</Lines>
  <Paragraphs>1374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2026-09-07T08:03:00Z</dcterms:created>
  <dcterms:modified xsi:type="dcterms:W3CDTF">2026-09-11T03:41:00Z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785b636e,2f71be00,4826785e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58796709,5dac65e3,6db75116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2026-07-15T00:30:13Z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977c3b90-c1f6-4ea4-ada6-cb93687bee64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39df9c6b-793c-4016-b195-fddba94fa888_Name">
    <vt:lpwstr>OS</vt:lpwstr>
  </property>
  <property fmtid="{D5CDD505-2E9C-101B-9397-08002B2CF9AE}" pid="17" name="MediaServiceImageTags">
    <vt:lpwstr/>
  </property>
  <property fmtid="{D5CDD505-2E9C-101B-9397-08002B2CF9AE}" pid="18" name="MSIP_Label_39df9c6b-793c-4016-b195-fddba94fa888_ContentBits">
    <vt:lpwstr>3</vt:lpwstr>
  </property>
  <property fmtid="{D5CDD505-2E9C-101B-9397-08002B2CF9AE}" pid="19" name="MSIP_Label_39df9c6b-793c-4016-b195-fddba94fa888_Tag">
    <vt:lpwstr>10, 0, 1, 1</vt:lpwstr>
  </property>
  <property fmtid="{D5CDD505-2E9C-101B-9397-08002B2CF9AE}" pid="20" name="ContentTypeId">
    <vt:lpwstr>0x0101007FED174C5281F747A8037A05221D6DBD</vt:lpwstr>
  </property>
  <property fmtid="{D5CDD505-2E9C-101B-9397-08002B2CF9AE}" pid="21" name="MSIP_Label_39df9c6b-793c-4016-b195-fddba94fa888_Enabled">
    <vt:lpwstr>true</vt:lpwstr>
  </property>
  <property fmtid="{D5CDD505-2E9C-101B-9397-08002B2CF9AE}" pid="22" name="MSIP_Label_39df9c6b-793c-4016-b195-fddba94fa888_SetDate">
    <vt:lpwstr>2026-06-12T01:17:24Z</vt:lpwstr>
  </property>
  <property fmtid="{D5CDD505-2E9C-101B-9397-08002B2CF9AE}" pid="23" name="MSIP_Label_39df9c6b-793c-4016-b195-fddba94fa888_ActionId">
    <vt:lpwstr>9a0a0be4-fd61-436f-abdb-579791ccedc4</vt:lpwstr>
  </property>
  <property fmtid="{D5CDD505-2E9C-101B-9397-08002B2CF9AE}" pid="24" name="MSIP_Label_39df9c6b-793c-4016-b195-fddba94fa888_Method">
    <vt:lpwstr>Privileged</vt:lpwstr>
  </property>
  <property fmtid="{D5CDD505-2E9C-101B-9397-08002B2CF9AE}" pid="25" name="MSIP_Label_39df9c6b-793c-4016-b195-fddba94fa888_SiteId">
    <vt:lpwstr>34a3929c-73cf-4954-abfe-147dc3517892</vt:lpwstr>
  </property>
  <property fmtid="{D5CDD505-2E9C-101B-9397-08002B2CF9AE}" pid="26" name="docLang">
    <vt:lpwstr>en</vt:lpwstr>
  </property>
</Properties>
</file>