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3A12D" w14:textId="77777777" w:rsidR="00E5729B" w:rsidRPr="00A63A02" w:rsidRDefault="00E5729B" w:rsidP="00E5729B">
      <w:pPr>
        <w:keepNext/>
        <w:keepLines/>
        <w:spacing w:before="240" w:after="0"/>
        <w:outlineLvl w:val="0"/>
        <w:rPr>
          <w:rFonts w:ascii="Arial" w:eastAsia="Times New Roman" w:hAnsi="Arial" w:cs="Arial"/>
          <w:sz w:val="36"/>
          <w:szCs w:val="32"/>
        </w:rPr>
      </w:pPr>
      <w:r w:rsidRPr="00A63A02">
        <w:rPr>
          <w:rFonts w:ascii="Arial" w:eastAsia="Times New Roman" w:hAnsi="Arial" w:cs="Arial"/>
          <w:noProof/>
          <w:sz w:val="32"/>
          <w:szCs w:val="32"/>
          <w:lang w:eastAsia="en-AU"/>
        </w:rPr>
        <w:drawing>
          <wp:anchor distT="0" distB="0" distL="114300" distR="114300" simplePos="0" relativeHeight="251659264" behindDoc="0" locked="0" layoutInCell="1" allowOverlap="1" wp14:anchorId="6B7C3DFD" wp14:editId="40C2B8E9">
            <wp:simplePos x="0" y="0"/>
            <wp:positionH relativeFrom="column">
              <wp:posOffset>2028825</wp:posOffset>
            </wp:positionH>
            <wp:positionV relativeFrom="paragraph">
              <wp:posOffset>0</wp:posOffset>
            </wp:positionV>
            <wp:extent cx="1619250" cy="1079500"/>
            <wp:effectExtent l="0" t="0" r="0" b="6350"/>
            <wp:wrapSquare wrapText="bothSides"/>
            <wp:docPr id="1" name="Picture 1" descr="Department of Health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Health 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250" cy="1079500"/>
                    </a:xfrm>
                    <a:prstGeom prst="rect">
                      <a:avLst/>
                    </a:prstGeom>
                    <a:noFill/>
                    <a:ln>
                      <a:noFill/>
                    </a:ln>
                  </pic:spPr>
                </pic:pic>
              </a:graphicData>
            </a:graphic>
          </wp:anchor>
        </w:drawing>
      </w:r>
    </w:p>
    <w:p w14:paraId="195B3A47" w14:textId="77777777" w:rsidR="00E5729B" w:rsidRPr="00A63A02" w:rsidRDefault="00E5729B" w:rsidP="00E5729B">
      <w:pPr>
        <w:keepNext/>
        <w:keepLines/>
        <w:spacing w:before="240" w:after="0"/>
        <w:outlineLvl w:val="0"/>
        <w:rPr>
          <w:rFonts w:ascii="Arial" w:eastAsia="Times New Roman" w:hAnsi="Arial" w:cs="Arial"/>
          <w:sz w:val="36"/>
          <w:szCs w:val="32"/>
        </w:rPr>
      </w:pPr>
    </w:p>
    <w:p w14:paraId="5BD7843E" w14:textId="77777777" w:rsidR="00E5729B" w:rsidRPr="00A63A02" w:rsidRDefault="00E5729B" w:rsidP="00E5729B">
      <w:pPr>
        <w:keepNext/>
        <w:keepLines/>
        <w:spacing w:before="240" w:after="240"/>
        <w:contextualSpacing/>
        <w:outlineLvl w:val="0"/>
        <w:rPr>
          <w:rFonts w:ascii="Arial" w:eastAsia="Times New Roman" w:hAnsi="Arial" w:cs="Arial"/>
          <w:b/>
          <w:color w:val="2E74B5"/>
          <w:sz w:val="32"/>
          <w:szCs w:val="32"/>
        </w:rPr>
      </w:pPr>
    </w:p>
    <w:p w14:paraId="75F91F2E" w14:textId="263EDE41" w:rsidR="00E5729B" w:rsidRPr="00A63A02" w:rsidRDefault="00E5729B" w:rsidP="00A63A02">
      <w:pPr>
        <w:pStyle w:val="Heading1"/>
        <w:rPr>
          <w:rFonts w:ascii="Arial" w:eastAsia="Times New Roman" w:hAnsi="Arial" w:cs="Arial"/>
          <w:b/>
          <w:bCs/>
        </w:rPr>
      </w:pPr>
      <w:r w:rsidRPr="00A63A02">
        <w:rPr>
          <w:rFonts w:ascii="Arial" w:eastAsia="Times New Roman" w:hAnsi="Arial" w:cs="Arial"/>
          <w:b/>
          <w:bCs/>
        </w:rPr>
        <w:t xml:space="preserve">PBS Arrangements for </w:t>
      </w:r>
      <w:r w:rsidR="00943D34" w:rsidRPr="00A63A02">
        <w:rPr>
          <w:rFonts w:ascii="Arial" w:eastAsia="Times New Roman" w:hAnsi="Arial" w:cs="Arial"/>
          <w:b/>
          <w:bCs/>
        </w:rPr>
        <w:t>m</w:t>
      </w:r>
      <w:r w:rsidR="009232F4" w:rsidRPr="00A63A02">
        <w:rPr>
          <w:rFonts w:ascii="Arial" w:eastAsia="Times New Roman" w:hAnsi="Arial" w:cs="Arial"/>
          <w:b/>
          <w:bCs/>
        </w:rPr>
        <w:t xml:space="preserve">edicines for the </w:t>
      </w:r>
      <w:r w:rsidR="00943D34" w:rsidRPr="00A63A02">
        <w:rPr>
          <w:rFonts w:ascii="Arial" w:eastAsia="Times New Roman" w:hAnsi="Arial" w:cs="Arial"/>
          <w:b/>
          <w:bCs/>
        </w:rPr>
        <w:t>t</w:t>
      </w:r>
      <w:r w:rsidR="009232F4" w:rsidRPr="00A63A02">
        <w:rPr>
          <w:rFonts w:ascii="Arial" w:eastAsia="Times New Roman" w:hAnsi="Arial" w:cs="Arial"/>
          <w:b/>
          <w:bCs/>
        </w:rPr>
        <w:t xml:space="preserve">reatment of </w:t>
      </w:r>
      <w:r w:rsidR="00943D34" w:rsidRPr="00A63A02">
        <w:rPr>
          <w:rFonts w:ascii="Arial" w:eastAsia="Times New Roman" w:hAnsi="Arial" w:cs="Arial"/>
          <w:b/>
          <w:bCs/>
        </w:rPr>
        <w:t>p</w:t>
      </w:r>
      <w:r w:rsidR="009232F4" w:rsidRPr="00A63A02">
        <w:rPr>
          <w:rFonts w:ascii="Arial" w:eastAsia="Times New Roman" w:hAnsi="Arial" w:cs="Arial"/>
          <w:b/>
          <w:bCs/>
        </w:rPr>
        <w:t xml:space="preserve">aroxysmal </w:t>
      </w:r>
      <w:r w:rsidR="00943D34" w:rsidRPr="00A63A02">
        <w:rPr>
          <w:rFonts w:ascii="Arial" w:eastAsia="Times New Roman" w:hAnsi="Arial" w:cs="Arial"/>
          <w:b/>
          <w:bCs/>
        </w:rPr>
        <w:t>n</w:t>
      </w:r>
      <w:r w:rsidR="009232F4" w:rsidRPr="00A63A02">
        <w:rPr>
          <w:rFonts w:ascii="Arial" w:eastAsia="Times New Roman" w:hAnsi="Arial" w:cs="Arial"/>
          <w:b/>
          <w:bCs/>
        </w:rPr>
        <w:t xml:space="preserve">octurnal </w:t>
      </w:r>
      <w:r w:rsidR="00943D34" w:rsidRPr="00A63A02">
        <w:rPr>
          <w:rFonts w:ascii="Arial" w:eastAsia="Times New Roman" w:hAnsi="Arial" w:cs="Arial"/>
          <w:b/>
          <w:bCs/>
        </w:rPr>
        <w:t>h</w:t>
      </w:r>
      <w:r w:rsidR="009232F4" w:rsidRPr="00A63A02">
        <w:rPr>
          <w:rFonts w:ascii="Arial" w:eastAsia="Times New Roman" w:hAnsi="Arial" w:cs="Arial"/>
          <w:b/>
          <w:bCs/>
        </w:rPr>
        <w:t>aemoglobinuria</w:t>
      </w:r>
    </w:p>
    <w:p w14:paraId="712E0DB0" w14:textId="77777777" w:rsidR="00E5729B" w:rsidRPr="00A63A02" w:rsidRDefault="00E5729B" w:rsidP="00A63A02">
      <w:pPr>
        <w:pStyle w:val="Heading2"/>
        <w:rPr>
          <w:rFonts w:ascii="Arial" w:eastAsia="Times New Roman" w:hAnsi="Arial" w:cs="Arial"/>
        </w:rPr>
      </w:pPr>
      <w:r w:rsidRPr="00A63A02">
        <w:rPr>
          <w:rFonts w:ascii="Arial" w:eastAsia="Times New Roman" w:hAnsi="Arial" w:cs="Arial"/>
        </w:rPr>
        <w:t>1 March 2022</w:t>
      </w:r>
    </w:p>
    <w:p w14:paraId="0ECFFB06" w14:textId="6CFECBFA" w:rsidR="00E5729B" w:rsidRPr="00A63A02" w:rsidRDefault="00E5729B" w:rsidP="00E5729B">
      <w:pPr>
        <w:rPr>
          <w:rFonts w:ascii="Arial" w:eastAsia="Calibri" w:hAnsi="Arial" w:cs="Arial"/>
          <w:bCs/>
          <w:sz w:val="24"/>
          <w:szCs w:val="24"/>
        </w:rPr>
      </w:pPr>
      <w:r w:rsidRPr="00A63A02">
        <w:rPr>
          <w:rFonts w:ascii="Arial" w:eastAsia="Calibri" w:hAnsi="Arial" w:cs="Arial"/>
          <w:bCs/>
          <w:sz w:val="24"/>
          <w:szCs w:val="24"/>
        </w:rPr>
        <w:t xml:space="preserve">Commencing 1 March 2022 </w:t>
      </w:r>
      <w:proofErr w:type="spellStart"/>
      <w:r w:rsidRPr="00A63A02">
        <w:rPr>
          <w:rFonts w:ascii="Arial" w:eastAsia="Calibri" w:hAnsi="Arial" w:cs="Arial"/>
          <w:bCs/>
          <w:sz w:val="24"/>
          <w:szCs w:val="24"/>
        </w:rPr>
        <w:t>Soliris</w:t>
      </w:r>
      <w:proofErr w:type="spellEnd"/>
      <w:r w:rsidR="00C15B2A"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(eculizumab) and </w:t>
      </w:r>
      <w:proofErr w:type="spellStart"/>
      <w:r w:rsidRPr="00A63A02">
        <w:rPr>
          <w:rFonts w:ascii="Arial" w:eastAsia="Calibri" w:hAnsi="Arial" w:cs="Arial"/>
          <w:bCs/>
          <w:sz w:val="24"/>
          <w:szCs w:val="24"/>
        </w:rPr>
        <w:t>Ultomiris</w:t>
      </w:r>
      <w:proofErr w:type="spellEnd"/>
      <w:r w:rsidR="00C15B2A"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w:t>
      </w:r>
      <w:proofErr w:type="spellStart"/>
      <w:r w:rsidRPr="00A63A02">
        <w:rPr>
          <w:rFonts w:ascii="Arial" w:eastAsia="Calibri" w:hAnsi="Arial" w:cs="Arial"/>
          <w:bCs/>
          <w:sz w:val="24"/>
          <w:szCs w:val="24"/>
        </w:rPr>
        <w:t>ravulizumab</w:t>
      </w:r>
      <w:proofErr w:type="spellEnd"/>
      <w:r w:rsidRPr="00A63A02">
        <w:rPr>
          <w:rFonts w:ascii="Arial" w:eastAsia="Calibri" w:hAnsi="Arial" w:cs="Arial"/>
          <w:bCs/>
          <w:sz w:val="24"/>
          <w:szCs w:val="24"/>
        </w:rPr>
        <w:t>) will be listed on the Pharmaceutical Benefits Scheme (PBS) Section</w:t>
      </w:r>
      <w:r w:rsidR="00FA2A59" w:rsidRPr="00A63A02">
        <w:rPr>
          <w:rFonts w:ascii="Arial" w:eastAsia="Calibri" w:hAnsi="Arial" w:cs="Arial"/>
          <w:bCs/>
          <w:sz w:val="24"/>
          <w:szCs w:val="24"/>
        </w:rPr>
        <w:t xml:space="preserve"> </w:t>
      </w:r>
      <w:r w:rsidRPr="00A63A02">
        <w:rPr>
          <w:rFonts w:ascii="Arial" w:eastAsia="Calibri" w:hAnsi="Arial" w:cs="Arial"/>
          <w:bCs/>
          <w:sz w:val="24"/>
          <w:szCs w:val="24"/>
        </w:rPr>
        <w:t>100</w:t>
      </w:r>
      <w:r w:rsidR="00FA2A59" w:rsidRPr="00A63A02">
        <w:rPr>
          <w:rFonts w:ascii="Arial" w:eastAsia="Calibri" w:hAnsi="Arial" w:cs="Arial"/>
          <w:bCs/>
          <w:sz w:val="24"/>
          <w:szCs w:val="24"/>
        </w:rPr>
        <w:t xml:space="preserve"> </w:t>
      </w:r>
      <w:r w:rsidRPr="00A63A02">
        <w:rPr>
          <w:rFonts w:ascii="Arial" w:eastAsia="Calibri" w:hAnsi="Arial" w:cs="Arial"/>
          <w:bCs/>
          <w:sz w:val="24"/>
          <w:szCs w:val="24"/>
        </w:rPr>
        <w:t xml:space="preserve">Highly Specialised Drugs </w:t>
      </w:r>
      <w:r w:rsidR="00766E5A" w:rsidRPr="00A63A02">
        <w:rPr>
          <w:rFonts w:ascii="Arial" w:eastAsia="Calibri" w:hAnsi="Arial" w:cs="Arial"/>
          <w:bCs/>
          <w:sz w:val="24"/>
          <w:szCs w:val="24"/>
        </w:rPr>
        <w:t xml:space="preserve">(HSD) </w:t>
      </w:r>
      <w:r w:rsidR="00FA2A59" w:rsidRPr="00A63A02">
        <w:rPr>
          <w:rFonts w:ascii="Arial" w:eastAsia="Calibri" w:hAnsi="Arial" w:cs="Arial"/>
          <w:bCs/>
          <w:sz w:val="24"/>
          <w:szCs w:val="24"/>
        </w:rPr>
        <w:t>p</w:t>
      </w:r>
      <w:r w:rsidRPr="00A63A02">
        <w:rPr>
          <w:rFonts w:ascii="Arial" w:eastAsia="Calibri" w:hAnsi="Arial" w:cs="Arial"/>
          <w:bCs/>
          <w:sz w:val="24"/>
          <w:szCs w:val="24"/>
        </w:rPr>
        <w:t xml:space="preserve">rogram for the treatment of </w:t>
      </w:r>
      <w:r w:rsidR="008E05C8" w:rsidRPr="00A63A02">
        <w:rPr>
          <w:rFonts w:ascii="Arial" w:eastAsia="Calibri" w:hAnsi="Arial" w:cs="Arial"/>
          <w:bCs/>
          <w:sz w:val="24"/>
          <w:szCs w:val="24"/>
        </w:rPr>
        <w:t>p</w:t>
      </w:r>
      <w:r w:rsidRPr="00A63A02">
        <w:rPr>
          <w:rFonts w:ascii="Arial" w:eastAsia="Calibri" w:hAnsi="Arial" w:cs="Arial"/>
          <w:bCs/>
          <w:sz w:val="24"/>
          <w:szCs w:val="24"/>
        </w:rPr>
        <w:t xml:space="preserve">aroxysmal nocturnal haemoglobinuria (PNH) under certain conditions. </w:t>
      </w:r>
    </w:p>
    <w:p w14:paraId="5BDDBFD0" w14:textId="2E3DA5FE" w:rsidR="00E5729B" w:rsidRPr="00A63A02" w:rsidRDefault="00F37CBC" w:rsidP="00E5729B">
      <w:pPr>
        <w:rPr>
          <w:rFonts w:ascii="Arial" w:eastAsia="Calibri" w:hAnsi="Arial" w:cs="Arial"/>
          <w:bCs/>
          <w:sz w:val="24"/>
          <w:szCs w:val="24"/>
        </w:rPr>
      </w:pPr>
      <w:r w:rsidRPr="00A63A02">
        <w:rPr>
          <w:rFonts w:ascii="Arial" w:eastAsia="Calibri" w:hAnsi="Arial" w:cs="Arial"/>
          <w:bCs/>
          <w:sz w:val="24"/>
          <w:szCs w:val="24"/>
        </w:rPr>
        <w:t xml:space="preserve">Access to </w:t>
      </w:r>
      <w:proofErr w:type="spellStart"/>
      <w:r w:rsidR="00E5729B" w:rsidRPr="00A63A02">
        <w:rPr>
          <w:rFonts w:ascii="Arial" w:eastAsia="Calibri" w:hAnsi="Arial" w:cs="Arial"/>
          <w:bCs/>
          <w:sz w:val="24"/>
          <w:szCs w:val="24"/>
        </w:rPr>
        <w:t>Soliris</w:t>
      </w:r>
      <w:proofErr w:type="spellEnd"/>
      <w:r w:rsidR="00C15B2A" w:rsidRPr="00A63A02">
        <w:rPr>
          <w:rFonts w:ascii="Arial" w:eastAsia="Calibri" w:hAnsi="Arial" w:cs="Arial"/>
          <w:b/>
          <w:bCs/>
          <w:sz w:val="24"/>
          <w:szCs w:val="24"/>
          <w:vertAlign w:val="superscript"/>
        </w:rPr>
        <w:t>®</w:t>
      </w:r>
      <w:r w:rsidR="00E5729B" w:rsidRPr="00A63A02">
        <w:rPr>
          <w:rFonts w:ascii="Arial" w:eastAsia="Calibri" w:hAnsi="Arial" w:cs="Arial"/>
          <w:bCs/>
          <w:sz w:val="24"/>
          <w:szCs w:val="24"/>
        </w:rPr>
        <w:t xml:space="preserve"> </w:t>
      </w:r>
      <w:r w:rsidRPr="00A63A02">
        <w:rPr>
          <w:rFonts w:ascii="Arial" w:eastAsia="Calibri" w:hAnsi="Arial" w:cs="Arial"/>
          <w:bCs/>
          <w:sz w:val="24"/>
          <w:szCs w:val="24"/>
        </w:rPr>
        <w:t>under</w:t>
      </w:r>
      <w:r w:rsidR="00E5729B" w:rsidRPr="00A63A02">
        <w:rPr>
          <w:rFonts w:ascii="Arial" w:eastAsia="Calibri" w:hAnsi="Arial" w:cs="Arial"/>
          <w:bCs/>
          <w:sz w:val="24"/>
          <w:szCs w:val="24"/>
        </w:rPr>
        <w:t xml:space="preserve"> the Life Saving Drugs Program (LSDP)</w:t>
      </w:r>
      <w:r w:rsidRPr="00A63A02">
        <w:rPr>
          <w:rFonts w:ascii="Arial" w:eastAsia="Calibri" w:hAnsi="Arial" w:cs="Arial"/>
          <w:bCs/>
          <w:sz w:val="24"/>
          <w:szCs w:val="24"/>
        </w:rPr>
        <w:t xml:space="preserve"> will be ceased for new patients from 1 March 2022</w:t>
      </w:r>
      <w:r w:rsidR="00E5729B" w:rsidRPr="00A63A02">
        <w:rPr>
          <w:rFonts w:ascii="Arial" w:eastAsia="Calibri" w:hAnsi="Arial" w:cs="Arial"/>
          <w:bCs/>
          <w:sz w:val="24"/>
          <w:szCs w:val="24"/>
        </w:rPr>
        <w:t xml:space="preserve">. To ensure </w:t>
      </w:r>
      <w:r w:rsidRPr="00A63A02">
        <w:rPr>
          <w:rFonts w:ascii="Arial" w:eastAsia="Calibri" w:hAnsi="Arial" w:cs="Arial"/>
          <w:bCs/>
          <w:sz w:val="24"/>
          <w:szCs w:val="24"/>
        </w:rPr>
        <w:t>patient</w:t>
      </w:r>
      <w:r w:rsidR="00CE2DC6" w:rsidRPr="00A63A02">
        <w:rPr>
          <w:rFonts w:ascii="Arial" w:eastAsia="Calibri" w:hAnsi="Arial" w:cs="Arial"/>
          <w:bCs/>
          <w:sz w:val="24"/>
          <w:szCs w:val="24"/>
        </w:rPr>
        <w:t xml:space="preserve"> </w:t>
      </w:r>
      <w:r w:rsidR="00E5729B" w:rsidRPr="00A63A02">
        <w:rPr>
          <w:rFonts w:ascii="Arial" w:eastAsia="Calibri" w:hAnsi="Arial" w:cs="Arial"/>
          <w:bCs/>
          <w:sz w:val="24"/>
          <w:szCs w:val="24"/>
        </w:rPr>
        <w:t>access to this drug is maintained</w:t>
      </w:r>
      <w:r w:rsidRPr="00A63A02">
        <w:rPr>
          <w:rFonts w:ascii="Arial" w:eastAsia="Calibri" w:hAnsi="Arial" w:cs="Arial"/>
          <w:bCs/>
          <w:sz w:val="24"/>
          <w:szCs w:val="24"/>
        </w:rPr>
        <w:t xml:space="preserve"> for patients currently undergoing treatment</w:t>
      </w:r>
      <w:r w:rsidR="00E5729B" w:rsidRPr="00A63A02">
        <w:rPr>
          <w:rFonts w:ascii="Arial" w:eastAsia="Calibri" w:hAnsi="Arial" w:cs="Arial"/>
          <w:bCs/>
          <w:sz w:val="24"/>
          <w:szCs w:val="24"/>
        </w:rPr>
        <w:t xml:space="preserve"> while access is transitioned to the PBS</w:t>
      </w:r>
      <w:r w:rsidR="00766E5A" w:rsidRPr="00A63A02">
        <w:rPr>
          <w:rFonts w:ascii="Arial" w:eastAsia="Calibri" w:hAnsi="Arial" w:cs="Arial"/>
          <w:bCs/>
          <w:sz w:val="24"/>
          <w:szCs w:val="24"/>
        </w:rPr>
        <w:t xml:space="preserve"> </w:t>
      </w:r>
      <w:r w:rsidR="007456DE" w:rsidRPr="00A63A02">
        <w:rPr>
          <w:rFonts w:ascii="Arial" w:eastAsia="Calibri" w:hAnsi="Arial" w:cs="Arial"/>
          <w:bCs/>
          <w:sz w:val="24"/>
          <w:szCs w:val="24"/>
        </w:rPr>
        <w:t>S</w:t>
      </w:r>
      <w:r w:rsidR="00766E5A" w:rsidRPr="00A63A02">
        <w:rPr>
          <w:rFonts w:ascii="Arial" w:eastAsia="Calibri" w:hAnsi="Arial" w:cs="Arial"/>
          <w:bCs/>
          <w:sz w:val="24"/>
          <w:szCs w:val="24"/>
        </w:rPr>
        <w:t>ection 100 HSD program</w:t>
      </w:r>
      <w:r w:rsidR="00E5729B" w:rsidRPr="00A63A02">
        <w:rPr>
          <w:rFonts w:ascii="Arial" w:eastAsia="Calibri" w:hAnsi="Arial" w:cs="Arial"/>
          <w:bCs/>
          <w:sz w:val="24"/>
          <w:szCs w:val="24"/>
        </w:rPr>
        <w:t xml:space="preserve">, there will be </w:t>
      </w:r>
      <w:r w:rsidRPr="00A63A02">
        <w:rPr>
          <w:rFonts w:ascii="Arial" w:eastAsia="Calibri" w:hAnsi="Arial" w:cs="Arial"/>
          <w:bCs/>
          <w:sz w:val="24"/>
          <w:szCs w:val="24"/>
        </w:rPr>
        <w:t xml:space="preserve">transitionary </w:t>
      </w:r>
      <w:r w:rsidR="00E5729B" w:rsidRPr="00A63A02">
        <w:rPr>
          <w:rFonts w:ascii="Arial" w:eastAsia="Calibri" w:hAnsi="Arial" w:cs="Arial"/>
          <w:bCs/>
          <w:sz w:val="24"/>
          <w:szCs w:val="24"/>
        </w:rPr>
        <w:t>arrangements in place with the sponsor company, Alexion Pharmaceuticals</w:t>
      </w:r>
      <w:r w:rsidR="00CE2DC6" w:rsidRPr="00A63A02">
        <w:rPr>
          <w:rFonts w:ascii="Arial" w:eastAsia="Calibri" w:hAnsi="Arial" w:cs="Arial"/>
          <w:bCs/>
          <w:sz w:val="24"/>
          <w:szCs w:val="24"/>
        </w:rPr>
        <w:t xml:space="preserve"> Australasia</w:t>
      </w:r>
      <w:r w:rsidRPr="00A63A02">
        <w:rPr>
          <w:rFonts w:ascii="Arial" w:eastAsia="Calibri" w:hAnsi="Arial" w:cs="Arial"/>
          <w:bCs/>
          <w:sz w:val="24"/>
          <w:szCs w:val="24"/>
        </w:rPr>
        <w:t xml:space="preserve"> Pty Ltd</w:t>
      </w:r>
      <w:r w:rsidR="00CE2DC6" w:rsidRPr="00A63A02">
        <w:rPr>
          <w:rFonts w:ascii="Arial" w:eastAsia="Calibri" w:hAnsi="Arial" w:cs="Arial"/>
          <w:bCs/>
          <w:sz w:val="24"/>
          <w:szCs w:val="24"/>
        </w:rPr>
        <w:t xml:space="preserve"> (Alexion)</w:t>
      </w:r>
      <w:r w:rsidR="00E5729B" w:rsidRPr="00A63A02">
        <w:rPr>
          <w:rFonts w:ascii="Arial" w:eastAsia="Calibri" w:hAnsi="Arial" w:cs="Arial"/>
          <w:bCs/>
          <w:sz w:val="24"/>
          <w:szCs w:val="24"/>
        </w:rPr>
        <w:t>.</w:t>
      </w:r>
      <w:r w:rsidRPr="00A63A02">
        <w:rPr>
          <w:rFonts w:ascii="Arial" w:eastAsia="Calibri" w:hAnsi="Arial" w:cs="Arial"/>
          <w:bCs/>
          <w:sz w:val="24"/>
          <w:szCs w:val="24"/>
        </w:rPr>
        <w:t xml:space="preserve"> </w:t>
      </w:r>
      <w:r w:rsidR="00CE2DC6" w:rsidRPr="00A63A02">
        <w:rPr>
          <w:rFonts w:ascii="Arial" w:eastAsia="Calibri" w:hAnsi="Arial" w:cs="Arial"/>
          <w:bCs/>
          <w:sz w:val="24"/>
          <w:szCs w:val="24"/>
        </w:rPr>
        <w:t>For further details of these</w:t>
      </w:r>
      <w:r w:rsidRPr="00A63A02">
        <w:rPr>
          <w:rFonts w:ascii="Arial" w:eastAsia="Calibri" w:hAnsi="Arial" w:cs="Arial"/>
          <w:bCs/>
          <w:sz w:val="24"/>
          <w:szCs w:val="24"/>
        </w:rPr>
        <w:t xml:space="preserve"> arrangements for existing and new patients</w:t>
      </w:r>
      <w:r w:rsidR="00CE2DC6" w:rsidRPr="00A63A02">
        <w:rPr>
          <w:rFonts w:ascii="Arial" w:eastAsia="Calibri" w:hAnsi="Arial" w:cs="Arial"/>
          <w:bCs/>
          <w:sz w:val="24"/>
          <w:szCs w:val="24"/>
        </w:rPr>
        <w:t xml:space="preserve"> please contact Alexion at: </w:t>
      </w:r>
      <w:hyperlink r:id="rId9" w:history="1">
        <w:r w:rsidR="00CE2DC6" w:rsidRPr="00A63A02">
          <w:rPr>
            <w:rStyle w:val="Hyperlink"/>
            <w:rFonts w:ascii="Arial" w:eastAsia="Calibri" w:hAnsi="Arial" w:cs="Arial"/>
            <w:bCs/>
            <w:sz w:val="24"/>
            <w:szCs w:val="24"/>
          </w:rPr>
          <w:t>medicalinformation.australasia@alexion.com</w:t>
        </w:r>
      </w:hyperlink>
      <w:r w:rsidR="00CE2DC6" w:rsidRPr="00A63A02">
        <w:rPr>
          <w:rFonts w:ascii="Arial" w:eastAsia="Calibri" w:hAnsi="Arial" w:cs="Arial"/>
          <w:bCs/>
          <w:sz w:val="24"/>
          <w:szCs w:val="24"/>
        </w:rPr>
        <w:t> or call 1800 788 189</w:t>
      </w:r>
      <w:r w:rsidRPr="00A63A02">
        <w:rPr>
          <w:rFonts w:ascii="Arial" w:eastAsia="Calibri" w:hAnsi="Arial" w:cs="Arial"/>
          <w:bCs/>
          <w:sz w:val="24"/>
          <w:szCs w:val="24"/>
        </w:rPr>
        <w:t xml:space="preserve"> </w:t>
      </w:r>
    </w:p>
    <w:p w14:paraId="651475F6" w14:textId="0E15DC51" w:rsidR="00E5729B" w:rsidRPr="00A63A02" w:rsidRDefault="00E5729B" w:rsidP="00A63A02">
      <w:pPr>
        <w:pStyle w:val="Heading3"/>
        <w:rPr>
          <w:rFonts w:ascii="Arial" w:hAnsi="Arial" w:cs="Arial"/>
          <w:b/>
          <w:bCs/>
        </w:rPr>
      </w:pPr>
      <w:r w:rsidRPr="00A63A02">
        <w:rPr>
          <w:rFonts w:ascii="Arial" w:hAnsi="Arial" w:cs="Arial"/>
          <w:b/>
          <w:bCs/>
        </w:rPr>
        <w:t xml:space="preserve">Information for Prescribers </w:t>
      </w:r>
    </w:p>
    <w:p w14:paraId="12E6E0C6" w14:textId="3DCBB8EC" w:rsidR="00763A15" w:rsidRPr="00A63A02" w:rsidRDefault="00982E40" w:rsidP="00E5729B">
      <w:pPr>
        <w:rPr>
          <w:rFonts w:ascii="Arial" w:eastAsia="Calibri" w:hAnsi="Arial" w:cs="Arial"/>
          <w:bCs/>
          <w:sz w:val="24"/>
          <w:szCs w:val="24"/>
        </w:rPr>
      </w:pPr>
      <w:r w:rsidRPr="00A63A02">
        <w:rPr>
          <w:rFonts w:ascii="Arial" w:eastAsia="Calibri" w:hAnsi="Arial" w:cs="Arial"/>
          <w:bCs/>
          <w:sz w:val="24"/>
          <w:szCs w:val="24"/>
        </w:rPr>
        <w:t xml:space="preserve">To assist prescribers </w:t>
      </w:r>
      <w:r w:rsidR="00763A15" w:rsidRPr="00A63A02">
        <w:rPr>
          <w:rFonts w:ascii="Arial" w:eastAsia="Calibri" w:hAnsi="Arial" w:cs="Arial"/>
          <w:bCs/>
          <w:sz w:val="24"/>
          <w:szCs w:val="24"/>
        </w:rPr>
        <w:t>in</w:t>
      </w:r>
      <w:r w:rsidRPr="00A63A02">
        <w:rPr>
          <w:rFonts w:ascii="Arial" w:eastAsia="Calibri" w:hAnsi="Arial" w:cs="Arial"/>
          <w:bCs/>
          <w:sz w:val="24"/>
          <w:szCs w:val="24"/>
        </w:rPr>
        <w:t xml:space="preserve"> select</w:t>
      </w:r>
      <w:r w:rsidR="00763A15" w:rsidRPr="00A63A02">
        <w:rPr>
          <w:rFonts w:ascii="Arial" w:eastAsia="Calibri" w:hAnsi="Arial" w:cs="Arial"/>
          <w:bCs/>
          <w:sz w:val="24"/>
          <w:szCs w:val="24"/>
        </w:rPr>
        <w:t>ing</w:t>
      </w:r>
      <w:r w:rsidRPr="00A63A02">
        <w:rPr>
          <w:rFonts w:ascii="Arial" w:eastAsia="Calibri" w:hAnsi="Arial" w:cs="Arial"/>
          <w:bCs/>
          <w:sz w:val="24"/>
          <w:szCs w:val="24"/>
        </w:rPr>
        <w:t xml:space="preserve"> the</w:t>
      </w:r>
      <w:r w:rsidR="00763A15" w:rsidRPr="00A63A02">
        <w:rPr>
          <w:rFonts w:ascii="Arial" w:eastAsia="Calibri" w:hAnsi="Arial" w:cs="Arial"/>
          <w:bCs/>
          <w:sz w:val="24"/>
          <w:szCs w:val="24"/>
        </w:rPr>
        <w:t xml:space="preserve"> most</w:t>
      </w:r>
      <w:r w:rsidRPr="00A63A02">
        <w:rPr>
          <w:rFonts w:ascii="Arial" w:eastAsia="Calibri" w:hAnsi="Arial" w:cs="Arial"/>
          <w:bCs/>
          <w:sz w:val="24"/>
          <w:szCs w:val="24"/>
        </w:rPr>
        <w:t xml:space="preserve"> appropriate PBS item code</w:t>
      </w:r>
      <w:r w:rsidR="00386128" w:rsidRPr="00A63A02">
        <w:rPr>
          <w:rFonts w:ascii="Arial" w:eastAsia="Calibri" w:hAnsi="Arial" w:cs="Arial"/>
          <w:bCs/>
          <w:sz w:val="24"/>
          <w:szCs w:val="24"/>
        </w:rPr>
        <w:t xml:space="preserve"> to commence </w:t>
      </w:r>
      <w:r w:rsidR="00763A15" w:rsidRPr="00A63A02">
        <w:rPr>
          <w:rFonts w:ascii="Arial" w:eastAsia="Calibri" w:hAnsi="Arial" w:cs="Arial"/>
          <w:bCs/>
          <w:sz w:val="24"/>
          <w:szCs w:val="24"/>
        </w:rPr>
        <w:t xml:space="preserve">their patient on </w:t>
      </w:r>
      <w:r w:rsidR="00386128" w:rsidRPr="00A63A02">
        <w:rPr>
          <w:rFonts w:ascii="Arial" w:eastAsia="Calibri" w:hAnsi="Arial" w:cs="Arial"/>
          <w:bCs/>
          <w:sz w:val="24"/>
          <w:szCs w:val="24"/>
        </w:rPr>
        <w:t>PBS</w:t>
      </w:r>
      <w:r w:rsidR="00766E5A" w:rsidRPr="00A63A02">
        <w:rPr>
          <w:rFonts w:ascii="Arial" w:eastAsia="Calibri" w:hAnsi="Arial" w:cs="Arial"/>
          <w:bCs/>
          <w:sz w:val="24"/>
          <w:szCs w:val="24"/>
        </w:rPr>
        <w:t xml:space="preserve"> </w:t>
      </w:r>
      <w:r w:rsidR="007456DE" w:rsidRPr="00A63A02">
        <w:rPr>
          <w:rFonts w:ascii="Arial" w:eastAsia="Calibri" w:hAnsi="Arial" w:cs="Arial"/>
          <w:bCs/>
          <w:sz w:val="24"/>
          <w:szCs w:val="24"/>
        </w:rPr>
        <w:t>S</w:t>
      </w:r>
      <w:r w:rsidR="00766E5A" w:rsidRPr="00A63A02">
        <w:rPr>
          <w:rFonts w:ascii="Arial" w:eastAsia="Calibri" w:hAnsi="Arial" w:cs="Arial"/>
          <w:bCs/>
          <w:sz w:val="24"/>
          <w:szCs w:val="24"/>
        </w:rPr>
        <w:t>ection 100 HSD</w:t>
      </w:r>
      <w:r w:rsidR="00386128" w:rsidRPr="00A63A02">
        <w:rPr>
          <w:rFonts w:ascii="Arial" w:eastAsia="Calibri" w:hAnsi="Arial" w:cs="Arial"/>
          <w:bCs/>
          <w:sz w:val="24"/>
          <w:szCs w:val="24"/>
        </w:rPr>
        <w:t>-subsidised treatment</w:t>
      </w:r>
      <w:r w:rsidRPr="00A63A02">
        <w:rPr>
          <w:rFonts w:ascii="Arial" w:eastAsia="Calibri" w:hAnsi="Arial" w:cs="Arial"/>
          <w:bCs/>
          <w:sz w:val="24"/>
          <w:szCs w:val="24"/>
        </w:rPr>
        <w:t xml:space="preserve">, a </w:t>
      </w:r>
      <w:r w:rsidR="00763A15" w:rsidRPr="00A63A02">
        <w:rPr>
          <w:rFonts w:ascii="Arial" w:eastAsia="Calibri" w:hAnsi="Arial" w:cs="Arial"/>
          <w:bCs/>
          <w:sz w:val="24"/>
          <w:szCs w:val="24"/>
        </w:rPr>
        <w:t xml:space="preserve">table </w:t>
      </w:r>
      <w:r w:rsidRPr="00A63A02">
        <w:rPr>
          <w:rFonts w:ascii="Arial" w:eastAsia="Calibri" w:hAnsi="Arial" w:cs="Arial"/>
          <w:bCs/>
          <w:sz w:val="24"/>
          <w:szCs w:val="24"/>
        </w:rPr>
        <w:t>summar</w:t>
      </w:r>
      <w:r w:rsidR="00763A15" w:rsidRPr="00A63A02">
        <w:rPr>
          <w:rFonts w:ascii="Arial" w:eastAsia="Calibri" w:hAnsi="Arial" w:cs="Arial"/>
          <w:bCs/>
          <w:sz w:val="24"/>
          <w:szCs w:val="24"/>
        </w:rPr>
        <w:t>ising</w:t>
      </w:r>
      <w:r w:rsidR="00BA216C" w:rsidRPr="00A63A02">
        <w:rPr>
          <w:rFonts w:ascii="Arial" w:eastAsia="Calibri" w:hAnsi="Arial" w:cs="Arial"/>
          <w:bCs/>
          <w:sz w:val="24"/>
          <w:szCs w:val="24"/>
        </w:rPr>
        <w:t xml:space="preserve"> the </w:t>
      </w:r>
      <w:r w:rsidR="00763A15" w:rsidRPr="00A63A02">
        <w:rPr>
          <w:rFonts w:ascii="Arial" w:eastAsia="Calibri" w:hAnsi="Arial" w:cs="Arial"/>
          <w:bCs/>
          <w:sz w:val="24"/>
          <w:szCs w:val="24"/>
        </w:rPr>
        <w:t>eligible patient group</w:t>
      </w:r>
      <w:r w:rsidR="00BA216C" w:rsidRPr="00A63A02">
        <w:rPr>
          <w:rFonts w:ascii="Arial" w:eastAsia="Calibri" w:hAnsi="Arial" w:cs="Arial"/>
          <w:bCs/>
          <w:sz w:val="24"/>
          <w:szCs w:val="24"/>
        </w:rPr>
        <w:t xml:space="preserve">s according to the available treatment phases and their corresponding item codes is available below. </w:t>
      </w:r>
    </w:p>
    <w:p w14:paraId="5A5FEE50" w14:textId="1344E1A7" w:rsidR="00A4587C" w:rsidRPr="00A63A02" w:rsidRDefault="00386128" w:rsidP="00E5729B">
      <w:pPr>
        <w:rPr>
          <w:rFonts w:ascii="Arial" w:eastAsia="Calibri" w:hAnsi="Arial" w:cs="Arial"/>
          <w:bCs/>
          <w:sz w:val="24"/>
          <w:szCs w:val="24"/>
        </w:rPr>
      </w:pPr>
      <w:r w:rsidRPr="00A63A02">
        <w:rPr>
          <w:rFonts w:ascii="Arial" w:eastAsia="Calibri" w:hAnsi="Arial" w:cs="Arial"/>
          <w:bCs/>
          <w:sz w:val="24"/>
          <w:szCs w:val="24"/>
        </w:rPr>
        <w:t xml:space="preserve">Prescribers should select the item code based on whether their patient has previously accessed </w:t>
      </w:r>
      <w:proofErr w:type="spellStart"/>
      <w:r w:rsidRPr="00A63A02">
        <w:rPr>
          <w:rFonts w:ascii="Arial" w:eastAsia="Calibri" w:hAnsi="Arial" w:cs="Arial"/>
          <w:bCs/>
          <w:sz w:val="24"/>
          <w:szCs w:val="24"/>
        </w:rPr>
        <w:t>Soliris</w:t>
      </w:r>
      <w:proofErr w:type="spellEnd"/>
      <w:r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through the LSDP or whether they have accessed either </w:t>
      </w:r>
      <w:proofErr w:type="spellStart"/>
      <w:r w:rsidRPr="00A63A02">
        <w:rPr>
          <w:rFonts w:ascii="Arial" w:eastAsia="Calibri" w:hAnsi="Arial" w:cs="Arial"/>
          <w:bCs/>
          <w:sz w:val="24"/>
          <w:szCs w:val="24"/>
        </w:rPr>
        <w:t>Soliris</w:t>
      </w:r>
      <w:proofErr w:type="spellEnd"/>
      <w:r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or </w:t>
      </w:r>
      <w:proofErr w:type="spellStart"/>
      <w:r w:rsidRPr="00A63A02">
        <w:rPr>
          <w:rFonts w:ascii="Arial" w:eastAsia="Calibri" w:hAnsi="Arial" w:cs="Arial"/>
          <w:bCs/>
          <w:sz w:val="24"/>
          <w:szCs w:val="24"/>
        </w:rPr>
        <w:t>Ultomiris</w:t>
      </w:r>
      <w:proofErr w:type="spellEnd"/>
      <w:r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through clinical trials, managed access programs or through other private arrangements. Correct selection is important to ensure appropriate quantities are </w:t>
      </w:r>
      <w:r w:rsidR="00F37CBC" w:rsidRPr="00A63A02">
        <w:rPr>
          <w:rFonts w:ascii="Arial" w:eastAsia="Calibri" w:hAnsi="Arial" w:cs="Arial"/>
          <w:bCs/>
          <w:sz w:val="24"/>
          <w:szCs w:val="24"/>
        </w:rPr>
        <w:t xml:space="preserve">authorised </w:t>
      </w:r>
      <w:r w:rsidRPr="00A63A02">
        <w:rPr>
          <w:rFonts w:ascii="Arial" w:eastAsia="Calibri" w:hAnsi="Arial" w:cs="Arial"/>
          <w:bCs/>
          <w:sz w:val="24"/>
          <w:szCs w:val="24"/>
        </w:rPr>
        <w:t xml:space="preserve">to complete an uninterrupted induction </w:t>
      </w:r>
      <w:r w:rsidR="00763A15" w:rsidRPr="00A63A02">
        <w:rPr>
          <w:rFonts w:ascii="Arial" w:eastAsia="Calibri" w:hAnsi="Arial" w:cs="Arial"/>
          <w:bCs/>
          <w:sz w:val="24"/>
          <w:szCs w:val="24"/>
        </w:rPr>
        <w:t>phase or</w:t>
      </w:r>
      <w:r w:rsidRPr="00A63A02">
        <w:rPr>
          <w:rFonts w:ascii="Arial" w:eastAsia="Calibri" w:hAnsi="Arial" w:cs="Arial"/>
          <w:bCs/>
          <w:sz w:val="24"/>
          <w:szCs w:val="24"/>
        </w:rPr>
        <w:t xml:space="preserve"> continue maintenance treatment.</w:t>
      </w:r>
    </w:p>
    <w:p w14:paraId="19537A80" w14:textId="6173BCE1" w:rsidR="00A418B8" w:rsidRPr="00A63A02" w:rsidRDefault="00386128" w:rsidP="00E5729B">
      <w:pPr>
        <w:rPr>
          <w:rFonts w:ascii="Arial" w:eastAsia="Calibri" w:hAnsi="Arial" w:cs="Arial"/>
          <w:bCs/>
          <w:sz w:val="24"/>
          <w:szCs w:val="24"/>
        </w:rPr>
      </w:pPr>
      <w:r w:rsidRPr="00A63A02">
        <w:rPr>
          <w:rFonts w:ascii="Arial" w:eastAsia="Calibri" w:hAnsi="Arial" w:cs="Arial"/>
          <w:bCs/>
          <w:sz w:val="24"/>
          <w:szCs w:val="24"/>
        </w:rPr>
        <w:t xml:space="preserve">Prescribers should also be aware of the additional eligibility criteria </w:t>
      </w:r>
      <w:r w:rsidR="00C0407D" w:rsidRPr="00A63A02">
        <w:rPr>
          <w:rFonts w:ascii="Arial" w:eastAsia="Calibri" w:hAnsi="Arial" w:cs="Arial"/>
          <w:bCs/>
          <w:sz w:val="24"/>
          <w:szCs w:val="24"/>
        </w:rPr>
        <w:t xml:space="preserve">that </w:t>
      </w:r>
      <w:r w:rsidR="00763A15" w:rsidRPr="00A63A02">
        <w:rPr>
          <w:rFonts w:ascii="Arial" w:eastAsia="Calibri" w:hAnsi="Arial" w:cs="Arial"/>
          <w:bCs/>
          <w:sz w:val="24"/>
          <w:szCs w:val="24"/>
        </w:rPr>
        <w:t xml:space="preserve">applies for </w:t>
      </w:r>
      <w:r w:rsidRPr="00A63A02">
        <w:rPr>
          <w:rFonts w:ascii="Arial" w:eastAsia="Calibri" w:hAnsi="Arial" w:cs="Arial"/>
          <w:bCs/>
          <w:sz w:val="24"/>
          <w:szCs w:val="24"/>
        </w:rPr>
        <w:t>PBS</w:t>
      </w:r>
      <w:r w:rsidR="00C0407D" w:rsidRPr="00A63A02">
        <w:rPr>
          <w:rFonts w:ascii="Arial" w:eastAsia="Calibri" w:hAnsi="Arial" w:cs="Arial"/>
          <w:bCs/>
          <w:sz w:val="24"/>
          <w:szCs w:val="24"/>
        </w:rPr>
        <w:t xml:space="preserve"> </w:t>
      </w:r>
      <w:r w:rsidR="007456DE" w:rsidRPr="00A63A02">
        <w:rPr>
          <w:rFonts w:ascii="Arial" w:eastAsia="Calibri" w:hAnsi="Arial" w:cs="Arial"/>
          <w:bCs/>
          <w:sz w:val="24"/>
          <w:szCs w:val="24"/>
        </w:rPr>
        <w:t>S</w:t>
      </w:r>
      <w:r w:rsidR="00C0407D" w:rsidRPr="00A63A02">
        <w:rPr>
          <w:rFonts w:ascii="Arial" w:eastAsia="Calibri" w:hAnsi="Arial" w:cs="Arial"/>
          <w:bCs/>
          <w:sz w:val="24"/>
          <w:szCs w:val="24"/>
        </w:rPr>
        <w:t>ection 100 HSD</w:t>
      </w:r>
      <w:r w:rsidRPr="00A63A02">
        <w:rPr>
          <w:rFonts w:ascii="Arial" w:eastAsia="Calibri" w:hAnsi="Arial" w:cs="Arial"/>
          <w:bCs/>
          <w:sz w:val="24"/>
          <w:szCs w:val="24"/>
        </w:rPr>
        <w:t xml:space="preserve">-subsidised </w:t>
      </w:r>
      <w:r w:rsidR="00763A15" w:rsidRPr="00A63A02">
        <w:rPr>
          <w:rFonts w:ascii="Arial" w:eastAsia="Calibri" w:hAnsi="Arial" w:cs="Arial"/>
          <w:bCs/>
          <w:sz w:val="24"/>
          <w:szCs w:val="24"/>
        </w:rPr>
        <w:t xml:space="preserve">access to </w:t>
      </w:r>
      <w:proofErr w:type="spellStart"/>
      <w:r w:rsidRPr="00A63A02">
        <w:rPr>
          <w:rFonts w:ascii="Arial" w:eastAsia="Calibri" w:hAnsi="Arial" w:cs="Arial"/>
          <w:bCs/>
          <w:sz w:val="24"/>
          <w:szCs w:val="24"/>
        </w:rPr>
        <w:t>Soliris</w:t>
      </w:r>
      <w:proofErr w:type="spellEnd"/>
      <w:r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and </w:t>
      </w:r>
      <w:proofErr w:type="spellStart"/>
      <w:r w:rsidRPr="00A63A02">
        <w:rPr>
          <w:rFonts w:ascii="Arial" w:eastAsia="Calibri" w:hAnsi="Arial" w:cs="Arial"/>
          <w:bCs/>
          <w:sz w:val="24"/>
          <w:szCs w:val="24"/>
        </w:rPr>
        <w:t>Ultomiris</w:t>
      </w:r>
      <w:proofErr w:type="spellEnd"/>
      <w:r w:rsidRPr="00A63A02">
        <w:rPr>
          <w:rFonts w:ascii="Arial" w:eastAsia="Calibri" w:hAnsi="Arial" w:cs="Arial"/>
          <w:bCs/>
          <w:sz w:val="24"/>
          <w:szCs w:val="24"/>
          <w:vertAlign w:val="superscript"/>
        </w:rPr>
        <w:t>®</w:t>
      </w:r>
      <w:r w:rsidRPr="00A63A02">
        <w:rPr>
          <w:rFonts w:ascii="Arial" w:eastAsia="Calibri" w:hAnsi="Arial" w:cs="Arial"/>
          <w:bCs/>
          <w:sz w:val="24"/>
          <w:szCs w:val="24"/>
        </w:rPr>
        <w:t>. Th</w:t>
      </w:r>
      <w:r w:rsidR="00763A15" w:rsidRPr="00A63A02">
        <w:rPr>
          <w:rFonts w:ascii="Arial" w:eastAsia="Calibri" w:hAnsi="Arial" w:cs="Arial"/>
          <w:bCs/>
          <w:sz w:val="24"/>
          <w:szCs w:val="24"/>
        </w:rPr>
        <w:t>e</w:t>
      </w:r>
      <w:r w:rsidRPr="00A63A02">
        <w:rPr>
          <w:rFonts w:ascii="Arial" w:eastAsia="Calibri" w:hAnsi="Arial" w:cs="Arial"/>
          <w:bCs/>
          <w:sz w:val="24"/>
          <w:szCs w:val="24"/>
        </w:rPr>
        <w:t xml:space="preserve"> criteria largely </w:t>
      </w:r>
      <w:r w:rsidR="00CE2DC6" w:rsidRPr="00A63A02">
        <w:rPr>
          <w:rFonts w:ascii="Arial" w:eastAsia="Calibri" w:hAnsi="Arial" w:cs="Arial"/>
          <w:bCs/>
          <w:sz w:val="24"/>
          <w:szCs w:val="24"/>
        </w:rPr>
        <w:t>align</w:t>
      </w:r>
      <w:r w:rsidRPr="00A63A02">
        <w:rPr>
          <w:rFonts w:ascii="Arial" w:eastAsia="Calibri" w:hAnsi="Arial" w:cs="Arial"/>
          <w:bCs/>
          <w:sz w:val="24"/>
          <w:szCs w:val="24"/>
        </w:rPr>
        <w:t xml:space="preserve"> </w:t>
      </w:r>
      <w:r w:rsidR="00763A15" w:rsidRPr="00A63A02">
        <w:rPr>
          <w:rFonts w:ascii="Arial" w:eastAsia="Calibri" w:hAnsi="Arial" w:cs="Arial"/>
          <w:bCs/>
          <w:sz w:val="24"/>
          <w:szCs w:val="24"/>
        </w:rPr>
        <w:t xml:space="preserve">with the </w:t>
      </w:r>
      <w:r w:rsidR="00F37CBC" w:rsidRPr="00A63A02">
        <w:rPr>
          <w:rFonts w:ascii="Arial" w:eastAsia="Calibri" w:hAnsi="Arial" w:cs="Arial"/>
          <w:bCs/>
          <w:sz w:val="24"/>
          <w:szCs w:val="24"/>
        </w:rPr>
        <w:t xml:space="preserve">existing </w:t>
      </w:r>
      <w:r w:rsidR="00763A15" w:rsidRPr="00A63A02">
        <w:rPr>
          <w:rFonts w:ascii="Arial" w:eastAsia="Calibri" w:hAnsi="Arial" w:cs="Arial"/>
          <w:bCs/>
          <w:sz w:val="24"/>
          <w:szCs w:val="24"/>
        </w:rPr>
        <w:t>eligibility criteria for</w:t>
      </w:r>
      <w:r w:rsidRPr="00A63A02">
        <w:rPr>
          <w:rFonts w:ascii="Arial" w:eastAsia="Calibri" w:hAnsi="Arial" w:cs="Arial"/>
          <w:bCs/>
          <w:sz w:val="24"/>
          <w:szCs w:val="24"/>
        </w:rPr>
        <w:t xml:space="preserve"> LSDP</w:t>
      </w:r>
      <w:r w:rsidR="00763A15" w:rsidRPr="00A63A02">
        <w:rPr>
          <w:rFonts w:ascii="Arial" w:eastAsia="Calibri" w:hAnsi="Arial" w:cs="Arial"/>
          <w:bCs/>
          <w:sz w:val="24"/>
          <w:szCs w:val="24"/>
        </w:rPr>
        <w:t>-funded access</w:t>
      </w:r>
      <w:r w:rsidR="008E05C8" w:rsidRPr="00A63A02">
        <w:rPr>
          <w:rFonts w:ascii="Arial" w:eastAsia="Calibri" w:hAnsi="Arial" w:cs="Arial"/>
          <w:bCs/>
          <w:sz w:val="24"/>
          <w:szCs w:val="24"/>
        </w:rPr>
        <w:t xml:space="preserve"> and must be met for access to these medicines through the PBS. Please note that greater compliance activities will apply for this listing. </w:t>
      </w:r>
      <w:r w:rsidR="00763A15" w:rsidRPr="00A63A02">
        <w:rPr>
          <w:rFonts w:ascii="Arial" w:eastAsia="Calibri" w:hAnsi="Arial" w:cs="Arial"/>
          <w:bCs/>
          <w:sz w:val="24"/>
          <w:szCs w:val="24"/>
        </w:rPr>
        <w:t>Full details of all</w:t>
      </w:r>
      <w:r w:rsidRPr="00A63A02">
        <w:rPr>
          <w:rFonts w:ascii="Arial" w:eastAsia="Calibri" w:hAnsi="Arial" w:cs="Arial"/>
          <w:bCs/>
          <w:sz w:val="24"/>
          <w:szCs w:val="24"/>
        </w:rPr>
        <w:t xml:space="preserve"> </w:t>
      </w:r>
      <w:r w:rsidR="00A418B8" w:rsidRPr="00A63A02">
        <w:rPr>
          <w:rFonts w:ascii="Arial" w:eastAsia="Calibri" w:hAnsi="Arial" w:cs="Arial"/>
          <w:bCs/>
          <w:sz w:val="24"/>
          <w:szCs w:val="24"/>
        </w:rPr>
        <w:t>eligibility criteria</w:t>
      </w:r>
      <w:r w:rsidRPr="00A63A02">
        <w:rPr>
          <w:rFonts w:ascii="Arial" w:eastAsia="Calibri" w:hAnsi="Arial" w:cs="Arial"/>
          <w:bCs/>
          <w:sz w:val="24"/>
          <w:szCs w:val="24"/>
        </w:rPr>
        <w:t xml:space="preserve"> can be found by entering the selected item code into the search bar on the PBS website</w:t>
      </w:r>
      <w:r w:rsidR="00A418B8" w:rsidRPr="00A63A02">
        <w:rPr>
          <w:rFonts w:ascii="Arial" w:eastAsia="Calibri" w:hAnsi="Arial" w:cs="Arial"/>
          <w:bCs/>
          <w:sz w:val="24"/>
          <w:szCs w:val="24"/>
        </w:rPr>
        <w:t xml:space="preserve"> at:</w:t>
      </w:r>
      <w:r w:rsidRPr="00A63A02">
        <w:rPr>
          <w:rFonts w:ascii="Arial" w:eastAsia="Calibri" w:hAnsi="Arial" w:cs="Arial"/>
          <w:bCs/>
          <w:sz w:val="24"/>
          <w:szCs w:val="24"/>
        </w:rPr>
        <w:t xml:space="preserve"> </w:t>
      </w:r>
      <w:hyperlink r:id="rId10" w:history="1">
        <w:r w:rsidRPr="00A63A02">
          <w:rPr>
            <w:rStyle w:val="Hyperlink"/>
            <w:rFonts w:ascii="Arial" w:eastAsia="Calibri" w:hAnsi="Arial" w:cs="Arial"/>
            <w:bCs/>
            <w:sz w:val="24"/>
            <w:szCs w:val="24"/>
          </w:rPr>
          <w:t>www.pbs.gov.au</w:t>
        </w:r>
      </w:hyperlink>
      <w:r w:rsidRPr="00A63A02">
        <w:rPr>
          <w:rFonts w:ascii="Arial" w:eastAsia="Calibri" w:hAnsi="Arial" w:cs="Arial"/>
          <w:bCs/>
          <w:sz w:val="24"/>
          <w:szCs w:val="24"/>
        </w:rPr>
        <w:t xml:space="preserve">. </w:t>
      </w:r>
    </w:p>
    <w:p w14:paraId="76FD724F" w14:textId="6103EEAA" w:rsidR="00E5729B" w:rsidRPr="00A63A02" w:rsidRDefault="00E5729B" w:rsidP="00E5729B">
      <w:pPr>
        <w:rPr>
          <w:rFonts w:ascii="Arial" w:eastAsia="Calibri" w:hAnsi="Arial" w:cs="Arial"/>
          <w:bCs/>
          <w:sz w:val="24"/>
          <w:szCs w:val="24"/>
        </w:rPr>
      </w:pPr>
      <w:r w:rsidRPr="00A63A02">
        <w:rPr>
          <w:rFonts w:ascii="Arial" w:eastAsia="Calibri" w:hAnsi="Arial" w:cs="Arial"/>
          <w:bCs/>
          <w:sz w:val="24"/>
          <w:szCs w:val="24"/>
        </w:rPr>
        <w:t>Applications for authority to prescribe</w:t>
      </w:r>
      <w:r w:rsidR="00763A15" w:rsidRPr="00A63A02">
        <w:rPr>
          <w:rFonts w:ascii="Arial" w:eastAsia="Calibri" w:hAnsi="Arial" w:cs="Arial"/>
          <w:bCs/>
          <w:sz w:val="24"/>
          <w:szCs w:val="24"/>
        </w:rPr>
        <w:t xml:space="preserve"> either </w:t>
      </w:r>
      <w:proofErr w:type="spellStart"/>
      <w:r w:rsidR="00763A15" w:rsidRPr="00A63A02">
        <w:rPr>
          <w:rFonts w:ascii="Arial" w:eastAsia="Calibri" w:hAnsi="Arial" w:cs="Arial"/>
          <w:bCs/>
          <w:sz w:val="24"/>
          <w:szCs w:val="24"/>
        </w:rPr>
        <w:t>Soliris</w:t>
      </w:r>
      <w:proofErr w:type="spellEnd"/>
      <w:r w:rsidR="00763A15" w:rsidRPr="00A63A02">
        <w:rPr>
          <w:rFonts w:ascii="Arial" w:eastAsia="Calibri" w:hAnsi="Arial" w:cs="Arial"/>
          <w:b/>
          <w:bCs/>
          <w:sz w:val="24"/>
          <w:szCs w:val="24"/>
          <w:vertAlign w:val="superscript"/>
        </w:rPr>
        <w:t>®</w:t>
      </w:r>
      <w:r w:rsidR="00763A15" w:rsidRPr="00A63A02">
        <w:rPr>
          <w:rFonts w:ascii="Arial" w:eastAsia="Calibri" w:hAnsi="Arial" w:cs="Arial"/>
          <w:bCs/>
          <w:sz w:val="24"/>
          <w:szCs w:val="24"/>
        </w:rPr>
        <w:t xml:space="preserve"> or </w:t>
      </w:r>
      <w:proofErr w:type="spellStart"/>
      <w:r w:rsidR="00763A15" w:rsidRPr="00A63A02">
        <w:rPr>
          <w:rFonts w:ascii="Arial" w:eastAsia="Calibri" w:hAnsi="Arial" w:cs="Arial"/>
          <w:bCs/>
          <w:sz w:val="24"/>
          <w:szCs w:val="24"/>
        </w:rPr>
        <w:t>Ultomiris</w:t>
      </w:r>
      <w:proofErr w:type="spellEnd"/>
      <w:r w:rsidR="00763A15" w:rsidRPr="00A63A02">
        <w:rPr>
          <w:rFonts w:ascii="Arial" w:eastAsia="Calibri" w:hAnsi="Arial" w:cs="Arial"/>
          <w:b/>
          <w:bCs/>
          <w:sz w:val="24"/>
          <w:szCs w:val="24"/>
          <w:vertAlign w:val="superscript"/>
        </w:rPr>
        <w:t>®</w:t>
      </w:r>
      <w:r w:rsidRPr="00A63A02">
        <w:rPr>
          <w:rFonts w:ascii="Arial" w:eastAsia="Calibri" w:hAnsi="Arial" w:cs="Arial"/>
          <w:bCs/>
          <w:sz w:val="24"/>
          <w:szCs w:val="24"/>
        </w:rPr>
        <w:t xml:space="preserve"> must be submitted to Services Australia either online using the form upload facility in Health Professional Online Services (HPOS) at </w:t>
      </w:r>
      <w:hyperlink r:id="rId11" w:history="1">
        <w:r w:rsidRPr="00A63A02">
          <w:rPr>
            <w:rFonts w:ascii="Arial" w:eastAsia="Calibri" w:hAnsi="Arial" w:cs="Arial"/>
            <w:bCs/>
            <w:color w:val="0563C1"/>
            <w:sz w:val="24"/>
            <w:szCs w:val="24"/>
            <w:u w:val="single"/>
          </w:rPr>
          <w:t>www.servicesaustralia.gov.au/hpos</w:t>
        </w:r>
      </w:hyperlink>
      <w:r w:rsidRPr="00A63A02">
        <w:rPr>
          <w:rFonts w:ascii="Arial" w:eastAsia="Calibri" w:hAnsi="Arial" w:cs="Arial"/>
          <w:bCs/>
          <w:sz w:val="24"/>
          <w:szCs w:val="24"/>
        </w:rPr>
        <w:t xml:space="preserve"> or via post. Applications may be mailed to:</w:t>
      </w:r>
    </w:p>
    <w:p w14:paraId="7FBD784B" w14:textId="77777777" w:rsidR="008E05C8" w:rsidRPr="00A63A02" w:rsidRDefault="008E05C8" w:rsidP="00E5729B">
      <w:pPr>
        <w:spacing w:after="0"/>
        <w:rPr>
          <w:rFonts w:ascii="Arial" w:eastAsia="Calibri" w:hAnsi="Arial" w:cs="Arial"/>
          <w:bCs/>
          <w:sz w:val="24"/>
          <w:szCs w:val="24"/>
        </w:rPr>
      </w:pPr>
    </w:p>
    <w:p w14:paraId="74174193" w14:textId="540C87AA" w:rsidR="00E5729B" w:rsidRPr="00A63A02" w:rsidRDefault="00E5729B" w:rsidP="00E5729B">
      <w:pPr>
        <w:spacing w:after="0"/>
        <w:rPr>
          <w:rFonts w:ascii="Arial" w:eastAsia="Calibri" w:hAnsi="Arial" w:cs="Arial"/>
          <w:bCs/>
          <w:sz w:val="24"/>
          <w:szCs w:val="24"/>
        </w:rPr>
      </w:pPr>
      <w:r w:rsidRPr="00A63A02">
        <w:rPr>
          <w:rFonts w:ascii="Arial" w:eastAsia="Calibri" w:hAnsi="Arial" w:cs="Arial"/>
          <w:bCs/>
          <w:sz w:val="24"/>
          <w:szCs w:val="24"/>
        </w:rPr>
        <w:t>Services Australia</w:t>
      </w:r>
    </w:p>
    <w:p w14:paraId="3B3B8E6D" w14:textId="77777777" w:rsidR="00E5729B" w:rsidRPr="00A63A02" w:rsidRDefault="00E5729B" w:rsidP="00E5729B">
      <w:pPr>
        <w:spacing w:after="0"/>
        <w:rPr>
          <w:rFonts w:ascii="Arial" w:eastAsia="Calibri" w:hAnsi="Arial" w:cs="Arial"/>
          <w:bCs/>
          <w:sz w:val="24"/>
          <w:szCs w:val="24"/>
        </w:rPr>
      </w:pPr>
      <w:r w:rsidRPr="00A63A02">
        <w:rPr>
          <w:rFonts w:ascii="Arial" w:eastAsia="Calibri" w:hAnsi="Arial" w:cs="Arial"/>
          <w:bCs/>
          <w:sz w:val="24"/>
          <w:szCs w:val="24"/>
        </w:rPr>
        <w:t>Complex Drugs</w:t>
      </w:r>
    </w:p>
    <w:p w14:paraId="76D3C655" w14:textId="77777777" w:rsidR="00E5729B" w:rsidRPr="00A63A02" w:rsidRDefault="00E5729B" w:rsidP="00E5729B">
      <w:pPr>
        <w:spacing w:after="0"/>
        <w:rPr>
          <w:rFonts w:ascii="Arial" w:eastAsia="Calibri" w:hAnsi="Arial" w:cs="Arial"/>
          <w:bCs/>
          <w:sz w:val="24"/>
          <w:szCs w:val="24"/>
        </w:rPr>
      </w:pPr>
      <w:r w:rsidRPr="00A63A02">
        <w:rPr>
          <w:rFonts w:ascii="Arial" w:eastAsia="Calibri" w:hAnsi="Arial" w:cs="Arial"/>
          <w:bCs/>
          <w:sz w:val="24"/>
          <w:szCs w:val="24"/>
        </w:rPr>
        <w:t>Reply Paid 9826</w:t>
      </w:r>
    </w:p>
    <w:p w14:paraId="0C012E24" w14:textId="4CFACED1" w:rsidR="00A4587C" w:rsidRPr="00A63A02" w:rsidRDefault="00E5729B" w:rsidP="00717209">
      <w:pPr>
        <w:spacing w:after="0"/>
        <w:rPr>
          <w:rFonts w:ascii="Arial" w:eastAsia="Calibri" w:hAnsi="Arial" w:cs="Arial"/>
          <w:bCs/>
          <w:sz w:val="24"/>
          <w:szCs w:val="24"/>
        </w:rPr>
      </w:pPr>
      <w:r w:rsidRPr="00A63A02">
        <w:rPr>
          <w:rFonts w:ascii="Arial" w:eastAsia="Calibri" w:hAnsi="Arial" w:cs="Arial"/>
          <w:bCs/>
          <w:sz w:val="24"/>
          <w:szCs w:val="24"/>
        </w:rPr>
        <w:t>HOBART TAS 7001</w:t>
      </w:r>
    </w:p>
    <w:p w14:paraId="54CD770E" w14:textId="77777777" w:rsidR="00717209" w:rsidRPr="00A63A02" w:rsidRDefault="00717209" w:rsidP="00E5729B">
      <w:pPr>
        <w:rPr>
          <w:rFonts w:ascii="Arial" w:eastAsia="Calibri" w:hAnsi="Arial" w:cs="Arial"/>
          <w:bCs/>
          <w:sz w:val="24"/>
          <w:szCs w:val="24"/>
        </w:rPr>
      </w:pPr>
    </w:p>
    <w:p w14:paraId="1BF07C99" w14:textId="603721F3" w:rsidR="00DF303E" w:rsidRPr="00A63A02" w:rsidRDefault="00BA216C" w:rsidP="00A63A02">
      <w:pPr>
        <w:pStyle w:val="Heading3"/>
        <w:rPr>
          <w:rFonts w:ascii="Arial" w:eastAsia="Times New Roman" w:hAnsi="Arial" w:cs="Arial"/>
          <w:b/>
          <w:bCs/>
        </w:rPr>
      </w:pPr>
      <w:r w:rsidRPr="00A63A02">
        <w:rPr>
          <w:rFonts w:ascii="Arial" w:eastAsia="Times New Roman" w:hAnsi="Arial" w:cs="Arial"/>
          <w:b/>
          <w:bCs/>
        </w:rPr>
        <w:t>PBS Item Codes and Eligible Patient Groups</w:t>
      </w:r>
    </w:p>
    <w:tbl>
      <w:tblPr>
        <w:tblStyle w:val="TableGrid1"/>
        <w:tblW w:w="5000" w:type="pct"/>
        <w:tblLook w:val="04A0" w:firstRow="1" w:lastRow="0" w:firstColumn="1" w:lastColumn="0" w:noHBand="0" w:noVBand="1"/>
      </w:tblPr>
      <w:tblGrid>
        <w:gridCol w:w="1417"/>
        <w:gridCol w:w="3219"/>
        <w:gridCol w:w="4380"/>
      </w:tblGrid>
      <w:tr w:rsidR="00E5729B" w:rsidRPr="00A63A02" w14:paraId="71EBC0F9" w14:textId="77777777" w:rsidTr="00DF303E">
        <w:tc>
          <w:tcPr>
            <w:tcW w:w="5000" w:type="pct"/>
            <w:gridSpan w:val="3"/>
            <w:shd w:val="clear" w:color="auto" w:fill="DEEAF6"/>
          </w:tcPr>
          <w:p w14:paraId="69BF7B58" w14:textId="77777777" w:rsidR="00E5729B" w:rsidRPr="00A63A02" w:rsidRDefault="00E5729B" w:rsidP="00E5729B">
            <w:pPr>
              <w:spacing w:after="120"/>
              <w:jc w:val="center"/>
              <w:rPr>
                <w:rFonts w:ascii="Arial" w:hAnsi="Arial" w:cs="Arial"/>
                <w:b/>
                <w:lang w:eastAsia="ko-KR"/>
              </w:rPr>
            </w:pPr>
            <w:r w:rsidRPr="00A63A02">
              <w:rPr>
                <w:rFonts w:ascii="Arial" w:hAnsi="Arial" w:cs="Arial"/>
                <w:b/>
                <w:lang w:eastAsia="ko-KR"/>
              </w:rPr>
              <w:t xml:space="preserve">Eculizumab </w:t>
            </w:r>
          </w:p>
        </w:tc>
      </w:tr>
      <w:tr w:rsidR="00E5729B" w:rsidRPr="00A63A02" w14:paraId="234675AE" w14:textId="77777777" w:rsidTr="00DF303E">
        <w:tc>
          <w:tcPr>
            <w:tcW w:w="786" w:type="pct"/>
            <w:shd w:val="clear" w:color="auto" w:fill="DEEAF6"/>
          </w:tcPr>
          <w:p w14:paraId="7C5700C5" w14:textId="77777777" w:rsidR="00E5729B" w:rsidRPr="00A63A02" w:rsidRDefault="00E5729B" w:rsidP="00E5729B">
            <w:pPr>
              <w:spacing w:after="120"/>
              <w:jc w:val="center"/>
              <w:rPr>
                <w:rFonts w:ascii="Arial" w:hAnsi="Arial" w:cs="Arial"/>
                <w:b/>
                <w:lang w:eastAsia="ko-KR"/>
              </w:rPr>
            </w:pPr>
            <w:r w:rsidRPr="00A63A02">
              <w:rPr>
                <w:rFonts w:ascii="Arial" w:hAnsi="Arial" w:cs="Arial"/>
                <w:b/>
                <w:lang w:eastAsia="ko-KR"/>
              </w:rPr>
              <w:t>Item Code</w:t>
            </w:r>
          </w:p>
        </w:tc>
        <w:tc>
          <w:tcPr>
            <w:tcW w:w="1785" w:type="pct"/>
            <w:shd w:val="clear" w:color="auto" w:fill="DEEAF6"/>
          </w:tcPr>
          <w:p w14:paraId="30C5908F" w14:textId="77777777" w:rsidR="00E5729B" w:rsidRPr="00A63A02" w:rsidRDefault="00E5729B" w:rsidP="00E5729B">
            <w:pPr>
              <w:spacing w:after="120"/>
              <w:jc w:val="center"/>
              <w:rPr>
                <w:rFonts w:ascii="Arial" w:hAnsi="Arial" w:cs="Arial"/>
                <w:b/>
                <w:lang w:eastAsia="ko-KR"/>
              </w:rPr>
            </w:pPr>
            <w:r w:rsidRPr="00A63A02">
              <w:rPr>
                <w:rFonts w:ascii="Arial" w:hAnsi="Arial" w:cs="Arial"/>
                <w:b/>
                <w:lang w:eastAsia="ko-KR"/>
              </w:rPr>
              <w:t>Treatment Phase</w:t>
            </w:r>
          </w:p>
        </w:tc>
        <w:tc>
          <w:tcPr>
            <w:tcW w:w="2429" w:type="pct"/>
            <w:shd w:val="clear" w:color="auto" w:fill="DEEAF6"/>
          </w:tcPr>
          <w:p w14:paraId="264795B1" w14:textId="19822E33" w:rsidR="00E5729B" w:rsidRPr="00A63A02" w:rsidRDefault="00494CE6" w:rsidP="00E5729B">
            <w:pPr>
              <w:spacing w:after="120"/>
              <w:jc w:val="center"/>
              <w:rPr>
                <w:rFonts w:ascii="Arial" w:hAnsi="Arial" w:cs="Arial"/>
                <w:b/>
                <w:lang w:eastAsia="ko-KR"/>
              </w:rPr>
            </w:pPr>
            <w:r w:rsidRPr="00A63A02">
              <w:rPr>
                <w:rFonts w:ascii="Arial" w:hAnsi="Arial" w:cs="Arial"/>
                <w:b/>
                <w:lang w:eastAsia="ko-KR"/>
              </w:rPr>
              <w:t>P</w:t>
            </w:r>
            <w:r w:rsidR="00982E40" w:rsidRPr="00A63A02">
              <w:rPr>
                <w:rFonts w:ascii="Arial" w:hAnsi="Arial" w:cs="Arial"/>
                <w:b/>
                <w:lang w:eastAsia="ko-KR"/>
              </w:rPr>
              <w:t>atient group</w:t>
            </w:r>
          </w:p>
        </w:tc>
      </w:tr>
      <w:tr w:rsidR="00E5729B" w:rsidRPr="00A63A02" w14:paraId="6B3881A1" w14:textId="77777777" w:rsidTr="00DF303E">
        <w:trPr>
          <w:trHeight w:val="270"/>
        </w:trPr>
        <w:tc>
          <w:tcPr>
            <w:tcW w:w="786" w:type="pct"/>
          </w:tcPr>
          <w:p w14:paraId="611D4789" w14:textId="3D45BB81" w:rsidR="00E5729B" w:rsidRPr="00A63A02" w:rsidRDefault="006600C0" w:rsidP="00E5729B">
            <w:pPr>
              <w:spacing w:after="120"/>
              <w:rPr>
                <w:rFonts w:ascii="Arial" w:hAnsi="Arial" w:cs="Arial"/>
              </w:rPr>
            </w:pPr>
            <w:r w:rsidRPr="00A63A02">
              <w:rPr>
                <w:rFonts w:ascii="Arial" w:hAnsi="Arial" w:cs="Arial"/>
              </w:rPr>
              <w:t>12840T (Public)</w:t>
            </w:r>
          </w:p>
        </w:tc>
        <w:tc>
          <w:tcPr>
            <w:tcW w:w="1785" w:type="pct"/>
            <w:vMerge w:val="restart"/>
          </w:tcPr>
          <w:p w14:paraId="3B4E3CDE" w14:textId="77777777" w:rsidR="00E5729B" w:rsidRPr="00A63A02" w:rsidRDefault="00E5729B" w:rsidP="00E5729B">
            <w:pPr>
              <w:spacing w:after="120"/>
              <w:rPr>
                <w:rFonts w:ascii="Arial" w:hAnsi="Arial" w:cs="Arial"/>
              </w:rPr>
            </w:pPr>
            <w:r w:rsidRPr="00A63A02">
              <w:rPr>
                <w:rFonts w:ascii="Arial" w:hAnsi="Arial" w:cs="Arial"/>
              </w:rPr>
              <w:t>Initial treatment – Initial 1 (new patient) induction doses</w:t>
            </w:r>
          </w:p>
        </w:tc>
        <w:tc>
          <w:tcPr>
            <w:tcW w:w="2429" w:type="pct"/>
            <w:vMerge w:val="restart"/>
          </w:tcPr>
          <w:p w14:paraId="4381F248" w14:textId="51D0358B" w:rsidR="00E5729B" w:rsidRPr="00A63A02" w:rsidRDefault="00E5729B" w:rsidP="00E5729B">
            <w:pPr>
              <w:spacing w:after="120"/>
              <w:rPr>
                <w:rFonts w:ascii="Arial" w:hAnsi="Arial" w:cs="Arial"/>
              </w:rPr>
            </w:pPr>
            <w:r w:rsidRPr="00A63A02">
              <w:rPr>
                <w:rFonts w:ascii="Arial" w:hAnsi="Arial" w:cs="Arial"/>
              </w:rPr>
              <w:t>Patient</w:t>
            </w:r>
            <w:r w:rsidR="00494CE6" w:rsidRPr="00A63A02">
              <w:rPr>
                <w:rFonts w:ascii="Arial" w:hAnsi="Arial" w:cs="Arial"/>
              </w:rPr>
              <w:t>s who have</w:t>
            </w:r>
            <w:r w:rsidRPr="00A63A02">
              <w:rPr>
                <w:rFonts w:ascii="Arial" w:hAnsi="Arial" w:cs="Arial"/>
              </w:rPr>
              <w:t xml:space="preserve"> not received prior treatment with </w:t>
            </w:r>
            <w:r w:rsidR="00620004" w:rsidRPr="00A63A02">
              <w:rPr>
                <w:rFonts w:ascii="Arial" w:hAnsi="Arial" w:cs="Arial"/>
              </w:rPr>
              <w:t>eculizumab</w:t>
            </w:r>
            <w:r w:rsidRPr="00A63A02">
              <w:rPr>
                <w:rFonts w:ascii="Arial" w:hAnsi="Arial" w:cs="Arial"/>
              </w:rPr>
              <w:t xml:space="preserve"> for </w:t>
            </w:r>
            <w:r w:rsidR="00620004" w:rsidRPr="00A63A02">
              <w:rPr>
                <w:rFonts w:ascii="Arial" w:hAnsi="Arial" w:cs="Arial"/>
              </w:rPr>
              <w:t>PNH</w:t>
            </w:r>
            <w:r w:rsidRPr="00A63A02">
              <w:rPr>
                <w:rFonts w:ascii="Arial" w:hAnsi="Arial" w:cs="Arial"/>
              </w:rPr>
              <w:t>.</w:t>
            </w:r>
          </w:p>
        </w:tc>
      </w:tr>
      <w:tr w:rsidR="00E5729B" w:rsidRPr="00A63A02" w14:paraId="3AA04EC2" w14:textId="77777777" w:rsidTr="00DF303E">
        <w:trPr>
          <w:trHeight w:val="270"/>
        </w:trPr>
        <w:tc>
          <w:tcPr>
            <w:tcW w:w="786" w:type="pct"/>
          </w:tcPr>
          <w:p w14:paraId="71D1F6A5" w14:textId="67331AAF" w:rsidR="00E5729B" w:rsidRPr="00A63A02" w:rsidRDefault="006600C0" w:rsidP="00E5729B">
            <w:pPr>
              <w:spacing w:after="120"/>
              <w:rPr>
                <w:rFonts w:ascii="Arial" w:hAnsi="Arial" w:cs="Arial"/>
              </w:rPr>
            </w:pPr>
            <w:r w:rsidRPr="00A63A02">
              <w:rPr>
                <w:rFonts w:ascii="Arial" w:hAnsi="Arial" w:cs="Arial"/>
              </w:rPr>
              <w:t>12896R (Private)</w:t>
            </w:r>
          </w:p>
        </w:tc>
        <w:tc>
          <w:tcPr>
            <w:tcW w:w="1785" w:type="pct"/>
            <w:vMerge/>
          </w:tcPr>
          <w:p w14:paraId="1EF00D35" w14:textId="77777777" w:rsidR="00E5729B" w:rsidRPr="00A63A02" w:rsidRDefault="00E5729B" w:rsidP="00E5729B">
            <w:pPr>
              <w:spacing w:after="120"/>
              <w:rPr>
                <w:rFonts w:ascii="Arial" w:hAnsi="Arial" w:cs="Arial"/>
              </w:rPr>
            </w:pPr>
          </w:p>
        </w:tc>
        <w:tc>
          <w:tcPr>
            <w:tcW w:w="2429" w:type="pct"/>
            <w:vMerge/>
          </w:tcPr>
          <w:p w14:paraId="7A376811" w14:textId="77777777" w:rsidR="00E5729B" w:rsidRPr="00A63A02" w:rsidRDefault="00E5729B" w:rsidP="00E5729B">
            <w:pPr>
              <w:spacing w:after="120"/>
              <w:rPr>
                <w:rFonts w:ascii="Arial" w:hAnsi="Arial" w:cs="Arial"/>
              </w:rPr>
            </w:pPr>
          </w:p>
        </w:tc>
      </w:tr>
      <w:tr w:rsidR="00E5729B" w:rsidRPr="00A63A02" w14:paraId="62AD2036" w14:textId="77777777" w:rsidTr="005C634D">
        <w:trPr>
          <w:trHeight w:val="1210"/>
        </w:trPr>
        <w:tc>
          <w:tcPr>
            <w:tcW w:w="786" w:type="pct"/>
          </w:tcPr>
          <w:p w14:paraId="32FA489C" w14:textId="63D7FFD8" w:rsidR="00E5729B" w:rsidRPr="00A63A02" w:rsidRDefault="006600C0" w:rsidP="00E5729B">
            <w:pPr>
              <w:spacing w:after="120"/>
              <w:rPr>
                <w:rFonts w:ascii="Arial" w:hAnsi="Arial" w:cs="Arial"/>
              </w:rPr>
            </w:pPr>
            <w:r w:rsidRPr="00A63A02">
              <w:rPr>
                <w:rFonts w:ascii="Arial" w:hAnsi="Arial" w:cs="Arial"/>
              </w:rPr>
              <w:t>12900Y (Public)</w:t>
            </w:r>
          </w:p>
        </w:tc>
        <w:tc>
          <w:tcPr>
            <w:tcW w:w="1785" w:type="pct"/>
            <w:vMerge w:val="restart"/>
          </w:tcPr>
          <w:p w14:paraId="46C0643C" w14:textId="77777777" w:rsidR="00E5729B" w:rsidRPr="00A63A02" w:rsidRDefault="00E5729B" w:rsidP="00E5729B">
            <w:pPr>
              <w:spacing w:after="120"/>
              <w:rPr>
                <w:rFonts w:ascii="Arial" w:hAnsi="Arial" w:cs="Arial"/>
              </w:rPr>
            </w:pPr>
            <w:r w:rsidRPr="00A63A02">
              <w:rPr>
                <w:rFonts w:ascii="Arial" w:hAnsi="Arial" w:cs="Arial"/>
              </w:rPr>
              <w:t>Balance of Supply (transition from non-PBS-subsidised treatment during induction phase)</w:t>
            </w:r>
          </w:p>
        </w:tc>
        <w:tc>
          <w:tcPr>
            <w:tcW w:w="2429" w:type="pct"/>
            <w:vMerge w:val="restart"/>
          </w:tcPr>
          <w:p w14:paraId="6BDE2052" w14:textId="5E79ED77" w:rsidR="00A418B8" w:rsidRPr="00A63A02" w:rsidRDefault="00A418B8" w:rsidP="00E5729B">
            <w:pPr>
              <w:spacing w:after="120"/>
              <w:rPr>
                <w:rFonts w:ascii="Arial" w:hAnsi="Arial" w:cs="Arial"/>
              </w:rPr>
            </w:pPr>
            <w:r w:rsidRPr="00A63A02">
              <w:rPr>
                <w:rFonts w:ascii="Arial" w:hAnsi="Arial" w:cs="Arial"/>
              </w:rPr>
              <w:t>Patients who have received non-PBS treatment</w:t>
            </w:r>
            <w:r w:rsidR="00620004" w:rsidRPr="00A63A02">
              <w:rPr>
                <w:rFonts w:ascii="Arial" w:hAnsi="Arial" w:cs="Arial"/>
              </w:rPr>
              <w:t xml:space="preserve"> with eculizumab for PNH </w:t>
            </w:r>
            <w:r w:rsidRPr="00A63A02">
              <w:rPr>
                <w:rFonts w:ascii="Arial" w:hAnsi="Arial" w:cs="Arial"/>
              </w:rPr>
              <w:t xml:space="preserve">prior to </w:t>
            </w:r>
            <w:r w:rsidR="007456DE" w:rsidRPr="00A63A02">
              <w:rPr>
                <w:rFonts w:ascii="Arial" w:hAnsi="Arial" w:cs="Arial"/>
              </w:rPr>
              <w:t>1</w:t>
            </w:r>
            <w:r w:rsidR="002B39AE" w:rsidRPr="00A63A02">
              <w:rPr>
                <w:rFonts w:ascii="Arial" w:hAnsi="Arial" w:cs="Arial"/>
              </w:rPr>
              <w:t> </w:t>
            </w:r>
            <w:r w:rsidR="007456DE" w:rsidRPr="00A63A02">
              <w:rPr>
                <w:rFonts w:ascii="Arial" w:hAnsi="Arial" w:cs="Arial"/>
              </w:rPr>
              <w:t>March</w:t>
            </w:r>
            <w:r w:rsidR="002B39AE" w:rsidRPr="00A63A02">
              <w:rPr>
                <w:rFonts w:ascii="Arial" w:hAnsi="Arial" w:cs="Arial"/>
              </w:rPr>
              <w:t> </w:t>
            </w:r>
            <w:r w:rsidR="007456DE" w:rsidRPr="00A63A02">
              <w:rPr>
                <w:rFonts w:ascii="Arial" w:hAnsi="Arial" w:cs="Arial"/>
              </w:rPr>
              <w:t>2022</w:t>
            </w:r>
          </w:p>
          <w:p w14:paraId="2908EA50" w14:textId="36F383C0" w:rsidR="00E5729B" w:rsidRPr="00A63A02" w:rsidRDefault="00494CE6" w:rsidP="00E5729B">
            <w:pPr>
              <w:spacing w:after="120"/>
              <w:rPr>
                <w:rFonts w:ascii="Arial" w:hAnsi="Arial" w:cs="Arial"/>
              </w:rPr>
            </w:pPr>
            <w:r w:rsidRPr="00A63A02">
              <w:rPr>
                <w:rFonts w:ascii="Arial" w:hAnsi="Arial" w:cs="Arial"/>
              </w:rPr>
              <w:t>The p</w:t>
            </w:r>
            <w:r w:rsidR="00E5729B" w:rsidRPr="00A63A02">
              <w:rPr>
                <w:rFonts w:ascii="Arial" w:hAnsi="Arial" w:cs="Arial"/>
              </w:rPr>
              <w:t>atient must have received insufficient quantity to complete the induction treatment phase</w:t>
            </w:r>
          </w:p>
          <w:p w14:paraId="5DD22A49" w14:textId="0697CFA4" w:rsidR="003212CB" w:rsidRPr="00A63A02" w:rsidRDefault="003212CB" w:rsidP="00E5729B">
            <w:pPr>
              <w:spacing w:after="120"/>
              <w:rPr>
                <w:rFonts w:ascii="Arial" w:hAnsi="Arial" w:cs="Arial"/>
              </w:rPr>
            </w:pPr>
            <w:r w:rsidRPr="00A63A02">
              <w:rPr>
                <w:rFonts w:ascii="Arial" w:hAnsi="Arial" w:cs="Arial"/>
              </w:rPr>
              <w:t>Non-PBS</w:t>
            </w:r>
            <w:r w:rsidR="00287665" w:rsidRPr="00A63A02">
              <w:rPr>
                <w:rFonts w:ascii="Arial" w:hAnsi="Arial" w:cs="Arial"/>
              </w:rPr>
              <w:t>-subsidised</w:t>
            </w:r>
            <w:r w:rsidRPr="00A63A02">
              <w:rPr>
                <w:rFonts w:ascii="Arial" w:hAnsi="Arial" w:cs="Arial"/>
              </w:rPr>
              <w:t xml:space="preserve"> treatment includes </w:t>
            </w:r>
            <w:r w:rsidR="005C634D" w:rsidRPr="00A63A02">
              <w:rPr>
                <w:rFonts w:ascii="Arial" w:hAnsi="Arial" w:cs="Arial"/>
              </w:rPr>
              <w:t xml:space="preserve">access through </w:t>
            </w:r>
            <w:r w:rsidRPr="00A63A02">
              <w:rPr>
                <w:rFonts w:ascii="Arial" w:hAnsi="Arial" w:cs="Arial"/>
              </w:rPr>
              <w:t xml:space="preserve">LSDP, </w:t>
            </w:r>
            <w:r w:rsidR="00BC7FE7" w:rsidRPr="00A63A02">
              <w:rPr>
                <w:rFonts w:ascii="Arial" w:hAnsi="Arial" w:cs="Arial"/>
              </w:rPr>
              <w:t xml:space="preserve">clinical trials </w:t>
            </w:r>
            <w:r w:rsidR="005C634D" w:rsidRPr="00A63A02">
              <w:rPr>
                <w:rFonts w:ascii="Arial" w:hAnsi="Arial" w:cs="Arial"/>
              </w:rPr>
              <w:t>or</w:t>
            </w:r>
            <w:r w:rsidR="00BC7FE7" w:rsidRPr="00A63A02">
              <w:rPr>
                <w:rFonts w:ascii="Arial" w:hAnsi="Arial" w:cs="Arial"/>
              </w:rPr>
              <w:t xml:space="preserve"> other private arrangements</w:t>
            </w:r>
          </w:p>
        </w:tc>
      </w:tr>
      <w:tr w:rsidR="00E5729B" w:rsidRPr="00A63A02" w14:paraId="05935A98" w14:textId="77777777" w:rsidTr="005C634D">
        <w:trPr>
          <w:trHeight w:val="1210"/>
        </w:trPr>
        <w:tc>
          <w:tcPr>
            <w:tcW w:w="786" w:type="pct"/>
          </w:tcPr>
          <w:p w14:paraId="26B9B4D3" w14:textId="0CC81C19" w:rsidR="00E5729B" w:rsidRPr="00A63A02" w:rsidRDefault="006600C0" w:rsidP="00E5729B">
            <w:pPr>
              <w:spacing w:after="120"/>
              <w:rPr>
                <w:rFonts w:ascii="Arial" w:hAnsi="Arial" w:cs="Arial"/>
              </w:rPr>
            </w:pPr>
            <w:r w:rsidRPr="00A63A02">
              <w:rPr>
                <w:rFonts w:ascii="Arial" w:hAnsi="Arial" w:cs="Arial"/>
              </w:rPr>
              <w:t>12864C (Private)</w:t>
            </w:r>
          </w:p>
        </w:tc>
        <w:tc>
          <w:tcPr>
            <w:tcW w:w="1785" w:type="pct"/>
            <w:vMerge/>
          </w:tcPr>
          <w:p w14:paraId="3D5ACA22" w14:textId="77777777" w:rsidR="00E5729B" w:rsidRPr="00A63A02" w:rsidRDefault="00E5729B" w:rsidP="00E5729B">
            <w:pPr>
              <w:spacing w:after="120"/>
              <w:rPr>
                <w:rFonts w:ascii="Arial" w:hAnsi="Arial" w:cs="Arial"/>
              </w:rPr>
            </w:pPr>
          </w:p>
        </w:tc>
        <w:tc>
          <w:tcPr>
            <w:tcW w:w="2429" w:type="pct"/>
            <w:vMerge/>
          </w:tcPr>
          <w:p w14:paraId="5F095F21" w14:textId="77777777" w:rsidR="00E5729B" w:rsidRPr="00A63A02" w:rsidRDefault="00E5729B" w:rsidP="00E5729B">
            <w:pPr>
              <w:spacing w:after="120"/>
              <w:rPr>
                <w:rFonts w:ascii="Arial" w:hAnsi="Arial" w:cs="Arial"/>
              </w:rPr>
            </w:pPr>
          </w:p>
        </w:tc>
      </w:tr>
      <w:tr w:rsidR="00E5729B" w:rsidRPr="00A63A02" w14:paraId="0527E3C5" w14:textId="77777777" w:rsidTr="00DF303E">
        <w:trPr>
          <w:trHeight w:val="540"/>
        </w:trPr>
        <w:tc>
          <w:tcPr>
            <w:tcW w:w="786" w:type="pct"/>
          </w:tcPr>
          <w:p w14:paraId="01073863" w14:textId="11AB6015" w:rsidR="00E5729B" w:rsidRPr="00A63A02" w:rsidRDefault="006600C0" w:rsidP="00E5729B">
            <w:pPr>
              <w:spacing w:after="120"/>
              <w:rPr>
                <w:rFonts w:ascii="Arial" w:hAnsi="Arial" w:cs="Arial"/>
              </w:rPr>
            </w:pPr>
            <w:r w:rsidRPr="00A63A02">
              <w:rPr>
                <w:rFonts w:ascii="Arial" w:hAnsi="Arial" w:cs="Arial"/>
              </w:rPr>
              <w:t>12877R (Public)</w:t>
            </w:r>
          </w:p>
        </w:tc>
        <w:tc>
          <w:tcPr>
            <w:tcW w:w="1785" w:type="pct"/>
            <w:vMerge w:val="restart"/>
          </w:tcPr>
          <w:p w14:paraId="0D0AE62A" w14:textId="77777777" w:rsidR="00E5729B" w:rsidRPr="00A63A02" w:rsidRDefault="00E5729B" w:rsidP="00E5729B">
            <w:pPr>
              <w:spacing w:after="120"/>
              <w:rPr>
                <w:rFonts w:ascii="Arial" w:hAnsi="Arial" w:cs="Arial"/>
              </w:rPr>
            </w:pPr>
            <w:r w:rsidRPr="00A63A02">
              <w:rPr>
                <w:rFonts w:ascii="Arial" w:hAnsi="Arial" w:cs="Arial"/>
              </w:rPr>
              <w:t xml:space="preserve">Initial treatment – Initial 2 (switching from PBS-subsidised </w:t>
            </w:r>
            <w:proofErr w:type="spellStart"/>
            <w:r w:rsidRPr="00A63A02">
              <w:rPr>
                <w:rFonts w:ascii="Arial" w:hAnsi="Arial" w:cs="Arial"/>
              </w:rPr>
              <w:t>ravulizumab</w:t>
            </w:r>
            <w:proofErr w:type="spellEnd"/>
            <w:r w:rsidRPr="00A63A02">
              <w:rPr>
                <w:rFonts w:ascii="Arial" w:hAnsi="Arial" w:cs="Arial"/>
              </w:rPr>
              <w:t xml:space="preserve"> for pregnancy)</w:t>
            </w:r>
          </w:p>
        </w:tc>
        <w:tc>
          <w:tcPr>
            <w:tcW w:w="2429" w:type="pct"/>
            <w:vMerge w:val="restart"/>
          </w:tcPr>
          <w:p w14:paraId="762C9593" w14:textId="37121C84" w:rsidR="00E5729B" w:rsidRPr="00A63A02" w:rsidRDefault="00E5729B" w:rsidP="00E5729B">
            <w:pPr>
              <w:spacing w:after="120"/>
              <w:rPr>
                <w:rFonts w:ascii="Arial" w:hAnsi="Arial" w:cs="Arial"/>
              </w:rPr>
            </w:pPr>
            <w:r w:rsidRPr="00A63A02">
              <w:rPr>
                <w:rFonts w:ascii="Arial" w:hAnsi="Arial" w:cs="Arial"/>
              </w:rPr>
              <w:t>Patient</w:t>
            </w:r>
            <w:r w:rsidR="00494CE6" w:rsidRPr="00A63A02">
              <w:rPr>
                <w:rFonts w:ascii="Arial" w:hAnsi="Arial" w:cs="Arial"/>
              </w:rPr>
              <w:t>s who are</w:t>
            </w:r>
            <w:r w:rsidRPr="00A63A02">
              <w:rPr>
                <w:rFonts w:ascii="Arial" w:hAnsi="Arial" w:cs="Arial"/>
              </w:rPr>
              <w:t xml:space="preserve"> pregnant or planning pregnancy</w:t>
            </w:r>
          </w:p>
          <w:p w14:paraId="27731636" w14:textId="05E6B9DC" w:rsidR="00E5729B" w:rsidRPr="00A63A02" w:rsidRDefault="00494CE6" w:rsidP="00E5729B">
            <w:pPr>
              <w:spacing w:after="120"/>
              <w:rPr>
                <w:rFonts w:ascii="Arial" w:hAnsi="Arial" w:cs="Arial"/>
              </w:rPr>
            </w:pPr>
            <w:r w:rsidRPr="00A63A02">
              <w:rPr>
                <w:rFonts w:ascii="Arial" w:hAnsi="Arial" w:cs="Arial"/>
              </w:rPr>
              <w:t>The p</w:t>
            </w:r>
            <w:r w:rsidR="00E5729B" w:rsidRPr="00A63A02">
              <w:rPr>
                <w:rFonts w:ascii="Arial" w:hAnsi="Arial" w:cs="Arial"/>
              </w:rPr>
              <w:t xml:space="preserve">atient must have received PBS-subsidised treatment with </w:t>
            </w:r>
            <w:proofErr w:type="spellStart"/>
            <w:r w:rsidR="00287665" w:rsidRPr="00A63A02">
              <w:rPr>
                <w:rFonts w:ascii="Arial" w:hAnsi="Arial" w:cs="Arial"/>
              </w:rPr>
              <w:t>ravulizumab</w:t>
            </w:r>
            <w:proofErr w:type="spellEnd"/>
            <w:r w:rsidR="00E5729B" w:rsidRPr="00A63A02">
              <w:rPr>
                <w:rFonts w:ascii="Arial" w:hAnsi="Arial" w:cs="Arial"/>
              </w:rPr>
              <w:t xml:space="preserve"> for </w:t>
            </w:r>
            <w:r w:rsidR="00620004" w:rsidRPr="00A63A02">
              <w:rPr>
                <w:rFonts w:ascii="Arial" w:hAnsi="Arial" w:cs="Arial"/>
              </w:rPr>
              <w:t>PNH</w:t>
            </w:r>
          </w:p>
        </w:tc>
      </w:tr>
      <w:tr w:rsidR="00E5729B" w:rsidRPr="00A63A02" w14:paraId="7E63A2A7" w14:textId="77777777" w:rsidTr="00DF303E">
        <w:trPr>
          <w:trHeight w:val="540"/>
        </w:trPr>
        <w:tc>
          <w:tcPr>
            <w:tcW w:w="786" w:type="pct"/>
          </w:tcPr>
          <w:p w14:paraId="6659C159" w14:textId="6811F7D2" w:rsidR="00E5729B" w:rsidRPr="00A63A02" w:rsidRDefault="006600C0" w:rsidP="00E5729B">
            <w:pPr>
              <w:spacing w:after="120"/>
              <w:rPr>
                <w:rFonts w:ascii="Arial" w:hAnsi="Arial" w:cs="Arial"/>
              </w:rPr>
            </w:pPr>
            <w:r w:rsidRPr="00A63A02">
              <w:rPr>
                <w:rFonts w:ascii="Arial" w:hAnsi="Arial" w:cs="Arial"/>
              </w:rPr>
              <w:t>12899X (Private)</w:t>
            </w:r>
          </w:p>
        </w:tc>
        <w:tc>
          <w:tcPr>
            <w:tcW w:w="1785" w:type="pct"/>
            <w:vMerge/>
          </w:tcPr>
          <w:p w14:paraId="1C5B69CC" w14:textId="77777777" w:rsidR="00E5729B" w:rsidRPr="00A63A02" w:rsidRDefault="00E5729B" w:rsidP="00E5729B">
            <w:pPr>
              <w:spacing w:after="120"/>
              <w:rPr>
                <w:rFonts w:ascii="Arial" w:hAnsi="Arial" w:cs="Arial"/>
              </w:rPr>
            </w:pPr>
          </w:p>
        </w:tc>
        <w:tc>
          <w:tcPr>
            <w:tcW w:w="2429" w:type="pct"/>
            <w:vMerge/>
          </w:tcPr>
          <w:p w14:paraId="79F67140" w14:textId="77777777" w:rsidR="00E5729B" w:rsidRPr="00A63A02" w:rsidRDefault="00E5729B" w:rsidP="00E5729B">
            <w:pPr>
              <w:spacing w:after="120"/>
              <w:rPr>
                <w:rFonts w:ascii="Arial" w:hAnsi="Arial" w:cs="Arial"/>
              </w:rPr>
            </w:pPr>
          </w:p>
        </w:tc>
      </w:tr>
      <w:tr w:rsidR="00E5729B" w:rsidRPr="00A63A02" w14:paraId="078F4637" w14:textId="77777777" w:rsidTr="005C634D">
        <w:trPr>
          <w:trHeight w:val="805"/>
        </w:trPr>
        <w:tc>
          <w:tcPr>
            <w:tcW w:w="786" w:type="pct"/>
          </w:tcPr>
          <w:p w14:paraId="4F63CAFE" w14:textId="53FDD7EE" w:rsidR="00E5729B" w:rsidRPr="00A63A02" w:rsidRDefault="006600C0" w:rsidP="00E5729B">
            <w:pPr>
              <w:spacing w:after="120"/>
              <w:rPr>
                <w:rFonts w:ascii="Arial" w:hAnsi="Arial" w:cs="Arial"/>
              </w:rPr>
            </w:pPr>
            <w:r w:rsidRPr="00A63A02">
              <w:rPr>
                <w:rFonts w:ascii="Arial" w:hAnsi="Arial" w:cs="Arial"/>
              </w:rPr>
              <w:t>12877R (Public)</w:t>
            </w:r>
          </w:p>
        </w:tc>
        <w:tc>
          <w:tcPr>
            <w:tcW w:w="1785" w:type="pct"/>
            <w:vMerge w:val="restart"/>
          </w:tcPr>
          <w:p w14:paraId="426F4286" w14:textId="77777777" w:rsidR="00E5729B" w:rsidRPr="00A63A02" w:rsidRDefault="00E5729B" w:rsidP="00E5729B">
            <w:pPr>
              <w:spacing w:after="120"/>
              <w:rPr>
                <w:rFonts w:ascii="Arial" w:hAnsi="Arial" w:cs="Arial"/>
              </w:rPr>
            </w:pPr>
            <w:r w:rsidRPr="00A63A02">
              <w:rPr>
                <w:rFonts w:ascii="Arial" w:hAnsi="Arial" w:cs="Arial"/>
              </w:rPr>
              <w:t>Grandfather 1 (transition from non-PBS-subsidised treatment) – maintenance phase</w:t>
            </w:r>
          </w:p>
        </w:tc>
        <w:tc>
          <w:tcPr>
            <w:tcW w:w="2429" w:type="pct"/>
            <w:vMerge w:val="restart"/>
          </w:tcPr>
          <w:p w14:paraId="4157D6C3" w14:textId="6C72DBA9" w:rsidR="00E5729B" w:rsidRPr="00A63A02" w:rsidRDefault="00E5729B" w:rsidP="00E5729B">
            <w:pPr>
              <w:spacing w:after="120"/>
              <w:rPr>
                <w:rFonts w:ascii="Arial" w:hAnsi="Arial" w:cs="Arial"/>
              </w:rPr>
            </w:pPr>
            <w:r w:rsidRPr="00A63A02">
              <w:rPr>
                <w:rFonts w:ascii="Arial" w:hAnsi="Arial" w:cs="Arial"/>
              </w:rPr>
              <w:t>Patient</w:t>
            </w:r>
            <w:r w:rsidR="00E86584" w:rsidRPr="00A63A02">
              <w:rPr>
                <w:rFonts w:ascii="Arial" w:hAnsi="Arial" w:cs="Arial"/>
              </w:rPr>
              <w:t>s who</w:t>
            </w:r>
            <w:r w:rsidRPr="00A63A02">
              <w:rPr>
                <w:rFonts w:ascii="Arial" w:hAnsi="Arial" w:cs="Arial"/>
              </w:rPr>
              <w:t xml:space="preserve"> have received non-PBS-subsidised eculizumab for</w:t>
            </w:r>
            <w:r w:rsidR="00620004" w:rsidRPr="00A63A02">
              <w:rPr>
                <w:rFonts w:ascii="Arial" w:hAnsi="Arial" w:cs="Arial"/>
              </w:rPr>
              <w:t xml:space="preserve"> PNH</w:t>
            </w:r>
            <w:r w:rsidRPr="00A63A02">
              <w:rPr>
                <w:rFonts w:ascii="Arial" w:hAnsi="Arial" w:cs="Arial"/>
              </w:rPr>
              <w:t xml:space="preserve"> prior to </w:t>
            </w:r>
            <w:r w:rsidR="007456DE" w:rsidRPr="00A63A02">
              <w:rPr>
                <w:rFonts w:ascii="Arial" w:hAnsi="Arial" w:cs="Arial"/>
              </w:rPr>
              <w:t>1</w:t>
            </w:r>
            <w:r w:rsidR="002B39AE" w:rsidRPr="00A63A02">
              <w:rPr>
                <w:rFonts w:ascii="Arial" w:hAnsi="Arial" w:cs="Arial"/>
              </w:rPr>
              <w:t> </w:t>
            </w:r>
            <w:r w:rsidR="007456DE" w:rsidRPr="00A63A02">
              <w:rPr>
                <w:rFonts w:ascii="Arial" w:hAnsi="Arial" w:cs="Arial"/>
              </w:rPr>
              <w:t>March</w:t>
            </w:r>
            <w:r w:rsidR="002B39AE" w:rsidRPr="00A63A02">
              <w:rPr>
                <w:rFonts w:ascii="Arial" w:hAnsi="Arial" w:cs="Arial"/>
              </w:rPr>
              <w:t> </w:t>
            </w:r>
            <w:r w:rsidR="007456DE" w:rsidRPr="00A63A02">
              <w:rPr>
                <w:rFonts w:ascii="Arial" w:hAnsi="Arial" w:cs="Arial"/>
              </w:rPr>
              <w:t>2022</w:t>
            </w:r>
            <w:r w:rsidR="00715E56" w:rsidRPr="00A63A02">
              <w:rPr>
                <w:rFonts w:ascii="Arial" w:hAnsi="Arial" w:cs="Arial"/>
              </w:rPr>
              <w:t xml:space="preserve"> and have completed the induction treatment phase</w:t>
            </w:r>
          </w:p>
          <w:p w14:paraId="61D6C6A3" w14:textId="163DA612" w:rsidR="00E5729B" w:rsidRPr="00A63A02" w:rsidRDefault="00287665" w:rsidP="00E5729B">
            <w:pPr>
              <w:spacing w:after="120"/>
              <w:rPr>
                <w:rFonts w:ascii="Arial" w:hAnsi="Arial" w:cs="Arial"/>
              </w:rPr>
            </w:pPr>
            <w:r w:rsidRPr="00A63A02">
              <w:rPr>
                <w:rFonts w:ascii="Arial" w:hAnsi="Arial" w:cs="Arial"/>
              </w:rPr>
              <w:t>Non-PBS-subsidised treatment includes access through clinical trials or other private arrangements</w:t>
            </w:r>
          </w:p>
        </w:tc>
      </w:tr>
      <w:tr w:rsidR="00E5729B" w:rsidRPr="00A63A02" w14:paraId="5137E8B4" w14:textId="77777777" w:rsidTr="005C634D">
        <w:trPr>
          <w:trHeight w:val="805"/>
        </w:trPr>
        <w:tc>
          <w:tcPr>
            <w:tcW w:w="786" w:type="pct"/>
          </w:tcPr>
          <w:p w14:paraId="1E856E25" w14:textId="57A33A6F" w:rsidR="00E5729B" w:rsidRPr="00A63A02" w:rsidRDefault="006600C0" w:rsidP="00E5729B">
            <w:pPr>
              <w:spacing w:after="120"/>
              <w:rPr>
                <w:rFonts w:ascii="Arial" w:hAnsi="Arial" w:cs="Arial"/>
              </w:rPr>
            </w:pPr>
            <w:r w:rsidRPr="00A63A02">
              <w:rPr>
                <w:rFonts w:ascii="Arial" w:hAnsi="Arial" w:cs="Arial"/>
              </w:rPr>
              <w:t>12899X (Private)</w:t>
            </w:r>
          </w:p>
        </w:tc>
        <w:tc>
          <w:tcPr>
            <w:tcW w:w="1785" w:type="pct"/>
            <w:vMerge/>
          </w:tcPr>
          <w:p w14:paraId="7FDF43D3" w14:textId="77777777" w:rsidR="00E5729B" w:rsidRPr="00A63A02" w:rsidRDefault="00E5729B" w:rsidP="00E5729B">
            <w:pPr>
              <w:spacing w:after="120"/>
              <w:rPr>
                <w:rFonts w:ascii="Arial" w:hAnsi="Arial" w:cs="Arial"/>
              </w:rPr>
            </w:pPr>
          </w:p>
        </w:tc>
        <w:tc>
          <w:tcPr>
            <w:tcW w:w="2429" w:type="pct"/>
            <w:vMerge/>
          </w:tcPr>
          <w:p w14:paraId="3339F34F" w14:textId="77777777" w:rsidR="00E5729B" w:rsidRPr="00A63A02" w:rsidRDefault="00E5729B" w:rsidP="00E5729B">
            <w:pPr>
              <w:spacing w:after="120"/>
              <w:rPr>
                <w:rFonts w:ascii="Arial" w:hAnsi="Arial" w:cs="Arial"/>
              </w:rPr>
            </w:pPr>
          </w:p>
        </w:tc>
      </w:tr>
      <w:tr w:rsidR="00E5729B" w:rsidRPr="00A63A02" w14:paraId="7977594C" w14:textId="77777777" w:rsidTr="005C634D">
        <w:trPr>
          <w:trHeight w:val="630"/>
        </w:trPr>
        <w:tc>
          <w:tcPr>
            <w:tcW w:w="786" w:type="pct"/>
          </w:tcPr>
          <w:p w14:paraId="68E71469" w14:textId="49C9B02A" w:rsidR="00E5729B" w:rsidRPr="00A63A02" w:rsidRDefault="006600C0" w:rsidP="00E5729B">
            <w:pPr>
              <w:spacing w:after="120"/>
              <w:rPr>
                <w:rFonts w:ascii="Arial" w:hAnsi="Arial" w:cs="Arial"/>
              </w:rPr>
            </w:pPr>
            <w:r w:rsidRPr="00A63A02">
              <w:rPr>
                <w:rFonts w:ascii="Arial" w:hAnsi="Arial" w:cs="Arial"/>
              </w:rPr>
              <w:t>12877R (Public)</w:t>
            </w:r>
          </w:p>
        </w:tc>
        <w:tc>
          <w:tcPr>
            <w:tcW w:w="1785" w:type="pct"/>
            <w:vMerge w:val="restart"/>
          </w:tcPr>
          <w:p w14:paraId="0406E3E1" w14:textId="77777777" w:rsidR="00E5729B" w:rsidRPr="00A63A02" w:rsidRDefault="00E5729B" w:rsidP="00E5729B">
            <w:pPr>
              <w:spacing w:after="120"/>
              <w:rPr>
                <w:rFonts w:ascii="Arial" w:hAnsi="Arial" w:cs="Arial"/>
              </w:rPr>
            </w:pPr>
            <w:r w:rsidRPr="00A63A02">
              <w:rPr>
                <w:rFonts w:ascii="Arial" w:hAnsi="Arial" w:cs="Arial"/>
              </w:rPr>
              <w:t>Grandfather 2 (transition from LSDP-funded eculizumab)</w:t>
            </w:r>
          </w:p>
        </w:tc>
        <w:tc>
          <w:tcPr>
            <w:tcW w:w="2429" w:type="pct"/>
            <w:vMerge w:val="restart"/>
          </w:tcPr>
          <w:p w14:paraId="1760D927" w14:textId="6C35230A" w:rsidR="00E5729B" w:rsidRPr="00A63A02" w:rsidRDefault="00E5729B" w:rsidP="00E5729B">
            <w:pPr>
              <w:spacing w:after="120"/>
              <w:rPr>
                <w:rFonts w:ascii="Arial" w:hAnsi="Arial" w:cs="Arial"/>
              </w:rPr>
            </w:pPr>
            <w:r w:rsidRPr="00A63A02">
              <w:rPr>
                <w:rFonts w:ascii="Arial" w:hAnsi="Arial" w:cs="Arial"/>
              </w:rPr>
              <w:t>Patient</w:t>
            </w:r>
            <w:r w:rsidR="00E86584" w:rsidRPr="00A63A02">
              <w:rPr>
                <w:rFonts w:ascii="Arial" w:hAnsi="Arial" w:cs="Arial"/>
              </w:rPr>
              <w:t xml:space="preserve">s who </w:t>
            </w:r>
            <w:r w:rsidRPr="00A63A02">
              <w:rPr>
                <w:rFonts w:ascii="Arial" w:hAnsi="Arial" w:cs="Arial"/>
              </w:rPr>
              <w:t xml:space="preserve">have previously received eculizumab </w:t>
            </w:r>
            <w:r w:rsidR="00287665" w:rsidRPr="00A63A02">
              <w:rPr>
                <w:rFonts w:ascii="Arial" w:hAnsi="Arial" w:cs="Arial"/>
              </w:rPr>
              <w:t>through the LSDP</w:t>
            </w:r>
            <w:r w:rsidR="007665A5" w:rsidRPr="00A63A02">
              <w:rPr>
                <w:rFonts w:ascii="Arial" w:hAnsi="Arial" w:cs="Arial"/>
              </w:rPr>
              <w:t>, and completed the induction phase treatment</w:t>
            </w:r>
          </w:p>
        </w:tc>
      </w:tr>
      <w:tr w:rsidR="00E5729B" w:rsidRPr="00A63A02" w14:paraId="283D0631" w14:textId="77777777" w:rsidTr="005C634D">
        <w:trPr>
          <w:trHeight w:val="630"/>
        </w:trPr>
        <w:tc>
          <w:tcPr>
            <w:tcW w:w="786" w:type="pct"/>
          </w:tcPr>
          <w:p w14:paraId="72A9B849" w14:textId="207F6AEA" w:rsidR="00E5729B" w:rsidRPr="00A63A02" w:rsidRDefault="006600C0" w:rsidP="00E5729B">
            <w:pPr>
              <w:spacing w:after="120"/>
              <w:rPr>
                <w:rFonts w:ascii="Arial" w:hAnsi="Arial" w:cs="Arial"/>
              </w:rPr>
            </w:pPr>
            <w:r w:rsidRPr="00A63A02">
              <w:rPr>
                <w:rFonts w:ascii="Arial" w:hAnsi="Arial" w:cs="Arial"/>
              </w:rPr>
              <w:t>12899X (Private)</w:t>
            </w:r>
          </w:p>
        </w:tc>
        <w:tc>
          <w:tcPr>
            <w:tcW w:w="1785" w:type="pct"/>
            <w:vMerge/>
          </w:tcPr>
          <w:p w14:paraId="740FB623" w14:textId="77777777" w:rsidR="00E5729B" w:rsidRPr="00A63A02" w:rsidRDefault="00E5729B" w:rsidP="00E5729B">
            <w:pPr>
              <w:spacing w:after="120"/>
              <w:rPr>
                <w:rFonts w:ascii="Arial" w:hAnsi="Arial" w:cs="Arial"/>
              </w:rPr>
            </w:pPr>
          </w:p>
        </w:tc>
        <w:tc>
          <w:tcPr>
            <w:tcW w:w="2429" w:type="pct"/>
            <w:vMerge/>
          </w:tcPr>
          <w:p w14:paraId="19CB5307" w14:textId="77777777" w:rsidR="00E5729B" w:rsidRPr="00A63A02" w:rsidRDefault="00E5729B" w:rsidP="00E5729B">
            <w:pPr>
              <w:spacing w:after="120"/>
              <w:rPr>
                <w:rFonts w:ascii="Arial" w:hAnsi="Arial" w:cs="Arial"/>
              </w:rPr>
            </w:pPr>
          </w:p>
        </w:tc>
      </w:tr>
      <w:tr w:rsidR="00E5729B" w:rsidRPr="00A63A02" w14:paraId="1B7DE649" w14:textId="77777777" w:rsidTr="00DF303E">
        <w:trPr>
          <w:trHeight w:val="540"/>
        </w:trPr>
        <w:tc>
          <w:tcPr>
            <w:tcW w:w="786" w:type="pct"/>
          </w:tcPr>
          <w:p w14:paraId="482346B0" w14:textId="79A1F71F" w:rsidR="00E5729B" w:rsidRPr="00A63A02" w:rsidRDefault="006600C0" w:rsidP="00E5729B">
            <w:pPr>
              <w:spacing w:after="120"/>
              <w:rPr>
                <w:rFonts w:ascii="Arial" w:hAnsi="Arial" w:cs="Arial"/>
              </w:rPr>
            </w:pPr>
            <w:r w:rsidRPr="00A63A02">
              <w:rPr>
                <w:rFonts w:ascii="Arial" w:hAnsi="Arial" w:cs="Arial"/>
              </w:rPr>
              <w:t>12877R (Public)</w:t>
            </w:r>
          </w:p>
        </w:tc>
        <w:tc>
          <w:tcPr>
            <w:tcW w:w="1785" w:type="pct"/>
            <w:vMerge w:val="restart"/>
          </w:tcPr>
          <w:p w14:paraId="0C5BB352" w14:textId="77777777" w:rsidR="00E5729B" w:rsidRPr="00A63A02" w:rsidRDefault="00E5729B" w:rsidP="00E5729B">
            <w:pPr>
              <w:spacing w:after="120"/>
              <w:rPr>
                <w:rFonts w:ascii="Arial" w:hAnsi="Arial" w:cs="Arial"/>
              </w:rPr>
            </w:pPr>
            <w:r w:rsidRPr="00A63A02">
              <w:rPr>
                <w:rFonts w:ascii="Arial" w:hAnsi="Arial" w:cs="Arial"/>
              </w:rPr>
              <w:t>First Continuing Treatment</w:t>
            </w:r>
          </w:p>
        </w:tc>
        <w:tc>
          <w:tcPr>
            <w:tcW w:w="2429" w:type="pct"/>
            <w:vMerge w:val="restart"/>
          </w:tcPr>
          <w:p w14:paraId="34FAFB0D" w14:textId="5618B942" w:rsidR="00E5729B" w:rsidRPr="00A63A02" w:rsidRDefault="00E5729B" w:rsidP="00E5729B">
            <w:pPr>
              <w:spacing w:after="120"/>
              <w:rPr>
                <w:rFonts w:ascii="Arial" w:hAnsi="Arial" w:cs="Arial"/>
              </w:rPr>
            </w:pPr>
            <w:r w:rsidRPr="00A63A02">
              <w:rPr>
                <w:rFonts w:ascii="Arial" w:hAnsi="Arial" w:cs="Arial"/>
              </w:rPr>
              <w:t>Patient</w:t>
            </w:r>
            <w:r w:rsidR="00E86584" w:rsidRPr="00A63A02">
              <w:rPr>
                <w:rFonts w:ascii="Arial" w:hAnsi="Arial" w:cs="Arial"/>
              </w:rPr>
              <w:t>s</w:t>
            </w:r>
            <w:r w:rsidRPr="00A63A02">
              <w:rPr>
                <w:rFonts w:ascii="Arial" w:hAnsi="Arial" w:cs="Arial"/>
              </w:rPr>
              <w:t xml:space="preserve"> </w:t>
            </w:r>
            <w:r w:rsidR="00E86584" w:rsidRPr="00A63A02">
              <w:rPr>
                <w:rFonts w:ascii="Arial" w:hAnsi="Arial" w:cs="Arial"/>
              </w:rPr>
              <w:t>who</w:t>
            </w:r>
            <w:r w:rsidRPr="00A63A02">
              <w:rPr>
                <w:rFonts w:ascii="Arial" w:hAnsi="Arial" w:cs="Arial"/>
              </w:rPr>
              <w:t xml:space="preserve"> have received PBS-subsidised treatment with </w:t>
            </w:r>
            <w:r w:rsidR="001C0D06" w:rsidRPr="00A63A02">
              <w:rPr>
                <w:rFonts w:ascii="Arial" w:hAnsi="Arial" w:cs="Arial"/>
              </w:rPr>
              <w:t>eculizumab</w:t>
            </w:r>
            <w:r w:rsidRPr="00A63A02">
              <w:rPr>
                <w:rFonts w:ascii="Arial" w:hAnsi="Arial" w:cs="Arial"/>
              </w:rPr>
              <w:t xml:space="preserve"> for </w:t>
            </w:r>
            <w:r w:rsidR="00287665" w:rsidRPr="00A63A02">
              <w:rPr>
                <w:rFonts w:ascii="Arial" w:hAnsi="Arial" w:cs="Arial"/>
              </w:rPr>
              <w:t>PN</w:t>
            </w:r>
            <w:r w:rsidR="001C0D06" w:rsidRPr="00A63A02">
              <w:rPr>
                <w:rFonts w:ascii="Arial" w:hAnsi="Arial" w:cs="Arial"/>
              </w:rPr>
              <w:t>H</w:t>
            </w:r>
            <w:r w:rsidRPr="00A63A02">
              <w:rPr>
                <w:rFonts w:ascii="Arial" w:hAnsi="Arial" w:cs="Arial"/>
              </w:rPr>
              <w:t xml:space="preserve"> under an ‘Initial’ or ‘Grandfather’ treatment criteria</w:t>
            </w:r>
          </w:p>
        </w:tc>
      </w:tr>
      <w:tr w:rsidR="00E5729B" w:rsidRPr="00A63A02" w14:paraId="21F6B278" w14:textId="77777777" w:rsidTr="00DF303E">
        <w:trPr>
          <w:trHeight w:val="540"/>
        </w:trPr>
        <w:tc>
          <w:tcPr>
            <w:tcW w:w="786" w:type="pct"/>
          </w:tcPr>
          <w:p w14:paraId="47F839B6" w14:textId="3FEB8AA0" w:rsidR="00E5729B" w:rsidRPr="00A63A02" w:rsidRDefault="006600C0" w:rsidP="00E5729B">
            <w:pPr>
              <w:spacing w:after="120"/>
              <w:rPr>
                <w:rFonts w:ascii="Arial" w:hAnsi="Arial" w:cs="Arial"/>
              </w:rPr>
            </w:pPr>
            <w:r w:rsidRPr="00A63A02">
              <w:rPr>
                <w:rFonts w:ascii="Arial" w:hAnsi="Arial" w:cs="Arial"/>
              </w:rPr>
              <w:t>12899X (Private)</w:t>
            </w:r>
          </w:p>
        </w:tc>
        <w:tc>
          <w:tcPr>
            <w:tcW w:w="1785" w:type="pct"/>
            <w:vMerge/>
          </w:tcPr>
          <w:p w14:paraId="18CAE7FE" w14:textId="77777777" w:rsidR="00E5729B" w:rsidRPr="00A63A02" w:rsidRDefault="00E5729B" w:rsidP="00E5729B">
            <w:pPr>
              <w:spacing w:after="120"/>
              <w:rPr>
                <w:rFonts w:ascii="Arial" w:hAnsi="Arial" w:cs="Arial"/>
              </w:rPr>
            </w:pPr>
          </w:p>
        </w:tc>
        <w:tc>
          <w:tcPr>
            <w:tcW w:w="2429" w:type="pct"/>
            <w:vMerge/>
          </w:tcPr>
          <w:p w14:paraId="3B32ABD4" w14:textId="77777777" w:rsidR="00E5729B" w:rsidRPr="00A63A02" w:rsidRDefault="00E5729B" w:rsidP="00E5729B">
            <w:pPr>
              <w:spacing w:after="120"/>
              <w:rPr>
                <w:rFonts w:ascii="Arial" w:hAnsi="Arial" w:cs="Arial"/>
              </w:rPr>
            </w:pPr>
          </w:p>
        </w:tc>
      </w:tr>
      <w:tr w:rsidR="00DF303E" w:rsidRPr="00A63A02" w14:paraId="62888B67" w14:textId="77777777" w:rsidTr="00DF303E">
        <w:trPr>
          <w:trHeight w:val="563"/>
        </w:trPr>
        <w:tc>
          <w:tcPr>
            <w:tcW w:w="786" w:type="pct"/>
          </w:tcPr>
          <w:p w14:paraId="10295FE4" w14:textId="03923C65" w:rsidR="00DF303E" w:rsidRPr="00A63A02" w:rsidRDefault="006600C0" w:rsidP="00E5729B">
            <w:pPr>
              <w:spacing w:after="120"/>
              <w:rPr>
                <w:rFonts w:ascii="Arial" w:hAnsi="Arial" w:cs="Arial"/>
              </w:rPr>
            </w:pPr>
            <w:r w:rsidRPr="00A63A02">
              <w:rPr>
                <w:rFonts w:ascii="Arial" w:hAnsi="Arial" w:cs="Arial"/>
              </w:rPr>
              <w:t>12877R (Public)</w:t>
            </w:r>
          </w:p>
        </w:tc>
        <w:tc>
          <w:tcPr>
            <w:tcW w:w="1785" w:type="pct"/>
            <w:vMerge w:val="restart"/>
          </w:tcPr>
          <w:p w14:paraId="1E506D72" w14:textId="77777777" w:rsidR="00DF303E" w:rsidRPr="00A63A02" w:rsidRDefault="00DF303E" w:rsidP="00E5729B">
            <w:pPr>
              <w:spacing w:after="120"/>
              <w:rPr>
                <w:rFonts w:ascii="Arial" w:hAnsi="Arial" w:cs="Arial"/>
              </w:rPr>
            </w:pPr>
            <w:r w:rsidRPr="00A63A02">
              <w:rPr>
                <w:rFonts w:ascii="Arial" w:hAnsi="Arial" w:cs="Arial"/>
              </w:rPr>
              <w:t>Subsequent Continuing Treatment</w:t>
            </w:r>
          </w:p>
        </w:tc>
        <w:tc>
          <w:tcPr>
            <w:tcW w:w="2429" w:type="pct"/>
            <w:vMerge w:val="restart"/>
          </w:tcPr>
          <w:p w14:paraId="0E836A0F" w14:textId="0D880613" w:rsidR="00DF303E" w:rsidRPr="00A63A02" w:rsidRDefault="00DF303E" w:rsidP="00E5729B">
            <w:pPr>
              <w:spacing w:after="120"/>
              <w:rPr>
                <w:rFonts w:ascii="Arial" w:hAnsi="Arial" w:cs="Arial"/>
              </w:rPr>
            </w:pPr>
            <w:r w:rsidRPr="00A63A02">
              <w:rPr>
                <w:rFonts w:ascii="Arial" w:hAnsi="Arial" w:cs="Arial"/>
              </w:rPr>
              <w:t>Patients who have previously received PBS-subsidised treatment with eculizumab for PNH under the ‘First Continuing Treatment’ or ‘Switch’ criteria</w:t>
            </w:r>
          </w:p>
        </w:tc>
      </w:tr>
      <w:tr w:rsidR="00DF303E" w:rsidRPr="00A63A02" w14:paraId="0615017C" w14:textId="77777777" w:rsidTr="008B5246">
        <w:trPr>
          <w:trHeight w:val="504"/>
        </w:trPr>
        <w:tc>
          <w:tcPr>
            <w:tcW w:w="786" w:type="pct"/>
          </w:tcPr>
          <w:p w14:paraId="7BE555BD" w14:textId="63ED5074" w:rsidR="00DF303E" w:rsidRPr="00A63A02" w:rsidRDefault="006600C0" w:rsidP="00E5729B">
            <w:pPr>
              <w:spacing w:after="120"/>
              <w:rPr>
                <w:rFonts w:ascii="Arial" w:hAnsi="Arial" w:cs="Arial"/>
              </w:rPr>
            </w:pPr>
            <w:r w:rsidRPr="00A63A02">
              <w:rPr>
                <w:rFonts w:ascii="Arial" w:hAnsi="Arial" w:cs="Arial"/>
              </w:rPr>
              <w:t>12899X (Private)</w:t>
            </w:r>
          </w:p>
        </w:tc>
        <w:tc>
          <w:tcPr>
            <w:tcW w:w="1785" w:type="pct"/>
            <w:vMerge/>
          </w:tcPr>
          <w:p w14:paraId="28172EEB" w14:textId="77777777" w:rsidR="00DF303E" w:rsidRPr="00A63A02" w:rsidRDefault="00DF303E" w:rsidP="00E5729B">
            <w:pPr>
              <w:spacing w:after="120"/>
              <w:rPr>
                <w:rFonts w:ascii="Arial" w:hAnsi="Arial" w:cs="Arial"/>
              </w:rPr>
            </w:pPr>
          </w:p>
        </w:tc>
        <w:tc>
          <w:tcPr>
            <w:tcW w:w="2429" w:type="pct"/>
            <w:vMerge/>
          </w:tcPr>
          <w:p w14:paraId="1C6FBF92" w14:textId="77777777" w:rsidR="00DF303E" w:rsidRPr="00A63A02" w:rsidRDefault="00DF303E" w:rsidP="00E5729B">
            <w:pPr>
              <w:spacing w:after="120"/>
              <w:rPr>
                <w:rFonts w:ascii="Arial" w:hAnsi="Arial" w:cs="Arial"/>
              </w:rPr>
            </w:pPr>
          </w:p>
        </w:tc>
      </w:tr>
    </w:tbl>
    <w:p w14:paraId="593603F5" w14:textId="77777777" w:rsidR="008B5246" w:rsidRPr="00A63A02" w:rsidRDefault="008B5246">
      <w:pPr>
        <w:rPr>
          <w:rFonts w:ascii="Arial" w:hAnsi="Arial" w:cs="Arial"/>
        </w:rPr>
      </w:pPr>
    </w:p>
    <w:p w14:paraId="7737D74F" w14:textId="77777777" w:rsidR="00DF303E" w:rsidRPr="00A63A02" w:rsidRDefault="00DF303E">
      <w:pPr>
        <w:rPr>
          <w:rFonts w:ascii="Arial" w:hAnsi="Arial" w:cs="Arial"/>
        </w:rPr>
      </w:pPr>
    </w:p>
    <w:tbl>
      <w:tblPr>
        <w:tblStyle w:val="TableGrid1"/>
        <w:tblpPr w:leftFromText="180" w:rightFromText="180" w:vertAnchor="text" w:horzAnchor="margin" w:tblpY="-464"/>
        <w:tblW w:w="5000" w:type="pct"/>
        <w:tblLook w:val="04A0" w:firstRow="1" w:lastRow="0" w:firstColumn="1" w:lastColumn="0" w:noHBand="0" w:noVBand="1"/>
      </w:tblPr>
      <w:tblGrid>
        <w:gridCol w:w="1317"/>
        <w:gridCol w:w="1227"/>
        <w:gridCol w:w="2824"/>
        <w:gridCol w:w="3648"/>
      </w:tblGrid>
      <w:tr w:rsidR="00DF303E" w:rsidRPr="00A63A02" w14:paraId="0179106D" w14:textId="77777777" w:rsidTr="00DF303E">
        <w:tc>
          <w:tcPr>
            <w:tcW w:w="5000" w:type="pct"/>
            <w:gridSpan w:val="4"/>
            <w:shd w:val="clear" w:color="auto" w:fill="DEEAF6"/>
          </w:tcPr>
          <w:p w14:paraId="561BBEF1" w14:textId="77777777" w:rsidR="00DF303E" w:rsidRPr="00A63A02" w:rsidRDefault="00DF303E" w:rsidP="00DF303E">
            <w:pPr>
              <w:spacing w:after="120"/>
              <w:jc w:val="center"/>
              <w:rPr>
                <w:rFonts w:ascii="Arial" w:hAnsi="Arial" w:cs="Arial"/>
                <w:b/>
                <w:lang w:eastAsia="ko-KR"/>
              </w:rPr>
            </w:pPr>
            <w:proofErr w:type="spellStart"/>
            <w:r w:rsidRPr="00A63A02">
              <w:rPr>
                <w:rFonts w:ascii="Arial" w:hAnsi="Arial" w:cs="Arial"/>
                <w:b/>
                <w:lang w:eastAsia="ko-KR"/>
              </w:rPr>
              <w:t>Ravulizumab</w:t>
            </w:r>
            <w:proofErr w:type="spellEnd"/>
            <w:r w:rsidRPr="00A63A02">
              <w:rPr>
                <w:rFonts w:ascii="Arial" w:hAnsi="Arial" w:cs="Arial"/>
                <w:b/>
                <w:lang w:eastAsia="ko-KR"/>
              </w:rPr>
              <w:t xml:space="preserve"> </w:t>
            </w:r>
          </w:p>
        </w:tc>
      </w:tr>
      <w:tr w:rsidR="00DF303E" w:rsidRPr="00A63A02" w14:paraId="3667601E" w14:textId="77777777" w:rsidTr="00DF303E">
        <w:trPr>
          <w:trHeight w:val="636"/>
        </w:trPr>
        <w:tc>
          <w:tcPr>
            <w:tcW w:w="730" w:type="pct"/>
            <w:shd w:val="clear" w:color="auto" w:fill="DEEAF6"/>
          </w:tcPr>
          <w:p w14:paraId="1C77D627" w14:textId="77777777" w:rsidR="00DF303E" w:rsidRPr="00A63A02" w:rsidRDefault="00DF303E" w:rsidP="00DF303E">
            <w:pPr>
              <w:spacing w:after="120"/>
              <w:jc w:val="center"/>
              <w:rPr>
                <w:rFonts w:ascii="Arial" w:hAnsi="Arial" w:cs="Arial"/>
                <w:b/>
                <w:lang w:eastAsia="ko-KR"/>
              </w:rPr>
            </w:pPr>
            <w:r w:rsidRPr="00A63A02">
              <w:rPr>
                <w:rFonts w:ascii="Arial" w:hAnsi="Arial" w:cs="Arial"/>
                <w:b/>
                <w:lang w:eastAsia="ko-KR"/>
              </w:rPr>
              <w:t>Item Code</w:t>
            </w:r>
          </w:p>
          <w:p w14:paraId="3C5F649F" w14:textId="77777777" w:rsidR="00DF303E" w:rsidRPr="00A63A02" w:rsidRDefault="00DF303E" w:rsidP="00DF303E">
            <w:pPr>
              <w:spacing w:after="120"/>
              <w:jc w:val="center"/>
              <w:rPr>
                <w:rFonts w:ascii="Arial" w:hAnsi="Arial" w:cs="Arial"/>
                <w:b/>
                <w:lang w:eastAsia="ko-KR"/>
              </w:rPr>
            </w:pPr>
            <w:r w:rsidRPr="00A63A02">
              <w:rPr>
                <w:rFonts w:ascii="Arial" w:hAnsi="Arial" w:cs="Arial"/>
                <w:b/>
                <w:lang w:eastAsia="ko-KR"/>
              </w:rPr>
              <w:t xml:space="preserve">300mg/3mL </w:t>
            </w:r>
          </w:p>
        </w:tc>
        <w:tc>
          <w:tcPr>
            <w:tcW w:w="681" w:type="pct"/>
            <w:shd w:val="clear" w:color="auto" w:fill="DEEAF6"/>
          </w:tcPr>
          <w:p w14:paraId="32A3ED8F" w14:textId="77777777" w:rsidR="00DF303E" w:rsidRPr="00A63A02" w:rsidRDefault="00DF303E" w:rsidP="00DF303E">
            <w:pPr>
              <w:spacing w:after="120"/>
              <w:jc w:val="center"/>
              <w:rPr>
                <w:rFonts w:ascii="Arial" w:hAnsi="Arial" w:cs="Arial"/>
                <w:b/>
                <w:lang w:eastAsia="ko-KR"/>
              </w:rPr>
            </w:pPr>
            <w:r w:rsidRPr="00A63A02">
              <w:rPr>
                <w:rFonts w:ascii="Arial" w:hAnsi="Arial" w:cs="Arial"/>
                <w:b/>
                <w:lang w:eastAsia="ko-KR"/>
              </w:rPr>
              <w:t>Item Code</w:t>
            </w:r>
          </w:p>
          <w:p w14:paraId="55DD552C" w14:textId="77777777" w:rsidR="00DF303E" w:rsidRPr="00A63A02" w:rsidRDefault="00DF303E" w:rsidP="00DF303E">
            <w:pPr>
              <w:spacing w:after="120"/>
              <w:jc w:val="center"/>
              <w:rPr>
                <w:rFonts w:ascii="Arial" w:hAnsi="Arial" w:cs="Arial"/>
                <w:b/>
                <w:lang w:eastAsia="ko-KR"/>
              </w:rPr>
            </w:pPr>
            <w:r w:rsidRPr="00A63A02">
              <w:rPr>
                <w:rFonts w:ascii="Arial" w:hAnsi="Arial" w:cs="Arial"/>
                <w:b/>
                <w:lang w:eastAsia="ko-KR"/>
              </w:rPr>
              <w:t xml:space="preserve">1.1g/11mL </w:t>
            </w:r>
          </w:p>
        </w:tc>
        <w:tc>
          <w:tcPr>
            <w:tcW w:w="1566" w:type="pct"/>
            <w:shd w:val="clear" w:color="auto" w:fill="DEEAF6"/>
          </w:tcPr>
          <w:p w14:paraId="27196B1A" w14:textId="77777777" w:rsidR="00DF303E" w:rsidRPr="00A63A02" w:rsidRDefault="00DF303E" w:rsidP="00DF303E">
            <w:pPr>
              <w:spacing w:after="120"/>
              <w:jc w:val="center"/>
              <w:rPr>
                <w:rFonts w:ascii="Arial" w:hAnsi="Arial" w:cs="Arial"/>
                <w:b/>
                <w:lang w:eastAsia="ko-KR"/>
              </w:rPr>
            </w:pPr>
            <w:r w:rsidRPr="00A63A02">
              <w:rPr>
                <w:rFonts w:ascii="Arial" w:hAnsi="Arial" w:cs="Arial"/>
                <w:b/>
                <w:lang w:eastAsia="ko-KR"/>
              </w:rPr>
              <w:t>Treatment Phase</w:t>
            </w:r>
          </w:p>
        </w:tc>
        <w:tc>
          <w:tcPr>
            <w:tcW w:w="2023" w:type="pct"/>
            <w:shd w:val="clear" w:color="auto" w:fill="DEEAF6"/>
          </w:tcPr>
          <w:p w14:paraId="152E906D" w14:textId="0FFB5B9F" w:rsidR="00DF303E" w:rsidRPr="00A63A02" w:rsidRDefault="005C634D" w:rsidP="00DF303E">
            <w:pPr>
              <w:spacing w:after="120"/>
              <w:jc w:val="center"/>
              <w:rPr>
                <w:rFonts w:ascii="Arial" w:hAnsi="Arial" w:cs="Arial"/>
                <w:b/>
                <w:lang w:eastAsia="ko-KR"/>
              </w:rPr>
            </w:pPr>
            <w:r w:rsidRPr="00A63A02">
              <w:rPr>
                <w:rFonts w:ascii="Arial" w:hAnsi="Arial" w:cs="Arial"/>
                <w:b/>
                <w:lang w:eastAsia="ko-KR"/>
              </w:rPr>
              <w:t>Patient group</w:t>
            </w:r>
          </w:p>
        </w:tc>
      </w:tr>
      <w:tr w:rsidR="00DF303E" w:rsidRPr="00A63A02" w14:paraId="13E9F0CE" w14:textId="77777777" w:rsidTr="00DF303E">
        <w:trPr>
          <w:trHeight w:val="372"/>
        </w:trPr>
        <w:tc>
          <w:tcPr>
            <w:tcW w:w="730" w:type="pct"/>
          </w:tcPr>
          <w:p w14:paraId="36DF336B" w14:textId="4D0050DE" w:rsidR="00DF303E" w:rsidRPr="00A63A02" w:rsidRDefault="00E031F7" w:rsidP="00DF303E">
            <w:pPr>
              <w:spacing w:after="120"/>
              <w:rPr>
                <w:rFonts w:ascii="Arial" w:hAnsi="Arial" w:cs="Arial"/>
              </w:rPr>
            </w:pPr>
            <w:r w:rsidRPr="00A63A02">
              <w:rPr>
                <w:rFonts w:ascii="Arial" w:hAnsi="Arial" w:cs="Arial"/>
              </w:rPr>
              <w:t>12898W (Public)</w:t>
            </w:r>
          </w:p>
        </w:tc>
        <w:tc>
          <w:tcPr>
            <w:tcW w:w="681" w:type="pct"/>
          </w:tcPr>
          <w:p w14:paraId="2BC46584" w14:textId="1E1FF112" w:rsidR="00DF303E" w:rsidRPr="00A63A02" w:rsidRDefault="00DC0FE7" w:rsidP="00DF303E">
            <w:pPr>
              <w:spacing w:after="120"/>
              <w:rPr>
                <w:rFonts w:ascii="Arial" w:hAnsi="Arial" w:cs="Arial"/>
              </w:rPr>
            </w:pPr>
            <w:r w:rsidRPr="00A63A02">
              <w:rPr>
                <w:rFonts w:ascii="Arial" w:hAnsi="Arial" w:cs="Arial"/>
              </w:rPr>
              <w:t>12856P (Public)</w:t>
            </w:r>
          </w:p>
        </w:tc>
        <w:tc>
          <w:tcPr>
            <w:tcW w:w="1566" w:type="pct"/>
            <w:vMerge w:val="restart"/>
          </w:tcPr>
          <w:p w14:paraId="28774408" w14:textId="77777777" w:rsidR="00DF303E" w:rsidRPr="00A63A02" w:rsidRDefault="00DF303E" w:rsidP="00DF303E">
            <w:pPr>
              <w:spacing w:after="120"/>
              <w:rPr>
                <w:rFonts w:ascii="Arial" w:hAnsi="Arial" w:cs="Arial"/>
              </w:rPr>
            </w:pPr>
            <w:r w:rsidRPr="00A63A02">
              <w:rPr>
                <w:rFonts w:ascii="Arial" w:hAnsi="Arial" w:cs="Arial"/>
              </w:rPr>
              <w:t>Initial treatment – Initial 1 (new patient) induction dose</w:t>
            </w:r>
          </w:p>
        </w:tc>
        <w:tc>
          <w:tcPr>
            <w:tcW w:w="2023" w:type="pct"/>
            <w:vMerge w:val="restart"/>
          </w:tcPr>
          <w:p w14:paraId="0279C0E6" w14:textId="365DCC5D" w:rsidR="00DF303E" w:rsidRPr="00A63A02" w:rsidRDefault="00DF303E" w:rsidP="00DF303E">
            <w:pPr>
              <w:spacing w:after="120"/>
              <w:rPr>
                <w:rFonts w:ascii="Arial" w:hAnsi="Arial" w:cs="Arial"/>
              </w:rPr>
            </w:pPr>
            <w:r w:rsidRPr="00A63A02">
              <w:rPr>
                <w:rFonts w:ascii="Arial" w:hAnsi="Arial" w:cs="Arial"/>
              </w:rPr>
              <w:t xml:space="preserve">Patients who have not received prior treatment with </w:t>
            </w:r>
            <w:proofErr w:type="spellStart"/>
            <w:r w:rsidRPr="00A63A02">
              <w:rPr>
                <w:rFonts w:ascii="Arial" w:hAnsi="Arial" w:cs="Arial"/>
              </w:rPr>
              <w:t>ravulizumab</w:t>
            </w:r>
            <w:proofErr w:type="spellEnd"/>
            <w:r w:rsidRPr="00A63A02">
              <w:rPr>
                <w:rFonts w:ascii="Arial" w:hAnsi="Arial" w:cs="Arial"/>
              </w:rPr>
              <w:t xml:space="preserve"> for PNH</w:t>
            </w:r>
          </w:p>
        </w:tc>
      </w:tr>
      <w:tr w:rsidR="00DF303E" w:rsidRPr="00A63A02" w14:paraId="183AB975" w14:textId="77777777" w:rsidTr="00DF303E">
        <w:trPr>
          <w:trHeight w:val="372"/>
        </w:trPr>
        <w:tc>
          <w:tcPr>
            <w:tcW w:w="730" w:type="pct"/>
          </w:tcPr>
          <w:p w14:paraId="10C7B9A0" w14:textId="281FD4A2" w:rsidR="00DF303E" w:rsidRPr="00A63A02" w:rsidRDefault="00E031F7" w:rsidP="00DF303E">
            <w:pPr>
              <w:spacing w:after="120"/>
              <w:rPr>
                <w:rFonts w:ascii="Arial" w:hAnsi="Arial" w:cs="Arial"/>
              </w:rPr>
            </w:pPr>
            <w:r w:rsidRPr="00A63A02">
              <w:rPr>
                <w:rFonts w:ascii="Arial" w:hAnsi="Arial" w:cs="Arial"/>
              </w:rPr>
              <w:t>12841W (Private)</w:t>
            </w:r>
          </w:p>
        </w:tc>
        <w:tc>
          <w:tcPr>
            <w:tcW w:w="681" w:type="pct"/>
          </w:tcPr>
          <w:p w14:paraId="5928EEBD" w14:textId="5C5BB002" w:rsidR="00DF303E" w:rsidRPr="00A63A02" w:rsidRDefault="00DC0FE7" w:rsidP="00DF303E">
            <w:pPr>
              <w:spacing w:after="120"/>
              <w:rPr>
                <w:rFonts w:ascii="Arial" w:hAnsi="Arial" w:cs="Arial"/>
              </w:rPr>
            </w:pPr>
            <w:r w:rsidRPr="00A63A02">
              <w:rPr>
                <w:rFonts w:ascii="Arial" w:hAnsi="Arial" w:cs="Arial"/>
              </w:rPr>
              <w:t>12901B (Private)</w:t>
            </w:r>
          </w:p>
        </w:tc>
        <w:tc>
          <w:tcPr>
            <w:tcW w:w="1566" w:type="pct"/>
            <w:vMerge/>
          </w:tcPr>
          <w:p w14:paraId="125BAAAB" w14:textId="77777777" w:rsidR="00DF303E" w:rsidRPr="00A63A02" w:rsidRDefault="00DF303E" w:rsidP="00DF303E">
            <w:pPr>
              <w:spacing w:after="120"/>
              <w:rPr>
                <w:rFonts w:ascii="Arial" w:hAnsi="Arial" w:cs="Arial"/>
              </w:rPr>
            </w:pPr>
          </w:p>
        </w:tc>
        <w:tc>
          <w:tcPr>
            <w:tcW w:w="2023" w:type="pct"/>
            <w:vMerge/>
          </w:tcPr>
          <w:p w14:paraId="61AF2C13" w14:textId="77777777" w:rsidR="00DF303E" w:rsidRPr="00A63A02" w:rsidRDefault="00DF303E" w:rsidP="00DF303E">
            <w:pPr>
              <w:spacing w:after="120"/>
              <w:rPr>
                <w:rFonts w:ascii="Arial" w:hAnsi="Arial" w:cs="Arial"/>
              </w:rPr>
            </w:pPr>
          </w:p>
        </w:tc>
      </w:tr>
      <w:tr w:rsidR="00DF303E" w:rsidRPr="00A63A02" w14:paraId="5846A2AC" w14:textId="77777777" w:rsidTr="00DF303E">
        <w:trPr>
          <w:trHeight w:val="660"/>
        </w:trPr>
        <w:tc>
          <w:tcPr>
            <w:tcW w:w="730" w:type="pct"/>
          </w:tcPr>
          <w:p w14:paraId="1FE98E34" w14:textId="5A25AAF1" w:rsidR="00DF303E" w:rsidRPr="00A63A02" w:rsidRDefault="00E031F7" w:rsidP="00DF303E">
            <w:pPr>
              <w:spacing w:after="120"/>
              <w:rPr>
                <w:rFonts w:ascii="Arial" w:hAnsi="Arial" w:cs="Arial"/>
              </w:rPr>
            </w:pPr>
            <w:r w:rsidRPr="00A63A02">
              <w:rPr>
                <w:rFonts w:ascii="Arial" w:hAnsi="Arial" w:cs="Arial"/>
              </w:rPr>
              <w:t>12898W (Public)</w:t>
            </w:r>
          </w:p>
        </w:tc>
        <w:tc>
          <w:tcPr>
            <w:tcW w:w="681" w:type="pct"/>
          </w:tcPr>
          <w:p w14:paraId="5E012C6B" w14:textId="0ABD8227" w:rsidR="00DF303E" w:rsidRPr="00A63A02" w:rsidRDefault="00DC0FE7" w:rsidP="00DF303E">
            <w:pPr>
              <w:spacing w:after="120"/>
              <w:rPr>
                <w:rFonts w:ascii="Arial" w:hAnsi="Arial" w:cs="Arial"/>
              </w:rPr>
            </w:pPr>
            <w:r w:rsidRPr="00A63A02">
              <w:rPr>
                <w:rFonts w:ascii="Arial" w:hAnsi="Arial" w:cs="Arial"/>
              </w:rPr>
              <w:t>12856P (Public)</w:t>
            </w:r>
          </w:p>
        </w:tc>
        <w:tc>
          <w:tcPr>
            <w:tcW w:w="1566" w:type="pct"/>
            <w:vMerge w:val="restart"/>
          </w:tcPr>
          <w:p w14:paraId="6E11E24E" w14:textId="77777777" w:rsidR="00DF303E" w:rsidRPr="00A63A02" w:rsidRDefault="00DF303E" w:rsidP="00DF303E">
            <w:pPr>
              <w:spacing w:after="120"/>
              <w:rPr>
                <w:rFonts w:ascii="Arial" w:hAnsi="Arial" w:cs="Arial"/>
              </w:rPr>
            </w:pPr>
            <w:r w:rsidRPr="00A63A02">
              <w:rPr>
                <w:rFonts w:ascii="Arial" w:hAnsi="Arial" w:cs="Arial"/>
              </w:rPr>
              <w:t>Initial treatment – Initial 2 (switch from LSDP eculizumab) induction dose</w:t>
            </w:r>
          </w:p>
        </w:tc>
        <w:tc>
          <w:tcPr>
            <w:tcW w:w="2023" w:type="pct"/>
            <w:vMerge w:val="restart"/>
          </w:tcPr>
          <w:p w14:paraId="3F23B795" w14:textId="3FBE38AA" w:rsidR="00DF303E" w:rsidRPr="00A63A02" w:rsidRDefault="00DF303E" w:rsidP="00DF303E">
            <w:pPr>
              <w:spacing w:after="120"/>
              <w:rPr>
                <w:rFonts w:ascii="Arial" w:hAnsi="Arial" w:cs="Arial"/>
              </w:rPr>
            </w:pPr>
            <w:r w:rsidRPr="00A63A02">
              <w:rPr>
                <w:rFonts w:ascii="Arial" w:hAnsi="Arial" w:cs="Arial"/>
              </w:rPr>
              <w:t>Patient</w:t>
            </w:r>
            <w:r w:rsidR="00287665" w:rsidRPr="00A63A02">
              <w:rPr>
                <w:rFonts w:ascii="Arial" w:hAnsi="Arial" w:cs="Arial"/>
              </w:rPr>
              <w:t>s who</w:t>
            </w:r>
            <w:r w:rsidRPr="00A63A02">
              <w:rPr>
                <w:rFonts w:ascii="Arial" w:hAnsi="Arial" w:cs="Arial"/>
              </w:rPr>
              <w:t xml:space="preserve"> have received eculizumab for the treatment of PNH </w:t>
            </w:r>
            <w:r w:rsidR="00287665" w:rsidRPr="00A63A02">
              <w:rPr>
                <w:rFonts w:ascii="Arial" w:hAnsi="Arial" w:cs="Arial"/>
              </w:rPr>
              <w:t xml:space="preserve">through LSDP and wish to switch to </w:t>
            </w:r>
            <w:proofErr w:type="spellStart"/>
            <w:r w:rsidR="00287665" w:rsidRPr="00A63A02">
              <w:rPr>
                <w:rFonts w:ascii="Arial" w:hAnsi="Arial" w:cs="Arial"/>
              </w:rPr>
              <w:t>ravulizumab</w:t>
            </w:r>
            <w:proofErr w:type="spellEnd"/>
          </w:p>
        </w:tc>
      </w:tr>
      <w:tr w:rsidR="00DF303E" w:rsidRPr="00A63A02" w14:paraId="09DE8E76" w14:textId="77777777" w:rsidTr="00DF303E">
        <w:trPr>
          <w:trHeight w:val="660"/>
        </w:trPr>
        <w:tc>
          <w:tcPr>
            <w:tcW w:w="730" w:type="pct"/>
          </w:tcPr>
          <w:p w14:paraId="28DB8EA1" w14:textId="155E63A1" w:rsidR="00DF303E" w:rsidRPr="00A63A02" w:rsidRDefault="00E031F7" w:rsidP="00DF303E">
            <w:pPr>
              <w:spacing w:after="120"/>
              <w:rPr>
                <w:rFonts w:ascii="Arial" w:hAnsi="Arial" w:cs="Arial"/>
              </w:rPr>
            </w:pPr>
            <w:r w:rsidRPr="00A63A02">
              <w:rPr>
                <w:rFonts w:ascii="Arial" w:hAnsi="Arial" w:cs="Arial"/>
              </w:rPr>
              <w:t>12841W (Private)</w:t>
            </w:r>
          </w:p>
        </w:tc>
        <w:tc>
          <w:tcPr>
            <w:tcW w:w="681" w:type="pct"/>
          </w:tcPr>
          <w:p w14:paraId="09FB90C8" w14:textId="352DCFD2" w:rsidR="00DF303E" w:rsidRPr="00A63A02" w:rsidRDefault="00DC0FE7" w:rsidP="00DF303E">
            <w:pPr>
              <w:spacing w:after="120"/>
              <w:rPr>
                <w:rFonts w:ascii="Arial" w:hAnsi="Arial" w:cs="Arial"/>
              </w:rPr>
            </w:pPr>
            <w:r w:rsidRPr="00A63A02">
              <w:rPr>
                <w:rFonts w:ascii="Arial" w:hAnsi="Arial" w:cs="Arial"/>
              </w:rPr>
              <w:t>12901B (Private)</w:t>
            </w:r>
          </w:p>
        </w:tc>
        <w:tc>
          <w:tcPr>
            <w:tcW w:w="1566" w:type="pct"/>
            <w:vMerge/>
          </w:tcPr>
          <w:p w14:paraId="12EDF76A" w14:textId="77777777" w:rsidR="00DF303E" w:rsidRPr="00A63A02" w:rsidRDefault="00DF303E" w:rsidP="00DF303E">
            <w:pPr>
              <w:spacing w:after="120"/>
              <w:rPr>
                <w:rFonts w:ascii="Arial" w:hAnsi="Arial" w:cs="Arial"/>
              </w:rPr>
            </w:pPr>
          </w:p>
        </w:tc>
        <w:tc>
          <w:tcPr>
            <w:tcW w:w="2023" w:type="pct"/>
            <w:vMerge/>
          </w:tcPr>
          <w:p w14:paraId="4E395E2C" w14:textId="77777777" w:rsidR="00DF303E" w:rsidRPr="00A63A02" w:rsidRDefault="00DF303E" w:rsidP="00DF303E">
            <w:pPr>
              <w:spacing w:after="120"/>
              <w:rPr>
                <w:rFonts w:ascii="Arial" w:hAnsi="Arial" w:cs="Arial"/>
              </w:rPr>
            </w:pPr>
          </w:p>
        </w:tc>
      </w:tr>
      <w:tr w:rsidR="00DF303E" w:rsidRPr="00A63A02" w14:paraId="57AEE26F" w14:textId="77777777" w:rsidTr="00DF303E">
        <w:trPr>
          <w:trHeight w:val="1032"/>
        </w:trPr>
        <w:tc>
          <w:tcPr>
            <w:tcW w:w="730" w:type="pct"/>
          </w:tcPr>
          <w:p w14:paraId="3A0BFB7E" w14:textId="721BCCDE" w:rsidR="00DF303E" w:rsidRPr="00A63A02" w:rsidRDefault="00E031F7" w:rsidP="00DF303E">
            <w:pPr>
              <w:spacing w:after="120"/>
              <w:rPr>
                <w:rFonts w:ascii="Arial" w:hAnsi="Arial" w:cs="Arial"/>
              </w:rPr>
            </w:pPr>
            <w:r w:rsidRPr="00A63A02">
              <w:rPr>
                <w:rFonts w:ascii="Arial" w:hAnsi="Arial" w:cs="Arial"/>
              </w:rPr>
              <w:t>12898W (Public)</w:t>
            </w:r>
          </w:p>
        </w:tc>
        <w:tc>
          <w:tcPr>
            <w:tcW w:w="681" w:type="pct"/>
          </w:tcPr>
          <w:p w14:paraId="78BBD435" w14:textId="2336D036" w:rsidR="00DF303E" w:rsidRPr="00A63A02" w:rsidRDefault="00DC0FE7" w:rsidP="00DF303E">
            <w:pPr>
              <w:spacing w:after="120"/>
              <w:rPr>
                <w:rFonts w:ascii="Arial" w:hAnsi="Arial" w:cs="Arial"/>
              </w:rPr>
            </w:pPr>
            <w:r w:rsidRPr="00A63A02">
              <w:rPr>
                <w:rFonts w:ascii="Arial" w:hAnsi="Arial" w:cs="Arial"/>
              </w:rPr>
              <w:t>12856P (Public)</w:t>
            </w:r>
          </w:p>
        </w:tc>
        <w:tc>
          <w:tcPr>
            <w:tcW w:w="1566" w:type="pct"/>
            <w:vMerge w:val="restart"/>
          </w:tcPr>
          <w:p w14:paraId="58C8E160" w14:textId="77777777" w:rsidR="00DF303E" w:rsidRPr="00A63A02" w:rsidRDefault="00DF303E" w:rsidP="00DF303E">
            <w:pPr>
              <w:spacing w:after="120"/>
              <w:rPr>
                <w:rFonts w:ascii="Arial" w:hAnsi="Arial" w:cs="Arial"/>
              </w:rPr>
            </w:pPr>
            <w:r w:rsidRPr="00A63A02">
              <w:rPr>
                <w:rFonts w:ascii="Arial" w:hAnsi="Arial" w:cs="Arial"/>
              </w:rPr>
              <w:t>Return from PBS-subsidised eculizumab – induction dose</w:t>
            </w:r>
          </w:p>
        </w:tc>
        <w:tc>
          <w:tcPr>
            <w:tcW w:w="2023" w:type="pct"/>
            <w:vMerge w:val="restart"/>
          </w:tcPr>
          <w:p w14:paraId="626BABE9" w14:textId="325F736C" w:rsidR="00DF303E" w:rsidRPr="00A63A02" w:rsidRDefault="00DF303E" w:rsidP="00287665">
            <w:pPr>
              <w:spacing w:after="120"/>
              <w:rPr>
                <w:rFonts w:ascii="Arial" w:hAnsi="Arial" w:cs="Arial"/>
              </w:rPr>
            </w:pPr>
            <w:r w:rsidRPr="00A63A02">
              <w:rPr>
                <w:rFonts w:ascii="Arial" w:hAnsi="Arial" w:cs="Arial"/>
              </w:rPr>
              <w:t>Patient</w:t>
            </w:r>
            <w:r w:rsidR="00287665" w:rsidRPr="00A63A02">
              <w:rPr>
                <w:rFonts w:ascii="Arial" w:hAnsi="Arial" w:cs="Arial"/>
              </w:rPr>
              <w:t>s</w:t>
            </w:r>
            <w:r w:rsidRPr="00A63A02">
              <w:rPr>
                <w:rFonts w:ascii="Arial" w:hAnsi="Arial" w:cs="Arial"/>
              </w:rPr>
              <w:t xml:space="preserve"> </w:t>
            </w:r>
            <w:r w:rsidR="00287665" w:rsidRPr="00A63A02">
              <w:rPr>
                <w:rFonts w:ascii="Arial" w:hAnsi="Arial" w:cs="Arial"/>
              </w:rPr>
              <w:t>who</w:t>
            </w:r>
            <w:r w:rsidRPr="00A63A02">
              <w:rPr>
                <w:rFonts w:ascii="Arial" w:hAnsi="Arial" w:cs="Arial"/>
              </w:rPr>
              <w:t xml:space="preserve"> </w:t>
            </w:r>
            <w:r w:rsidR="00287665" w:rsidRPr="00A63A02">
              <w:rPr>
                <w:rFonts w:ascii="Arial" w:hAnsi="Arial" w:cs="Arial"/>
              </w:rPr>
              <w:t xml:space="preserve">are returning to treatment with </w:t>
            </w:r>
            <w:proofErr w:type="spellStart"/>
            <w:r w:rsidR="00287665" w:rsidRPr="00A63A02">
              <w:rPr>
                <w:rFonts w:ascii="Arial" w:hAnsi="Arial" w:cs="Arial"/>
              </w:rPr>
              <w:t>ravulizumab</w:t>
            </w:r>
            <w:proofErr w:type="spellEnd"/>
            <w:r w:rsidR="00287665" w:rsidRPr="00A63A02">
              <w:rPr>
                <w:rFonts w:ascii="Arial" w:hAnsi="Arial" w:cs="Arial"/>
              </w:rPr>
              <w:t xml:space="preserve"> following pregnancy. Patients will have received prior </w:t>
            </w:r>
            <w:r w:rsidRPr="00A63A02">
              <w:rPr>
                <w:rFonts w:ascii="Arial" w:hAnsi="Arial" w:cs="Arial"/>
              </w:rPr>
              <w:t xml:space="preserve">PBS-subsidised treatment with eculizumab through the ‘Initial treatment – Initial 2 (switching from PBS-subsidised </w:t>
            </w:r>
            <w:proofErr w:type="spellStart"/>
            <w:r w:rsidRPr="00A63A02">
              <w:rPr>
                <w:rFonts w:ascii="Arial" w:hAnsi="Arial" w:cs="Arial"/>
              </w:rPr>
              <w:t>ravulizumab</w:t>
            </w:r>
            <w:proofErr w:type="spellEnd"/>
            <w:r w:rsidRPr="00A63A02">
              <w:rPr>
                <w:rFonts w:ascii="Arial" w:hAnsi="Arial" w:cs="Arial"/>
              </w:rPr>
              <w:t xml:space="preserve"> for pregnancy)’ criteria</w:t>
            </w:r>
          </w:p>
        </w:tc>
      </w:tr>
      <w:tr w:rsidR="00DF303E" w:rsidRPr="00A63A02" w14:paraId="0C4A6001" w14:textId="77777777" w:rsidTr="00DF303E">
        <w:trPr>
          <w:trHeight w:val="1032"/>
        </w:trPr>
        <w:tc>
          <w:tcPr>
            <w:tcW w:w="730" w:type="pct"/>
          </w:tcPr>
          <w:p w14:paraId="6B319F87" w14:textId="6120CE7C" w:rsidR="00DF303E" w:rsidRPr="00A63A02" w:rsidRDefault="00E031F7" w:rsidP="00DF303E">
            <w:pPr>
              <w:spacing w:after="120"/>
              <w:rPr>
                <w:rFonts w:ascii="Arial" w:hAnsi="Arial" w:cs="Arial"/>
              </w:rPr>
            </w:pPr>
            <w:r w:rsidRPr="00A63A02">
              <w:rPr>
                <w:rFonts w:ascii="Arial" w:hAnsi="Arial" w:cs="Arial"/>
              </w:rPr>
              <w:t>12841W (Private)</w:t>
            </w:r>
          </w:p>
        </w:tc>
        <w:tc>
          <w:tcPr>
            <w:tcW w:w="681" w:type="pct"/>
          </w:tcPr>
          <w:p w14:paraId="69C1EAC3" w14:textId="398A7013" w:rsidR="00DF303E" w:rsidRPr="00A63A02" w:rsidRDefault="00DC0FE7" w:rsidP="00DF303E">
            <w:pPr>
              <w:spacing w:after="120"/>
              <w:rPr>
                <w:rFonts w:ascii="Arial" w:hAnsi="Arial" w:cs="Arial"/>
              </w:rPr>
            </w:pPr>
            <w:r w:rsidRPr="00A63A02">
              <w:rPr>
                <w:rFonts w:ascii="Arial" w:hAnsi="Arial" w:cs="Arial"/>
              </w:rPr>
              <w:t>12901B (Private)</w:t>
            </w:r>
          </w:p>
        </w:tc>
        <w:tc>
          <w:tcPr>
            <w:tcW w:w="1566" w:type="pct"/>
            <w:vMerge/>
          </w:tcPr>
          <w:p w14:paraId="4F582A42" w14:textId="77777777" w:rsidR="00DF303E" w:rsidRPr="00A63A02" w:rsidRDefault="00DF303E" w:rsidP="00DF303E">
            <w:pPr>
              <w:spacing w:after="120"/>
              <w:rPr>
                <w:rFonts w:ascii="Arial" w:hAnsi="Arial" w:cs="Arial"/>
              </w:rPr>
            </w:pPr>
          </w:p>
        </w:tc>
        <w:tc>
          <w:tcPr>
            <w:tcW w:w="2023" w:type="pct"/>
            <w:vMerge/>
          </w:tcPr>
          <w:p w14:paraId="045A03A4" w14:textId="77777777" w:rsidR="00DF303E" w:rsidRPr="00A63A02" w:rsidRDefault="00DF303E" w:rsidP="00DF303E">
            <w:pPr>
              <w:spacing w:after="120"/>
              <w:rPr>
                <w:rFonts w:ascii="Arial" w:hAnsi="Arial" w:cs="Arial"/>
              </w:rPr>
            </w:pPr>
          </w:p>
        </w:tc>
      </w:tr>
      <w:tr w:rsidR="00DF303E" w:rsidRPr="00A63A02" w14:paraId="312E1B89" w14:textId="77777777" w:rsidTr="00DF303E">
        <w:trPr>
          <w:trHeight w:val="516"/>
        </w:trPr>
        <w:tc>
          <w:tcPr>
            <w:tcW w:w="730" w:type="pct"/>
          </w:tcPr>
          <w:p w14:paraId="1C51CD66" w14:textId="72E3FAF5" w:rsidR="00DF303E" w:rsidRPr="00A63A02" w:rsidRDefault="00DC0FE7" w:rsidP="00DF303E">
            <w:pPr>
              <w:spacing w:after="120"/>
              <w:rPr>
                <w:rFonts w:ascii="Arial" w:hAnsi="Arial" w:cs="Arial"/>
              </w:rPr>
            </w:pPr>
            <w:r w:rsidRPr="00A63A02">
              <w:rPr>
                <w:rFonts w:ascii="Arial" w:hAnsi="Arial" w:cs="Arial"/>
              </w:rPr>
              <w:t>12884D (Public)</w:t>
            </w:r>
          </w:p>
        </w:tc>
        <w:tc>
          <w:tcPr>
            <w:tcW w:w="681" w:type="pct"/>
          </w:tcPr>
          <w:p w14:paraId="09417D07" w14:textId="22CEAB6C" w:rsidR="00DF303E" w:rsidRPr="00A63A02" w:rsidRDefault="00964962" w:rsidP="00DF303E">
            <w:pPr>
              <w:spacing w:after="120"/>
              <w:rPr>
                <w:rFonts w:ascii="Arial" w:hAnsi="Arial" w:cs="Arial"/>
              </w:rPr>
            </w:pPr>
            <w:r w:rsidRPr="00A63A02">
              <w:rPr>
                <w:rFonts w:ascii="Arial" w:hAnsi="Arial" w:cs="Arial"/>
              </w:rPr>
              <w:t>12883C (Public)</w:t>
            </w:r>
          </w:p>
        </w:tc>
        <w:tc>
          <w:tcPr>
            <w:tcW w:w="1566" w:type="pct"/>
            <w:vMerge w:val="restart"/>
          </w:tcPr>
          <w:p w14:paraId="30662726" w14:textId="77777777" w:rsidR="00DF303E" w:rsidRPr="00A63A02" w:rsidRDefault="00DF303E" w:rsidP="00DF303E">
            <w:pPr>
              <w:spacing w:after="120"/>
              <w:rPr>
                <w:rFonts w:ascii="Arial" w:hAnsi="Arial" w:cs="Arial"/>
              </w:rPr>
            </w:pPr>
            <w:r w:rsidRPr="00A63A02">
              <w:rPr>
                <w:rFonts w:ascii="Arial" w:hAnsi="Arial" w:cs="Arial"/>
              </w:rPr>
              <w:t>Grandfather (transition from non-PBS-subsidised treatment)</w:t>
            </w:r>
          </w:p>
        </w:tc>
        <w:tc>
          <w:tcPr>
            <w:tcW w:w="2023" w:type="pct"/>
            <w:vMerge w:val="restart"/>
          </w:tcPr>
          <w:p w14:paraId="59F899B8" w14:textId="04406774" w:rsidR="00DF303E" w:rsidRPr="00A63A02" w:rsidRDefault="00DF303E" w:rsidP="00DF303E">
            <w:pPr>
              <w:spacing w:after="120"/>
              <w:rPr>
                <w:rFonts w:ascii="Arial" w:hAnsi="Arial" w:cs="Arial"/>
              </w:rPr>
            </w:pPr>
            <w:r w:rsidRPr="00A63A02">
              <w:rPr>
                <w:rFonts w:ascii="Arial" w:hAnsi="Arial" w:cs="Arial"/>
              </w:rPr>
              <w:t xml:space="preserve">Patients who have received non-PBS-subsidised treatment with </w:t>
            </w:r>
            <w:proofErr w:type="spellStart"/>
            <w:r w:rsidRPr="00A63A02">
              <w:rPr>
                <w:rFonts w:ascii="Arial" w:hAnsi="Arial" w:cs="Arial"/>
              </w:rPr>
              <w:t>ravulizumab</w:t>
            </w:r>
            <w:proofErr w:type="spellEnd"/>
            <w:r w:rsidRPr="00A63A02">
              <w:rPr>
                <w:rFonts w:ascii="Arial" w:hAnsi="Arial" w:cs="Arial"/>
              </w:rPr>
              <w:t xml:space="preserve"> for PNH prior to </w:t>
            </w:r>
            <w:r w:rsidR="007456DE" w:rsidRPr="00A63A02">
              <w:rPr>
                <w:rFonts w:ascii="Arial" w:hAnsi="Arial" w:cs="Arial"/>
              </w:rPr>
              <w:t>1</w:t>
            </w:r>
            <w:r w:rsidR="002B39AE" w:rsidRPr="00A63A02">
              <w:rPr>
                <w:rFonts w:ascii="Arial" w:hAnsi="Arial" w:cs="Arial"/>
              </w:rPr>
              <w:t> </w:t>
            </w:r>
            <w:r w:rsidR="007456DE" w:rsidRPr="00A63A02">
              <w:rPr>
                <w:rFonts w:ascii="Arial" w:hAnsi="Arial" w:cs="Arial"/>
              </w:rPr>
              <w:t>March</w:t>
            </w:r>
            <w:r w:rsidR="002B39AE" w:rsidRPr="00A63A02">
              <w:rPr>
                <w:rFonts w:ascii="Arial" w:hAnsi="Arial" w:cs="Arial"/>
              </w:rPr>
              <w:t> </w:t>
            </w:r>
            <w:r w:rsidR="007456DE" w:rsidRPr="00A63A02">
              <w:rPr>
                <w:rFonts w:ascii="Arial" w:hAnsi="Arial" w:cs="Arial"/>
              </w:rPr>
              <w:t>2022</w:t>
            </w:r>
          </w:p>
        </w:tc>
      </w:tr>
      <w:tr w:rsidR="00DF303E" w:rsidRPr="00A63A02" w14:paraId="53F232BD" w14:textId="77777777" w:rsidTr="00DF303E">
        <w:trPr>
          <w:trHeight w:val="516"/>
        </w:trPr>
        <w:tc>
          <w:tcPr>
            <w:tcW w:w="730" w:type="pct"/>
          </w:tcPr>
          <w:p w14:paraId="50E31BA1" w14:textId="1CA6C9E7" w:rsidR="00DF303E" w:rsidRPr="00A63A02" w:rsidRDefault="00E031F7" w:rsidP="00DF303E">
            <w:pPr>
              <w:spacing w:after="120"/>
              <w:rPr>
                <w:rFonts w:ascii="Arial" w:hAnsi="Arial" w:cs="Arial"/>
              </w:rPr>
            </w:pPr>
            <w:r w:rsidRPr="00A63A02">
              <w:rPr>
                <w:rFonts w:ascii="Arial" w:hAnsi="Arial" w:cs="Arial"/>
              </w:rPr>
              <w:t>12895Q (Private)</w:t>
            </w:r>
          </w:p>
        </w:tc>
        <w:tc>
          <w:tcPr>
            <w:tcW w:w="681" w:type="pct"/>
          </w:tcPr>
          <w:p w14:paraId="33A7C68E" w14:textId="4B4757C7" w:rsidR="00DF303E" w:rsidRPr="00A63A02" w:rsidRDefault="00964962" w:rsidP="00DF303E">
            <w:pPr>
              <w:spacing w:after="120"/>
              <w:rPr>
                <w:rFonts w:ascii="Arial" w:hAnsi="Arial" w:cs="Arial"/>
              </w:rPr>
            </w:pPr>
            <w:r w:rsidRPr="00A63A02">
              <w:rPr>
                <w:rFonts w:ascii="Arial" w:hAnsi="Arial" w:cs="Arial"/>
              </w:rPr>
              <w:t>12897T (Private)</w:t>
            </w:r>
          </w:p>
        </w:tc>
        <w:tc>
          <w:tcPr>
            <w:tcW w:w="1566" w:type="pct"/>
            <w:vMerge/>
          </w:tcPr>
          <w:p w14:paraId="467911F9" w14:textId="77777777" w:rsidR="00DF303E" w:rsidRPr="00A63A02" w:rsidRDefault="00DF303E" w:rsidP="00DF303E">
            <w:pPr>
              <w:spacing w:after="120"/>
              <w:rPr>
                <w:rFonts w:ascii="Arial" w:hAnsi="Arial" w:cs="Arial"/>
              </w:rPr>
            </w:pPr>
          </w:p>
        </w:tc>
        <w:tc>
          <w:tcPr>
            <w:tcW w:w="2023" w:type="pct"/>
            <w:vMerge/>
          </w:tcPr>
          <w:p w14:paraId="2DB355E0" w14:textId="77777777" w:rsidR="00DF303E" w:rsidRPr="00A63A02" w:rsidRDefault="00DF303E" w:rsidP="00DF303E">
            <w:pPr>
              <w:spacing w:after="120"/>
              <w:rPr>
                <w:rFonts w:ascii="Arial" w:hAnsi="Arial" w:cs="Arial"/>
              </w:rPr>
            </w:pPr>
          </w:p>
        </w:tc>
      </w:tr>
      <w:tr w:rsidR="00DF303E" w:rsidRPr="00A63A02" w14:paraId="21360BBC" w14:textId="77777777" w:rsidTr="00DF303E">
        <w:trPr>
          <w:trHeight w:val="660"/>
        </w:trPr>
        <w:tc>
          <w:tcPr>
            <w:tcW w:w="730" w:type="pct"/>
          </w:tcPr>
          <w:p w14:paraId="0D9157A0" w14:textId="2EB55E01" w:rsidR="00DF303E" w:rsidRPr="00A63A02" w:rsidRDefault="00DC0FE7" w:rsidP="00DF303E">
            <w:pPr>
              <w:spacing w:after="120"/>
              <w:rPr>
                <w:rFonts w:ascii="Arial" w:hAnsi="Arial" w:cs="Arial"/>
              </w:rPr>
            </w:pPr>
            <w:r w:rsidRPr="00A63A02">
              <w:rPr>
                <w:rFonts w:ascii="Arial" w:hAnsi="Arial" w:cs="Arial"/>
              </w:rPr>
              <w:t>12884D (Public)</w:t>
            </w:r>
          </w:p>
        </w:tc>
        <w:tc>
          <w:tcPr>
            <w:tcW w:w="681" w:type="pct"/>
          </w:tcPr>
          <w:p w14:paraId="1BDB5C3C" w14:textId="6D932453" w:rsidR="00DF303E" w:rsidRPr="00A63A02" w:rsidRDefault="00964962" w:rsidP="00DF303E">
            <w:pPr>
              <w:spacing w:after="120"/>
              <w:rPr>
                <w:rFonts w:ascii="Arial" w:hAnsi="Arial" w:cs="Arial"/>
              </w:rPr>
            </w:pPr>
            <w:r w:rsidRPr="00A63A02">
              <w:rPr>
                <w:rFonts w:ascii="Arial" w:hAnsi="Arial" w:cs="Arial"/>
              </w:rPr>
              <w:t>12883C (Public)</w:t>
            </w:r>
          </w:p>
        </w:tc>
        <w:tc>
          <w:tcPr>
            <w:tcW w:w="1566" w:type="pct"/>
            <w:vMerge w:val="restart"/>
          </w:tcPr>
          <w:p w14:paraId="496E2BBC" w14:textId="77777777" w:rsidR="00DF303E" w:rsidRPr="00A63A02" w:rsidRDefault="00DF303E" w:rsidP="00DF303E">
            <w:pPr>
              <w:spacing w:after="120"/>
              <w:rPr>
                <w:rFonts w:ascii="Arial" w:hAnsi="Arial" w:cs="Arial"/>
              </w:rPr>
            </w:pPr>
            <w:r w:rsidRPr="00A63A02">
              <w:rPr>
                <w:rFonts w:ascii="Arial" w:hAnsi="Arial" w:cs="Arial"/>
              </w:rPr>
              <w:t>First Continuing Treatment</w:t>
            </w:r>
          </w:p>
        </w:tc>
        <w:tc>
          <w:tcPr>
            <w:tcW w:w="2023" w:type="pct"/>
            <w:vMerge w:val="restart"/>
          </w:tcPr>
          <w:p w14:paraId="22909F25" w14:textId="35CD765A" w:rsidR="00DF303E" w:rsidRPr="00A63A02" w:rsidRDefault="00DF303E" w:rsidP="00DF303E">
            <w:pPr>
              <w:spacing w:after="120"/>
              <w:rPr>
                <w:rFonts w:ascii="Arial" w:hAnsi="Arial" w:cs="Arial"/>
              </w:rPr>
            </w:pPr>
            <w:r w:rsidRPr="00A63A02">
              <w:rPr>
                <w:rFonts w:ascii="Arial" w:hAnsi="Arial" w:cs="Arial"/>
              </w:rPr>
              <w:t xml:space="preserve">Patients who have received PBS-subsidised treatment with </w:t>
            </w:r>
            <w:proofErr w:type="spellStart"/>
            <w:r w:rsidRPr="00A63A02">
              <w:rPr>
                <w:rFonts w:ascii="Arial" w:hAnsi="Arial" w:cs="Arial"/>
              </w:rPr>
              <w:t>ravulizumab</w:t>
            </w:r>
            <w:proofErr w:type="spellEnd"/>
            <w:r w:rsidRPr="00A63A02">
              <w:rPr>
                <w:rFonts w:ascii="Arial" w:hAnsi="Arial" w:cs="Arial"/>
              </w:rPr>
              <w:t xml:space="preserve"> for PNH under an ‘Initial’ or ‘Grandfather’ treatment criteria</w:t>
            </w:r>
          </w:p>
        </w:tc>
      </w:tr>
      <w:tr w:rsidR="00DF303E" w:rsidRPr="00A63A02" w14:paraId="4AD28C75" w14:textId="77777777" w:rsidTr="00DF303E">
        <w:trPr>
          <w:trHeight w:val="660"/>
        </w:trPr>
        <w:tc>
          <w:tcPr>
            <w:tcW w:w="730" w:type="pct"/>
          </w:tcPr>
          <w:p w14:paraId="316CF51A" w14:textId="06F1CF1A" w:rsidR="00DF303E" w:rsidRPr="00A63A02" w:rsidRDefault="00E031F7" w:rsidP="00DF303E">
            <w:pPr>
              <w:spacing w:after="120"/>
              <w:rPr>
                <w:rFonts w:ascii="Arial" w:hAnsi="Arial" w:cs="Arial"/>
              </w:rPr>
            </w:pPr>
            <w:r w:rsidRPr="00A63A02">
              <w:rPr>
                <w:rFonts w:ascii="Arial" w:hAnsi="Arial" w:cs="Arial"/>
              </w:rPr>
              <w:t>12895Q (Private)</w:t>
            </w:r>
          </w:p>
        </w:tc>
        <w:tc>
          <w:tcPr>
            <w:tcW w:w="681" w:type="pct"/>
          </w:tcPr>
          <w:p w14:paraId="3C03BD10" w14:textId="06EA8D66" w:rsidR="00DF303E" w:rsidRPr="00A63A02" w:rsidRDefault="00964962" w:rsidP="00DF303E">
            <w:pPr>
              <w:spacing w:after="120"/>
              <w:rPr>
                <w:rFonts w:ascii="Arial" w:hAnsi="Arial" w:cs="Arial"/>
              </w:rPr>
            </w:pPr>
            <w:r w:rsidRPr="00A63A02">
              <w:rPr>
                <w:rFonts w:ascii="Arial" w:hAnsi="Arial" w:cs="Arial"/>
              </w:rPr>
              <w:t>12897T (Private)</w:t>
            </w:r>
          </w:p>
        </w:tc>
        <w:tc>
          <w:tcPr>
            <w:tcW w:w="1566" w:type="pct"/>
            <w:vMerge/>
          </w:tcPr>
          <w:p w14:paraId="7678E7C0" w14:textId="77777777" w:rsidR="00DF303E" w:rsidRPr="00A63A02" w:rsidRDefault="00DF303E" w:rsidP="00DF303E">
            <w:pPr>
              <w:spacing w:after="120"/>
              <w:rPr>
                <w:rFonts w:ascii="Arial" w:hAnsi="Arial" w:cs="Arial"/>
              </w:rPr>
            </w:pPr>
          </w:p>
        </w:tc>
        <w:tc>
          <w:tcPr>
            <w:tcW w:w="2023" w:type="pct"/>
            <w:vMerge/>
          </w:tcPr>
          <w:p w14:paraId="175FA1E5" w14:textId="77777777" w:rsidR="00DF303E" w:rsidRPr="00A63A02" w:rsidRDefault="00DF303E" w:rsidP="00DF303E">
            <w:pPr>
              <w:spacing w:after="120"/>
              <w:rPr>
                <w:rFonts w:ascii="Arial" w:hAnsi="Arial" w:cs="Arial"/>
              </w:rPr>
            </w:pPr>
          </w:p>
        </w:tc>
      </w:tr>
      <w:tr w:rsidR="00DF303E" w:rsidRPr="00A63A02" w14:paraId="003736D9" w14:textId="77777777" w:rsidTr="00DF303E">
        <w:trPr>
          <w:trHeight w:val="660"/>
        </w:trPr>
        <w:tc>
          <w:tcPr>
            <w:tcW w:w="730" w:type="pct"/>
          </w:tcPr>
          <w:p w14:paraId="0A633C2C" w14:textId="7EE429F2" w:rsidR="00DF303E" w:rsidRPr="00A63A02" w:rsidRDefault="00DC0FE7" w:rsidP="00DF303E">
            <w:pPr>
              <w:spacing w:after="120"/>
              <w:rPr>
                <w:rFonts w:ascii="Arial" w:hAnsi="Arial" w:cs="Arial"/>
              </w:rPr>
            </w:pPr>
            <w:r w:rsidRPr="00A63A02">
              <w:rPr>
                <w:rFonts w:ascii="Arial" w:hAnsi="Arial" w:cs="Arial"/>
              </w:rPr>
              <w:t>12884D (Public)</w:t>
            </w:r>
          </w:p>
        </w:tc>
        <w:tc>
          <w:tcPr>
            <w:tcW w:w="681" w:type="pct"/>
          </w:tcPr>
          <w:p w14:paraId="1C082B65" w14:textId="40E5790A" w:rsidR="00DF303E" w:rsidRPr="00A63A02" w:rsidRDefault="00964962" w:rsidP="00DF303E">
            <w:pPr>
              <w:spacing w:after="120"/>
              <w:rPr>
                <w:rFonts w:ascii="Arial" w:hAnsi="Arial" w:cs="Arial"/>
              </w:rPr>
            </w:pPr>
            <w:r w:rsidRPr="00A63A02">
              <w:rPr>
                <w:rFonts w:ascii="Arial" w:hAnsi="Arial" w:cs="Arial"/>
              </w:rPr>
              <w:t>12883C (Public)</w:t>
            </w:r>
          </w:p>
        </w:tc>
        <w:tc>
          <w:tcPr>
            <w:tcW w:w="1566" w:type="pct"/>
            <w:vMerge w:val="restart"/>
          </w:tcPr>
          <w:p w14:paraId="00757924" w14:textId="77777777" w:rsidR="00DF303E" w:rsidRPr="00A63A02" w:rsidRDefault="00DF303E" w:rsidP="00DF303E">
            <w:pPr>
              <w:spacing w:after="120"/>
              <w:rPr>
                <w:rFonts w:ascii="Arial" w:hAnsi="Arial" w:cs="Arial"/>
              </w:rPr>
            </w:pPr>
            <w:r w:rsidRPr="00A63A02">
              <w:rPr>
                <w:rFonts w:ascii="Arial" w:hAnsi="Arial" w:cs="Arial"/>
              </w:rPr>
              <w:t>Subsequent Continuing Treatment</w:t>
            </w:r>
          </w:p>
        </w:tc>
        <w:tc>
          <w:tcPr>
            <w:tcW w:w="2023" w:type="pct"/>
            <w:vMerge w:val="restart"/>
          </w:tcPr>
          <w:p w14:paraId="35B51D71" w14:textId="77777777" w:rsidR="00DF303E" w:rsidRPr="00A63A02" w:rsidRDefault="00DF303E" w:rsidP="00DF303E">
            <w:pPr>
              <w:spacing w:after="120"/>
              <w:rPr>
                <w:rFonts w:ascii="Arial" w:hAnsi="Arial" w:cs="Arial"/>
              </w:rPr>
            </w:pPr>
            <w:r w:rsidRPr="00A63A02">
              <w:rPr>
                <w:rFonts w:ascii="Arial" w:hAnsi="Arial" w:cs="Arial"/>
              </w:rPr>
              <w:t xml:space="preserve">Patients who have previously received PBS-subsidised treatment with </w:t>
            </w:r>
            <w:proofErr w:type="spellStart"/>
            <w:r w:rsidRPr="00A63A02">
              <w:rPr>
                <w:rFonts w:ascii="Arial" w:hAnsi="Arial" w:cs="Arial"/>
              </w:rPr>
              <w:t>ravulizumab</w:t>
            </w:r>
            <w:proofErr w:type="spellEnd"/>
            <w:r w:rsidRPr="00A63A02">
              <w:rPr>
                <w:rFonts w:ascii="Arial" w:hAnsi="Arial" w:cs="Arial"/>
              </w:rPr>
              <w:t xml:space="preserve"> for PNH under the ‘First Continuing Treatment’ or ‘Return’ criteria</w:t>
            </w:r>
          </w:p>
        </w:tc>
      </w:tr>
      <w:tr w:rsidR="00DF303E" w:rsidRPr="00A63A02" w14:paraId="5069FE65" w14:textId="77777777" w:rsidTr="00DF303E">
        <w:trPr>
          <w:trHeight w:val="660"/>
        </w:trPr>
        <w:tc>
          <w:tcPr>
            <w:tcW w:w="730" w:type="pct"/>
          </w:tcPr>
          <w:p w14:paraId="613FC3A6" w14:textId="05A2C76E" w:rsidR="00DF303E" w:rsidRPr="00A63A02" w:rsidRDefault="00E031F7" w:rsidP="00DF303E">
            <w:pPr>
              <w:keepNext/>
              <w:keepLines/>
              <w:spacing w:before="40"/>
              <w:outlineLvl w:val="1"/>
              <w:rPr>
                <w:rFonts w:ascii="Arial" w:hAnsi="Arial" w:cs="Arial"/>
                <w:b/>
                <w:bCs/>
                <w:color w:val="2E74B5"/>
                <w:sz w:val="24"/>
                <w:szCs w:val="26"/>
              </w:rPr>
            </w:pPr>
            <w:r w:rsidRPr="00A63A02">
              <w:rPr>
                <w:rFonts w:ascii="Arial" w:hAnsi="Arial" w:cs="Arial"/>
              </w:rPr>
              <w:t>12895Q (Private)</w:t>
            </w:r>
          </w:p>
        </w:tc>
        <w:tc>
          <w:tcPr>
            <w:tcW w:w="681" w:type="pct"/>
          </w:tcPr>
          <w:p w14:paraId="6641A693" w14:textId="6F3F2B56" w:rsidR="00DF303E" w:rsidRPr="00A63A02" w:rsidRDefault="00964962" w:rsidP="00DF303E">
            <w:pPr>
              <w:keepNext/>
              <w:keepLines/>
              <w:spacing w:before="40"/>
              <w:outlineLvl w:val="1"/>
              <w:rPr>
                <w:rFonts w:ascii="Arial" w:hAnsi="Arial" w:cs="Arial"/>
                <w:b/>
                <w:bCs/>
                <w:color w:val="2E74B5"/>
                <w:sz w:val="24"/>
                <w:szCs w:val="26"/>
              </w:rPr>
            </w:pPr>
            <w:r w:rsidRPr="00A63A02">
              <w:rPr>
                <w:rFonts w:ascii="Arial" w:hAnsi="Arial" w:cs="Arial"/>
              </w:rPr>
              <w:t>12897T (Private)</w:t>
            </w:r>
          </w:p>
        </w:tc>
        <w:tc>
          <w:tcPr>
            <w:tcW w:w="1566" w:type="pct"/>
            <w:vMerge/>
          </w:tcPr>
          <w:p w14:paraId="7FA03382" w14:textId="77777777" w:rsidR="00DF303E" w:rsidRPr="00A63A02" w:rsidRDefault="00DF303E" w:rsidP="00DF303E">
            <w:pPr>
              <w:keepNext/>
              <w:keepLines/>
              <w:spacing w:before="40"/>
              <w:outlineLvl w:val="1"/>
              <w:rPr>
                <w:rFonts w:ascii="Arial" w:hAnsi="Arial" w:cs="Arial"/>
                <w:b/>
                <w:bCs/>
                <w:color w:val="2E74B5"/>
                <w:sz w:val="24"/>
                <w:szCs w:val="26"/>
              </w:rPr>
            </w:pPr>
          </w:p>
        </w:tc>
        <w:tc>
          <w:tcPr>
            <w:tcW w:w="2023" w:type="pct"/>
            <w:vMerge/>
          </w:tcPr>
          <w:p w14:paraId="3FE507D3" w14:textId="77777777" w:rsidR="00DF303E" w:rsidRPr="00A63A02" w:rsidRDefault="00DF303E" w:rsidP="00DF303E">
            <w:pPr>
              <w:keepNext/>
              <w:keepLines/>
              <w:spacing w:before="40"/>
              <w:outlineLvl w:val="1"/>
              <w:rPr>
                <w:rFonts w:ascii="Arial" w:hAnsi="Arial" w:cs="Arial"/>
                <w:b/>
                <w:bCs/>
                <w:color w:val="2E74B5"/>
                <w:sz w:val="24"/>
                <w:szCs w:val="26"/>
              </w:rPr>
            </w:pPr>
          </w:p>
        </w:tc>
      </w:tr>
    </w:tbl>
    <w:p w14:paraId="2A043512" w14:textId="77777777" w:rsidR="00E5729B" w:rsidRPr="00A63A02" w:rsidRDefault="00E5729B" w:rsidP="00A63A02">
      <w:pPr>
        <w:pStyle w:val="Heading3"/>
        <w:rPr>
          <w:rFonts w:ascii="Arial" w:eastAsia="Times New Roman" w:hAnsi="Arial" w:cs="Arial"/>
          <w:b/>
          <w:bCs/>
        </w:rPr>
      </w:pPr>
      <w:bookmarkStart w:id="0" w:name="_Hlk94271650"/>
      <w:r w:rsidRPr="00A63A02">
        <w:rPr>
          <w:rFonts w:ascii="Arial" w:eastAsia="Times New Roman" w:hAnsi="Arial" w:cs="Arial"/>
          <w:b/>
          <w:bCs/>
        </w:rPr>
        <w:t>Information for pharmacists</w:t>
      </w:r>
    </w:p>
    <w:bookmarkEnd w:id="0"/>
    <w:p w14:paraId="5D4EE994" w14:textId="4CB0D462" w:rsidR="00E5729B" w:rsidRPr="00A63A02" w:rsidRDefault="00A67D6C" w:rsidP="00E5729B">
      <w:pPr>
        <w:rPr>
          <w:rFonts w:ascii="Arial" w:eastAsia="Calibri" w:hAnsi="Arial" w:cs="Arial"/>
          <w:bCs/>
          <w:sz w:val="24"/>
          <w:szCs w:val="24"/>
        </w:rPr>
      </w:pPr>
      <w:r w:rsidRPr="00A63A02">
        <w:rPr>
          <w:rFonts w:ascii="Arial" w:eastAsia="Calibri" w:hAnsi="Arial" w:cs="Arial"/>
          <w:bCs/>
          <w:sz w:val="24"/>
          <w:szCs w:val="24"/>
        </w:rPr>
        <w:t xml:space="preserve">Pharmacists should note that </w:t>
      </w:r>
      <w:proofErr w:type="spellStart"/>
      <w:r w:rsidRPr="00A63A02">
        <w:rPr>
          <w:rFonts w:ascii="Arial" w:eastAsia="Calibri" w:hAnsi="Arial" w:cs="Arial"/>
          <w:bCs/>
          <w:sz w:val="24"/>
          <w:szCs w:val="24"/>
        </w:rPr>
        <w:t>Soliris</w:t>
      </w:r>
      <w:proofErr w:type="spellEnd"/>
      <w:r w:rsidRPr="00A63A02">
        <w:rPr>
          <w:rFonts w:ascii="Arial" w:eastAsia="Calibri" w:hAnsi="Arial" w:cs="Arial"/>
          <w:bCs/>
          <w:sz w:val="24"/>
          <w:szCs w:val="24"/>
          <w:vertAlign w:val="superscript"/>
        </w:rPr>
        <w:t>®</w:t>
      </w:r>
      <w:r w:rsidRPr="00A63A02">
        <w:rPr>
          <w:rFonts w:ascii="Arial" w:eastAsia="Calibri" w:hAnsi="Arial" w:cs="Arial"/>
          <w:bCs/>
          <w:sz w:val="24"/>
          <w:szCs w:val="24"/>
        </w:rPr>
        <w:t xml:space="preserve"> is currently also listed on the PBS </w:t>
      </w:r>
      <w:r w:rsidR="007456DE" w:rsidRPr="00A63A02">
        <w:rPr>
          <w:rFonts w:ascii="Arial" w:eastAsia="Calibri" w:hAnsi="Arial" w:cs="Arial"/>
          <w:bCs/>
          <w:sz w:val="24"/>
          <w:szCs w:val="24"/>
        </w:rPr>
        <w:t>S</w:t>
      </w:r>
      <w:r w:rsidR="00C0407D" w:rsidRPr="00A63A02">
        <w:rPr>
          <w:rFonts w:ascii="Arial" w:eastAsia="Calibri" w:hAnsi="Arial" w:cs="Arial"/>
          <w:bCs/>
          <w:sz w:val="24"/>
          <w:szCs w:val="24"/>
        </w:rPr>
        <w:t xml:space="preserve">ection 100 HSD program </w:t>
      </w:r>
      <w:r w:rsidRPr="00A63A02">
        <w:rPr>
          <w:rFonts w:ascii="Arial" w:eastAsia="Calibri" w:hAnsi="Arial" w:cs="Arial"/>
          <w:bCs/>
          <w:sz w:val="24"/>
          <w:szCs w:val="24"/>
        </w:rPr>
        <w:t xml:space="preserve">for the treatment of </w:t>
      </w:r>
      <w:r w:rsidR="00C0407D" w:rsidRPr="00A63A02">
        <w:rPr>
          <w:rFonts w:ascii="Arial" w:eastAsia="Calibri" w:hAnsi="Arial" w:cs="Arial"/>
          <w:bCs/>
          <w:sz w:val="24"/>
          <w:szCs w:val="24"/>
        </w:rPr>
        <w:t>a</w:t>
      </w:r>
      <w:r w:rsidRPr="00A63A02">
        <w:rPr>
          <w:rFonts w:ascii="Arial" w:eastAsia="Calibri" w:hAnsi="Arial" w:cs="Arial"/>
          <w:bCs/>
          <w:sz w:val="24"/>
          <w:szCs w:val="24"/>
        </w:rPr>
        <w:t>typical haemolytic uraemic syndrome (</w:t>
      </w:r>
      <w:proofErr w:type="spellStart"/>
      <w:r w:rsidRPr="00A63A02">
        <w:rPr>
          <w:rFonts w:ascii="Arial" w:eastAsia="Calibri" w:hAnsi="Arial" w:cs="Arial"/>
          <w:bCs/>
          <w:sz w:val="24"/>
          <w:szCs w:val="24"/>
        </w:rPr>
        <w:t>aHUS</w:t>
      </w:r>
      <w:proofErr w:type="spellEnd"/>
      <w:r w:rsidRPr="00A63A02">
        <w:rPr>
          <w:rFonts w:ascii="Arial" w:eastAsia="Calibri" w:hAnsi="Arial" w:cs="Arial"/>
          <w:bCs/>
          <w:sz w:val="24"/>
          <w:szCs w:val="24"/>
        </w:rPr>
        <w:t xml:space="preserve">). </w:t>
      </w:r>
      <w:r w:rsidR="00E5729B" w:rsidRPr="00A63A02">
        <w:rPr>
          <w:rFonts w:ascii="Arial" w:eastAsia="Calibri" w:hAnsi="Arial" w:cs="Arial"/>
          <w:bCs/>
          <w:sz w:val="24"/>
          <w:szCs w:val="24"/>
        </w:rPr>
        <w:t>When dispensing, attention must be paid to the selection of the correct PBS item code to ensure the correct product</w:t>
      </w:r>
      <w:r w:rsidR="00601D9E" w:rsidRPr="00A63A02">
        <w:rPr>
          <w:rFonts w:ascii="Arial" w:eastAsia="Calibri" w:hAnsi="Arial" w:cs="Arial"/>
          <w:bCs/>
          <w:sz w:val="24"/>
          <w:szCs w:val="24"/>
        </w:rPr>
        <w:t>, under the correct program</w:t>
      </w:r>
      <w:r w:rsidR="00E63B5C" w:rsidRPr="00A63A02">
        <w:rPr>
          <w:rFonts w:ascii="Arial" w:eastAsia="Calibri" w:hAnsi="Arial" w:cs="Arial"/>
          <w:bCs/>
          <w:sz w:val="24"/>
          <w:szCs w:val="24"/>
        </w:rPr>
        <w:t xml:space="preserve"> (public or private)</w:t>
      </w:r>
      <w:r w:rsidR="00024778" w:rsidRPr="00A63A02">
        <w:rPr>
          <w:rFonts w:ascii="Arial" w:eastAsia="Calibri" w:hAnsi="Arial" w:cs="Arial"/>
          <w:bCs/>
          <w:sz w:val="24"/>
          <w:szCs w:val="24"/>
        </w:rPr>
        <w:t>,</w:t>
      </w:r>
      <w:r w:rsidR="007456DE" w:rsidRPr="00A63A02">
        <w:rPr>
          <w:rFonts w:ascii="Arial" w:eastAsia="Calibri" w:hAnsi="Arial" w:cs="Arial"/>
          <w:bCs/>
          <w:sz w:val="24"/>
          <w:szCs w:val="24"/>
        </w:rPr>
        <w:t xml:space="preserve"> </w:t>
      </w:r>
      <w:r w:rsidR="00024778" w:rsidRPr="00A63A02">
        <w:rPr>
          <w:rFonts w:ascii="Arial" w:eastAsia="Calibri" w:hAnsi="Arial" w:cs="Arial"/>
          <w:bCs/>
          <w:sz w:val="24"/>
          <w:szCs w:val="24"/>
        </w:rPr>
        <w:t>for the correct indication</w:t>
      </w:r>
      <w:r w:rsidR="00E5729B" w:rsidRPr="00A63A02">
        <w:rPr>
          <w:rFonts w:ascii="Arial" w:eastAsia="Calibri" w:hAnsi="Arial" w:cs="Arial"/>
          <w:bCs/>
          <w:sz w:val="24"/>
          <w:szCs w:val="24"/>
        </w:rPr>
        <w:t xml:space="preserve"> is claimed. Applying incorrect item codes may result in a rejection warning message from Services Australia. </w:t>
      </w:r>
    </w:p>
    <w:p w14:paraId="66440266" w14:textId="3021ED3D" w:rsidR="00436410" w:rsidRPr="00A63A02" w:rsidRDefault="00436410" w:rsidP="00E5729B">
      <w:pPr>
        <w:rPr>
          <w:rFonts w:ascii="Arial" w:eastAsia="Calibri" w:hAnsi="Arial" w:cs="Arial"/>
          <w:bCs/>
          <w:sz w:val="24"/>
          <w:szCs w:val="24"/>
        </w:rPr>
      </w:pPr>
      <w:r w:rsidRPr="00A63A02">
        <w:rPr>
          <w:rFonts w:ascii="Arial" w:eastAsia="Calibri" w:hAnsi="Arial" w:cs="Arial"/>
          <w:bCs/>
          <w:sz w:val="24"/>
          <w:szCs w:val="24"/>
        </w:rPr>
        <w:t xml:space="preserve">For new patients prior to 1 March 2022, the medicines sponsor has made transitionary arrangements for supply until the treating physician is able to </w:t>
      </w:r>
      <w:proofErr w:type="gramStart"/>
      <w:r w:rsidRPr="00A63A02">
        <w:rPr>
          <w:rFonts w:ascii="Arial" w:eastAsia="Calibri" w:hAnsi="Arial" w:cs="Arial"/>
          <w:bCs/>
          <w:sz w:val="24"/>
          <w:szCs w:val="24"/>
        </w:rPr>
        <w:t>make arrangements</w:t>
      </w:r>
      <w:proofErr w:type="gramEnd"/>
      <w:r w:rsidRPr="00A63A02">
        <w:rPr>
          <w:rFonts w:ascii="Arial" w:eastAsia="Calibri" w:hAnsi="Arial" w:cs="Arial"/>
          <w:bCs/>
          <w:sz w:val="24"/>
          <w:szCs w:val="24"/>
        </w:rPr>
        <w:t xml:space="preserve"> for access under the PBS </w:t>
      </w:r>
      <w:r w:rsidR="007456DE" w:rsidRPr="00A63A02">
        <w:rPr>
          <w:rFonts w:ascii="Arial" w:eastAsia="Calibri" w:hAnsi="Arial" w:cs="Arial"/>
          <w:bCs/>
          <w:sz w:val="24"/>
          <w:szCs w:val="24"/>
        </w:rPr>
        <w:t>S</w:t>
      </w:r>
      <w:r w:rsidR="00C0407D" w:rsidRPr="00A63A02">
        <w:rPr>
          <w:rFonts w:ascii="Arial" w:eastAsia="Calibri" w:hAnsi="Arial" w:cs="Arial"/>
          <w:bCs/>
          <w:sz w:val="24"/>
          <w:szCs w:val="24"/>
        </w:rPr>
        <w:t xml:space="preserve">ection 100 </w:t>
      </w:r>
      <w:r w:rsidRPr="00A63A02">
        <w:rPr>
          <w:rFonts w:ascii="Arial" w:eastAsia="Calibri" w:hAnsi="Arial" w:cs="Arial"/>
          <w:bCs/>
          <w:sz w:val="24"/>
          <w:szCs w:val="24"/>
        </w:rPr>
        <w:t xml:space="preserve">HSD </w:t>
      </w:r>
      <w:r w:rsidR="00C0407D" w:rsidRPr="00A63A02">
        <w:rPr>
          <w:rFonts w:ascii="Arial" w:eastAsia="Calibri" w:hAnsi="Arial" w:cs="Arial"/>
          <w:bCs/>
          <w:sz w:val="24"/>
          <w:szCs w:val="24"/>
        </w:rPr>
        <w:t xml:space="preserve">program. </w:t>
      </w:r>
      <w:r w:rsidRPr="00A63A02">
        <w:rPr>
          <w:rFonts w:ascii="Arial" w:eastAsia="Calibri" w:hAnsi="Arial" w:cs="Arial"/>
          <w:bCs/>
          <w:sz w:val="24"/>
          <w:szCs w:val="24"/>
        </w:rPr>
        <w:t xml:space="preserve">Treating physicians or pharmacists can contact Alexion to discuss access arrangements for these patients.  </w:t>
      </w:r>
    </w:p>
    <w:p w14:paraId="3763C27C" w14:textId="77777777" w:rsidR="00E5729B" w:rsidRPr="00A63A02" w:rsidRDefault="00E5729B" w:rsidP="00A63A02">
      <w:pPr>
        <w:pStyle w:val="Heading3"/>
        <w:rPr>
          <w:rFonts w:ascii="Arial" w:eastAsia="Times New Roman" w:hAnsi="Arial" w:cs="Arial"/>
          <w:b/>
          <w:bCs/>
        </w:rPr>
      </w:pPr>
      <w:r w:rsidRPr="00A63A02">
        <w:rPr>
          <w:rFonts w:ascii="Arial" w:eastAsia="Times New Roman" w:hAnsi="Arial" w:cs="Arial"/>
          <w:b/>
          <w:bCs/>
        </w:rPr>
        <w:lastRenderedPageBreak/>
        <w:t>Information for consumers</w:t>
      </w:r>
    </w:p>
    <w:p w14:paraId="588F50E3" w14:textId="585BABAE" w:rsidR="00D230F4" w:rsidRPr="00A63A02" w:rsidRDefault="00D230F4" w:rsidP="00E5729B">
      <w:pPr>
        <w:rPr>
          <w:rFonts w:ascii="Arial" w:eastAsia="Calibri" w:hAnsi="Arial" w:cs="Arial"/>
          <w:bCs/>
          <w:sz w:val="24"/>
          <w:szCs w:val="24"/>
        </w:rPr>
      </w:pPr>
      <w:r w:rsidRPr="00A63A02">
        <w:rPr>
          <w:rFonts w:ascii="Arial" w:eastAsia="Calibri" w:hAnsi="Arial" w:cs="Arial"/>
          <w:bCs/>
          <w:sz w:val="24"/>
          <w:szCs w:val="24"/>
        </w:rPr>
        <w:t xml:space="preserve">For </w:t>
      </w:r>
      <w:r w:rsidR="00A67D6C" w:rsidRPr="00A63A02">
        <w:rPr>
          <w:rFonts w:ascii="Arial" w:eastAsia="Calibri" w:hAnsi="Arial" w:cs="Arial"/>
          <w:bCs/>
          <w:sz w:val="24"/>
          <w:szCs w:val="24"/>
        </w:rPr>
        <w:t>existing LSDP patie</w:t>
      </w:r>
      <w:r w:rsidRPr="00A63A02">
        <w:rPr>
          <w:rFonts w:ascii="Arial" w:eastAsia="Calibri" w:hAnsi="Arial" w:cs="Arial"/>
          <w:bCs/>
          <w:sz w:val="24"/>
          <w:szCs w:val="24"/>
        </w:rPr>
        <w:t>n</w:t>
      </w:r>
      <w:r w:rsidR="00A67D6C" w:rsidRPr="00A63A02">
        <w:rPr>
          <w:rFonts w:ascii="Arial" w:eastAsia="Calibri" w:hAnsi="Arial" w:cs="Arial"/>
          <w:bCs/>
          <w:sz w:val="24"/>
          <w:szCs w:val="24"/>
        </w:rPr>
        <w:t>t</w:t>
      </w:r>
      <w:r w:rsidRPr="00A63A02">
        <w:rPr>
          <w:rFonts w:ascii="Arial" w:eastAsia="Calibri" w:hAnsi="Arial" w:cs="Arial"/>
          <w:bCs/>
          <w:sz w:val="24"/>
          <w:szCs w:val="24"/>
        </w:rPr>
        <w:t>s</w:t>
      </w:r>
      <w:r w:rsidR="00A67D6C" w:rsidRPr="00A63A02">
        <w:rPr>
          <w:rFonts w:ascii="Arial" w:eastAsia="Calibri" w:hAnsi="Arial" w:cs="Arial"/>
          <w:bCs/>
          <w:sz w:val="24"/>
          <w:szCs w:val="24"/>
        </w:rPr>
        <w:t xml:space="preserve"> receiving subsidised treatment, we recommend that</w:t>
      </w:r>
      <w:r w:rsidRPr="00A63A02">
        <w:rPr>
          <w:rFonts w:ascii="Arial" w:eastAsia="Calibri" w:hAnsi="Arial" w:cs="Arial"/>
          <w:bCs/>
          <w:sz w:val="24"/>
          <w:szCs w:val="24"/>
        </w:rPr>
        <w:t xml:space="preserve"> patients</w:t>
      </w:r>
      <w:r w:rsidR="00A67D6C" w:rsidRPr="00A63A02">
        <w:rPr>
          <w:rFonts w:ascii="Arial" w:eastAsia="Calibri" w:hAnsi="Arial" w:cs="Arial"/>
          <w:bCs/>
          <w:sz w:val="24"/>
          <w:szCs w:val="24"/>
        </w:rPr>
        <w:t xml:space="preserve"> seek an appointment with </w:t>
      </w:r>
      <w:r w:rsidRPr="00A63A02">
        <w:rPr>
          <w:rFonts w:ascii="Arial" w:eastAsia="Calibri" w:hAnsi="Arial" w:cs="Arial"/>
          <w:bCs/>
          <w:sz w:val="24"/>
          <w:szCs w:val="24"/>
        </w:rPr>
        <w:t>thei</w:t>
      </w:r>
      <w:r w:rsidR="00A67D6C" w:rsidRPr="00A63A02">
        <w:rPr>
          <w:rFonts w:ascii="Arial" w:eastAsia="Calibri" w:hAnsi="Arial" w:cs="Arial"/>
          <w:bCs/>
          <w:sz w:val="24"/>
          <w:szCs w:val="24"/>
        </w:rPr>
        <w:t xml:space="preserve">r treating physician to discuss transitioning </w:t>
      </w:r>
      <w:r w:rsidRPr="00A63A02">
        <w:rPr>
          <w:rFonts w:ascii="Arial" w:eastAsia="Calibri" w:hAnsi="Arial" w:cs="Arial"/>
          <w:bCs/>
          <w:sz w:val="24"/>
          <w:szCs w:val="24"/>
        </w:rPr>
        <w:t xml:space="preserve">to the PBS </w:t>
      </w:r>
      <w:r w:rsidR="007456DE" w:rsidRPr="00A63A02">
        <w:rPr>
          <w:rFonts w:ascii="Arial" w:eastAsia="Calibri" w:hAnsi="Arial" w:cs="Arial"/>
          <w:bCs/>
          <w:sz w:val="24"/>
          <w:szCs w:val="24"/>
        </w:rPr>
        <w:t>S</w:t>
      </w:r>
      <w:r w:rsidR="00C0407D" w:rsidRPr="00A63A02">
        <w:rPr>
          <w:rFonts w:ascii="Arial" w:eastAsia="Calibri" w:hAnsi="Arial" w:cs="Arial"/>
          <w:bCs/>
          <w:sz w:val="24"/>
          <w:szCs w:val="24"/>
        </w:rPr>
        <w:t xml:space="preserve">ection 100 </w:t>
      </w:r>
      <w:r w:rsidRPr="00A63A02">
        <w:rPr>
          <w:rFonts w:ascii="Arial" w:eastAsia="Calibri" w:hAnsi="Arial" w:cs="Arial"/>
          <w:bCs/>
          <w:sz w:val="24"/>
          <w:szCs w:val="24"/>
        </w:rPr>
        <w:t xml:space="preserve">HSD arrangements </w:t>
      </w:r>
      <w:r w:rsidR="00A67D6C" w:rsidRPr="00A63A02">
        <w:rPr>
          <w:rFonts w:ascii="Arial" w:eastAsia="Calibri" w:hAnsi="Arial" w:cs="Arial"/>
          <w:bCs/>
          <w:sz w:val="24"/>
          <w:szCs w:val="24"/>
        </w:rPr>
        <w:t>prior to 1 March 2022</w:t>
      </w:r>
      <w:r w:rsidRPr="00A63A02">
        <w:rPr>
          <w:rFonts w:ascii="Arial" w:eastAsia="Calibri" w:hAnsi="Arial" w:cs="Arial"/>
          <w:bCs/>
          <w:sz w:val="24"/>
          <w:szCs w:val="24"/>
        </w:rPr>
        <w:t>. S</w:t>
      </w:r>
      <w:r w:rsidR="00A67D6C" w:rsidRPr="00A63A02">
        <w:rPr>
          <w:rFonts w:ascii="Arial" w:eastAsia="Calibri" w:hAnsi="Arial" w:cs="Arial"/>
          <w:bCs/>
          <w:sz w:val="24"/>
          <w:szCs w:val="24"/>
        </w:rPr>
        <w:t xml:space="preserve">o that </w:t>
      </w:r>
      <w:r w:rsidRPr="00A63A02">
        <w:rPr>
          <w:rFonts w:ascii="Arial" w:eastAsia="Calibri" w:hAnsi="Arial" w:cs="Arial"/>
          <w:bCs/>
          <w:sz w:val="24"/>
          <w:szCs w:val="24"/>
        </w:rPr>
        <w:t xml:space="preserve">the </w:t>
      </w:r>
      <w:r w:rsidR="00A67D6C" w:rsidRPr="00A63A02">
        <w:rPr>
          <w:rFonts w:ascii="Arial" w:eastAsia="Calibri" w:hAnsi="Arial" w:cs="Arial"/>
          <w:bCs/>
          <w:sz w:val="24"/>
          <w:szCs w:val="24"/>
        </w:rPr>
        <w:t>necessary a</w:t>
      </w:r>
      <w:r w:rsidRPr="00A63A02">
        <w:rPr>
          <w:rFonts w:ascii="Arial" w:eastAsia="Calibri" w:hAnsi="Arial" w:cs="Arial"/>
          <w:bCs/>
          <w:sz w:val="24"/>
          <w:szCs w:val="24"/>
        </w:rPr>
        <w:t>rrangements</w:t>
      </w:r>
      <w:r w:rsidR="00A67D6C" w:rsidRPr="00A63A02">
        <w:rPr>
          <w:rFonts w:ascii="Arial" w:eastAsia="Calibri" w:hAnsi="Arial" w:cs="Arial"/>
          <w:bCs/>
          <w:sz w:val="24"/>
          <w:szCs w:val="24"/>
        </w:rPr>
        <w:t xml:space="preserve"> for </w:t>
      </w:r>
      <w:r w:rsidRPr="00A63A02">
        <w:rPr>
          <w:rFonts w:ascii="Arial" w:eastAsia="Calibri" w:hAnsi="Arial" w:cs="Arial"/>
          <w:bCs/>
          <w:sz w:val="24"/>
          <w:szCs w:val="24"/>
        </w:rPr>
        <w:t>a</w:t>
      </w:r>
      <w:r w:rsidR="00A67D6C" w:rsidRPr="00A63A02">
        <w:rPr>
          <w:rFonts w:ascii="Arial" w:eastAsia="Calibri" w:hAnsi="Arial" w:cs="Arial"/>
          <w:bCs/>
          <w:sz w:val="24"/>
          <w:szCs w:val="24"/>
        </w:rPr>
        <w:t xml:space="preserve"> new prescription</w:t>
      </w:r>
      <w:r w:rsidRPr="00A63A02">
        <w:rPr>
          <w:rFonts w:ascii="Arial" w:eastAsia="Calibri" w:hAnsi="Arial" w:cs="Arial"/>
          <w:bCs/>
          <w:sz w:val="24"/>
          <w:szCs w:val="24"/>
        </w:rPr>
        <w:t xml:space="preserve"> can be made, the LSDP will continue to supply eculizumab for existing patients until they are able to transition up (or up to 31 May 2022, whichever occurs first). This will ensure the treatment regimen can continue without interruption. </w:t>
      </w:r>
    </w:p>
    <w:p w14:paraId="0928E239" w14:textId="545683E8" w:rsidR="00E5729B" w:rsidRPr="00A63A02" w:rsidRDefault="00E5729B" w:rsidP="00E5729B">
      <w:pPr>
        <w:rPr>
          <w:rFonts w:ascii="Arial" w:eastAsia="Calibri" w:hAnsi="Arial" w:cs="Arial"/>
          <w:bCs/>
          <w:sz w:val="24"/>
          <w:szCs w:val="24"/>
        </w:rPr>
      </w:pPr>
      <w:r w:rsidRPr="00A63A02">
        <w:rPr>
          <w:rFonts w:ascii="Arial" w:eastAsia="Calibri" w:hAnsi="Arial" w:cs="Arial"/>
          <w:bCs/>
          <w:sz w:val="24"/>
          <w:szCs w:val="24"/>
        </w:rPr>
        <w:t>Those who receive a</w:t>
      </w:r>
      <w:r w:rsidR="00E93062" w:rsidRPr="00A63A02">
        <w:rPr>
          <w:rFonts w:ascii="Arial" w:eastAsia="Calibri" w:hAnsi="Arial" w:cs="Arial"/>
          <w:bCs/>
          <w:sz w:val="24"/>
          <w:szCs w:val="24"/>
        </w:rPr>
        <w:t xml:space="preserve"> PBS</w:t>
      </w:r>
      <w:r w:rsidRPr="00A63A02">
        <w:rPr>
          <w:rFonts w:ascii="Arial" w:eastAsia="Calibri" w:hAnsi="Arial" w:cs="Arial"/>
          <w:bCs/>
          <w:sz w:val="24"/>
          <w:szCs w:val="24"/>
        </w:rPr>
        <w:t xml:space="preserve"> </w:t>
      </w:r>
      <w:r w:rsidR="002B39AE" w:rsidRPr="00A63A02">
        <w:rPr>
          <w:rFonts w:ascii="Arial" w:eastAsia="Calibri" w:hAnsi="Arial" w:cs="Arial"/>
          <w:bCs/>
          <w:sz w:val="24"/>
          <w:szCs w:val="24"/>
        </w:rPr>
        <w:t>S</w:t>
      </w:r>
      <w:r w:rsidR="00C0407D" w:rsidRPr="00A63A02">
        <w:rPr>
          <w:rFonts w:ascii="Arial" w:eastAsia="Calibri" w:hAnsi="Arial" w:cs="Arial"/>
          <w:bCs/>
          <w:sz w:val="24"/>
          <w:szCs w:val="24"/>
        </w:rPr>
        <w:t xml:space="preserve">ection 100 </w:t>
      </w:r>
      <w:r w:rsidR="00A67D6C" w:rsidRPr="00A63A02">
        <w:rPr>
          <w:rFonts w:ascii="Arial" w:eastAsia="Calibri" w:hAnsi="Arial" w:cs="Arial"/>
          <w:bCs/>
          <w:sz w:val="24"/>
          <w:szCs w:val="24"/>
        </w:rPr>
        <w:t xml:space="preserve">HSD authority </w:t>
      </w:r>
      <w:r w:rsidRPr="00A63A02">
        <w:rPr>
          <w:rFonts w:ascii="Arial" w:eastAsia="Calibri" w:hAnsi="Arial" w:cs="Arial"/>
          <w:bCs/>
          <w:sz w:val="24"/>
          <w:szCs w:val="24"/>
        </w:rPr>
        <w:t xml:space="preserve">prescription from </w:t>
      </w:r>
      <w:r w:rsidR="00D230F4" w:rsidRPr="00A63A02">
        <w:rPr>
          <w:rFonts w:ascii="Arial" w:eastAsia="Calibri" w:hAnsi="Arial" w:cs="Arial"/>
          <w:bCs/>
          <w:sz w:val="24"/>
          <w:szCs w:val="24"/>
        </w:rPr>
        <w:t xml:space="preserve">their </w:t>
      </w:r>
      <w:r w:rsidRPr="00A63A02">
        <w:rPr>
          <w:rFonts w:ascii="Arial" w:eastAsia="Calibri" w:hAnsi="Arial" w:cs="Arial"/>
          <w:bCs/>
          <w:sz w:val="24"/>
          <w:szCs w:val="24"/>
        </w:rPr>
        <w:t xml:space="preserve">treating </w:t>
      </w:r>
      <w:r w:rsidR="00D230F4" w:rsidRPr="00A63A02">
        <w:rPr>
          <w:rFonts w:ascii="Arial" w:eastAsia="Calibri" w:hAnsi="Arial" w:cs="Arial"/>
          <w:bCs/>
          <w:sz w:val="24"/>
          <w:szCs w:val="24"/>
        </w:rPr>
        <w:t>physician</w:t>
      </w:r>
      <w:r w:rsidR="00E93062" w:rsidRPr="00A63A02">
        <w:rPr>
          <w:rFonts w:ascii="Arial" w:eastAsia="Calibri" w:hAnsi="Arial" w:cs="Arial"/>
          <w:bCs/>
          <w:sz w:val="24"/>
          <w:szCs w:val="24"/>
        </w:rPr>
        <w:t>,</w:t>
      </w:r>
      <w:r w:rsidRPr="00A63A02">
        <w:rPr>
          <w:rFonts w:ascii="Arial" w:eastAsia="Calibri" w:hAnsi="Arial" w:cs="Arial"/>
          <w:bCs/>
          <w:sz w:val="24"/>
          <w:szCs w:val="24"/>
        </w:rPr>
        <w:t xml:space="preserve"> for either </w:t>
      </w:r>
      <w:proofErr w:type="spellStart"/>
      <w:r w:rsidRPr="00A63A02">
        <w:rPr>
          <w:rFonts w:ascii="Arial" w:eastAsia="Calibri" w:hAnsi="Arial" w:cs="Arial"/>
          <w:bCs/>
          <w:sz w:val="24"/>
          <w:szCs w:val="24"/>
        </w:rPr>
        <w:t>Soliris</w:t>
      </w:r>
      <w:proofErr w:type="spellEnd"/>
      <w:r w:rsidR="00BA216C" w:rsidRPr="00A63A02">
        <w:rPr>
          <w:rFonts w:ascii="Arial" w:eastAsia="Calibri" w:hAnsi="Arial" w:cs="Arial"/>
          <w:bCs/>
          <w:sz w:val="24"/>
          <w:szCs w:val="24"/>
          <w:vertAlign w:val="superscript"/>
        </w:rPr>
        <w:t>®</w:t>
      </w:r>
      <w:r w:rsidRPr="00A63A02">
        <w:rPr>
          <w:rFonts w:ascii="Arial" w:eastAsia="Calibri" w:hAnsi="Arial" w:cs="Arial"/>
          <w:bCs/>
          <w:sz w:val="24"/>
          <w:szCs w:val="24"/>
        </w:rPr>
        <w:t xml:space="preserve"> or </w:t>
      </w:r>
      <w:proofErr w:type="spellStart"/>
      <w:r w:rsidRPr="00A63A02">
        <w:rPr>
          <w:rFonts w:ascii="Arial" w:eastAsia="Calibri" w:hAnsi="Arial" w:cs="Arial"/>
          <w:bCs/>
          <w:sz w:val="24"/>
          <w:szCs w:val="24"/>
        </w:rPr>
        <w:t>Ultomiris</w:t>
      </w:r>
      <w:proofErr w:type="spellEnd"/>
      <w:r w:rsidR="00BA216C" w:rsidRPr="00A63A02">
        <w:rPr>
          <w:rFonts w:ascii="Arial" w:eastAsia="Calibri" w:hAnsi="Arial" w:cs="Arial"/>
          <w:bCs/>
          <w:sz w:val="24"/>
          <w:szCs w:val="24"/>
          <w:vertAlign w:val="superscript"/>
        </w:rPr>
        <w:t>®</w:t>
      </w:r>
      <w:r w:rsidR="00E93062" w:rsidRPr="00A63A02">
        <w:rPr>
          <w:rFonts w:ascii="Arial" w:eastAsia="Calibri" w:hAnsi="Arial" w:cs="Arial"/>
          <w:bCs/>
          <w:sz w:val="24"/>
          <w:szCs w:val="24"/>
        </w:rPr>
        <w:t>,</w:t>
      </w:r>
      <w:r w:rsidRPr="00A63A02">
        <w:rPr>
          <w:rFonts w:ascii="Arial" w:eastAsia="Calibri" w:hAnsi="Arial" w:cs="Arial"/>
          <w:bCs/>
          <w:sz w:val="24"/>
          <w:szCs w:val="24"/>
        </w:rPr>
        <w:t xml:space="preserve"> </w:t>
      </w:r>
      <w:r w:rsidR="00D230F4" w:rsidRPr="00A63A02">
        <w:rPr>
          <w:rFonts w:ascii="Arial" w:eastAsia="Calibri" w:hAnsi="Arial" w:cs="Arial"/>
          <w:bCs/>
          <w:sz w:val="24"/>
          <w:szCs w:val="24"/>
        </w:rPr>
        <w:t>will be</w:t>
      </w:r>
      <w:r w:rsidRPr="00A63A02">
        <w:rPr>
          <w:rFonts w:ascii="Arial" w:eastAsia="Calibri" w:hAnsi="Arial" w:cs="Arial"/>
          <w:bCs/>
          <w:sz w:val="24"/>
          <w:szCs w:val="24"/>
        </w:rPr>
        <w:t xml:space="preserve"> able to access </w:t>
      </w:r>
      <w:r w:rsidR="00D230F4" w:rsidRPr="00A63A02">
        <w:rPr>
          <w:rFonts w:ascii="Arial" w:eastAsia="Calibri" w:hAnsi="Arial" w:cs="Arial"/>
          <w:bCs/>
          <w:sz w:val="24"/>
          <w:szCs w:val="24"/>
        </w:rPr>
        <w:t xml:space="preserve">their </w:t>
      </w:r>
      <w:r w:rsidRPr="00A63A02">
        <w:rPr>
          <w:rFonts w:ascii="Arial" w:eastAsia="Calibri" w:hAnsi="Arial" w:cs="Arial"/>
          <w:bCs/>
          <w:sz w:val="24"/>
          <w:szCs w:val="24"/>
        </w:rPr>
        <w:t>medicine</w:t>
      </w:r>
      <w:r w:rsidR="00BA216C" w:rsidRPr="00A63A02">
        <w:rPr>
          <w:rFonts w:ascii="Arial" w:eastAsia="Calibri" w:hAnsi="Arial" w:cs="Arial"/>
          <w:bCs/>
          <w:sz w:val="24"/>
          <w:szCs w:val="24"/>
        </w:rPr>
        <w:t>s</w:t>
      </w:r>
      <w:r w:rsidRPr="00A63A02">
        <w:rPr>
          <w:rFonts w:ascii="Arial" w:eastAsia="Calibri" w:hAnsi="Arial" w:cs="Arial"/>
          <w:bCs/>
          <w:sz w:val="24"/>
          <w:szCs w:val="24"/>
        </w:rPr>
        <w:t xml:space="preserve"> at the</w:t>
      </w:r>
      <w:r w:rsidR="00BA216C" w:rsidRPr="00A63A02">
        <w:rPr>
          <w:rFonts w:ascii="Arial" w:eastAsia="Calibri" w:hAnsi="Arial" w:cs="Arial"/>
          <w:bCs/>
          <w:sz w:val="24"/>
          <w:szCs w:val="24"/>
        </w:rPr>
        <w:t xml:space="preserve"> </w:t>
      </w:r>
      <w:r w:rsidR="00D230F4" w:rsidRPr="00A63A02">
        <w:rPr>
          <w:rFonts w:ascii="Arial" w:eastAsia="Calibri" w:hAnsi="Arial" w:cs="Arial"/>
          <w:bCs/>
          <w:sz w:val="24"/>
          <w:szCs w:val="24"/>
        </w:rPr>
        <w:t xml:space="preserve">standard </w:t>
      </w:r>
      <w:r w:rsidR="00BA216C" w:rsidRPr="00A63A02">
        <w:rPr>
          <w:rFonts w:ascii="Arial" w:eastAsia="Calibri" w:hAnsi="Arial" w:cs="Arial"/>
          <w:bCs/>
          <w:sz w:val="24"/>
          <w:szCs w:val="24"/>
        </w:rPr>
        <w:t>PBS-s</w:t>
      </w:r>
      <w:r w:rsidRPr="00A63A02">
        <w:rPr>
          <w:rFonts w:ascii="Arial" w:eastAsia="Calibri" w:hAnsi="Arial" w:cs="Arial"/>
          <w:bCs/>
          <w:sz w:val="24"/>
          <w:szCs w:val="24"/>
        </w:rPr>
        <w:t xml:space="preserve">ubsidised </w:t>
      </w:r>
      <w:r w:rsidR="00BA216C" w:rsidRPr="00A63A02">
        <w:rPr>
          <w:rFonts w:ascii="Arial" w:eastAsia="Calibri" w:hAnsi="Arial" w:cs="Arial"/>
          <w:bCs/>
          <w:sz w:val="24"/>
          <w:szCs w:val="24"/>
        </w:rPr>
        <w:t>co-payment</w:t>
      </w:r>
      <w:r w:rsidRPr="00A63A02">
        <w:rPr>
          <w:rFonts w:ascii="Arial" w:eastAsia="Calibri" w:hAnsi="Arial" w:cs="Arial"/>
          <w:bCs/>
          <w:sz w:val="24"/>
          <w:szCs w:val="24"/>
        </w:rPr>
        <w:t xml:space="preserve"> price</w:t>
      </w:r>
      <w:r w:rsidR="004540F0" w:rsidRPr="00A63A02">
        <w:rPr>
          <w:rFonts w:ascii="Arial" w:eastAsia="Calibri" w:hAnsi="Arial" w:cs="Arial"/>
          <w:bCs/>
          <w:sz w:val="24"/>
          <w:szCs w:val="24"/>
        </w:rPr>
        <w:t xml:space="preserve"> set each calendar year. For 2022, the cost for</w:t>
      </w:r>
      <w:r w:rsidR="007456DE" w:rsidRPr="00A63A02">
        <w:rPr>
          <w:rFonts w:ascii="Arial" w:eastAsia="Calibri" w:hAnsi="Arial" w:cs="Arial"/>
          <w:bCs/>
          <w:sz w:val="24"/>
          <w:szCs w:val="24"/>
        </w:rPr>
        <w:t xml:space="preserve"> </w:t>
      </w:r>
      <w:r w:rsidR="004540F0" w:rsidRPr="00A63A02">
        <w:rPr>
          <w:rFonts w:ascii="Arial" w:eastAsia="Calibri" w:hAnsi="Arial" w:cs="Arial"/>
          <w:bCs/>
          <w:sz w:val="24"/>
          <w:szCs w:val="24"/>
        </w:rPr>
        <w:t xml:space="preserve">general patients is </w:t>
      </w:r>
      <w:r w:rsidRPr="00A63A02">
        <w:rPr>
          <w:rFonts w:ascii="Arial" w:eastAsia="Calibri" w:hAnsi="Arial" w:cs="Arial"/>
          <w:bCs/>
          <w:sz w:val="24"/>
          <w:szCs w:val="24"/>
        </w:rPr>
        <w:t>$4</w:t>
      </w:r>
      <w:r w:rsidR="003E6A0B" w:rsidRPr="00A63A02">
        <w:rPr>
          <w:rFonts w:ascii="Arial" w:eastAsia="Calibri" w:hAnsi="Arial" w:cs="Arial"/>
          <w:bCs/>
          <w:sz w:val="24"/>
          <w:szCs w:val="24"/>
        </w:rPr>
        <w:t>2</w:t>
      </w:r>
      <w:r w:rsidRPr="00A63A02">
        <w:rPr>
          <w:rFonts w:ascii="Arial" w:eastAsia="Calibri" w:hAnsi="Arial" w:cs="Arial"/>
          <w:bCs/>
          <w:sz w:val="24"/>
          <w:szCs w:val="24"/>
        </w:rPr>
        <w:t>.</w:t>
      </w:r>
      <w:r w:rsidR="003E6A0B" w:rsidRPr="00A63A02">
        <w:rPr>
          <w:rFonts w:ascii="Arial" w:eastAsia="Calibri" w:hAnsi="Arial" w:cs="Arial"/>
          <w:bCs/>
          <w:sz w:val="24"/>
          <w:szCs w:val="24"/>
        </w:rPr>
        <w:t>5</w:t>
      </w:r>
      <w:r w:rsidRPr="00A63A02">
        <w:rPr>
          <w:rFonts w:ascii="Arial" w:eastAsia="Calibri" w:hAnsi="Arial" w:cs="Arial"/>
          <w:bCs/>
          <w:sz w:val="24"/>
          <w:szCs w:val="24"/>
        </w:rPr>
        <w:t>0</w:t>
      </w:r>
      <w:r w:rsidR="008B5246" w:rsidRPr="00A63A02">
        <w:rPr>
          <w:rFonts w:ascii="Arial" w:eastAsia="Calibri" w:hAnsi="Arial" w:cs="Arial"/>
          <w:bCs/>
          <w:sz w:val="24"/>
          <w:szCs w:val="24"/>
        </w:rPr>
        <w:t xml:space="preserve"> </w:t>
      </w:r>
      <w:r w:rsidR="004540F0" w:rsidRPr="00A63A02">
        <w:rPr>
          <w:rFonts w:ascii="Arial" w:eastAsia="Calibri" w:hAnsi="Arial" w:cs="Arial"/>
          <w:bCs/>
          <w:sz w:val="24"/>
          <w:szCs w:val="24"/>
        </w:rPr>
        <w:t xml:space="preserve">and for concession card holders is </w:t>
      </w:r>
      <w:r w:rsidRPr="00A63A02">
        <w:rPr>
          <w:rFonts w:ascii="Arial" w:eastAsia="Calibri" w:hAnsi="Arial" w:cs="Arial"/>
          <w:bCs/>
          <w:sz w:val="24"/>
          <w:szCs w:val="24"/>
        </w:rPr>
        <w:t>$6.</w:t>
      </w:r>
      <w:r w:rsidR="003E6A0B" w:rsidRPr="00A63A02">
        <w:rPr>
          <w:rFonts w:ascii="Arial" w:eastAsia="Calibri" w:hAnsi="Arial" w:cs="Arial"/>
          <w:bCs/>
          <w:sz w:val="24"/>
          <w:szCs w:val="24"/>
        </w:rPr>
        <w:t>8</w:t>
      </w:r>
      <w:r w:rsidRPr="00A63A02">
        <w:rPr>
          <w:rFonts w:ascii="Arial" w:eastAsia="Calibri" w:hAnsi="Arial" w:cs="Arial"/>
          <w:bCs/>
          <w:sz w:val="24"/>
          <w:szCs w:val="24"/>
        </w:rPr>
        <w:t>0</w:t>
      </w:r>
      <w:r w:rsidR="008B5246" w:rsidRPr="00A63A02">
        <w:rPr>
          <w:rFonts w:ascii="Arial" w:eastAsia="Calibri" w:hAnsi="Arial" w:cs="Arial"/>
          <w:bCs/>
          <w:sz w:val="24"/>
          <w:szCs w:val="24"/>
        </w:rPr>
        <w:t xml:space="preserve"> </w:t>
      </w:r>
    </w:p>
    <w:p w14:paraId="725F373B" w14:textId="2018F1E7" w:rsidR="00436410" w:rsidRPr="00A63A02" w:rsidRDefault="00436410" w:rsidP="00E5729B">
      <w:pPr>
        <w:rPr>
          <w:rFonts w:ascii="Arial" w:eastAsia="Calibri" w:hAnsi="Arial" w:cs="Arial"/>
          <w:bCs/>
          <w:sz w:val="24"/>
          <w:szCs w:val="24"/>
        </w:rPr>
      </w:pPr>
      <w:r w:rsidRPr="00A63A02">
        <w:rPr>
          <w:rFonts w:ascii="Arial" w:eastAsia="Calibri" w:hAnsi="Arial" w:cs="Arial"/>
          <w:bCs/>
          <w:sz w:val="24"/>
          <w:szCs w:val="24"/>
        </w:rPr>
        <w:t>For new patients requiring treatment prior to 1 March 2022, the medicines sponsor ha</w:t>
      </w:r>
      <w:r w:rsidR="002B39AE" w:rsidRPr="00A63A02">
        <w:rPr>
          <w:rFonts w:ascii="Arial" w:eastAsia="Calibri" w:hAnsi="Arial" w:cs="Arial"/>
          <w:bCs/>
          <w:sz w:val="24"/>
          <w:szCs w:val="24"/>
        </w:rPr>
        <w:t>s</w:t>
      </w:r>
      <w:r w:rsidRPr="00A63A02">
        <w:rPr>
          <w:rFonts w:ascii="Arial" w:eastAsia="Calibri" w:hAnsi="Arial" w:cs="Arial"/>
          <w:bCs/>
          <w:sz w:val="24"/>
          <w:szCs w:val="24"/>
        </w:rPr>
        <w:t xml:space="preserve"> made transitionary arrangements for supply until the treating physician is able to </w:t>
      </w:r>
      <w:proofErr w:type="gramStart"/>
      <w:r w:rsidRPr="00A63A02">
        <w:rPr>
          <w:rFonts w:ascii="Arial" w:eastAsia="Calibri" w:hAnsi="Arial" w:cs="Arial"/>
          <w:bCs/>
          <w:sz w:val="24"/>
          <w:szCs w:val="24"/>
        </w:rPr>
        <w:t>make arrangements</w:t>
      </w:r>
      <w:proofErr w:type="gramEnd"/>
      <w:r w:rsidRPr="00A63A02">
        <w:rPr>
          <w:rFonts w:ascii="Arial" w:eastAsia="Calibri" w:hAnsi="Arial" w:cs="Arial"/>
          <w:bCs/>
          <w:sz w:val="24"/>
          <w:szCs w:val="24"/>
        </w:rPr>
        <w:t xml:space="preserve"> for access under the PBS </w:t>
      </w:r>
      <w:r w:rsidR="002B39AE" w:rsidRPr="00A63A02">
        <w:rPr>
          <w:rFonts w:ascii="Arial" w:eastAsia="Calibri" w:hAnsi="Arial" w:cs="Arial"/>
          <w:bCs/>
          <w:sz w:val="24"/>
          <w:szCs w:val="24"/>
        </w:rPr>
        <w:t>S</w:t>
      </w:r>
      <w:r w:rsidR="004540F0" w:rsidRPr="00A63A02">
        <w:rPr>
          <w:rFonts w:ascii="Arial" w:eastAsia="Calibri" w:hAnsi="Arial" w:cs="Arial"/>
          <w:bCs/>
          <w:sz w:val="24"/>
          <w:szCs w:val="24"/>
        </w:rPr>
        <w:t xml:space="preserve">ection 100 </w:t>
      </w:r>
      <w:r w:rsidRPr="00A63A02">
        <w:rPr>
          <w:rFonts w:ascii="Arial" w:eastAsia="Calibri" w:hAnsi="Arial" w:cs="Arial"/>
          <w:bCs/>
          <w:sz w:val="24"/>
          <w:szCs w:val="24"/>
        </w:rPr>
        <w:t>HSD</w:t>
      </w:r>
      <w:r w:rsidR="00FA2A59" w:rsidRPr="00A63A02">
        <w:rPr>
          <w:rFonts w:ascii="Arial" w:eastAsia="Calibri" w:hAnsi="Arial" w:cs="Arial"/>
          <w:bCs/>
          <w:sz w:val="24"/>
          <w:szCs w:val="24"/>
        </w:rPr>
        <w:t xml:space="preserve"> </w:t>
      </w:r>
      <w:r w:rsidR="004540F0" w:rsidRPr="00A63A02">
        <w:rPr>
          <w:rFonts w:ascii="Arial" w:eastAsia="Calibri" w:hAnsi="Arial" w:cs="Arial"/>
          <w:bCs/>
          <w:sz w:val="24"/>
          <w:szCs w:val="24"/>
        </w:rPr>
        <w:t>program listing</w:t>
      </w:r>
      <w:r w:rsidRPr="00A63A02">
        <w:rPr>
          <w:rFonts w:ascii="Arial" w:eastAsia="Calibri" w:hAnsi="Arial" w:cs="Arial"/>
          <w:bCs/>
          <w:sz w:val="24"/>
          <w:szCs w:val="24"/>
        </w:rPr>
        <w:t xml:space="preserve">. Patients may wish to discuss these transitionary access arrangements with their treating physician or pharmacist.  </w:t>
      </w:r>
    </w:p>
    <w:p w14:paraId="40724B46" w14:textId="19EF14E1" w:rsidR="008B5246" w:rsidRPr="00A63A02" w:rsidRDefault="008B5246" w:rsidP="00E5729B">
      <w:pPr>
        <w:rPr>
          <w:rFonts w:ascii="Arial" w:eastAsia="Calibri" w:hAnsi="Arial" w:cs="Arial"/>
          <w:bCs/>
          <w:sz w:val="24"/>
          <w:szCs w:val="24"/>
        </w:rPr>
      </w:pPr>
    </w:p>
    <w:sectPr w:rsidR="008B5246" w:rsidRPr="00A63A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15EC6B" w14:textId="77777777" w:rsidR="00CB29CD" w:rsidRDefault="00CB29CD" w:rsidP="00717209">
      <w:pPr>
        <w:spacing w:after="0" w:line="240" w:lineRule="auto"/>
      </w:pPr>
      <w:r>
        <w:separator/>
      </w:r>
    </w:p>
  </w:endnote>
  <w:endnote w:type="continuationSeparator" w:id="0">
    <w:p w14:paraId="60EC2F0B" w14:textId="77777777" w:rsidR="00CB29CD" w:rsidRDefault="00CB29CD" w:rsidP="00717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B55679" w14:textId="77777777" w:rsidR="00CB29CD" w:rsidRDefault="00CB29CD" w:rsidP="00717209">
      <w:pPr>
        <w:spacing w:after="0" w:line="240" w:lineRule="auto"/>
      </w:pPr>
      <w:r>
        <w:separator/>
      </w:r>
    </w:p>
  </w:footnote>
  <w:footnote w:type="continuationSeparator" w:id="0">
    <w:p w14:paraId="4350647A" w14:textId="77777777" w:rsidR="00CB29CD" w:rsidRDefault="00CB29CD" w:rsidP="007172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212F2"/>
    <w:multiLevelType w:val="hybridMultilevel"/>
    <w:tmpl w:val="257C8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7C31DD5"/>
    <w:multiLevelType w:val="hybridMultilevel"/>
    <w:tmpl w:val="FE406A80"/>
    <w:lvl w:ilvl="0" w:tplc="099E5E4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38F"/>
    <w:rsid w:val="00022675"/>
    <w:rsid w:val="00024778"/>
    <w:rsid w:val="000A0C3D"/>
    <w:rsid w:val="000C610B"/>
    <w:rsid w:val="000D0F26"/>
    <w:rsid w:val="0010106E"/>
    <w:rsid w:val="00114C6A"/>
    <w:rsid w:val="00121A92"/>
    <w:rsid w:val="001638A8"/>
    <w:rsid w:val="001A4C6D"/>
    <w:rsid w:val="001C0D06"/>
    <w:rsid w:val="00242960"/>
    <w:rsid w:val="00287665"/>
    <w:rsid w:val="002B39AE"/>
    <w:rsid w:val="003212CB"/>
    <w:rsid w:val="00386128"/>
    <w:rsid w:val="003E6A0B"/>
    <w:rsid w:val="00407D17"/>
    <w:rsid w:val="00423719"/>
    <w:rsid w:val="00436410"/>
    <w:rsid w:val="004540F0"/>
    <w:rsid w:val="00494CE6"/>
    <w:rsid w:val="004A4ECF"/>
    <w:rsid w:val="004B2C6D"/>
    <w:rsid w:val="004D3F8D"/>
    <w:rsid w:val="005122DE"/>
    <w:rsid w:val="00537FDF"/>
    <w:rsid w:val="00542BCA"/>
    <w:rsid w:val="00575DFB"/>
    <w:rsid w:val="005C634D"/>
    <w:rsid w:val="00601D9E"/>
    <w:rsid w:val="00620004"/>
    <w:rsid w:val="00631D00"/>
    <w:rsid w:val="006600C0"/>
    <w:rsid w:val="006C7538"/>
    <w:rsid w:val="00715E56"/>
    <w:rsid w:val="00717209"/>
    <w:rsid w:val="007456DE"/>
    <w:rsid w:val="00763A15"/>
    <w:rsid w:val="007665A5"/>
    <w:rsid w:val="00766E5A"/>
    <w:rsid w:val="007C03F8"/>
    <w:rsid w:val="007E4D00"/>
    <w:rsid w:val="00806BCE"/>
    <w:rsid w:val="008B5246"/>
    <w:rsid w:val="008E05C8"/>
    <w:rsid w:val="008F156B"/>
    <w:rsid w:val="009232F4"/>
    <w:rsid w:val="00943D34"/>
    <w:rsid w:val="00952961"/>
    <w:rsid w:val="009629C1"/>
    <w:rsid w:val="00964962"/>
    <w:rsid w:val="00982E40"/>
    <w:rsid w:val="009860D9"/>
    <w:rsid w:val="00A418B8"/>
    <w:rsid w:val="00A4587C"/>
    <w:rsid w:val="00A63A02"/>
    <w:rsid w:val="00A67D6C"/>
    <w:rsid w:val="00AB5925"/>
    <w:rsid w:val="00AC08AC"/>
    <w:rsid w:val="00AC538F"/>
    <w:rsid w:val="00B01C45"/>
    <w:rsid w:val="00B35668"/>
    <w:rsid w:val="00BA216C"/>
    <w:rsid w:val="00BC7FE7"/>
    <w:rsid w:val="00BD70D6"/>
    <w:rsid w:val="00C0407D"/>
    <w:rsid w:val="00C15B2A"/>
    <w:rsid w:val="00CB29CD"/>
    <w:rsid w:val="00CE2DC6"/>
    <w:rsid w:val="00D230F4"/>
    <w:rsid w:val="00DA2699"/>
    <w:rsid w:val="00DC0FE7"/>
    <w:rsid w:val="00DF303E"/>
    <w:rsid w:val="00E031F7"/>
    <w:rsid w:val="00E5729B"/>
    <w:rsid w:val="00E63B5C"/>
    <w:rsid w:val="00E86584"/>
    <w:rsid w:val="00E93062"/>
    <w:rsid w:val="00EC1742"/>
    <w:rsid w:val="00EE2A2E"/>
    <w:rsid w:val="00F37CBC"/>
    <w:rsid w:val="00F45D4B"/>
    <w:rsid w:val="00F95746"/>
    <w:rsid w:val="00FA2A59"/>
    <w:rsid w:val="00FA6E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949E"/>
  <w15:chartTrackingRefBased/>
  <w15:docId w15:val="{256D089C-7313-44AF-8110-7E48FC47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538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D3F8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63A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538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D3F8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4D3F8D"/>
    <w:rPr>
      <w:color w:val="0563C1" w:themeColor="hyperlink"/>
      <w:u w:val="single"/>
    </w:rPr>
  </w:style>
  <w:style w:type="character" w:styleId="UnresolvedMention">
    <w:name w:val="Unresolved Mention"/>
    <w:basedOn w:val="DefaultParagraphFont"/>
    <w:uiPriority w:val="99"/>
    <w:semiHidden/>
    <w:unhideWhenUsed/>
    <w:rsid w:val="004D3F8D"/>
    <w:rPr>
      <w:color w:val="605E5C"/>
      <w:shd w:val="clear" w:color="auto" w:fill="E1DFDD"/>
    </w:rPr>
  </w:style>
  <w:style w:type="table" w:styleId="TableGrid">
    <w:name w:val="Table Grid"/>
    <w:basedOn w:val="TableNormal"/>
    <w:uiPriority w:val="39"/>
    <w:rsid w:val="007C0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45D4B"/>
    <w:rPr>
      <w:sz w:val="16"/>
      <w:szCs w:val="16"/>
    </w:rPr>
  </w:style>
  <w:style w:type="paragraph" w:styleId="CommentText">
    <w:name w:val="annotation text"/>
    <w:basedOn w:val="Normal"/>
    <w:link w:val="CommentTextChar"/>
    <w:uiPriority w:val="99"/>
    <w:unhideWhenUsed/>
    <w:rsid w:val="00F45D4B"/>
    <w:pPr>
      <w:spacing w:line="240" w:lineRule="auto"/>
    </w:pPr>
    <w:rPr>
      <w:sz w:val="20"/>
      <w:szCs w:val="20"/>
    </w:rPr>
  </w:style>
  <w:style w:type="character" w:customStyle="1" w:styleId="CommentTextChar">
    <w:name w:val="Comment Text Char"/>
    <w:basedOn w:val="DefaultParagraphFont"/>
    <w:link w:val="CommentText"/>
    <w:uiPriority w:val="99"/>
    <w:rsid w:val="00F45D4B"/>
    <w:rPr>
      <w:sz w:val="20"/>
      <w:szCs w:val="20"/>
    </w:rPr>
  </w:style>
  <w:style w:type="paragraph" w:styleId="CommentSubject">
    <w:name w:val="annotation subject"/>
    <w:basedOn w:val="CommentText"/>
    <w:next w:val="CommentText"/>
    <w:link w:val="CommentSubjectChar"/>
    <w:uiPriority w:val="99"/>
    <w:semiHidden/>
    <w:unhideWhenUsed/>
    <w:rsid w:val="00F45D4B"/>
    <w:rPr>
      <w:b/>
      <w:bCs/>
    </w:rPr>
  </w:style>
  <w:style w:type="character" w:customStyle="1" w:styleId="CommentSubjectChar">
    <w:name w:val="Comment Subject Char"/>
    <w:basedOn w:val="CommentTextChar"/>
    <w:link w:val="CommentSubject"/>
    <w:uiPriority w:val="99"/>
    <w:semiHidden/>
    <w:rsid w:val="00F45D4B"/>
    <w:rPr>
      <w:b/>
      <w:bCs/>
      <w:sz w:val="20"/>
      <w:szCs w:val="20"/>
    </w:rPr>
  </w:style>
  <w:style w:type="paragraph" w:styleId="BalloonText">
    <w:name w:val="Balloon Text"/>
    <w:basedOn w:val="Normal"/>
    <w:link w:val="BalloonTextChar"/>
    <w:uiPriority w:val="99"/>
    <w:semiHidden/>
    <w:unhideWhenUsed/>
    <w:rsid w:val="00F45D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5D4B"/>
    <w:rPr>
      <w:rFonts w:ascii="Segoe UI" w:hAnsi="Segoe UI" w:cs="Segoe UI"/>
      <w:sz w:val="18"/>
      <w:szCs w:val="18"/>
    </w:rPr>
  </w:style>
  <w:style w:type="paragraph" w:styleId="ListParagraph">
    <w:name w:val="List Paragraph"/>
    <w:basedOn w:val="Normal"/>
    <w:uiPriority w:val="34"/>
    <w:qFormat/>
    <w:rsid w:val="00F45D4B"/>
    <w:pPr>
      <w:ind w:left="720"/>
      <w:contextualSpacing/>
    </w:pPr>
  </w:style>
  <w:style w:type="table" w:customStyle="1" w:styleId="TableGrid1">
    <w:name w:val="Table Grid1"/>
    <w:basedOn w:val="TableNormal"/>
    <w:next w:val="TableGrid"/>
    <w:rsid w:val="00E5729B"/>
    <w:pPr>
      <w:spacing w:after="0" w:line="240" w:lineRule="auto"/>
    </w:pPr>
    <w:rPr>
      <w:rFonts w:ascii="Times New Roman" w:eastAsia="Times New Roman" w:hAnsi="Times New Roman" w:cs="Times New Roman"/>
      <w:sz w:val="20"/>
      <w:szCs w:val="20"/>
      <w:lang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172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09"/>
  </w:style>
  <w:style w:type="paragraph" w:styleId="Footer">
    <w:name w:val="footer"/>
    <w:basedOn w:val="Normal"/>
    <w:link w:val="FooterChar"/>
    <w:uiPriority w:val="99"/>
    <w:unhideWhenUsed/>
    <w:rsid w:val="007172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09"/>
  </w:style>
  <w:style w:type="character" w:customStyle="1" w:styleId="Heading3Char">
    <w:name w:val="Heading 3 Char"/>
    <w:basedOn w:val="DefaultParagraphFont"/>
    <w:link w:val="Heading3"/>
    <w:uiPriority w:val="9"/>
    <w:rsid w:val="00A63A0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hpos" TargetMode="External"/><Relationship Id="rId5" Type="http://schemas.openxmlformats.org/officeDocument/2006/relationships/webSettings" Target="webSettings.xml"/><Relationship Id="rId10" Type="http://schemas.openxmlformats.org/officeDocument/2006/relationships/hyperlink" Target="http://www.pbs.gov.au" TargetMode="External"/><Relationship Id="rId4" Type="http://schemas.openxmlformats.org/officeDocument/2006/relationships/settings" Target="settings.xml"/><Relationship Id="rId9" Type="http://schemas.openxmlformats.org/officeDocument/2006/relationships/hyperlink" Target="mailto:medicalinformation.australasia@alex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3F2CC-FD5D-47A7-8B35-9BF837623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1245</Words>
  <Characters>7101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2022-02-17T02:31:00Z</dcterms:created>
  <dcterms:modified xsi:type="dcterms:W3CDTF">2022-02-17T02:31:00Z</dcterms:modified>
</cp:coreProperties>
</file>