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F88E7" w14:textId="324EC3B0" w:rsidR="008235FC" w:rsidRPr="005E7190" w:rsidRDefault="00434C32" w:rsidP="008235FC">
      <w:pPr>
        <w:pStyle w:val="Heading1"/>
        <w:spacing w:before="0"/>
        <w:jc w:val="center"/>
        <w:rPr>
          <w:rFonts w:asciiTheme="minorHAnsi" w:hAnsiTheme="minorHAnsi" w:cstheme="minorHAnsi"/>
        </w:rPr>
      </w:pPr>
      <w:r>
        <w:rPr>
          <w:rFonts w:asciiTheme="minorHAnsi" w:hAnsiTheme="minorHAnsi" w:cstheme="minorHAnsi"/>
        </w:rPr>
        <w:t>Paxlovid</w:t>
      </w:r>
      <w:r w:rsidR="00420A6E" w:rsidRPr="005E7190">
        <w:rPr>
          <w:rFonts w:asciiTheme="minorHAnsi" w:hAnsiTheme="minorHAnsi" w:cstheme="minorHAnsi"/>
        </w:rPr>
        <w:t>®</w:t>
      </w:r>
      <w:r w:rsidR="004162C3" w:rsidRPr="005E7190">
        <w:rPr>
          <w:rFonts w:asciiTheme="minorHAnsi" w:hAnsiTheme="minorHAnsi" w:cstheme="minorHAnsi"/>
        </w:rPr>
        <w:t xml:space="preserve"> (</w:t>
      </w:r>
      <w:r w:rsidR="003B4798">
        <w:rPr>
          <w:rFonts w:asciiTheme="minorHAnsi" w:hAnsiTheme="minorHAnsi" w:cstheme="minorHAnsi"/>
        </w:rPr>
        <w:t>n</w:t>
      </w:r>
      <w:r w:rsidR="003B4798" w:rsidRPr="003B4798">
        <w:rPr>
          <w:rFonts w:asciiTheme="minorHAnsi" w:hAnsiTheme="minorHAnsi" w:cstheme="minorHAnsi"/>
        </w:rPr>
        <w:t xml:space="preserve">irmatrelvir </w:t>
      </w:r>
      <w:r w:rsidR="006469BB">
        <w:rPr>
          <w:rFonts w:asciiTheme="minorHAnsi" w:hAnsiTheme="minorHAnsi" w:cstheme="minorHAnsi"/>
        </w:rPr>
        <w:t>and</w:t>
      </w:r>
      <w:r w:rsidR="003B4798" w:rsidRPr="003B4798">
        <w:rPr>
          <w:rFonts w:asciiTheme="minorHAnsi" w:hAnsiTheme="minorHAnsi" w:cstheme="minorHAnsi"/>
        </w:rPr>
        <w:t xml:space="preserve"> ritonavir</w:t>
      </w:r>
      <w:r w:rsidR="004162C3" w:rsidRPr="005E7190">
        <w:rPr>
          <w:rFonts w:asciiTheme="minorHAnsi" w:hAnsiTheme="minorHAnsi" w:cstheme="minorHAnsi"/>
        </w:rPr>
        <w:t xml:space="preserve">) </w:t>
      </w:r>
    </w:p>
    <w:p w14:paraId="6A7483D0" w14:textId="53829A3B" w:rsidR="00BB79E2" w:rsidRPr="005E7190" w:rsidRDefault="00B829BE" w:rsidP="008235FC">
      <w:pPr>
        <w:pStyle w:val="Heading1"/>
        <w:spacing w:before="0"/>
        <w:jc w:val="center"/>
        <w:rPr>
          <w:rFonts w:asciiTheme="minorHAnsi" w:hAnsiTheme="minorHAnsi" w:cstheme="minorHAnsi"/>
        </w:rPr>
      </w:pPr>
      <w:r w:rsidRPr="005E7190">
        <w:rPr>
          <w:rFonts w:asciiTheme="minorHAnsi" w:hAnsiTheme="minorHAnsi" w:cstheme="minorHAnsi"/>
        </w:rPr>
        <w:t>P</w:t>
      </w:r>
      <w:r w:rsidR="00684EA8">
        <w:rPr>
          <w:rFonts w:asciiTheme="minorHAnsi" w:hAnsiTheme="minorHAnsi" w:cstheme="minorHAnsi"/>
        </w:rPr>
        <w:t xml:space="preserve">harmaceutical </w:t>
      </w:r>
      <w:r w:rsidRPr="005E7190">
        <w:rPr>
          <w:rFonts w:asciiTheme="minorHAnsi" w:hAnsiTheme="minorHAnsi" w:cstheme="minorHAnsi"/>
        </w:rPr>
        <w:t>B</w:t>
      </w:r>
      <w:r w:rsidR="00684EA8">
        <w:rPr>
          <w:rFonts w:asciiTheme="minorHAnsi" w:hAnsiTheme="minorHAnsi" w:cstheme="minorHAnsi"/>
        </w:rPr>
        <w:t>enefit</w:t>
      </w:r>
      <w:r w:rsidR="00E80F1C">
        <w:rPr>
          <w:rFonts w:asciiTheme="minorHAnsi" w:hAnsiTheme="minorHAnsi" w:cstheme="minorHAnsi"/>
        </w:rPr>
        <w:t>s</w:t>
      </w:r>
      <w:r w:rsidR="00684EA8">
        <w:rPr>
          <w:rFonts w:asciiTheme="minorHAnsi" w:hAnsiTheme="minorHAnsi" w:cstheme="minorHAnsi"/>
        </w:rPr>
        <w:t xml:space="preserve"> </w:t>
      </w:r>
      <w:r w:rsidRPr="005E7190">
        <w:rPr>
          <w:rFonts w:asciiTheme="minorHAnsi" w:hAnsiTheme="minorHAnsi" w:cstheme="minorHAnsi"/>
        </w:rPr>
        <w:t>S</w:t>
      </w:r>
      <w:r w:rsidR="00684EA8">
        <w:rPr>
          <w:rFonts w:asciiTheme="minorHAnsi" w:hAnsiTheme="minorHAnsi" w:cstheme="minorHAnsi"/>
        </w:rPr>
        <w:t>cheme</w:t>
      </w:r>
      <w:r w:rsidR="008235FC" w:rsidRPr="005E7190">
        <w:rPr>
          <w:rFonts w:asciiTheme="minorHAnsi" w:hAnsiTheme="minorHAnsi" w:cstheme="minorHAnsi"/>
        </w:rPr>
        <w:t xml:space="preserve"> </w:t>
      </w:r>
      <w:r w:rsidR="00154E62" w:rsidRPr="005E7190">
        <w:rPr>
          <w:rFonts w:asciiTheme="minorHAnsi" w:hAnsiTheme="minorHAnsi" w:cstheme="minorHAnsi"/>
        </w:rPr>
        <w:t>Factsheet</w:t>
      </w:r>
      <w:r w:rsidR="004D0D63">
        <w:rPr>
          <w:rFonts w:asciiTheme="minorHAnsi" w:hAnsiTheme="minorHAnsi" w:cstheme="minorHAnsi"/>
        </w:rPr>
        <w:t xml:space="preserve"> – Updated July 2022</w:t>
      </w:r>
    </w:p>
    <w:p w14:paraId="389ED628" w14:textId="77777777" w:rsidR="008235FC" w:rsidRDefault="008235FC" w:rsidP="004162C3">
      <w:pPr>
        <w:rPr>
          <w:rFonts w:cstheme="minorHAnsi"/>
          <w:b/>
          <w:bCs/>
        </w:rPr>
      </w:pPr>
    </w:p>
    <w:p w14:paraId="58A94716" w14:textId="5186AAC5" w:rsidR="00DE39BE" w:rsidRDefault="00434C32" w:rsidP="004162C3">
      <w:pPr>
        <w:rPr>
          <w:rFonts w:cstheme="minorHAnsi"/>
          <w:b/>
          <w:bCs/>
        </w:rPr>
      </w:pPr>
      <w:r>
        <w:rPr>
          <w:rFonts w:cstheme="minorHAnsi"/>
          <w:b/>
          <w:bCs/>
        </w:rPr>
        <w:t>Paxlovid</w:t>
      </w:r>
      <w:r w:rsidR="00420A6E">
        <w:rPr>
          <w:rFonts w:cstheme="minorHAnsi"/>
          <w:b/>
          <w:bCs/>
        </w:rPr>
        <w:t>® (</w:t>
      </w:r>
      <w:r w:rsidR="003B4798">
        <w:rPr>
          <w:rFonts w:cstheme="minorHAnsi"/>
          <w:b/>
          <w:bCs/>
        </w:rPr>
        <w:t>n</w:t>
      </w:r>
      <w:r w:rsidR="003B4798" w:rsidRPr="003B4798">
        <w:rPr>
          <w:rFonts w:cstheme="minorHAnsi"/>
          <w:b/>
          <w:bCs/>
        </w:rPr>
        <w:t xml:space="preserve">irmatrelvir </w:t>
      </w:r>
      <w:r w:rsidR="006469BB">
        <w:rPr>
          <w:rFonts w:cstheme="minorHAnsi"/>
          <w:b/>
          <w:bCs/>
        </w:rPr>
        <w:t>and</w:t>
      </w:r>
      <w:r w:rsidR="003B4798" w:rsidRPr="003B4798">
        <w:rPr>
          <w:rFonts w:cstheme="minorHAnsi"/>
          <w:b/>
          <w:bCs/>
        </w:rPr>
        <w:t xml:space="preserve"> ritonavir</w:t>
      </w:r>
      <w:r w:rsidR="00420A6E">
        <w:rPr>
          <w:rFonts w:cstheme="minorHAnsi"/>
          <w:b/>
          <w:bCs/>
        </w:rPr>
        <w:t>)</w:t>
      </w:r>
      <w:r w:rsidR="00DE39BE">
        <w:rPr>
          <w:rFonts w:cstheme="minorHAnsi"/>
          <w:b/>
          <w:bCs/>
        </w:rPr>
        <w:t xml:space="preserve"> P</w:t>
      </w:r>
      <w:r w:rsidR="00684EA8">
        <w:rPr>
          <w:rFonts w:cstheme="minorHAnsi"/>
          <w:b/>
          <w:bCs/>
        </w:rPr>
        <w:t xml:space="preserve">harmaceutical </w:t>
      </w:r>
      <w:r w:rsidR="00DE39BE">
        <w:rPr>
          <w:rFonts w:cstheme="minorHAnsi"/>
          <w:b/>
          <w:bCs/>
        </w:rPr>
        <w:t>B</w:t>
      </w:r>
      <w:r w:rsidR="00684EA8">
        <w:rPr>
          <w:rFonts w:cstheme="minorHAnsi"/>
          <w:b/>
          <w:bCs/>
        </w:rPr>
        <w:t>enefit</w:t>
      </w:r>
      <w:r w:rsidR="00E80F1C">
        <w:rPr>
          <w:rFonts w:cstheme="minorHAnsi"/>
          <w:b/>
          <w:bCs/>
        </w:rPr>
        <w:t>s</w:t>
      </w:r>
      <w:r w:rsidR="00684EA8">
        <w:rPr>
          <w:rFonts w:cstheme="minorHAnsi"/>
          <w:b/>
          <w:bCs/>
        </w:rPr>
        <w:t xml:space="preserve"> </w:t>
      </w:r>
      <w:r w:rsidR="00DE39BE">
        <w:rPr>
          <w:rFonts w:cstheme="minorHAnsi"/>
          <w:b/>
          <w:bCs/>
        </w:rPr>
        <w:t>S</w:t>
      </w:r>
      <w:r w:rsidR="00684EA8">
        <w:rPr>
          <w:rFonts w:cstheme="minorHAnsi"/>
          <w:b/>
          <w:bCs/>
        </w:rPr>
        <w:t>cheme</w:t>
      </w:r>
      <w:r w:rsidR="00DE39BE">
        <w:rPr>
          <w:rFonts w:cstheme="minorHAnsi"/>
          <w:b/>
          <w:bCs/>
        </w:rPr>
        <w:t xml:space="preserve"> listing</w:t>
      </w:r>
    </w:p>
    <w:p w14:paraId="44DD2605" w14:textId="034ACEBE" w:rsidR="00DE39BE" w:rsidRPr="00665045" w:rsidRDefault="00434C32" w:rsidP="004162C3">
      <w:pPr>
        <w:rPr>
          <w:rFonts w:cstheme="minorHAnsi"/>
        </w:rPr>
      </w:pPr>
      <w:r>
        <w:rPr>
          <w:rFonts w:cstheme="minorHAnsi"/>
        </w:rPr>
        <w:t>Paxlovid</w:t>
      </w:r>
      <w:r w:rsidR="00120CFB" w:rsidRPr="00665045">
        <w:rPr>
          <w:rFonts w:cstheme="minorHAnsi"/>
        </w:rPr>
        <w:t xml:space="preserve"> </w:t>
      </w:r>
      <w:r w:rsidR="004D0D63">
        <w:rPr>
          <w:rFonts w:cstheme="minorHAnsi"/>
        </w:rPr>
        <w:t>was</w:t>
      </w:r>
      <w:r w:rsidR="00120CFB" w:rsidRPr="00665045">
        <w:rPr>
          <w:rFonts w:cstheme="minorHAnsi"/>
        </w:rPr>
        <w:t xml:space="preserve"> added to the Pharmaceutical Benefits Scheme (PBS) </w:t>
      </w:r>
      <w:r w:rsidR="0047461E" w:rsidRPr="00665045">
        <w:rPr>
          <w:rFonts w:cstheme="minorHAnsi"/>
        </w:rPr>
        <w:t>from</w:t>
      </w:r>
      <w:r w:rsidR="00120CFB" w:rsidRPr="00665045">
        <w:rPr>
          <w:rFonts w:cstheme="minorHAnsi"/>
        </w:rPr>
        <w:t xml:space="preserve"> 1</w:t>
      </w:r>
      <w:r w:rsidR="0047461E" w:rsidRPr="00665045">
        <w:rPr>
          <w:rFonts w:cstheme="minorHAnsi"/>
        </w:rPr>
        <w:t> </w:t>
      </w:r>
      <w:r w:rsidR="00120CFB" w:rsidRPr="00665045">
        <w:rPr>
          <w:rFonts w:cstheme="minorHAnsi"/>
        </w:rPr>
        <w:t>Ma</w:t>
      </w:r>
      <w:r>
        <w:rPr>
          <w:rFonts w:cstheme="minorHAnsi"/>
        </w:rPr>
        <w:t>y</w:t>
      </w:r>
      <w:r w:rsidR="0047461E" w:rsidRPr="00665045">
        <w:rPr>
          <w:rFonts w:cstheme="minorHAnsi"/>
        </w:rPr>
        <w:t> </w:t>
      </w:r>
      <w:r w:rsidR="00120CFB" w:rsidRPr="00665045">
        <w:rPr>
          <w:rFonts w:cstheme="minorHAnsi"/>
        </w:rPr>
        <w:t>2022</w:t>
      </w:r>
      <w:r w:rsidR="00FF62A4" w:rsidRPr="00665045">
        <w:rPr>
          <w:rFonts w:cstheme="minorHAnsi"/>
        </w:rPr>
        <w:t xml:space="preserve"> as a treatment for COVID-19</w:t>
      </w:r>
      <w:r w:rsidR="00120CFB" w:rsidRPr="00665045">
        <w:rPr>
          <w:rFonts w:cstheme="minorHAnsi"/>
        </w:rPr>
        <w:t>.</w:t>
      </w:r>
    </w:p>
    <w:p w14:paraId="68D747D5" w14:textId="77777777" w:rsidR="00CF2FAA" w:rsidRDefault="00DE39BE" w:rsidP="004162C3">
      <w:pPr>
        <w:rPr>
          <w:rFonts w:cstheme="minorHAnsi"/>
        </w:rPr>
      </w:pPr>
      <w:r w:rsidRPr="00665045">
        <w:rPr>
          <w:rFonts w:cstheme="minorHAnsi"/>
        </w:rPr>
        <w:t xml:space="preserve">Vaccines are proven to provide the best protection against COVID-19, however there are </w:t>
      </w:r>
      <w:r w:rsidR="00665045" w:rsidRPr="00665045">
        <w:rPr>
          <w:rFonts w:cstheme="minorHAnsi"/>
        </w:rPr>
        <w:t xml:space="preserve">some </w:t>
      </w:r>
      <w:r w:rsidRPr="00665045">
        <w:rPr>
          <w:rFonts w:cstheme="minorHAnsi"/>
        </w:rPr>
        <w:t xml:space="preserve">individuals </w:t>
      </w:r>
      <w:r w:rsidR="00665045" w:rsidRPr="00665045">
        <w:rPr>
          <w:rFonts w:cstheme="minorHAnsi"/>
        </w:rPr>
        <w:t>who are at higher risk for severe disease if they become infected with COVID-19.</w:t>
      </w:r>
      <w:r w:rsidRPr="00665045">
        <w:rPr>
          <w:rFonts w:cstheme="minorHAnsi"/>
        </w:rPr>
        <w:t xml:space="preserve">  </w:t>
      </w:r>
    </w:p>
    <w:p w14:paraId="7858940A" w14:textId="77777777" w:rsidR="004D0D63" w:rsidRPr="00665045" w:rsidRDefault="004D0D63" w:rsidP="004D0D63">
      <w:pPr>
        <w:spacing w:before="100" w:beforeAutospacing="1" w:after="100" w:afterAutospacing="1" w:line="240" w:lineRule="auto"/>
        <w:rPr>
          <w:rFonts w:cstheme="minorHAnsi"/>
          <w:b/>
          <w:bCs/>
        </w:rPr>
      </w:pPr>
      <w:r>
        <w:rPr>
          <w:rFonts w:cstheme="minorHAnsi"/>
        </w:rPr>
        <w:t>R</w:t>
      </w:r>
      <w:r w:rsidRPr="00665045">
        <w:rPr>
          <w:rFonts w:cstheme="minorHAnsi"/>
        </w:rPr>
        <w:t xml:space="preserve">isk factors include </w:t>
      </w:r>
      <w:r>
        <w:rPr>
          <w:rFonts w:cstheme="minorHAnsi"/>
        </w:rPr>
        <w:t xml:space="preserve">older age, certain </w:t>
      </w:r>
      <w:r w:rsidRPr="00665045">
        <w:rPr>
          <w:rFonts w:cstheme="minorHAnsi"/>
        </w:rPr>
        <w:t>medical conditions</w:t>
      </w:r>
      <w:r>
        <w:rPr>
          <w:rFonts w:cstheme="minorHAnsi"/>
        </w:rPr>
        <w:t xml:space="preserve"> and being moderately or severely immunocompromised</w:t>
      </w:r>
      <w:r w:rsidRPr="00665045">
        <w:rPr>
          <w:rFonts w:cstheme="minorHAnsi"/>
        </w:rPr>
        <w:t xml:space="preserve">.   </w:t>
      </w:r>
    </w:p>
    <w:p w14:paraId="3E616217" w14:textId="3ED9B61D" w:rsidR="00262F61" w:rsidRPr="00FF62A4" w:rsidRDefault="003B4798" w:rsidP="00262F61">
      <w:pPr>
        <w:rPr>
          <w:rFonts w:cstheme="minorHAnsi"/>
        </w:rPr>
      </w:pPr>
      <w:r>
        <w:rPr>
          <w:rFonts w:cstheme="minorHAnsi"/>
        </w:rPr>
        <w:t>Paxlovid</w:t>
      </w:r>
      <w:r w:rsidR="00262F61" w:rsidRPr="00FF62A4">
        <w:rPr>
          <w:rFonts w:cstheme="minorHAnsi"/>
        </w:rPr>
        <w:t xml:space="preserve"> is an oral anti-viral medicine which can be used by patients with mild-moderate</w:t>
      </w:r>
      <w:r w:rsidR="00594B6F">
        <w:rPr>
          <w:rFonts w:cstheme="minorHAnsi"/>
        </w:rPr>
        <w:t xml:space="preserve"> </w:t>
      </w:r>
      <w:r w:rsidR="00262F61" w:rsidRPr="00FF62A4">
        <w:rPr>
          <w:rFonts w:cstheme="minorHAnsi"/>
        </w:rPr>
        <w:t>COVID</w:t>
      </w:r>
      <w:r w:rsidR="00262F61" w:rsidRPr="00FF62A4">
        <w:rPr>
          <w:rFonts w:cstheme="minorHAnsi"/>
        </w:rPr>
        <w:noBreakHyphen/>
        <w:t>19 who have a high risk for developing severe disease, reducing the need for admission to hospital.</w:t>
      </w:r>
      <w:r w:rsidR="00FF62A4">
        <w:rPr>
          <w:rFonts w:cstheme="minorHAnsi"/>
        </w:rPr>
        <w:t xml:space="preserve"> </w:t>
      </w:r>
    </w:p>
    <w:p w14:paraId="59685A37" w14:textId="4848461B" w:rsidR="00262F61" w:rsidRDefault="00570F27" w:rsidP="00262F61">
      <w:pPr>
        <w:rPr>
          <w:rFonts w:cstheme="minorHAnsi"/>
        </w:rPr>
      </w:pPr>
      <w:r>
        <w:rPr>
          <w:rFonts w:cstheme="minorHAnsi"/>
        </w:rPr>
        <w:t>Paxlovid</w:t>
      </w:r>
      <w:r w:rsidR="00262F61" w:rsidRPr="00FF62A4">
        <w:rPr>
          <w:rFonts w:cstheme="minorHAnsi"/>
        </w:rPr>
        <w:t xml:space="preserve"> is a prescription only medicine which must be started as soon as possible after a diagnosis of COVID-19.</w:t>
      </w:r>
      <w:r w:rsidR="00F25F29" w:rsidRPr="00F25F29">
        <w:t xml:space="preserve"> </w:t>
      </w:r>
      <w:r w:rsidR="004D0D63">
        <w:rPr>
          <w:rFonts w:cstheme="minorHAnsi"/>
        </w:rPr>
        <w:t xml:space="preserve">From the onset of COVID-19 symptoms, a course of Paxlovid must be started within the first 5 days (more detail is provided below).  </w:t>
      </w:r>
      <w:r w:rsidR="00F25F29" w:rsidRPr="00F25F29">
        <w:rPr>
          <w:rFonts w:cstheme="minorHAnsi"/>
        </w:rPr>
        <w:t>The two active substances of the medicine, nirmatrelvir and ritonavir, which are given as separate tablets, must be taken together twice a day for 5 days.</w:t>
      </w:r>
    </w:p>
    <w:p w14:paraId="76839040" w14:textId="3FC5FDE4" w:rsidR="00262F61" w:rsidRDefault="00262F61" w:rsidP="00262F61">
      <w:pPr>
        <w:rPr>
          <w:rFonts w:cstheme="minorHAnsi"/>
        </w:rPr>
      </w:pPr>
      <w:r w:rsidRPr="00FF62A4">
        <w:rPr>
          <w:rFonts w:cstheme="minorHAnsi"/>
        </w:rPr>
        <w:t xml:space="preserve">A PBS listing for </w:t>
      </w:r>
      <w:r w:rsidR="00570F27">
        <w:rPr>
          <w:rFonts w:cstheme="minorHAnsi"/>
        </w:rPr>
        <w:t>Paxlovid</w:t>
      </w:r>
      <w:r w:rsidRPr="00FF62A4">
        <w:rPr>
          <w:rFonts w:cstheme="minorHAnsi"/>
        </w:rPr>
        <w:t xml:space="preserve"> means eligible patients can access this medicine from their local community pharmacy on a prescription from their doctor</w:t>
      </w:r>
      <w:r w:rsidR="0005310D">
        <w:rPr>
          <w:rFonts w:cstheme="minorHAnsi"/>
        </w:rPr>
        <w:t xml:space="preserve"> or nurse practitioner</w:t>
      </w:r>
      <w:r w:rsidRPr="00FF62A4">
        <w:rPr>
          <w:rFonts w:cstheme="minorHAnsi"/>
        </w:rPr>
        <w:t>.</w:t>
      </w:r>
    </w:p>
    <w:p w14:paraId="47F3A69F" w14:textId="475DC85E" w:rsidR="00F0451E" w:rsidRPr="00F0451E" w:rsidRDefault="00F0451E" w:rsidP="00F0451E">
      <w:pPr>
        <w:rPr>
          <w:rFonts w:cstheme="minorHAnsi"/>
        </w:rPr>
      </w:pPr>
      <w:r w:rsidRPr="00F0451E">
        <w:rPr>
          <w:rFonts w:cstheme="minorHAnsi"/>
        </w:rPr>
        <w:t>It is important that patients continue to follow local health guidance to isolate if they test positive for COVID-19, including see</w:t>
      </w:r>
      <w:r w:rsidR="0075795A">
        <w:rPr>
          <w:rFonts w:cstheme="minorHAnsi"/>
        </w:rPr>
        <w:t>ing</w:t>
      </w:r>
      <w:r w:rsidRPr="00F0451E">
        <w:rPr>
          <w:rFonts w:cstheme="minorHAnsi"/>
        </w:rPr>
        <w:t xml:space="preserve"> their doctor and asking their pharmacy to arrange for </w:t>
      </w:r>
      <w:r w:rsidR="0005310D">
        <w:rPr>
          <w:rFonts w:cstheme="minorHAnsi"/>
        </w:rPr>
        <w:t>Paxlovid</w:t>
      </w:r>
      <w:r w:rsidR="0005310D" w:rsidRPr="00F0451E">
        <w:rPr>
          <w:rFonts w:cstheme="minorHAnsi"/>
        </w:rPr>
        <w:t xml:space="preserve"> </w:t>
      </w:r>
      <w:r w:rsidRPr="00F0451E">
        <w:rPr>
          <w:rFonts w:cstheme="minorHAnsi"/>
        </w:rPr>
        <w:t xml:space="preserve">to be delivered at home, if necessary. </w:t>
      </w:r>
    </w:p>
    <w:p w14:paraId="40603529" w14:textId="54B7F40E" w:rsidR="00021DFA" w:rsidRDefault="00021DFA" w:rsidP="00021DFA">
      <w:pPr>
        <w:rPr>
          <w:rFonts w:cstheme="minorHAnsi"/>
        </w:rPr>
      </w:pPr>
      <w:r>
        <w:rPr>
          <w:rFonts w:cstheme="minorHAnsi"/>
        </w:rPr>
        <w:t>Th</w:t>
      </w:r>
      <w:r w:rsidR="00665045">
        <w:rPr>
          <w:rFonts w:cstheme="minorHAnsi"/>
        </w:rPr>
        <w:t xml:space="preserve">e </w:t>
      </w:r>
      <w:r>
        <w:rPr>
          <w:rFonts w:cstheme="minorHAnsi"/>
        </w:rPr>
        <w:t xml:space="preserve">recommendation </w:t>
      </w:r>
      <w:r w:rsidR="00665045">
        <w:rPr>
          <w:rFonts w:cstheme="minorHAnsi"/>
        </w:rPr>
        <w:t xml:space="preserve">to add </w:t>
      </w:r>
      <w:r w:rsidR="0005310D">
        <w:rPr>
          <w:rFonts w:cstheme="minorHAnsi"/>
        </w:rPr>
        <w:t>Paxlovid</w:t>
      </w:r>
      <w:r w:rsidR="00665045">
        <w:rPr>
          <w:rFonts w:cstheme="minorHAnsi"/>
        </w:rPr>
        <w:t xml:space="preserve"> to the PBS </w:t>
      </w:r>
      <w:r>
        <w:rPr>
          <w:rFonts w:cstheme="minorHAnsi"/>
        </w:rPr>
        <w:t xml:space="preserve">was made by the independent, </w:t>
      </w:r>
      <w:r>
        <w:rPr>
          <w:rFonts w:cstheme="minorHAnsi"/>
          <w:color w:val="000000"/>
        </w:rPr>
        <w:t>expert Pharmaceutical Benefits Advisory Committee</w:t>
      </w:r>
      <w:r w:rsidR="00696740">
        <w:rPr>
          <w:rFonts w:cstheme="minorHAnsi"/>
          <w:color w:val="000000"/>
        </w:rPr>
        <w:t xml:space="preserve"> (PBAC)</w:t>
      </w:r>
      <w:r>
        <w:rPr>
          <w:rFonts w:cstheme="minorHAnsi"/>
          <w:color w:val="000000"/>
        </w:rPr>
        <w:t xml:space="preserve">. </w:t>
      </w:r>
    </w:p>
    <w:p w14:paraId="6E23FFD6" w14:textId="301A9008" w:rsidR="00DE39BE" w:rsidRDefault="00420A6E" w:rsidP="004162C3">
      <w:pPr>
        <w:rPr>
          <w:rFonts w:cstheme="minorHAnsi"/>
          <w:b/>
          <w:bCs/>
        </w:rPr>
      </w:pPr>
      <w:r>
        <w:rPr>
          <w:rFonts w:cstheme="minorHAnsi"/>
          <w:b/>
          <w:bCs/>
        </w:rPr>
        <w:t xml:space="preserve">Access to </w:t>
      </w:r>
      <w:r w:rsidR="000005AC">
        <w:rPr>
          <w:rFonts w:cstheme="minorHAnsi"/>
          <w:b/>
          <w:bCs/>
        </w:rPr>
        <w:t xml:space="preserve">PBS subsidised treatment with </w:t>
      </w:r>
      <w:r w:rsidR="0005310D" w:rsidRPr="0005310D">
        <w:rPr>
          <w:rFonts w:cstheme="minorHAnsi"/>
          <w:b/>
          <w:bCs/>
        </w:rPr>
        <w:t>Paxlovid</w:t>
      </w:r>
    </w:p>
    <w:p w14:paraId="75E3D499" w14:textId="34FF7530" w:rsidR="004D0D63" w:rsidRDefault="00772910" w:rsidP="004D0D63">
      <w:pPr>
        <w:spacing w:before="100" w:beforeAutospacing="1" w:after="100" w:afterAutospacing="1" w:line="240" w:lineRule="auto"/>
        <w:rPr>
          <w:rFonts w:cstheme="minorHAnsi"/>
        </w:rPr>
      </w:pPr>
      <w:r>
        <w:rPr>
          <w:rFonts w:cstheme="minorHAnsi"/>
        </w:rPr>
        <w:t>T</w:t>
      </w:r>
      <w:r w:rsidR="004D0D63" w:rsidRPr="006204F4">
        <w:rPr>
          <w:rFonts w:cstheme="minorHAnsi"/>
        </w:rPr>
        <w:t xml:space="preserve">he PBAC </w:t>
      </w:r>
      <w:r>
        <w:rPr>
          <w:rFonts w:cstheme="minorHAnsi"/>
        </w:rPr>
        <w:t xml:space="preserve">has </w:t>
      </w:r>
      <w:r w:rsidR="004D0D63" w:rsidRPr="006204F4">
        <w:rPr>
          <w:rFonts w:cstheme="minorHAnsi"/>
        </w:rPr>
        <w:t xml:space="preserve">recommended changes to </w:t>
      </w:r>
      <w:r w:rsidR="004D0D63" w:rsidRPr="00E60221">
        <w:rPr>
          <w:rFonts w:cstheme="minorHAnsi"/>
        </w:rPr>
        <w:t xml:space="preserve">eligibility for </w:t>
      </w:r>
      <w:r w:rsidR="004D0D63" w:rsidRPr="00B80260">
        <w:rPr>
          <w:rFonts w:cstheme="minorHAnsi"/>
        </w:rPr>
        <w:t xml:space="preserve">access to </w:t>
      </w:r>
      <w:r w:rsidR="004D0D63">
        <w:rPr>
          <w:rFonts w:cstheme="minorHAnsi"/>
        </w:rPr>
        <w:t>Paxlovid</w:t>
      </w:r>
      <w:r w:rsidR="004D0D63" w:rsidRPr="00B91098">
        <w:rPr>
          <w:rFonts w:cstheme="minorHAnsi"/>
        </w:rPr>
        <w:t xml:space="preserve"> on the PBS</w:t>
      </w:r>
      <w:r w:rsidR="004D0D63" w:rsidRPr="00273755">
        <w:rPr>
          <w:rFonts w:cstheme="minorHAnsi"/>
        </w:rPr>
        <w:t>,</w:t>
      </w:r>
      <w:r>
        <w:rPr>
          <w:rFonts w:cstheme="minorHAnsi"/>
        </w:rPr>
        <w:t xml:space="preserve"> which</w:t>
      </w:r>
      <w:r w:rsidR="004D0D63" w:rsidRPr="00273755">
        <w:rPr>
          <w:rFonts w:cstheme="minorHAnsi"/>
        </w:rPr>
        <w:t xml:space="preserve"> take effect from </w:t>
      </w:r>
      <w:r w:rsidR="00A0114B">
        <w:rPr>
          <w:rFonts w:cstheme="minorHAnsi"/>
        </w:rPr>
        <w:t>11 July 2022</w:t>
      </w:r>
      <w:r w:rsidR="004D0D63" w:rsidRPr="00B83DA7">
        <w:rPr>
          <w:rFonts w:cstheme="minorHAnsi"/>
        </w:rPr>
        <w:t>.</w:t>
      </w:r>
      <w:r w:rsidR="004D0D63">
        <w:rPr>
          <w:rFonts w:cstheme="minorHAnsi"/>
        </w:rPr>
        <w:t xml:space="preserve">  From this date:</w:t>
      </w:r>
    </w:p>
    <w:p w14:paraId="5ED02810" w14:textId="7F9FE587" w:rsidR="004D0D63" w:rsidRPr="00273755" w:rsidRDefault="004D0D63" w:rsidP="004D0D63">
      <w:pPr>
        <w:spacing w:before="100" w:beforeAutospacing="1" w:after="100" w:afterAutospacing="1" w:line="240" w:lineRule="auto"/>
        <w:rPr>
          <w:rFonts w:cstheme="minorHAnsi"/>
          <w:lang w:val="en-US"/>
        </w:rPr>
      </w:pPr>
      <w:r w:rsidRPr="00273755">
        <w:rPr>
          <w:rFonts w:cstheme="minorHAnsi"/>
        </w:rPr>
        <w:t xml:space="preserve">Adults 70 years of age or older, with mild to moderate COVID-19 confirmed by a PCR or medically verified RAT, can be prescribed PBS-subsidised </w:t>
      </w:r>
      <w:r>
        <w:rPr>
          <w:rFonts w:cstheme="minorHAnsi"/>
        </w:rPr>
        <w:t>Paxlovid</w:t>
      </w:r>
      <w:r w:rsidRPr="00273755">
        <w:rPr>
          <w:rFonts w:cstheme="minorHAnsi"/>
        </w:rPr>
        <w:t xml:space="preserve"> by their doctor or authorised nurse practitioner </w:t>
      </w:r>
      <w:r w:rsidRPr="00273755">
        <w:rPr>
          <w:rFonts w:cstheme="minorHAnsi"/>
          <w:lang w:val="en-US"/>
        </w:rPr>
        <w:t>where:</w:t>
      </w:r>
    </w:p>
    <w:p w14:paraId="729DD9C8" w14:textId="77777777" w:rsidR="004D0D63" w:rsidRPr="00273755" w:rsidRDefault="004D0D63" w:rsidP="004D0D63">
      <w:pPr>
        <w:pStyle w:val="ListParagraph"/>
        <w:numPr>
          <w:ilvl w:val="0"/>
          <w:numId w:val="34"/>
        </w:numPr>
        <w:spacing w:before="100" w:beforeAutospacing="1" w:after="100" w:afterAutospacing="1"/>
        <w:contextualSpacing w:val="0"/>
        <w:rPr>
          <w:rFonts w:asciiTheme="minorHAnsi" w:hAnsiTheme="minorHAnsi" w:cstheme="minorHAnsi"/>
          <w:sz w:val="22"/>
          <w:szCs w:val="22"/>
        </w:rPr>
      </w:pPr>
      <w:r w:rsidRPr="00273755">
        <w:rPr>
          <w:rFonts w:asciiTheme="minorHAnsi" w:hAnsiTheme="minorHAnsi" w:cstheme="minorHAnsi"/>
          <w:sz w:val="22"/>
          <w:szCs w:val="22"/>
          <w:lang w:val="en-US"/>
        </w:rPr>
        <w:t>treatment is commenced within 5 days of the onset of symptoms, or</w:t>
      </w:r>
    </w:p>
    <w:p w14:paraId="2CB8C40B" w14:textId="77777777" w:rsidR="004D0D63" w:rsidRPr="00273755" w:rsidRDefault="004D0D63" w:rsidP="004D0D63">
      <w:pPr>
        <w:pStyle w:val="ListParagraph"/>
        <w:numPr>
          <w:ilvl w:val="0"/>
          <w:numId w:val="34"/>
        </w:numPr>
        <w:spacing w:before="100" w:beforeAutospacing="1" w:after="100" w:afterAutospacing="1"/>
        <w:contextualSpacing w:val="0"/>
        <w:rPr>
          <w:rFonts w:asciiTheme="minorHAnsi" w:hAnsiTheme="minorHAnsi" w:cstheme="minorHAnsi"/>
          <w:sz w:val="22"/>
          <w:szCs w:val="22"/>
        </w:rPr>
      </w:pPr>
      <w:r w:rsidRPr="00273755">
        <w:rPr>
          <w:rFonts w:asciiTheme="minorHAnsi" w:hAnsiTheme="minorHAnsi" w:cstheme="minorHAnsi"/>
          <w:sz w:val="22"/>
          <w:szCs w:val="22"/>
          <w:lang w:val="en-US"/>
        </w:rPr>
        <w:t>treatment is initiated as soon as possible after diagnosis is confirmed where asymptomatic</w:t>
      </w:r>
    </w:p>
    <w:p w14:paraId="4745B389" w14:textId="77777777" w:rsidR="004D0D63" w:rsidRPr="006204F4" w:rsidRDefault="004D0D63" w:rsidP="004D0D63">
      <w:pPr>
        <w:spacing w:before="100" w:beforeAutospacing="1" w:after="100" w:afterAutospacing="1" w:line="240" w:lineRule="auto"/>
        <w:rPr>
          <w:rFonts w:cstheme="minorHAnsi"/>
        </w:rPr>
      </w:pPr>
      <w:r>
        <w:rPr>
          <w:rFonts w:cstheme="minorHAnsi"/>
        </w:rPr>
        <w:t>For adults 70 years of age or older, no further risk factors for progression to severe disease are required for PBS eligibility.</w:t>
      </w:r>
    </w:p>
    <w:p w14:paraId="7E5D1A37" w14:textId="17CC833A" w:rsidR="004D0D63" w:rsidRPr="00273755" w:rsidRDefault="004D0D63" w:rsidP="004D0D63">
      <w:pPr>
        <w:spacing w:before="100" w:beforeAutospacing="1" w:after="100" w:afterAutospacing="1" w:line="240" w:lineRule="auto"/>
        <w:rPr>
          <w:rFonts w:cstheme="minorHAnsi"/>
        </w:rPr>
      </w:pPr>
      <w:r w:rsidRPr="00B83DA7">
        <w:rPr>
          <w:rFonts w:cstheme="minorHAnsi"/>
        </w:rPr>
        <w:t>A</w:t>
      </w:r>
      <w:r>
        <w:rPr>
          <w:rFonts w:cstheme="minorHAnsi"/>
        </w:rPr>
        <w:t>lso, a</w:t>
      </w:r>
      <w:r w:rsidRPr="00B83DA7">
        <w:rPr>
          <w:rFonts w:cstheme="minorHAnsi"/>
        </w:rPr>
        <w:t xml:space="preserve">dults with mild to </w:t>
      </w:r>
      <w:r w:rsidRPr="006204F4">
        <w:rPr>
          <w:rFonts w:cstheme="minorHAnsi"/>
        </w:rPr>
        <w:t>moderate COVID-19</w:t>
      </w:r>
      <w:r w:rsidRPr="00B80260">
        <w:rPr>
          <w:rFonts w:cstheme="minorHAnsi"/>
        </w:rPr>
        <w:t xml:space="preserve"> </w:t>
      </w:r>
      <w:r w:rsidRPr="00273755">
        <w:rPr>
          <w:rFonts w:cstheme="minorHAnsi"/>
        </w:rPr>
        <w:t xml:space="preserve">confirmed by a PCR or medically verified RAT can be prescribed PBS-subsidised </w:t>
      </w:r>
      <w:r>
        <w:rPr>
          <w:rFonts w:cstheme="minorHAnsi"/>
        </w:rPr>
        <w:t>Paxlovid</w:t>
      </w:r>
      <w:r w:rsidRPr="00273755">
        <w:rPr>
          <w:rFonts w:cstheme="minorHAnsi"/>
        </w:rPr>
        <w:t xml:space="preserve"> by their doctor or authorised nurse practitioner if treatment is commenced within 5 days of the onset of symptoms</w:t>
      </w:r>
      <w:r w:rsidRPr="006204F4">
        <w:rPr>
          <w:rFonts w:cstheme="minorHAnsi"/>
        </w:rPr>
        <w:t xml:space="preserve"> for</w:t>
      </w:r>
      <w:r w:rsidRPr="00B80260">
        <w:rPr>
          <w:rFonts w:cstheme="minorHAnsi"/>
        </w:rPr>
        <w:t>:</w:t>
      </w:r>
    </w:p>
    <w:p w14:paraId="54C3BCC5" w14:textId="77777777" w:rsidR="004D0D63" w:rsidRPr="00273755" w:rsidRDefault="004D0D63" w:rsidP="004D0D63">
      <w:pPr>
        <w:pStyle w:val="ListParagraph"/>
        <w:numPr>
          <w:ilvl w:val="0"/>
          <w:numId w:val="35"/>
        </w:numPr>
        <w:spacing w:before="100" w:beforeAutospacing="1" w:after="100" w:afterAutospacing="1"/>
        <w:contextualSpacing w:val="0"/>
        <w:rPr>
          <w:rFonts w:asciiTheme="minorHAnsi" w:hAnsiTheme="minorHAnsi" w:cstheme="minorHAnsi"/>
          <w:sz w:val="22"/>
          <w:szCs w:val="22"/>
        </w:rPr>
      </w:pPr>
      <w:r w:rsidRPr="00273755">
        <w:rPr>
          <w:rFonts w:asciiTheme="minorHAnsi" w:hAnsiTheme="minorHAnsi" w:cstheme="minorHAnsi"/>
          <w:sz w:val="22"/>
          <w:szCs w:val="22"/>
        </w:rPr>
        <w:lastRenderedPageBreak/>
        <w:t>People 50 years of age or older, with two additional risk factors for developing severe disease;</w:t>
      </w:r>
    </w:p>
    <w:p w14:paraId="742DB717" w14:textId="77777777" w:rsidR="004D0D63" w:rsidRPr="00273755" w:rsidRDefault="004D0D63" w:rsidP="004D0D63">
      <w:pPr>
        <w:pStyle w:val="ListParagraph"/>
        <w:numPr>
          <w:ilvl w:val="0"/>
          <w:numId w:val="35"/>
        </w:numPr>
        <w:spacing w:before="100" w:beforeAutospacing="1" w:after="100" w:afterAutospacing="1"/>
        <w:contextualSpacing w:val="0"/>
        <w:rPr>
          <w:rFonts w:asciiTheme="minorHAnsi" w:hAnsiTheme="minorHAnsi" w:cstheme="minorHAnsi"/>
          <w:sz w:val="22"/>
          <w:szCs w:val="22"/>
        </w:rPr>
      </w:pPr>
      <w:r w:rsidRPr="00273755">
        <w:rPr>
          <w:rFonts w:asciiTheme="minorHAnsi" w:hAnsiTheme="minorHAnsi" w:cstheme="minorHAnsi"/>
          <w:sz w:val="22"/>
          <w:szCs w:val="22"/>
        </w:rPr>
        <w:t>People 30 years of age or older, identifying as Aboriginal or Torres Strait Islander, with two additional risk factors for developing severe disease; and</w:t>
      </w:r>
    </w:p>
    <w:p w14:paraId="18D5F248" w14:textId="77777777" w:rsidR="004D0D63" w:rsidRPr="00273755" w:rsidRDefault="004D0D63" w:rsidP="004D0D63">
      <w:pPr>
        <w:pStyle w:val="ListParagraph"/>
        <w:numPr>
          <w:ilvl w:val="0"/>
          <w:numId w:val="35"/>
        </w:numPr>
        <w:spacing w:before="100" w:beforeAutospacing="1" w:after="100" w:afterAutospacing="1"/>
        <w:contextualSpacing w:val="0"/>
        <w:rPr>
          <w:rFonts w:asciiTheme="minorHAnsi" w:hAnsiTheme="minorHAnsi" w:cstheme="minorHAnsi"/>
          <w:sz w:val="22"/>
          <w:szCs w:val="22"/>
        </w:rPr>
      </w:pPr>
      <w:r w:rsidRPr="00273755">
        <w:rPr>
          <w:rFonts w:asciiTheme="minorHAnsi" w:hAnsiTheme="minorHAnsi" w:cstheme="minorHAnsi"/>
          <w:sz w:val="22"/>
          <w:szCs w:val="22"/>
        </w:rPr>
        <w:t>People 18 years of age or older, with moderate to severe immunocompromise;</w:t>
      </w:r>
    </w:p>
    <w:p w14:paraId="7464280C" w14:textId="77777777" w:rsidR="004D0D63" w:rsidRDefault="004D0D63" w:rsidP="00E4403B">
      <w:pPr>
        <w:spacing w:before="100" w:beforeAutospacing="1" w:after="100" w:afterAutospacing="1" w:line="240" w:lineRule="auto"/>
        <w:rPr>
          <w:rFonts w:cstheme="minorHAnsi"/>
          <w:color w:val="000000"/>
        </w:rPr>
      </w:pPr>
      <w:r>
        <w:rPr>
          <w:rFonts w:cstheme="minorHAnsi"/>
          <w:color w:val="000000"/>
        </w:rPr>
        <w:t>Aboriginal or Torres Strait Islander adults under age 30 and other adults under age 50 are not eligible for PBS subsidised treatment, unless they have a moderate to severe immunocompromising condition.</w:t>
      </w:r>
    </w:p>
    <w:p w14:paraId="0E98286F" w14:textId="29B36C74" w:rsidR="004D0D63" w:rsidRDefault="004D0D63" w:rsidP="00E4403B">
      <w:pPr>
        <w:spacing w:before="100" w:beforeAutospacing="1" w:after="100" w:afterAutospacing="1" w:line="240" w:lineRule="auto"/>
        <w:rPr>
          <w:rFonts w:cstheme="minorHAnsi"/>
          <w:color w:val="000000"/>
        </w:rPr>
      </w:pPr>
      <w:r>
        <w:rPr>
          <w:rFonts w:cstheme="minorHAnsi"/>
          <w:color w:val="000000"/>
        </w:rPr>
        <w:t>The following is a list of risk factors (conditions) contributing to the PBS definition of high risk for development of severe disease.  This list has been updated on the recommendation of the PBAC,</w:t>
      </w:r>
      <w:r w:rsidR="00772910">
        <w:rPr>
          <w:rFonts w:cstheme="minorHAnsi"/>
          <w:color w:val="000000"/>
        </w:rPr>
        <w:t xml:space="preserve"> with effect from 11 July 2022</w:t>
      </w:r>
      <w:r>
        <w:rPr>
          <w:rFonts w:cstheme="minorHAnsi"/>
          <w:color w:val="000000"/>
        </w:rPr>
        <w:t>.</w:t>
      </w:r>
    </w:p>
    <w:p w14:paraId="7E53D135"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 xml:space="preserve">The patient is in residential aged care,  </w:t>
      </w:r>
    </w:p>
    <w:p w14:paraId="708DE8DE"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 xml:space="preserve">The patient has disability with multiple comorbidities and/or frailty </w:t>
      </w:r>
    </w:p>
    <w:p w14:paraId="0F2B8E5A"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Neurological conditions, including stroke and dementia and demyelinating conditions,</w:t>
      </w:r>
    </w:p>
    <w:p w14:paraId="1500D65C"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Respiratory compromise, including COPD, moderate or severe asthma (required inhaled steroids), and bronchiectasis, or caused by neurological or musculoskeletal disease,</w:t>
      </w:r>
    </w:p>
    <w:p w14:paraId="5C2C3BB8"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Heart failure, coronary artery disease, cardiomyopathies</w:t>
      </w:r>
    </w:p>
    <w:p w14:paraId="27FBF9CE"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Obesity (BMI greater than 30 kg/m2),</w:t>
      </w:r>
    </w:p>
    <w:p w14:paraId="08AB2643"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Diabetes type I or II, requiring medication for glycaemic control,</w:t>
      </w:r>
    </w:p>
    <w:p w14:paraId="28E78453"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Renal impairment</w:t>
      </w:r>
      <w:r w:rsidRPr="00273755">
        <w:rPr>
          <w:rFonts w:asciiTheme="minorHAnsi" w:eastAsia="Times New Roman" w:hAnsiTheme="minorHAnsi" w:cstheme="minorHAnsi"/>
          <w:bCs/>
          <w:color w:val="FF0000"/>
          <w:sz w:val="22"/>
          <w:szCs w:val="22"/>
          <w:lang w:eastAsia="en-AU"/>
        </w:rPr>
        <w:t xml:space="preserve"> </w:t>
      </w:r>
      <w:r w:rsidRPr="00273755">
        <w:rPr>
          <w:rFonts w:asciiTheme="minorHAnsi" w:eastAsia="Times New Roman" w:hAnsiTheme="minorHAnsi" w:cstheme="minorHAnsi"/>
          <w:bCs/>
          <w:sz w:val="22"/>
          <w:szCs w:val="22"/>
          <w:lang w:eastAsia="en-AU"/>
        </w:rPr>
        <w:t>(eGFR less than 60mL/min),</w:t>
      </w:r>
    </w:p>
    <w:p w14:paraId="54CC2F87"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 xml:space="preserve">Cirrhosis, or </w:t>
      </w:r>
    </w:p>
    <w:p w14:paraId="384843E8" w14:textId="77777777" w:rsidR="004D0D63" w:rsidRPr="00273755" w:rsidRDefault="004D0D63" w:rsidP="004D0D63">
      <w:pPr>
        <w:pStyle w:val="ListParagraph"/>
        <w:numPr>
          <w:ilvl w:val="0"/>
          <w:numId w:val="36"/>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The patient has reduced, or lack of, access to higher level healthcare and lives in an area of geographic remoteness classified by the Modified Monash Model as Category 5 or above.</w:t>
      </w:r>
    </w:p>
    <w:p w14:paraId="3A0223B9" w14:textId="376F792E" w:rsidR="00E4403B" w:rsidRDefault="00E4403B" w:rsidP="00E4403B">
      <w:pPr>
        <w:spacing w:before="100" w:beforeAutospacing="1" w:after="100" w:afterAutospacing="1" w:line="240" w:lineRule="auto"/>
        <w:rPr>
          <w:rFonts w:cstheme="minorHAnsi"/>
          <w:color w:val="000000"/>
        </w:rPr>
      </w:pPr>
      <w:r>
        <w:rPr>
          <w:rFonts w:cstheme="minorHAnsi"/>
          <w:color w:val="000000"/>
        </w:rPr>
        <w:t>For the purpose of PBS eligibility, “moderately to severely immun</w:t>
      </w:r>
      <w:r w:rsidR="00772910">
        <w:rPr>
          <w:rFonts w:cstheme="minorHAnsi"/>
          <w:color w:val="000000"/>
        </w:rPr>
        <w:t>o</w:t>
      </w:r>
      <w:r>
        <w:rPr>
          <w:rFonts w:cstheme="minorHAnsi"/>
          <w:color w:val="000000"/>
        </w:rPr>
        <w:t>compromise” patients are those with:</w:t>
      </w:r>
    </w:p>
    <w:p w14:paraId="7F21501D" w14:textId="77777777" w:rsidR="00E4403B" w:rsidRPr="00273755" w:rsidRDefault="00E4403B" w:rsidP="00E4403B">
      <w:pPr>
        <w:pStyle w:val="ListParagraph"/>
        <w:numPr>
          <w:ilvl w:val="0"/>
          <w:numId w:val="37"/>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any primary or acquired immunodeficiency including:</w:t>
      </w:r>
    </w:p>
    <w:p w14:paraId="3C0B558E" w14:textId="77777777" w:rsidR="00E4403B" w:rsidRPr="00273755" w:rsidRDefault="00E4403B" w:rsidP="00C640A0">
      <w:pPr>
        <w:pStyle w:val="ListParagraph"/>
        <w:numPr>
          <w:ilvl w:val="1"/>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Haematologic neoplasms: leukaemias, lymphomas, myelodysplastic syndromes,</w:t>
      </w:r>
      <w:r w:rsidRPr="00273755">
        <w:rPr>
          <w:rFonts w:asciiTheme="minorHAnsi" w:hAnsiTheme="minorHAnsi" w:cstheme="minorHAnsi"/>
          <w:sz w:val="22"/>
          <w:szCs w:val="22"/>
        </w:rPr>
        <w:t xml:space="preserve"> </w:t>
      </w:r>
      <w:r w:rsidRPr="00273755">
        <w:rPr>
          <w:rFonts w:asciiTheme="minorHAnsi" w:eastAsia="Times New Roman" w:hAnsiTheme="minorHAnsi" w:cstheme="minorHAnsi"/>
          <w:bCs/>
          <w:sz w:val="22"/>
          <w:szCs w:val="22"/>
          <w:lang w:eastAsia="en-AU"/>
        </w:rPr>
        <w:t>multiple myeloma and other plasma cell disorders</w:t>
      </w:r>
    </w:p>
    <w:p w14:paraId="19DE0D84" w14:textId="77777777" w:rsidR="00E4403B" w:rsidRPr="00273755" w:rsidRDefault="00E4403B" w:rsidP="00C640A0">
      <w:pPr>
        <w:pStyle w:val="ListParagraph"/>
        <w:numPr>
          <w:ilvl w:val="1"/>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Post-transplant: solid organ (on immunosuppressive therapy), haematopoietic stem cell transplant (within 24 months),</w:t>
      </w:r>
    </w:p>
    <w:p w14:paraId="76B94E20" w14:textId="77777777" w:rsidR="00E4403B" w:rsidRPr="00273755" w:rsidRDefault="00E4403B" w:rsidP="00C640A0">
      <w:pPr>
        <w:pStyle w:val="ListParagraph"/>
        <w:numPr>
          <w:ilvl w:val="1"/>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Immunocompromised due to primary or acquired (HIV/AIDS) immunodeficiency OR</w:t>
      </w:r>
    </w:p>
    <w:p w14:paraId="3DF72546" w14:textId="77777777" w:rsidR="00E4403B" w:rsidRPr="00273755" w:rsidRDefault="00E4403B" w:rsidP="00C640A0">
      <w:pPr>
        <w:pStyle w:val="ListParagraph"/>
        <w:numPr>
          <w:ilvl w:val="0"/>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any significantly immunocompromising condition(s) where, in the last 3 months the patient has received:</w:t>
      </w:r>
    </w:p>
    <w:p w14:paraId="4D5DCDD0" w14:textId="77777777" w:rsidR="00E4403B" w:rsidRPr="00273755" w:rsidRDefault="00E4403B" w:rsidP="00C640A0">
      <w:pPr>
        <w:pStyle w:val="ListParagraph"/>
        <w:numPr>
          <w:ilvl w:val="1"/>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Chemotherapy or whole body radiotherapy,</w:t>
      </w:r>
    </w:p>
    <w:p w14:paraId="22AD872C" w14:textId="77777777" w:rsidR="00E4403B" w:rsidRPr="00273755" w:rsidRDefault="00E4403B" w:rsidP="00C640A0">
      <w:pPr>
        <w:pStyle w:val="ListParagraph"/>
        <w:numPr>
          <w:ilvl w:val="1"/>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High-dose corticosteroids (≥20 mg of prednisone per day, or equivalent) for at least 14 days in a month, or pulse corticosteroid therapy,</w:t>
      </w:r>
    </w:p>
    <w:p w14:paraId="762757F5" w14:textId="32542703" w:rsidR="00E4403B" w:rsidRPr="00273755" w:rsidRDefault="00E4403B" w:rsidP="00C640A0">
      <w:pPr>
        <w:pStyle w:val="ListParagraph"/>
        <w:numPr>
          <w:ilvl w:val="1"/>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Biological agents and other treatments that deplete or inhibit B cell or T cell function (abatacept, anti-CD20 antibodies, BTK inhibitors, JAK inhibitors, sphingosine 1</w:t>
      </w:r>
      <w:r w:rsidR="00C640A0">
        <w:rPr>
          <w:rFonts w:asciiTheme="minorHAnsi" w:eastAsia="Times New Roman" w:hAnsiTheme="minorHAnsi" w:cstheme="minorHAnsi"/>
          <w:bCs/>
          <w:sz w:val="22"/>
          <w:szCs w:val="22"/>
          <w:lang w:eastAsia="en-AU"/>
        </w:rPr>
        <w:noBreakHyphen/>
      </w:r>
      <w:r w:rsidRPr="00273755">
        <w:rPr>
          <w:rFonts w:asciiTheme="minorHAnsi" w:eastAsia="Times New Roman" w:hAnsiTheme="minorHAnsi" w:cstheme="minorHAnsi"/>
          <w:bCs/>
          <w:sz w:val="22"/>
          <w:szCs w:val="22"/>
          <w:lang w:eastAsia="en-AU"/>
        </w:rPr>
        <w:t xml:space="preserve">phosphate receptor modulators, anti-CD52 antibodies, anti-complement antibodies, anti-thymocyte globulin), </w:t>
      </w:r>
    </w:p>
    <w:p w14:paraId="5E663BF3" w14:textId="2461ABB3" w:rsidR="00E4403B" w:rsidRPr="00273755" w:rsidRDefault="00E4403B" w:rsidP="00C640A0">
      <w:pPr>
        <w:pStyle w:val="ListParagraph"/>
        <w:numPr>
          <w:ilvl w:val="1"/>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Selected conventional synthetic disease-modifying anti-rheumatic drugs (csDMARDs) including mycophenolate, methotrexate, leflunomide, azathioprine, 6</w:t>
      </w:r>
      <w:r w:rsidR="00C640A0">
        <w:rPr>
          <w:rFonts w:asciiTheme="minorHAnsi" w:eastAsia="Times New Roman" w:hAnsiTheme="minorHAnsi" w:cstheme="minorHAnsi"/>
          <w:bCs/>
          <w:sz w:val="22"/>
          <w:szCs w:val="22"/>
          <w:lang w:eastAsia="en-AU"/>
        </w:rPr>
        <w:noBreakHyphen/>
      </w:r>
      <w:r w:rsidRPr="00273755">
        <w:rPr>
          <w:rFonts w:asciiTheme="minorHAnsi" w:eastAsia="Times New Roman" w:hAnsiTheme="minorHAnsi" w:cstheme="minorHAnsi"/>
          <w:bCs/>
          <w:sz w:val="22"/>
          <w:szCs w:val="22"/>
          <w:lang w:eastAsia="en-AU"/>
        </w:rPr>
        <w:t>mercaptopurine (at least 1.5mg/kg/day), alkylating agents (e.g. cyclophosphamide, chlorambucil), and systemic calcineurin inhibitors (e.g. cyclosporin, tacrolimus) OR</w:t>
      </w:r>
    </w:p>
    <w:p w14:paraId="1316D37D" w14:textId="77777777" w:rsidR="00E4403B" w:rsidRPr="00273755" w:rsidRDefault="00E4403B" w:rsidP="00C640A0">
      <w:pPr>
        <w:pStyle w:val="ListParagraph"/>
        <w:numPr>
          <w:ilvl w:val="0"/>
          <w:numId w:val="37"/>
        </w:numPr>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lastRenderedPageBreak/>
        <w:t>any significantly immunocompromising condition(s) where, in the last 12 months the patient has received rituximab</w:t>
      </w:r>
    </w:p>
    <w:p w14:paraId="6DBC1FB3" w14:textId="77777777" w:rsidR="00E4403B" w:rsidRPr="00273755" w:rsidRDefault="00E4403B" w:rsidP="00E4403B">
      <w:pPr>
        <w:pStyle w:val="ListParagraph"/>
        <w:numPr>
          <w:ilvl w:val="0"/>
          <w:numId w:val="37"/>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Others with very high-risk conditions including Down Syndrome, cerebral palsy, congenital heart disease, thalassemia, sickle cell disease and other haemoglobinopathies OR</w:t>
      </w:r>
    </w:p>
    <w:p w14:paraId="65190631" w14:textId="77777777" w:rsidR="00E4403B" w:rsidRDefault="00E4403B" w:rsidP="00E4403B">
      <w:pPr>
        <w:pStyle w:val="ListParagraph"/>
        <w:numPr>
          <w:ilvl w:val="0"/>
          <w:numId w:val="37"/>
        </w:numPr>
        <w:jc w:val="both"/>
        <w:rPr>
          <w:rFonts w:asciiTheme="minorHAnsi" w:eastAsia="Times New Roman" w:hAnsiTheme="minorHAnsi" w:cstheme="minorHAnsi"/>
          <w:bCs/>
          <w:sz w:val="22"/>
          <w:szCs w:val="22"/>
          <w:lang w:eastAsia="en-AU"/>
        </w:rPr>
      </w:pPr>
      <w:r w:rsidRPr="00273755">
        <w:rPr>
          <w:rFonts w:asciiTheme="minorHAnsi" w:eastAsia="Times New Roman" w:hAnsiTheme="minorHAnsi" w:cstheme="minorHAnsi"/>
          <w:bCs/>
          <w:sz w:val="22"/>
          <w:szCs w:val="22"/>
          <w:lang w:eastAsia="en-AU"/>
        </w:rPr>
        <w:t xml:space="preserve">People with disability with multiple comorbidities and/or frailty </w:t>
      </w:r>
    </w:p>
    <w:p w14:paraId="0C0F82DC" w14:textId="1731BCD2" w:rsidR="00E4403B" w:rsidRPr="00273755" w:rsidRDefault="00E4403B" w:rsidP="00E4403B">
      <w:pPr>
        <w:jc w:val="both"/>
        <w:rPr>
          <w:rFonts w:eastAsia="Times New Roman" w:cstheme="minorHAnsi"/>
          <w:bCs/>
          <w:lang w:eastAsia="en-AU"/>
        </w:rPr>
      </w:pPr>
      <w:r>
        <w:rPr>
          <w:rFonts w:cstheme="minorHAnsi"/>
          <w:color w:val="000000"/>
        </w:rPr>
        <w:t>This list has been updated on the recommendation of the PBAC,</w:t>
      </w:r>
      <w:r w:rsidR="00772910">
        <w:rPr>
          <w:rFonts w:cstheme="minorHAnsi"/>
          <w:color w:val="000000"/>
        </w:rPr>
        <w:t xml:space="preserve"> with effect from 11 July 2022</w:t>
      </w:r>
      <w:r>
        <w:rPr>
          <w:rFonts w:cstheme="minorHAnsi"/>
          <w:color w:val="000000"/>
        </w:rPr>
        <w:t>.</w:t>
      </w:r>
    </w:p>
    <w:p w14:paraId="6E12B5BD" w14:textId="01C37608" w:rsidR="0043738F" w:rsidRPr="0047461E" w:rsidRDefault="0043738F" w:rsidP="00154E62">
      <w:pPr>
        <w:pBdr>
          <w:top w:val="nil"/>
          <w:left w:val="nil"/>
          <w:bottom w:val="nil"/>
          <w:right w:val="nil"/>
          <w:between w:val="nil"/>
        </w:pBdr>
        <w:rPr>
          <w:color w:val="000000"/>
        </w:rPr>
      </w:pPr>
      <w:r w:rsidRPr="0047461E">
        <w:rPr>
          <w:rFonts w:cstheme="minorHAnsi"/>
          <w:color w:val="000000"/>
        </w:rPr>
        <w:t xml:space="preserve">The </w:t>
      </w:r>
      <w:r w:rsidR="00454D74">
        <w:rPr>
          <w:rFonts w:cstheme="minorHAnsi"/>
          <w:color w:val="000000"/>
        </w:rPr>
        <w:t xml:space="preserve">independent, expert </w:t>
      </w:r>
      <w:r w:rsidRPr="0047461E">
        <w:rPr>
          <w:rFonts w:cstheme="minorHAnsi"/>
          <w:color w:val="000000"/>
        </w:rPr>
        <w:t>PBAC takes account</w:t>
      </w:r>
      <w:r w:rsidR="00154E62">
        <w:rPr>
          <w:rFonts w:cstheme="minorHAnsi"/>
          <w:color w:val="000000"/>
        </w:rPr>
        <w:t xml:space="preserve"> of</w:t>
      </w:r>
      <w:r w:rsidRPr="0047461E">
        <w:rPr>
          <w:rFonts w:cstheme="minorHAnsi"/>
          <w:color w:val="000000"/>
        </w:rPr>
        <w:t xml:space="preserve"> a</w:t>
      </w:r>
      <w:r w:rsidR="00420A6E" w:rsidRPr="0047461E">
        <w:rPr>
          <w:rFonts w:cstheme="minorHAnsi"/>
          <w:color w:val="000000"/>
        </w:rPr>
        <w:t xml:space="preserve"> range of factors including the effectiveness and cost of </w:t>
      </w:r>
      <w:r w:rsidRPr="0047461E">
        <w:rPr>
          <w:rFonts w:cstheme="minorHAnsi"/>
          <w:color w:val="000000"/>
        </w:rPr>
        <w:t>a medicine when considering it for PBS subsidy.</w:t>
      </w:r>
      <w:r w:rsidR="00420A6E" w:rsidRPr="0047461E">
        <w:rPr>
          <w:rFonts w:cstheme="minorHAnsi"/>
          <w:color w:val="000000"/>
        </w:rPr>
        <w:t xml:space="preserve"> </w:t>
      </w:r>
      <w:r w:rsidRPr="0047461E">
        <w:rPr>
          <w:rFonts w:cstheme="minorHAnsi"/>
          <w:color w:val="000000"/>
        </w:rPr>
        <w:t xml:space="preserve">The PBAC considered </w:t>
      </w:r>
      <w:r w:rsidR="00E80F1C">
        <w:rPr>
          <w:rFonts w:cstheme="minorHAnsi"/>
          <w:color w:val="000000"/>
        </w:rPr>
        <w:t xml:space="preserve">that </w:t>
      </w:r>
      <w:r w:rsidR="00154E62" w:rsidRPr="0047461E">
        <w:rPr>
          <w:rFonts w:cstheme="minorHAnsi"/>
          <w:color w:val="000000"/>
        </w:rPr>
        <w:t xml:space="preserve">the </w:t>
      </w:r>
      <w:r w:rsidR="00E4403B">
        <w:rPr>
          <w:rFonts w:cstheme="minorHAnsi"/>
          <w:color w:val="000000"/>
        </w:rPr>
        <w:t xml:space="preserve">updated </w:t>
      </w:r>
      <w:r w:rsidR="00154E62" w:rsidRPr="0047461E">
        <w:rPr>
          <w:rFonts w:cstheme="minorHAnsi"/>
          <w:color w:val="000000"/>
        </w:rPr>
        <w:t xml:space="preserve">eligibility criteria for PBS access to </w:t>
      </w:r>
      <w:bookmarkStart w:id="0" w:name="_Hlk99965317"/>
      <w:r w:rsidR="00965726">
        <w:rPr>
          <w:rFonts w:cstheme="minorHAnsi"/>
          <w:color w:val="000000"/>
        </w:rPr>
        <w:t>Paxlovid</w:t>
      </w:r>
      <w:bookmarkEnd w:id="0"/>
      <w:r w:rsidR="00965726" w:rsidRPr="0047461E">
        <w:rPr>
          <w:rFonts w:cstheme="minorHAnsi"/>
          <w:color w:val="000000"/>
        </w:rPr>
        <w:t xml:space="preserve"> </w:t>
      </w:r>
      <w:r w:rsidRPr="0047461E">
        <w:rPr>
          <w:color w:val="000000"/>
        </w:rPr>
        <w:t xml:space="preserve">strike an appropriate balance, given what is known about </w:t>
      </w:r>
      <w:r w:rsidR="00E80F1C">
        <w:rPr>
          <w:color w:val="000000"/>
        </w:rPr>
        <w:br/>
      </w:r>
      <w:r w:rsidRPr="0047461E">
        <w:rPr>
          <w:color w:val="000000"/>
        </w:rPr>
        <w:t xml:space="preserve">COVID-19, </w:t>
      </w:r>
      <w:r w:rsidR="00A0114B">
        <w:rPr>
          <w:color w:val="000000"/>
        </w:rPr>
        <w:t xml:space="preserve">recent PBS utilisation patterns, </w:t>
      </w:r>
      <w:r w:rsidRPr="0047461E">
        <w:rPr>
          <w:color w:val="000000"/>
        </w:rPr>
        <w:t xml:space="preserve">and what is known about the mechanism of action of </w:t>
      </w:r>
      <w:r w:rsidR="00965726">
        <w:rPr>
          <w:rFonts w:cstheme="minorHAnsi"/>
          <w:color w:val="000000"/>
        </w:rPr>
        <w:t>Paxlovid</w:t>
      </w:r>
      <w:r w:rsidRPr="0047461E">
        <w:rPr>
          <w:color w:val="000000"/>
        </w:rPr>
        <w:t xml:space="preserve">.  </w:t>
      </w:r>
    </w:p>
    <w:p w14:paraId="5DB4703F" w14:textId="5F0FDFEE" w:rsidR="0043738F" w:rsidRDefault="0043738F" w:rsidP="0043738F">
      <w:pPr>
        <w:pBdr>
          <w:top w:val="nil"/>
          <w:left w:val="nil"/>
          <w:bottom w:val="nil"/>
          <w:right w:val="nil"/>
          <w:between w:val="nil"/>
        </w:pBdr>
        <w:rPr>
          <w:rFonts w:cstheme="minorHAnsi"/>
          <w:color w:val="000000"/>
        </w:rPr>
      </w:pPr>
      <w:r w:rsidRPr="001A68B6">
        <w:rPr>
          <w:rFonts w:cstheme="minorHAnsi"/>
          <w:color w:val="000000"/>
        </w:rPr>
        <w:t xml:space="preserve">The PBAC </w:t>
      </w:r>
      <w:r>
        <w:rPr>
          <w:rFonts w:cstheme="minorHAnsi"/>
          <w:color w:val="000000"/>
        </w:rPr>
        <w:t xml:space="preserve">will continue to </w:t>
      </w:r>
      <w:r w:rsidRPr="001A68B6">
        <w:rPr>
          <w:rFonts w:cstheme="minorHAnsi"/>
          <w:color w:val="000000"/>
        </w:rPr>
        <w:t>monitor</w:t>
      </w:r>
      <w:r>
        <w:rPr>
          <w:rFonts w:cstheme="minorHAnsi"/>
          <w:color w:val="000000"/>
        </w:rPr>
        <w:t xml:space="preserve"> the</w:t>
      </w:r>
      <w:r w:rsidRPr="001A68B6">
        <w:rPr>
          <w:rFonts w:cstheme="minorHAnsi"/>
          <w:color w:val="000000"/>
        </w:rPr>
        <w:t xml:space="preserve"> </w:t>
      </w:r>
      <w:r>
        <w:rPr>
          <w:rFonts w:cstheme="minorHAnsi"/>
          <w:color w:val="000000"/>
        </w:rPr>
        <w:t xml:space="preserve">conditions for PBS access to </w:t>
      </w:r>
      <w:r w:rsidR="002055ED">
        <w:rPr>
          <w:rFonts w:cstheme="minorHAnsi"/>
          <w:color w:val="000000"/>
        </w:rPr>
        <w:t xml:space="preserve">Paxlovid </w:t>
      </w:r>
      <w:r w:rsidR="00CF2FAA">
        <w:rPr>
          <w:rFonts w:cstheme="minorHAnsi"/>
          <w:color w:val="000000"/>
        </w:rPr>
        <w:t>by</w:t>
      </w:r>
      <w:r>
        <w:rPr>
          <w:rFonts w:cstheme="minorHAnsi"/>
          <w:color w:val="000000"/>
        </w:rPr>
        <w:t xml:space="preserve"> considering new evidence for </w:t>
      </w:r>
      <w:r w:rsidR="00CF2FAA">
        <w:rPr>
          <w:rFonts w:cstheme="minorHAnsi"/>
          <w:color w:val="000000"/>
        </w:rPr>
        <w:t>its</w:t>
      </w:r>
      <w:r>
        <w:rPr>
          <w:rFonts w:cstheme="minorHAnsi"/>
          <w:color w:val="000000"/>
        </w:rPr>
        <w:t xml:space="preserve"> </w:t>
      </w:r>
      <w:r w:rsidRPr="001A68B6">
        <w:rPr>
          <w:rFonts w:cstheme="minorHAnsi"/>
          <w:color w:val="000000"/>
        </w:rPr>
        <w:t xml:space="preserve">effectiveness and safety </w:t>
      </w:r>
      <w:r>
        <w:rPr>
          <w:rFonts w:cstheme="minorHAnsi"/>
          <w:color w:val="000000"/>
        </w:rPr>
        <w:t>and the epidemiology of COVID-19.</w:t>
      </w:r>
      <w:r w:rsidRPr="001A68B6">
        <w:rPr>
          <w:rFonts w:cstheme="minorHAnsi"/>
          <w:color w:val="000000"/>
        </w:rPr>
        <w:t xml:space="preserve"> </w:t>
      </w:r>
    </w:p>
    <w:p w14:paraId="6468A0DC" w14:textId="44C2DC52" w:rsidR="00021DFA" w:rsidRDefault="00021DFA" w:rsidP="00021DFA">
      <w:pPr>
        <w:rPr>
          <w:rFonts w:cstheme="minorHAnsi"/>
        </w:rPr>
      </w:pPr>
      <w:r w:rsidRPr="00535CAB">
        <w:rPr>
          <w:rFonts w:cstheme="minorHAnsi"/>
        </w:rPr>
        <w:t>The PBS is an appropriate mechanism to provide timel</w:t>
      </w:r>
      <w:r>
        <w:rPr>
          <w:rFonts w:cstheme="minorHAnsi"/>
        </w:rPr>
        <w:t xml:space="preserve">y and equitable </w:t>
      </w:r>
      <w:r w:rsidRPr="00535CAB">
        <w:rPr>
          <w:rFonts w:cstheme="minorHAnsi"/>
        </w:rPr>
        <w:t xml:space="preserve">access to </w:t>
      </w:r>
      <w:r>
        <w:rPr>
          <w:rFonts w:cstheme="minorHAnsi"/>
        </w:rPr>
        <w:t>oral</w:t>
      </w:r>
      <w:r w:rsidRPr="00535CAB">
        <w:rPr>
          <w:rFonts w:cstheme="minorHAnsi"/>
        </w:rPr>
        <w:t xml:space="preserve"> COVID</w:t>
      </w:r>
      <w:r>
        <w:rPr>
          <w:rFonts w:cstheme="minorHAnsi"/>
        </w:rPr>
        <w:t>-19</w:t>
      </w:r>
      <w:r w:rsidRPr="00535CAB">
        <w:rPr>
          <w:rFonts w:cstheme="minorHAnsi"/>
        </w:rPr>
        <w:t xml:space="preserve"> treatment</w:t>
      </w:r>
      <w:r>
        <w:rPr>
          <w:rFonts w:cstheme="minorHAnsi"/>
        </w:rPr>
        <w:t>s</w:t>
      </w:r>
      <w:r w:rsidRPr="00535CAB">
        <w:rPr>
          <w:rFonts w:cstheme="minorHAnsi"/>
        </w:rPr>
        <w:t xml:space="preserve">. The Department has </w:t>
      </w:r>
      <w:r w:rsidR="0075795A">
        <w:rPr>
          <w:rFonts w:cstheme="minorHAnsi"/>
        </w:rPr>
        <w:t>worked</w:t>
      </w:r>
      <w:r w:rsidRPr="00535CAB">
        <w:rPr>
          <w:rFonts w:cstheme="minorHAnsi"/>
        </w:rPr>
        <w:t xml:space="preserve"> closely with the PB</w:t>
      </w:r>
      <w:r>
        <w:rPr>
          <w:rFonts w:cstheme="minorHAnsi"/>
        </w:rPr>
        <w:t>AC</w:t>
      </w:r>
      <w:r w:rsidRPr="00535CAB">
        <w:rPr>
          <w:rFonts w:cstheme="minorHAnsi"/>
        </w:rPr>
        <w:t xml:space="preserve"> to </w:t>
      </w:r>
      <w:r w:rsidR="00C54012">
        <w:rPr>
          <w:rFonts w:cstheme="minorHAnsi"/>
        </w:rPr>
        <w:t>make this available on the</w:t>
      </w:r>
      <w:r w:rsidR="00C54012" w:rsidRPr="00535CAB">
        <w:rPr>
          <w:rFonts w:cstheme="minorHAnsi"/>
        </w:rPr>
        <w:t xml:space="preserve"> </w:t>
      </w:r>
      <w:r w:rsidRPr="00535CAB">
        <w:rPr>
          <w:rFonts w:cstheme="minorHAnsi"/>
        </w:rPr>
        <w:t>PBS</w:t>
      </w:r>
      <w:r>
        <w:rPr>
          <w:rFonts w:cstheme="minorHAnsi"/>
        </w:rPr>
        <w:t xml:space="preserve"> in</w:t>
      </w:r>
      <w:r w:rsidRPr="00956877">
        <w:rPr>
          <w:rFonts w:cstheme="minorHAnsi"/>
        </w:rPr>
        <w:t xml:space="preserve"> recogni</w:t>
      </w:r>
      <w:r>
        <w:rPr>
          <w:rFonts w:cstheme="minorHAnsi"/>
        </w:rPr>
        <w:t xml:space="preserve">tion of </w:t>
      </w:r>
      <w:r w:rsidRPr="00956877">
        <w:rPr>
          <w:rFonts w:cstheme="minorHAnsi"/>
        </w:rPr>
        <w:t>the urgent public health need related to the prevention, management</w:t>
      </w:r>
      <w:r w:rsidR="00CF2FAA">
        <w:rPr>
          <w:rFonts w:cstheme="minorHAnsi"/>
        </w:rPr>
        <w:t>,</w:t>
      </w:r>
      <w:r>
        <w:rPr>
          <w:rFonts w:cstheme="minorHAnsi"/>
        </w:rPr>
        <w:t xml:space="preserve"> and </w:t>
      </w:r>
      <w:r w:rsidRPr="00956877">
        <w:rPr>
          <w:rFonts w:cstheme="minorHAnsi"/>
        </w:rPr>
        <w:t>treatment of SARS-CoV-2 infections.</w:t>
      </w:r>
    </w:p>
    <w:p w14:paraId="55DBDEA6" w14:textId="6EF972E0" w:rsidR="00E4403B" w:rsidRDefault="00021DFA" w:rsidP="00021DFA">
      <w:pPr>
        <w:rPr>
          <w:rFonts w:cstheme="minorHAnsi"/>
        </w:rPr>
      </w:pPr>
      <w:r w:rsidRPr="00BB79E2">
        <w:rPr>
          <w:rFonts w:cstheme="minorHAnsi"/>
        </w:rPr>
        <w:t xml:space="preserve">State and </w:t>
      </w:r>
      <w:r>
        <w:rPr>
          <w:rFonts w:cstheme="minorHAnsi"/>
        </w:rPr>
        <w:t xml:space="preserve">territory </w:t>
      </w:r>
      <w:r w:rsidRPr="00BB79E2">
        <w:rPr>
          <w:rFonts w:cstheme="minorHAnsi"/>
        </w:rPr>
        <w:t xml:space="preserve">hospital systems provide </w:t>
      </w:r>
      <w:r>
        <w:rPr>
          <w:rFonts w:cstheme="minorHAnsi"/>
        </w:rPr>
        <w:t>c</w:t>
      </w:r>
      <w:r w:rsidRPr="00BB79E2">
        <w:rPr>
          <w:rFonts w:cstheme="minorHAnsi"/>
        </w:rPr>
        <w:t>omplementary mechanism</w:t>
      </w:r>
      <w:r>
        <w:rPr>
          <w:rFonts w:cstheme="minorHAnsi"/>
        </w:rPr>
        <w:t>s</w:t>
      </w:r>
      <w:r w:rsidRPr="00BB79E2">
        <w:rPr>
          <w:rFonts w:cstheme="minorHAnsi"/>
        </w:rPr>
        <w:t xml:space="preserve"> for access where </w:t>
      </w:r>
      <w:r>
        <w:rPr>
          <w:rFonts w:cstheme="minorHAnsi"/>
        </w:rPr>
        <w:t xml:space="preserve">the </w:t>
      </w:r>
      <w:r w:rsidRPr="00BB79E2">
        <w:rPr>
          <w:rFonts w:cstheme="minorHAnsi"/>
        </w:rPr>
        <w:t xml:space="preserve">prescriber considers </w:t>
      </w:r>
      <w:r w:rsidR="00CF2FAA">
        <w:rPr>
          <w:rFonts w:cstheme="minorHAnsi"/>
        </w:rPr>
        <w:t>treatment is</w:t>
      </w:r>
      <w:r>
        <w:rPr>
          <w:rFonts w:cstheme="minorHAnsi"/>
        </w:rPr>
        <w:t xml:space="preserve"> </w:t>
      </w:r>
      <w:r w:rsidRPr="00BB79E2">
        <w:rPr>
          <w:rFonts w:cstheme="minorHAnsi"/>
        </w:rPr>
        <w:t xml:space="preserve">clinically indicated but </w:t>
      </w:r>
      <w:r>
        <w:rPr>
          <w:rFonts w:cstheme="minorHAnsi"/>
        </w:rPr>
        <w:t xml:space="preserve">the </w:t>
      </w:r>
      <w:r w:rsidRPr="00BB79E2">
        <w:rPr>
          <w:rFonts w:cstheme="minorHAnsi"/>
        </w:rPr>
        <w:t xml:space="preserve">patient is not eligible under </w:t>
      </w:r>
      <w:r>
        <w:rPr>
          <w:rFonts w:cstheme="minorHAnsi"/>
        </w:rPr>
        <w:t xml:space="preserve">the </w:t>
      </w:r>
      <w:r w:rsidRPr="00BB79E2">
        <w:rPr>
          <w:rFonts w:cstheme="minorHAnsi"/>
        </w:rPr>
        <w:t xml:space="preserve">PBS. </w:t>
      </w:r>
      <w:r>
        <w:rPr>
          <w:rFonts w:cstheme="minorHAnsi"/>
        </w:rPr>
        <w:t xml:space="preserve">The Government has provided </w:t>
      </w:r>
      <w:r w:rsidR="009930D0">
        <w:rPr>
          <w:rFonts w:cstheme="minorHAnsi"/>
          <w:color w:val="000000"/>
        </w:rPr>
        <w:t>Paxlovid</w:t>
      </w:r>
      <w:r>
        <w:rPr>
          <w:rFonts w:cstheme="minorHAnsi"/>
        </w:rPr>
        <w:t xml:space="preserve"> and a range of other COVID-19 treatments </w:t>
      </w:r>
      <w:bookmarkStart w:id="1" w:name="_Hlk96609118"/>
      <w:r>
        <w:rPr>
          <w:rFonts w:cstheme="minorHAnsi"/>
        </w:rPr>
        <w:t xml:space="preserve">to </w:t>
      </w:r>
      <w:r w:rsidRPr="001A1AB8">
        <w:rPr>
          <w:rFonts w:cstheme="minorHAnsi"/>
        </w:rPr>
        <w:t>state and territory health departments via the National Medical Stockpile</w:t>
      </w:r>
      <w:bookmarkEnd w:id="1"/>
      <w:r w:rsidRPr="001A1AB8">
        <w:rPr>
          <w:rFonts w:cstheme="minorHAnsi"/>
        </w:rPr>
        <w:t xml:space="preserve"> </w:t>
      </w:r>
      <w:r>
        <w:rPr>
          <w:rFonts w:cstheme="minorHAnsi"/>
        </w:rPr>
        <w:t>for use in</w:t>
      </w:r>
      <w:r w:rsidRPr="001A1AB8">
        <w:rPr>
          <w:rFonts w:cstheme="minorHAnsi"/>
        </w:rPr>
        <w:t xml:space="preserve"> people at risk</w:t>
      </w:r>
      <w:r>
        <w:rPr>
          <w:rFonts w:cstheme="minorHAnsi"/>
        </w:rPr>
        <w:t>.</w:t>
      </w:r>
      <w:r w:rsidR="004C2ED2">
        <w:rPr>
          <w:rFonts w:cstheme="minorHAnsi"/>
        </w:rPr>
        <w:t xml:space="preserve"> The Government has also provided </w:t>
      </w:r>
      <w:r w:rsidR="009930D0">
        <w:rPr>
          <w:rFonts w:cstheme="minorHAnsi"/>
          <w:color w:val="000000"/>
        </w:rPr>
        <w:t>Paxlovid</w:t>
      </w:r>
      <w:r w:rsidR="004C2ED2">
        <w:rPr>
          <w:rFonts w:cstheme="minorHAnsi"/>
        </w:rPr>
        <w:t xml:space="preserve"> to Aboriginal Controlled Community Health Organisations </w:t>
      </w:r>
      <w:r w:rsidR="00A634C5">
        <w:rPr>
          <w:rFonts w:cstheme="minorHAnsi"/>
        </w:rPr>
        <w:t xml:space="preserve"> and the Royal Flying Doctor Service </w:t>
      </w:r>
      <w:r w:rsidR="004C2ED2">
        <w:rPr>
          <w:rFonts w:cstheme="minorHAnsi"/>
        </w:rPr>
        <w:t>for use in people at risk.</w:t>
      </w:r>
    </w:p>
    <w:p w14:paraId="291704A5" w14:textId="5E35242C" w:rsidR="00021DFA" w:rsidRPr="00535CAB" w:rsidRDefault="00021DFA" w:rsidP="00021DFA">
      <w:pPr>
        <w:rPr>
          <w:rFonts w:cstheme="minorHAnsi"/>
          <w:b/>
          <w:bCs/>
        </w:rPr>
      </w:pPr>
      <w:r w:rsidRPr="00535CAB">
        <w:rPr>
          <w:rFonts w:cstheme="minorHAnsi"/>
          <w:b/>
          <w:bCs/>
        </w:rPr>
        <w:t xml:space="preserve">Importance of Vaccination </w:t>
      </w:r>
    </w:p>
    <w:p w14:paraId="79956CF2" w14:textId="3FF3288C" w:rsidR="00021DFA" w:rsidRPr="00021DFA" w:rsidRDefault="009930D0" w:rsidP="00021DFA">
      <w:pPr>
        <w:pStyle w:val="ListParagraph"/>
        <w:numPr>
          <w:ilvl w:val="0"/>
          <w:numId w:val="3"/>
        </w:numPr>
        <w:spacing w:after="160" w:line="259" w:lineRule="auto"/>
        <w:rPr>
          <w:rFonts w:asciiTheme="minorHAnsi" w:hAnsiTheme="minorHAnsi" w:cstheme="minorHAnsi"/>
          <w:sz w:val="22"/>
          <w:szCs w:val="22"/>
        </w:rPr>
      </w:pPr>
      <w:r w:rsidRPr="009930D0">
        <w:rPr>
          <w:rFonts w:asciiTheme="minorHAnsi" w:hAnsiTheme="minorHAnsi" w:cstheme="minorHAnsi"/>
          <w:sz w:val="22"/>
          <w:szCs w:val="22"/>
        </w:rPr>
        <w:t>Paxlovid</w:t>
      </w:r>
      <w:r w:rsidR="00F0451E">
        <w:rPr>
          <w:rFonts w:asciiTheme="minorHAnsi" w:hAnsiTheme="minorHAnsi" w:cstheme="minorHAnsi"/>
          <w:sz w:val="22"/>
          <w:szCs w:val="22"/>
        </w:rPr>
        <w:t xml:space="preserve"> </w:t>
      </w:r>
      <w:r w:rsidR="00021DFA" w:rsidRPr="00021DFA">
        <w:rPr>
          <w:rFonts w:asciiTheme="minorHAnsi" w:hAnsiTheme="minorHAnsi" w:cstheme="minorHAnsi"/>
          <w:sz w:val="22"/>
          <w:szCs w:val="22"/>
        </w:rPr>
        <w:t>is not intended to be used as a substitute for vaccination against COVID</w:t>
      </w:r>
      <w:r w:rsidR="00021DFA" w:rsidRPr="00021DFA">
        <w:rPr>
          <w:rFonts w:asciiTheme="minorHAnsi" w:hAnsiTheme="minorHAnsi" w:cstheme="minorHAnsi"/>
          <w:sz w:val="22"/>
          <w:szCs w:val="22"/>
        </w:rPr>
        <w:noBreakHyphen/>
        <w:t xml:space="preserve">19. </w:t>
      </w:r>
    </w:p>
    <w:p w14:paraId="74817EC4" w14:textId="4F5FBE86" w:rsidR="00021DFA" w:rsidRPr="00021DFA" w:rsidRDefault="00021DFA" w:rsidP="00021DFA">
      <w:pPr>
        <w:pStyle w:val="ListParagraph"/>
        <w:numPr>
          <w:ilvl w:val="0"/>
          <w:numId w:val="3"/>
        </w:numPr>
        <w:spacing w:after="160" w:line="259" w:lineRule="auto"/>
        <w:rPr>
          <w:rFonts w:asciiTheme="minorHAnsi" w:hAnsiTheme="minorHAnsi" w:cstheme="minorHAnsi"/>
          <w:sz w:val="22"/>
          <w:szCs w:val="22"/>
        </w:rPr>
      </w:pPr>
      <w:r w:rsidRPr="00021DFA">
        <w:rPr>
          <w:rFonts w:asciiTheme="minorHAnsi" w:hAnsiTheme="minorHAnsi" w:cstheme="minorHAnsi"/>
          <w:sz w:val="22"/>
          <w:szCs w:val="22"/>
        </w:rPr>
        <w:t xml:space="preserve">Vaccinations are the best way to protect </w:t>
      </w:r>
      <w:r w:rsidR="00B30757">
        <w:rPr>
          <w:rFonts w:asciiTheme="minorHAnsi" w:hAnsiTheme="minorHAnsi" w:cstheme="minorHAnsi"/>
          <w:sz w:val="22"/>
          <w:szCs w:val="22"/>
        </w:rPr>
        <w:t xml:space="preserve">individuals </w:t>
      </w:r>
      <w:r w:rsidRPr="00021DFA">
        <w:rPr>
          <w:rFonts w:asciiTheme="minorHAnsi" w:hAnsiTheme="minorHAnsi" w:cstheme="minorHAnsi"/>
          <w:sz w:val="22"/>
          <w:szCs w:val="22"/>
        </w:rPr>
        <w:t xml:space="preserve">and the wider community from COVID-19. </w:t>
      </w:r>
    </w:p>
    <w:p w14:paraId="698E9B73" w14:textId="1E161C3C" w:rsidR="00F46221" w:rsidRPr="00535CAB" w:rsidRDefault="000005AC" w:rsidP="001A1AB8">
      <w:pPr>
        <w:rPr>
          <w:rFonts w:cstheme="minorHAnsi"/>
          <w:b/>
          <w:bCs/>
        </w:rPr>
      </w:pPr>
      <w:r>
        <w:rPr>
          <w:rFonts w:cstheme="minorHAnsi"/>
          <w:b/>
          <w:bCs/>
        </w:rPr>
        <w:t xml:space="preserve">TGA </w:t>
      </w:r>
      <w:r w:rsidR="00F46221" w:rsidRPr="00535CAB">
        <w:rPr>
          <w:rFonts w:cstheme="minorHAnsi"/>
          <w:b/>
          <w:bCs/>
        </w:rPr>
        <w:t xml:space="preserve">Provisional Approval </w:t>
      </w:r>
    </w:p>
    <w:p w14:paraId="3F16F7A4" w14:textId="0BDCE48B" w:rsidR="00F46221" w:rsidRPr="00535CAB" w:rsidRDefault="00F25F29" w:rsidP="0047461E">
      <w:pPr>
        <w:pStyle w:val="ListParagraph"/>
        <w:numPr>
          <w:ilvl w:val="0"/>
          <w:numId w:val="3"/>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Paxlovid </w:t>
      </w:r>
      <w:r w:rsidR="00B829BE" w:rsidRPr="00535CAB">
        <w:rPr>
          <w:rFonts w:asciiTheme="minorHAnsi" w:hAnsiTheme="minorHAnsi" w:cstheme="minorHAnsi"/>
          <w:sz w:val="22"/>
          <w:szCs w:val="22"/>
        </w:rPr>
        <w:t xml:space="preserve">was </w:t>
      </w:r>
      <w:hyperlink r:id="rId8" w:history="1">
        <w:r w:rsidR="008245F0" w:rsidRPr="008245F0">
          <w:rPr>
            <w:rStyle w:val="Hyperlink"/>
            <w:rFonts w:asciiTheme="minorHAnsi" w:hAnsiTheme="minorHAnsi" w:cstheme="minorHAnsi"/>
            <w:sz w:val="22"/>
            <w:szCs w:val="22"/>
          </w:rPr>
          <w:t>provisionally approved</w:t>
        </w:r>
      </w:hyperlink>
      <w:r w:rsidR="00B829BE" w:rsidRPr="00535CAB">
        <w:rPr>
          <w:rFonts w:asciiTheme="minorHAnsi" w:hAnsiTheme="minorHAnsi" w:cstheme="minorHAnsi"/>
          <w:sz w:val="22"/>
          <w:szCs w:val="22"/>
        </w:rPr>
        <w:t xml:space="preserve"> by the Therapeutic Goods Administration (TGA) on </w:t>
      </w:r>
      <w:r w:rsidR="007900AB" w:rsidRPr="00535CAB">
        <w:rPr>
          <w:rFonts w:asciiTheme="minorHAnsi" w:hAnsiTheme="minorHAnsi" w:cstheme="minorHAnsi"/>
          <w:sz w:val="22"/>
          <w:szCs w:val="22"/>
        </w:rPr>
        <w:t>18</w:t>
      </w:r>
      <w:r w:rsidR="00F0451E">
        <w:rPr>
          <w:rFonts w:asciiTheme="minorHAnsi" w:hAnsiTheme="minorHAnsi" w:cstheme="minorHAnsi"/>
          <w:sz w:val="22"/>
          <w:szCs w:val="22"/>
        </w:rPr>
        <w:t> </w:t>
      </w:r>
      <w:r w:rsidR="00B829BE" w:rsidRPr="00535CAB">
        <w:rPr>
          <w:rFonts w:asciiTheme="minorHAnsi" w:hAnsiTheme="minorHAnsi" w:cstheme="minorHAnsi"/>
          <w:sz w:val="22"/>
          <w:szCs w:val="22"/>
        </w:rPr>
        <w:t>January 2022, f</w:t>
      </w:r>
      <w:r w:rsidR="00B829BE" w:rsidRPr="00535CAB">
        <w:rPr>
          <w:rFonts w:asciiTheme="minorHAnsi" w:hAnsiTheme="minorHAnsi" w:cstheme="minorHAnsi"/>
          <w:color w:val="000000"/>
          <w:sz w:val="22"/>
          <w:szCs w:val="22"/>
        </w:rPr>
        <w:t xml:space="preserve">or the treatment of adults with COVID-19 who do not require initiation of oxygen and who are at increased risk of progression to hospitalisation or death. </w:t>
      </w:r>
    </w:p>
    <w:p w14:paraId="0CFCC217" w14:textId="54C526CF" w:rsidR="00A15CC3" w:rsidRPr="00535CAB" w:rsidRDefault="00A15CC3" w:rsidP="0047461E">
      <w:pPr>
        <w:pStyle w:val="ListParagraph"/>
        <w:numPr>
          <w:ilvl w:val="0"/>
          <w:numId w:val="3"/>
        </w:numPr>
        <w:spacing w:after="160" w:line="259" w:lineRule="auto"/>
        <w:rPr>
          <w:rFonts w:asciiTheme="minorHAnsi" w:hAnsiTheme="minorHAnsi" w:cstheme="minorHAnsi"/>
          <w:sz w:val="22"/>
          <w:szCs w:val="22"/>
        </w:rPr>
      </w:pPr>
      <w:r w:rsidRPr="00535CAB">
        <w:rPr>
          <w:rFonts w:asciiTheme="minorHAnsi" w:hAnsiTheme="minorHAnsi" w:cstheme="minorHAnsi"/>
          <w:color w:val="000000"/>
          <w:sz w:val="22"/>
          <w:szCs w:val="22"/>
        </w:rPr>
        <w:t xml:space="preserve">Australians can be confident that the TGA's review process of </w:t>
      </w:r>
      <w:r w:rsidR="00F25F29">
        <w:rPr>
          <w:rFonts w:asciiTheme="minorHAnsi" w:hAnsiTheme="minorHAnsi" w:cstheme="minorHAnsi"/>
          <w:sz w:val="22"/>
          <w:szCs w:val="22"/>
        </w:rPr>
        <w:t xml:space="preserve">Paxlovid </w:t>
      </w:r>
      <w:r w:rsidRPr="00535CAB">
        <w:rPr>
          <w:rFonts w:asciiTheme="minorHAnsi" w:hAnsiTheme="minorHAnsi" w:cstheme="minorHAnsi"/>
          <w:color w:val="000000"/>
          <w:sz w:val="22"/>
          <w:szCs w:val="22"/>
        </w:rPr>
        <w:t>was rigorous. The decision to provisionally approve the medicine was informed by expert advice from the </w:t>
      </w:r>
      <w:hyperlink r:id="rId9" w:history="1">
        <w:r w:rsidRPr="008963A0">
          <w:rPr>
            <w:rStyle w:val="Hyperlink"/>
            <w:rFonts w:asciiTheme="minorHAnsi" w:hAnsiTheme="minorHAnsi" w:cstheme="minorHAnsi"/>
            <w:sz w:val="22"/>
            <w:szCs w:val="22"/>
          </w:rPr>
          <w:t>Advisory Committee on Medicines</w:t>
        </w:r>
      </w:hyperlink>
      <w:r w:rsidRPr="00535CAB">
        <w:rPr>
          <w:rFonts w:asciiTheme="minorHAnsi" w:hAnsiTheme="minorHAnsi" w:cstheme="minorHAnsi"/>
          <w:color w:val="000000"/>
          <w:sz w:val="22"/>
          <w:szCs w:val="22"/>
        </w:rPr>
        <w:t>, an independent committee with expertise in scientific, medical and clinical fields including consumer representation.</w:t>
      </w:r>
    </w:p>
    <w:p w14:paraId="565BFB2A" w14:textId="1CB200C2" w:rsidR="00A15CC3" w:rsidRPr="00535CAB" w:rsidRDefault="00A15CC3" w:rsidP="0047461E">
      <w:pPr>
        <w:pStyle w:val="ListParagraph"/>
        <w:numPr>
          <w:ilvl w:val="0"/>
          <w:numId w:val="3"/>
        </w:numPr>
        <w:spacing w:after="160" w:line="259" w:lineRule="auto"/>
        <w:rPr>
          <w:rFonts w:asciiTheme="minorHAnsi" w:hAnsiTheme="minorHAnsi" w:cstheme="minorHAnsi"/>
          <w:sz w:val="22"/>
          <w:szCs w:val="22"/>
        </w:rPr>
      </w:pPr>
      <w:r w:rsidRPr="00535CAB">
        <w:rPr>
          <w:rFonts w:asciiTheme="minorHAnsi" w:hAnsiTheme="minorHAnsi" w:cstheme="minorHAnsi"/>
          <w:color w:val="000000"/>
          <w:sz w:val="22"/>
          <w:szCs w:val="22"/>
          <w:shd w:val="clear" w:color="auto" w:fill="FFFFFF"/>
        </w:rPr>
        <w:t xml:space="preserve">Data was provided as a rolling submission. Under normal circumstances, the TGA's assessment (for both provisional and general registration) begins once all information to support registration is available. As part of the Department of Health's response to the pandemic, the TGA has agreed to accept rolling data for COVID-19 vaccines and </w:t>
      </w:r>
      <w:r w:rsidR="00B30757">
        <w:rPr>
          <w:rFonts w:asciiTheme="minorHAnsi" w:hAnsiTheme="minorHAnsi" w:cstheme="minorHAnsi"/>
          <w:color w:val="000000"/>
          <w:sz w:val="22"/>
          <w:szCs w:val="22"/>
          <w:shd w:val="clear" w:color="auto" w:fill="FFFFFF"/>
        </w:rPr>
        <w:t>medicines</w:t>
      </w:r>
      <w:r w:rsidRPr="00535CAB">
        <w:rPr>
          <w:rFonts w:asciiTheme="minorHAnsi" w:hAnsiTheme="minorHAnsi" w:cstheme="minorHAnsi"/>
          <w:color w:val="000000"/>
          <w:sz w:val="22"/>
          <w:szCs w:val="22"/>
          <w:shd w:val="clear" w:color="auto" w:fill="FFFFFF"/>
        </w:rPr>
        <w:t>, to enable early evaluation of data as it comes to hand.</w:t>
      </w:r>
    </w:p>
    <w:p w14:paraId="5394B01B" w14:textId="68CEEB4F" w:rsidR="0047461E" w:rsidRDefault="00EE4049" w:rsidP="0047461E">
      <w:pPr>
        <w:pStyle w:val="ListParagraph"/>
        <w:numPr>
          <w:ilvl w:val="0"/>
          <w:numId w:val="3"/>
        </w:numPr>
        <w:spacing w:after="160" w:line="259" w:lineRule="auto"/>
        <w:rPr>
          <w:rFonts w:asciiTheme="minorHAnsi" w:eastAsia="Calibri" w:hAnsiTheme="minorHAnsi" w:cstheme="minorHAnsi"/>
          <w:sz w:val="22"/>
          <w:szCs w:val="22"/>
        </w:rPr>
      </w:pPr>
      <w:r w:rsidRPr="0047461E">
        <w:rPr>
          <w:rFonts w:asciiTheme="minorHAnsi" w:eastAsia="Calibri" w:hAnsiTheme="minorHAnsi" w:cstheme="minorHAnsi"/>
          <w:sz w:val="22"/>
          <w:szCs w:val="22"/>
        </w:rPr>
        <w:t>Pharmaceutical companies are required to continue providing information to the TGA on longer</w:t>
      </w:r>
      <w:r w:rsidR="00D1009C">
        <w:rPr>
          <w:rFonts w:asciiTheme="minorHAnsi" w:eastAsia="Calibri" w:hAnsiTheme="minorHAnsi" w:cstheme="minorHAnsi"/>
          <w:sz w:val="22"/>
          <w:szCs w:val="22"/>
        </w:rPr>
        <w:noBreakHyphen/>
      </w:r>
      <w:r w:rsidRPr="0047461E">
        <w:rPr>
          <w:rFonts w:asciiTheme="minorHAnsi" w:eastAsia="Calibri" w:hAnsiTheme="minorHAnsi" w:cstheme="minorHAnsi"/>
          <w:sz w:val="22"/>
          <w:szCs w:val="22"/>
        </w:rPr>
        <w:t>term efficacy and safety from ongoing clinical trials and post-market assessment, both in Australia and around the world.</w:t>
      </w:r>
    </w:p>
    <w:p w14:paraId="296FCB8E" w14:textId="77777777" w:rsidR="00772910" w:rsidRDefault="00772910" w:rsidP="00A9702A">
      <w:pPr>
        <w:rPr>
          <w:rFonts w:cstheme="minorHAnsi"/>
          <w:b/>
          <w:bCs/>
        </w:rPr>
      </w:pPr>
    </w:p>
    <w:p w14:paraId="2B9520C6" w14:textId="77777777" w:rsidR="00772910" w:rsidRDefault="00772910" w:rsidP="00A9702A">
      <w:pPr>
        <w:rPr>
          <w:rFonts w:cstheme="minorHAnsi"/>
          <w:b/>
          <w:bCs/>
        </w:rPr>
      </w:pPr>
    </w:p>
    <w:p w14:paraId="504FCD33" w14:textId="7420DB97" w:rsidR="00A9702A" w:rsidRPr="006A2126" w:rsidRDefault="00A9702A" w:rsidP="00A9702A">
      <w:pPr>
        <w:rPr>
          <w:rFonts w:cstheme="minorHAnsi"/>
          <w:b/>
          <w:bCs/>
        </w:rPr>
      </w:pPr>
      <w:r w:rsidRPr="006A2126">
        <w:rPr>
          <w:rFonts w:cstheme="minorHAnsi"/>
          <w:b/>
          <w:bCs/>
        </w:rPr>
        <w:t xml:space="preserve">Diagnosis for PBS eligibility  </w:t>
      </w:r>
    </w:p>
    <w:p w14:paraId="111E7464" w14:textId="79AD65B6" w:rsidR="00A9702A" w:rsidRPr="006A2126" w:rsidRDefault="00A9702A" w:rsidP="00A9702A">
      <w:pPr>
        <w:pStyle w:val="ListParagraph"/>
        <w:numPr>
          <w:ilvl w:val="0"/>
          <w:numId w:val="3"/>
        </w:numPr>
        <w:spacing w:after="160" w:line="259" w:lineRule="auto"/>
        <w:rPr>
          <w:rFonts w:asciiTheme="minorHAnsi" w:eastAsia="Calibri" w:hAnsiTheme="minorHAnsi" w:cstheme="minorHAnsi"/>
          <w:sz w:val="22"/>
          <w:szCs w:val="22"/>
        </w:rPr>
      </w:pPr>
      <w:r w:rsidRPr="006A2126">
        <w:rPr>
          <w:rFonts w:asciiTheme="minorHAnsi" w:eastAsia="Calibri" w:hAnsiTheme="minorHAnsi" w:cstheme="minorHAnsi"/>
          <w:sz w:val="22"/>
          <w:szCs w:val="22"/>
        </w:rPr>
        <w:t xml:space="preserve">The onus is on </w:t>
      </w:r>
      <w:r w:rsidR="00B30757">
        <w:rPr>
          <w:rFonts w:asciiTheme="minorHAnsi" w:eastAsia="Calibri" w:hAnsiTheme="minorHAnsi" w:cstheme="minorHAnsi"/>
          <w:sz w:val="22"/>
          <w:szCs w:val="22"/>
        </w:rPr>
        <w:t xml:space="preserve">the </w:t>
      </w:r>
      <w:r w:rsidRPr="006A2126">
        <w:rPr>
          <w:rFonts w:asciiTheme="minorHAnsi" w:eastAsia="Calibri" w:hAnsiTheme="minorHAnsi" w:cstheme="minorHAnsi"/>
          <w:sz w:val="22"/>
          <w:szCs w:val="22"/>
        </w:rPr>
        <w:t xml:space="preserve">prescriber to be satisfied that the </w:t>
      </w:r>
      <w:r w:rsidR="008546A8">
        <w:rPr>
          <w:rFonts w:asciiTheme="minorHAnsi" w:eastAsia="Calibri" w:hAnsiTheme="minorHAnsi" w:cstheme="minorHAnsi"/>
          <w:sz w:val="22"/>
          <w:szCs w:val="22"/>
        </w:rPr>
        <w:t xml:space="preserve">COVID-19 </w:t>
      </w:r>
      <w:r w:rsidRPr="006A2126">
        <w:rPr>
          <w:rFonts w:asciiTheme="minorHAnsi" w:eastAsia="Calibri" w:hAnsiTheme="minorHAnsi" w:cstheme="minorHAnsi"/>
          <w:sz w:val="22"/>
          <w:szCs w:val="22"/>
        </w:rPr>
        <w:t xml:space="preserve">test is valid and to record that in the patient records. </w:t>
      </w:r>
    </w:p>
    <w:p w14:paraId="5863D022" w14:textId="77777777" w:rsidR="00A9702A" w:rsidRPr="006A2126" w:rsidRDefault="00A9702A" w:rsidP="00A9702A">
      <w:pPr>
        <w:pStyle w:val="ListParagraph"/>
        <w:ind w:left="360"/>
        <w:rPr>
          <w:sz w:val="20"/>
          <w:szCs w:val="20"/>
        </w:rPr>
      </w:pPr>
    </w:p>
    <w:tbl>
      <w:tblPr>
        <w:tblW w:w="5000" w:type="pct"/>
        <w:tblCellMar>
          <w:left w:w="0" w:type="dxa"/>
          <w:right w:w="0" w:type="dxa"/>
        </w:tblCellMar>
        <w:tblLook w:val="04A0" w:firstRow="1" w:lastRow="0" w:firstColumn="1" w:lastColumn="0" w:noHBand="0" w:noVBand="1"/>
      </w:tblPr>
      <w:tblGrid>
        <w:gridCol w:w="9006"/>
      </w:tblGrid>
      <w:tr w:rsidR="00C54012" w:rsidRPr="00C54012" w14:paraId="60CCAAF9" w14:textId="77777777" w:rsidTr="00FB3419">
        <w:tc>
          <w:tcPr>
            <w:tcW w:w="50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8347DD9" w14:textId="77777777" w:rsidR="00A9702A" w:rsidRPr="006A2126" w:rsidRDefault="00A9702A" w:rsidP="00FB3419">
            <w:pPr>
              <w:jc w:val="both"/>
              <w:rPr>
                <w:rFonts w:ascii="Arial Narrow" w:hAnsi="Arial Narrow"/>
                <w:b/>
                <w:bCs/>
                <w:sz w:val="20"/>
                <w:szCs w:val="20"/>
                <w:lang w:eastAsia="en-AU"/>
              </w:rPr>
            </w:pPr>
            <w:r w:rsidRPr="006A2126">
              <w:rPr>
                <w:rFonts w:ascii="Arial Narrow" w:hAnsi="Arial Narrow"/>
                <w:b/>
                <w:bCs/>
                <w:sz w:val="20"/>
                <w:szCs w:val="20"/>
              </w:rPr>
              <w:t xml:space="preserve">Condition: </w:t>
            </w:r>
            <w:r w:rsidRPr="006A2126">
              <w:rPr>
                <w:rFonts w:ascii="Arial Narrow" w:hAnsi="Arial Narrow"/>
                <w:sz w:val="20"/>
                <w:szCs w:val="20"/>
              </w:rPr>
              <w:t>SARS-CoV-2 infection</w:t>
            </w:r>
            <w:r w:rsidRPr="006A2126">
              <w:rPr>
                <w:rFonts w:ascii="Arial Narrow" w:hAnsi="Arial Narrow"/>
                <w:b/>
                <w:bCs/>
                <w:sz w:val="20"/>
                <w:szCs w:val="20"/>
              </w:rPr>
              <w:t xml:space="preserve"> </w:t>
            </w:r>
          </w:p>
        </w:tc>
      </w:tr>
      <w:tr w:rsidR="00C54012" w:rsidRPr="00C54012" w14:paraId="6002E2CC" w14:textId="77777777" w:rsidTr="00FB3419">
        <w:tc>
          <w:tcPr>
            <w:tcW w:w="50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6C7F4B1" w14:textId="77777777" w:rsidR="00A9702A" w:rsidRPr="006A2126" w:rsidRDefault="00A9702A" w:rsidP="00FB3419">
            <w:pPr>
              <w:jc w:val="both"/>
              <w:rPr>
                <w:rFonts w:ascii="Arial Narrow" w:hAnsi="Arial Narrow"/>
                <w:b/>
                <w:bCs/>
                <w:sz w:val="20"/>
                <w:szCs w:val="20"/>
              </w:rPr>
            </w:pPr>
            <w:r w:rsidRPr="006A2126">
              <w:rPr>
                <w:rFonts w:ascii="Arial Narrow" w:hAnsi="Arial Narrow"/>
                <w:b/>
                <w:bCs/>
                <w:sz w:val="20"/>
                <w:szCs w:val="20"/>
              </w:rPr>
              <w:t xml:space="preserve">Indication: </w:t>
            </w:r>
            <w:r w:rsidRPr="006A2126">
              <w:rPr>
                <w:rFonts w:ascii="Arial Narrow" w:hAnsi="Arial Narrow"/>
                <w:sz w:val="20"/>
                <w:szCs w:val="20"/>
              </w:rPr>
              <w:t>SARS-CoV-2 infection</w:t>
            </w:r>
          </w:p>
        </w:tc>
      </w:tr>
      <w:tr w:rsidR="00C54012" w:rsidRPr="00C54012" w14:paraId="0CB74FCC" w14:textId="77777777" w:rsidTr="00FB3419">
        <w:tc>
          <w:tcPr>
            <w:tcW w:w="50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9C3844C" w14:textId="77777777" w:rsidR="00A9702A" w:rsidRPr="006A2126" w:rsidRDefault="00A9702A" w:rsidP="00FB3419">
            <w:pPr>
              <w:jc w:val="both"/>
              <w:rPr>
                <w:rFonts w:ascii="Arial Narrow" w:hAnsi="Arial Narrow"/>
                <w:b/>
                <w:bCs/>
                <w:sz w:val="20"/>
                <w:szCs w:val="20"/>
              </w:rPr>
            </w:pPr>
            <w:r w:rsidRPr="006A2126">
              <w:rPr>
                <w:rFonts w:ascii="Arial Narrow" w:hAnsi="Arial Narrow"/>
                <w:b/>
                <w:bCs/>
                <w:sz w:val="20"/>
                <w:szCs w:val="20"/>
              </w:rPr>
              <w:t>Clinical criteria:</w:t>
            </w:r>
          </w:p>
        </w:tc>
      </w:tr>
      <w:tr w:rsidR="00C54012" w:rsidRPr="00C54012" w14:paraId="2A5ECCE3" w14:textId="77777777" w:rsidTr="00FB3419">
        <w:tc>
          <w:tcPr>
            <w:tcW w:w="50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7D0612" w14:textId="77777777" w:rsidR="00A9702A" w:rsidRPr="006A2126" w:rsidRDefault="00A9702A" w:rsidP="00FB3419">
            <w:pPr>
              <w:jc w:val="both"/>
              <w:rPr>
                <w:rFonts w:ascii="Arial Narrow" w:hAnsi="Arial Narrow"/>
                <w:b/>
                <w:bCs/>
                <w:sz w:val="20"/>
                <w:szCs w:val="20"/>
              </w:rPr>
            </w:pPr>
            <w:r w:rsidRPr="006A2126">
              <w:rPr>
                <w:rFonts w:ascii="Arial Narrow" w:hAnsi="Arial Narrow"/>
                <w:sz w:val="20"/>
                <w:szCs w:val="20"/>
              </w:rPr>
              <w:t xml:space="preserve">Patient must have received a positive polymerase chain reaction (PCR) test result </w:t>
            </w:r>
            <w:r w:rsidRPr="006A2126">
              <w:rPr>
                <w:rFonts w:ascii="Arial Narrow" w:hAnsi="Arial Narrow"/>
                <w:b/>
                <w:bCs/>
                <w:sz w:val="20"/>
                <w:szCs w:val="20"/>
              </w:rPr>
              <w:t>OR</w:t>
            </w:r>
          </w:p>
        </w:tc>
      </w:tr>
      <w:tr w:rsidR="00A9702A" w:rsidRPr="00C54012" w14:paraId="63236AC4" w14:textId="77777777" w:rsidTr="00FB3419">
        <w:tc>
          <w:tcPr>
            <w:tcW w:w="50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1E6ED1F" w14:textId="5A2B92C1" w:rsidR="00A9702A" w:rsidRPr="006A2126" w:rsidRDefault="00A9702A" w:rsidP="00FB3419">
            <w:pPr>
              <w:jc w:val="both"/>
              <w:rPr>
                <w:rFonts w:ascii="Arial Narrow" w:hAnsi="Arial Narrow"/>
                <w:b/>
                <w:bCs/>
                <w:sz w:val="20"/>
                <w:szCs w:val="20"/>
              </w:rPr>
            </w:pPr>
            <w:r w:rsidRPr="006A2126">
              <w:rPr>
                <w:rFonts w:ascii="Arial Narrow" w:hAnsi="Arial Narrow"/>
                <w:sz w:val="20"/>
                <w:szCs w:val="20"/>
              </w:rPr>
              <w:t>Patient must have received a positive rapid antigen test (RAT) result verified by a medical practitioner</w:t>
            </w:r>
            <w:r w:rsidR="002208F6" w:rsidRPr="006A2126">
              <w:rPr>
                <w:rFonts w:ascii="Arial Narrow" w:hAnsi="Arial Narrow"/>
                <w:sz w:val="20"/>
                <w:szCs w:val="20"/>
              </w:rPr>
              <w:t xml:space="preserve"> or nurse practitioner</w:t>
            </w:r>
          </w:p>
        </w:tc>
      </w:tr>
      <w:tr w:rsidR="00C54012" w:rsidRPr="00C54012" w14:paraId="5EC7F96F" w14:textId="77777777" w:rsidTr="00FB3419">
        <w:tc>
          <w:tcPr>
            <w:tcW w:w="50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50FEB70" w14:textId="77777777" w:rsidR="00A9702A" w:rsidRPr="006A2126" w:rsidRDefault="00A9702A" w:rsidP="00FB3419">
            <w:pPr>
              <w:jc w:val="both"/>
              <w:rPr>
                <w:rFonts w:ascii="Arial Narrow" w:hAnsi="Arial Narrow"/>
                <w:b/>
                <w:bCs/>
                <w:sz w:val="20"/>
                <w:szCs w:val="20"/>
                <w:lang w:eastAsia="en-AU"/>
              </w:rPr>
            </w:pPr>
            <w:r w:rsidRPr="006A2126">
              <w:rPr>
                <w:rFonts w:ascii="Arial Narrow" w:hAnsi="Arial Narrow"/>
                <w:b/>
                <w:bCs/>
                <w:sz w:val="20"/>
                <w:szCs w:val="20"/>
              </w:rPr>
              <w:t>Prescriber instructions:</w:t>
            </w:r>
          </w:p>
        </w:tc>
      </w:tr>
      <w:tr w:rsidR="00C54012" w:rsidRPr="00C54012" w14:paraId="2B02BEAE" w14:textId="77777777" w:rsidTr="00FB3419">
        <w:tc>
          <w:tcPr>
            <w:tcW w:w="50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8B8F7AF" w14:textId="77777777" w:rsidR="00A9702A" w:rsidRPr="006A2126" w:rsidRDefault="00A9702A" w:rsidP="00FB3419">
            <w:pPr>
              <w:jc w:val="both"/>
              <w:rPr>
                <w:rFonts w:ascii="Arial Narrow" w:hAnsi="Arial Narrow"/>
                <w:b/>
                <w:bCs/>
                <w:sz w:val="20"/>
                <w:szCs w:val="20"/>
              </w:rPr>
            </w:pPr>
            <w:r w:rsidRPr="006A2126">
              <w:rPr>
                <w:rFonts w:ascii="Arial Narrow" w:hAnsi="Arial Narrow"/>
                <w:sz w:val="20"/>
                <w:szCs w:val="20"/>
              </w:rPr>
              <w:t>Where PCR is used to confirm diagnosis, the result, testing date, location and test provider must be recorded on the patient record</w:t>
            </w:r>
          </w:p>
        </w:tc>
      </w:tr>
      <w:tr w:rsidR="00C54012" w:rsidRPr="00C54012" w14:paraId="4AC00310" w14:textId="77777777" w:rsidTr="00FB3419">
        <w:tc>
          <w:tcPr>
            <w:tcW w:w="50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359E557" w14:textId="77777777" w:rsidR="00A9702A" w:rsidRPr="006A2126" w:rsidRDefault="00A9702A" w:rsidP="00FB3419">
            <w:pPr>
              <w:jc w:val="both"/>
              <w:rPr>
                <w:rFonts w:ascii="Arial Narrow" w:hAnsi="Arial Narrow"/>
                <w:sz w:val="20"/>
                <w:szCs w:val="20"/>
              </w:rPr>
            </w:pPr>
            <w:r w:rsidRPr="006A2126">
              <w:rPr>
                <w:rFonts w:ascii="Arial Narrow" w:hAnsi="Arial Narrow"/>
                <w:b/>
                <w:bCs/>
                <w:sz w:val="20"/>
                <w:szCs w:val="20"/>
              </w:rPr>
              <w:t>Prescriber instructions:</w:t>
            </w:r>
          </w:p>
        </w:tc>
      </w:tr>
      <w:tr w:rsidR="00A9702A" w:rsidRPr="00C54012" w14:paraId="60FACDBF" w14:textId="77777777" w:rsidTr="00FB3419">
        <w:tc>
          <w:tcPr>
            <w:tcW w:w="50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424917" w14:textId="6157CBA7" w:rsidR="00A9702A" w:rsidRPr="006A2126" w:rsidRDefault="00A9702A" w:rsidP="00FB3419">
            <w:pPr>
              <w:jc w:val="both"/>
              <w:rPr>
                <w:rFonts w:ascii="Arial Narrow" w:hAnsi="Arial Narrow"/>
                <w:b/>
                <w:bCs/>
                <w:sz w:val="20"/>
                <w:szCs w:val="20"/>
              </w:rPr>
            </w:pPr>
            <w:r w:rsidRPr="006A2126">
              <w:rPr>
                <w:rFonts w:ascii="Arial Narrow" w:hAnsi="Arial Narrow"/>
                <w:sz w:val="20"/>
                <w:szCs w:val="20"/>
              </w:rPr>
              <w:t>Where a RAT is used to confirm diagnosis, the test must be verified by a medical practitioner</w:t>
            </w:r>
            <w:r w:rsidR="002208F6" w:rsidRPr="006A2126">
              <w:rPr>
                <w:rFonts w:ascii="Arial Narrow" w:hAnsi="Arial Narrow"/>
                <w:sz w:val="20"/>
                <w:szCs w:val="20"/>
              </w:rPr>
              <w:t xml:space="preserve"> or nurse practitioner</w:t>
            </w:r>
            <w:r w:rsidRPr="006A2126">
              <w:rPr>
                <w:rFonts w:ascii="Arial Narrow" w:hAnsi="Arial Narrow"/>
                <w:sz w:val="20"/>
                <w:szCs w:val="20"/>
              </w:rPr>
              <w:t xml:space="preserve">. The test result, testing date, location and test provider (where relevant) must be recorded on the patient record </w:t>
            </w:r>
          </w:p>
        </w:tc>
      </w:tr>
    </w:tbl>
    <w:p w14:paraId="552344B3" w14:textId="637DBF41" w:rsidR="00F46221" w:rsidRPr="00535CAB" w:rsidRDefault="00F46221" w:rsidP="00B7230C">
      <w:pPr>
        <w:spacing w:before="240"/>
        <w:rPr>
          <w:rFonts w:cstheme="minorHAnsi"/>
          <w:b/>
          <w:bCs/>
        </w:rPr>
      </w:pPr>
      <w:r w:rsidRPr="00535CAB">
        <w:rPr>
          <w:rFonts w:cstheme="minorHAnsi"/>
          <w:b/>
          <w:bCs/>
        </w:rPr>
        <w:t xml:space="preserve">Treatment Administration </w:t>
      </w:r>
    </w:p>
    <w:p w14:paraId="2768B445" w14:textId="66F3C101" w:rsidR="00184DF2" w:rsidRPr="00D92A54" w:rsidRDefault="00B63E3A" w:rsidP="00184DF2">
      <w:pPr>
        <w:pStyle w:val="ListParagraph"/>
        <w:numPr>
          <w:ilvl w:val="0"/>
          <w:numId w:val="3"/>
        </w:numPr>
        <w:spacing w:after="160" w:line="259" w:lineRule="auto"/>
        <w:rPr>
          <w:rFonts w:asciiTheme="minorHAnsi" w:hAnsiTheme="minorHAnsi" w:cstheme="minorHAnsi"/>
          <w:color w:val="000000"/>
          <w:sz w:val="22"/>
          <w:szCs w:val="22"/>
          <w:shd w:val="clear" w:color="auto" w:fill="FFFFFF"/>
        </w:rPr>
      </w:pPr>
      <w:r w:rsidRPr="00C54012">
        <w:rPr>
          <w:rFonts w:asciiTheme="minorHAnsi" w:hAnsiTheme="minorHAnsi" w:cstheme="minorHAnsi"/>
          <w:color w:val="000000"/>
          <w:sz w:val="22"/>
          <w:szCs w:val="22"/>
          <w:shd w:val="clear" w:color="auto" w:fill="FFFFFF"/>
        </w:rPr>
        <w:t xml:space="preserve">Treatment with </w:t>
      </w:r>
      <w:r w:rsidR="009930D0" w:rsidRPr="00C54012">
        <w:rPr>
          <w:rFonts w:asciiTheme="minorHAnsi" w:hAnsiTheme="minorHAnsi" w:cstheme="minorHAnsi"/>
          <w:color w:val="000000"/>
          <w:sz w:val="22"/>
          <w:szCs w:val="22"/>
          <w:shd w:val="clear" w:color="auto" w:fill="FFFFFF"/>
        </w:rPr>
        <w:t>Paxlovid</w:t>
      </w:r>
      <w:r w:rsidR="00F0451E" w:rsidRPr="006A2126">
        <w:rPr>
          <w:rFonts w:asciiTheme="minorHAnsi" w:hAnsiTheme="minorHAnsi" w:cstheme="minorHAnsi"/>
          <w:color w:val="000000"/>
          <w:sz w:val="22"/>
          <w:szCs w:val="22"/>
          <w:shd w:val="clear" w:color="auto" w:fill="FFFFFF"/>
        </w:rPr>
        <w:t xml:space="preserve"> </w:t>
      </w:r>
      <w:r w:rsidRPr="006A2126">
        <w:rPr>
          <w:rFonts w:asciiTheme="minorHAnsi" w:hAnsiTheme="minorHAnsi" w:cstheme="minorHAnsi"/>
          <w:color w:val="000000"/>
          <w:sz w:val="22"/>
          <w:szCs w:val="22"/>
          <w:shd w:val="clear" w:color="auto" w:fill="FFFFFF"/>
        </w:rPr>
        <w:t xml:space="preserve">should be commenced as soon as possible after a diagnosis of </w:t>
      </w:r>
      <w:r w:rsidR="000D2BA9">
        <w:rPr>
          <w:rFonts w:asciiTheme="minorHAnsi" w:hAnsiTheme="minorHAnsi" w:cstheme="minorHAnsi"/>
          <w:color w:val="000000"/>
          <w:sz w:val="22"/>
          <w:szCs w:val="22"/>
          <w:shd w:val="clear" w:color="auto" w:fill="FFFFFF"/>
        </w:rPr>
        <w:br/>
      </w:r>
      <w:r w:rsidRPr="006A2126">
        <w:rPr>
          <w:rFonts w:asciiTheme="minorHAnsi" w:hAnsiTheme="minorHAnsi" w:cstheme="minorHAnsi"/>
          <w:color w:val="000000"/>
          <w:sz w:val="22"/>
          <w:szCs w:val="22"/>
          <w:shd w:val="clear" w:color="auto" w:fill="FFFFFF"/>
        </w:rPr>
        <w:t xml:space="preserve">COVID-19 and within 5 days of symptom </w:t>
      </w:r>
      <w:r w:rsidR="00E4403B" w:rsidRPr="00FF62A4">
        <w:rPr>
          <w:rFonts w:asciiTheme="minorHAnsi" w:hAnsiTheme="minorHAnsi" w:cstheme="minorHAnsi"/>
          <w:color w:val="000000"/>
          <w:sz w:val="22"/>
          <w:szCs w:val="22"/>
          <w:shd w:val="clear" w:color="auto" w:fill="FFFFFF"/>
        </w:rPr>
        <w:t>onset</w:t>
      </w:r>
      <w:r w:rsidR="00E4403B">
        <w:rPr>
          <w:rFonts w:asciiTheme="minorHAnsi" w:hAnsiTheme="minorHAnsi" w:cstheme="minorHAnsi"/>
          <w:color w:val="000000"/>
          <w:sz w:val="22"/>
          <w:szCs w:val="22"/>
          <w:shd w:val="clear" w:color="auto" w:fill="FFFFFF"/>
        </w:rPr>
        <w:t xml:space="preserve"> (or, for asymptomatic adults 70 years of age or older, as soon as possible after diagnosis is confirmed)</w:t>
      </w:r>
      <w:r w:rsidR="00E903E3" w:rsidRPr="006A2126">
        <w:rPr>
          <w:rFonts w:asciiTheme="minorHAnsi" w:hAnsiTheme="minorHAnsi" w:cstheme="minorHAnsi"/>
          <w:color w:val="000000"/>
          <w:sz w:val="22"/>
          <w:szCs w:val="22"/>
          <w:shd w:val="clear" w:color="auto" w:fill="FFFFFF"/>
        </w:rPr>
        <w:t>.</w:t>
      </w:r>
      <w:r w:rsidR="009930D0" w:rsidRPr="006A2126">
        <w:rPr>
          <w:rFonts w:asciiTheme="minorHAnsi" w:hAnsiTheme="minorHAnsi" w:cstheme="minorHAnsi"/>
          <w:sz w:val="22"/>
          <w:szCs w:val="22"/>
        </w:rPr>
        <w:t xml:space="preserve"> </w:t>
      </w:r>
      <w:r w:rsidR="009930D0" w:rsidRPr="00C54012">
        <w:rPr>
          <w:rFonts w:asciiTheme="minorHAnsi" w:hAnsiTheme="minorHAnsi" w:cstheme="minorHAnsi"/>
          <w:color w:val="000000"/>
          <w:sz w:val="22"/>
          <w:szCs w:val="22"/>
          <w:shd w:val="clear" w:color="auto" w:fill="FFFFFF"/>
        </w:rPr>
        <w:t xml:space="preserve">The </w:t>
      </w:r>
      <w:r w:rsidR="00C54012">
        <w:rPr>
          <w:rFonts w:asciiTheme="minorHAnsi" w:hAnsiTheme="minorHAnsi" w:cstheme="minorHAnsi"/>
          <w:color w:val="000000"/>
          <w:sz w:val="22"/>
          <w:szCs w:val="22"/>
          <w:shd w:val="clear" w:color="auto" w:fill="FFFFFF"/>
        </w:rPr>
        <w:t>standard</w:t>
      </w:r>
      <w:r w:rsidR="009930D0" w:rsidRPr="00C54012">
        <w:rPr>
          <w:rFonts w:asciiTheme="minorHAnsi" w:hAnsiTheme="minorHAnsi" w:cstheme="minorHAnsi"/>
          <w:color w:val="000000"/>
          <w:sz w:val="22"/>
          <w:szCs w:val="22"/>
          <w:shd w:val="clear" w:color="auto" w:fill="FFFFFF"/>
        </w:rPr>
        <w:t xml:space="preserve"> dosage</w:t>
      </w:r>
      <w:r w:rsidR="00C54012">
        <w:rPr>
          <w:rFonts w:asciiTheme="minorHAnsi" w:hAnsiTheme="minorHAnsi" w:cstheme="minorHAnsi"/>
          <w:color w:val="000000"/>
          <w:sz w:val="22"/>
          <w:szCs w:val="22"/>
          <w:shd w:val="clear" w:color="auto" w:fill="FFFFFF"/>
        </w:rPr>
        <w:t xml:space="preserve"> for most people</w:t>
      </w:r>
      <w:r w:rsidR="009930D0" w:rsidRPr="00C54012">
        <w:rPr>
          <w:rFonts w:asciiTheme="minorHAnsi" w:hAnsiTheme="minorHAnsi" w:cstheme="minorHAnsi"/>
          <w:color w:val="000000"/>
          <w:sz w:val="22"/>
          <w:szCs w:val="22"/>
          <w:shd w:val="clear" w:color="auto" w:fill="FFFFFF"/>
        </w:rPr>
        <w:t xml:space="preserve"> is 300 mg nirmatrelvir (two 150 mg tablets) with 100 mg ritonavir (one </w:t>
      </w:r>
      <w:r w:rsidR="009930D0" w:rsidRPr="006A2126">
        <w:rPr>
          <w:rFonts w:asciiTheme="minorHAnsi" w:hAnsiTheme="minorHAnsi" w:cstheme="minorHAnsi"/>
          <w:color w:val="000000"/>
          <w:sz w:val="22"/>
          <w:szCs w:val="22"/>
          <w:shd w:val="clear" w:color="auto" w:fill="FFFFFF"/>
        </w:rPr>
        <w:t>100 mg tablet) taken together orally every 12 hours for 5 day</w:t>
      </w:r>
      <w:r w:rsidR="00C54012">
        <w:rPr>
          <w:rFonts w:asciiTheme="minorHAnsi" w:hAnsiTheme="minorHAnsi" w:cstheme="minorHAnsi"/>
          <w:color w:val="000000"/>
          <w:sz w:val="22"/>
          <w:szCs w:val="22"/>
          <w:shd w:val="clear" w:color="auto" w:fill="FFFFFF"/>
        </w:rPr>
        <w:t>s</w:t>
      </w:r>
      <w:r w:rsidR="006A2126">
        <w:rPr>
          <w:rFonts w:asciiTheme="minorHAnsi" w:hAnsiTheme="minorHAnsi" w:cstheme="minorHAnsi"/>
          <w:color w:val="000000"/>
          <w:sz w:val="22"/>
          <w:szCs w:val="22"/>
          <w:shd w:val="clear" w:color="auto" w:fill="FFFFFF"/>
        </w:rPr>
        <w:t xml:space="preserve">. </w:t>
      </w:r>
      <w:r w:rsidR="00C54012">
        <w:rPr>
          <w:rFonts w:asciiTheme="minorHAnsi" w:hAnsiTheme="minorHAnsi" w:cstheme="minorHAnsi"/>
          <w:color w:val="000000"/>
          <w:sz w:val="22"/>
          <w:szCs w:val="22"/>
          <w:shd w:val="clear" w:color="auto" w:fill="FFFFFF"/>
        </w:rPr>
        <w:t xml:space="preserve">Patients with </w:t>
      </w:r>
      <w:r w:rsidR="006A2126">
        <w:rPr>
          <w:rFonts w:asciiTheme="minorHAnsi" w:hAnsiTheme="minorHAnsi" w:cstheme="minorHAnsi"/>
          <w:color w:val="000000"/>
          <w:sz w:val="22"/>
          <w:szCs w:val="22"/>
          <w:shd w:val="clear" w:color="auto" w:fill="FFFFFF"/>
        </w:rPr>
        <w:t xml:space="preserve">moderately </w:t>
      </w:r>
      <w:r w:rsidR="00C54012">
        <w:rPr>
          <w:rFonts w:asciiTheme="minorHAnsi" w:hAnsiTheme="minorHAnsi" w:cstheme="minorHAnsi"/>
          <w:color w:val="000000"/>
          <w:sz w:val="22"/>
          <w:szCs w:val="22"/>
          <w:shd w:val="clear" w:color="auto" w:fill="FFFFFF"/>
        </w:rPr>
        <w:t>reduced</w:t>
      </w:r>
      <w:r w:rsidR="006A2126">
        <w:rPr>
          <w:rFonts w:asciiTheme="minorHAnsi" w:hAnsiTheme="minorHAnsi" w:cstheme="minorHAnsi"/>
          <w:color w:val="000000"/>
          <w:sz w:val="22"/>
          <w:szCs w:val="22"/>
          <w:shd w:val="clear" w:color="auto" w:fill="FFFFFF"/>
        </w:rPr>
        <w:t xml:space="preserve"> kidney</w:t>
      </w:r>
      <w:r w:rsidR="00C54012">
        <w:rPr>
          <w:rFonts w:asciiTheme="minorHAnsi" w:hAnsiTheme="minorHAnsi" w:cstheme="minorHAnsi"/>
          <w:color w:val="000000"/>
          <w:sz w:val="22"/>
          <w:szCs w:val="22"/>
          <w:shd w:val="clear" w:color="auto" w:fill="FFFFFF"/>
        </w:rPr>
        <w:t xml:space="preserve"> </w:t>
      </w:r>
      <w:r w:rsidR="00130473">
        <w:rPr>
          <w:rFonts w:asciiTheme="minorHAnsi" w:hAnsiTheme="minorHAnsi" w:cstheme="minorHAnsi"/>
          <w:color w:val="000000"/>
          <w:sz w:val="22"/>
          <w:szCs w:val="22"/>
          <w:shd w:val="clear" w:color="auto" w:fill="FFFFFF"/>
        </w:rPr>
        <w:t>function may be prescribed a dose of</w:t>
      </w:r>
      <w:r w:rsidR="006A2126">
        <w:rPr>
          <w:rFonts w:asciiTheme="minorHAnsi" w:hAnsiTheme="minorHAnsi" w:cstheme="minorHAnsi"/>
          <w:color w:val="000000"/>
          <w:sz w:val="22"/>
          <w:szCs w:val="22"/>
          <w:shd w:val="clear" w:color="auto" w:fill="FFFFFF"/>
        </w:rPr>
        <w:t xml:space="preserve"> </w:t>
      </w:r>
      <w:r w:rsidR="00130473" w:rsidRPr="006A2126">
        <w:rPr>
          <w:rFonts w:asciiTheme="minorHAnsi" w:hAnsiTheme="minorHAnsi" w:cstheme="minorHAnsi"/>
          <w:color w:val="000000"/>
          <w:sz w:val="22"/>
          <w:szCs w:val="22"/>
          <w:shd w:val="clear" w:color="auto" w:fill="FFFFFF"/>
        </w:rPr>
        <w:t>150 mg of nirmatrelvir</w:t>
      </w:r>
      <w:r w:rsidR="006A2126">
        <w:rPr>
          <w:rFonts w:asciiTheme="minorHAnsi" w:hAnsiTheme="minorHAnsi" w:cstheme="minorHAnsi"/>
          <w:color w:val="000000"/>
          <w:sz w:val="22"/>
          <w:szCs w:val="22"/>
          <w:shd w:val="clear" w:color="auto" w:fill="FFFFFF"/>
        </w:rPr>
        <w:t xml:space="preserve"> (one 150mg tablet)</w:t>
      </w:r>
      <w:r w:rsidR="00130473" w:rsidRPr="006A2126">
        <w:rPr>
          <w:rFonts w:asciiTheme="minorHAnsi" w:hAnsiTheme="minorHAnsi" w:cstheme="minorHAnsi"/>
          <w:color w:val="000000"/>
          <w:sz w:val="22"/>
          <w:szCs w:val="22"/>
          <w:shd w:val="clear" w:color="auto" w:fill="FFFFFF"/>
        </w:rPr>
        <w:t xml:space="preserve"> with 100 mg of ritonavir</w:t>
      </w:r>
      <w:r w:rsidR="006A2126">
        <w:rPr>
          <w:rFonts w:asciiTheme="minorHAnsi" w:hAnsiTheme="minorHAnsi" w:cstheme="minorHAnsi"/>
          <w:color w:val="000000"/>
          <w:sz w:val="22"/>
          <w:szCs w:val="22"/>
          <w:shd w:val="clear" w:color="auto" w:fill="FFFFFF"/>
        </w:rPr>
        <w:t xml:space="preserve"> (one 100mg tablet), every 12 hours</w:t>
      </w:r>
      <w:r w:rsidR="00B30757">
        <w:rPr>
          <w:rFonts w:asciiTheme="minorHAnsi" w:hAnsiTheme="minorHAnsi" w:cstheme="minorHAnsi"/>
          <w:color w:val="000000"/>
          <w:sz w:val="22"/>
          <w:szCs w:val="22"/>
          <w:shd w:val="clear" w:color="auto" w:fill="FFFFFF"/>
        </w:rPr>
        <w:t xml:space="preserve"> for 5 days</w:t>
      </w:r>
      <w:r w:rsidR="00130473" w:rsidRPr="006A2126">
        <w:rPr>
          <w:rFonts w:asciiTheme="minorHAnsi" w:hAnsiTheme="minorHAnsi" w:cstheme="minorHAnsi"/>
          <w:color w:val="000000"/>
          <w:sz w:val="22"/>
          <w:szCs w:val="22"/>
          <w:shd w:val="clear" w:color="auto" w:fill="FFFFFF"/>
        </w:rPr>
        <w:t>.</w:t>
      </w:r>
    </w:p>
    <w:p w14:paraId="0E23D73E" w14:textId="78AEC110" w:rsidR="007900AB" w:rsidRPr="00D92A54" w:rsidRDefault="007900AB" w:rsidP="006A2126">
      <w:pPr>
        <w:pStyle w:val="ListParagraph"/>
        <w:numPr>
          <w:ilvl w:val="0"/>
          <w:numId w:val="3"/>
        </w:numPr>
        <w:rPr>
          <w:rFonts w:asciiTheme="minorHAnsi" w:hAnsiTheme="minorHAnsi" w:cstheme="minorHAnsi"/>
          <w:color w:val="000000"/>
          <w:sz w:val="22"/>
          <w:szCs w:val="22"/>
          <w:shd w:val="clear" w:color="auto" w:fill="FFFFFF"/>
        </w:rPr>
      </w:pPr>
      <w:r w:rsidRPr="00D92A54">
        <w:rPr>
          <w:rFonts w:asciiTheme="minorHAnsi" w:hAnsiTheme="minorHAnsi" w:cstheme="minorHAnsi"/>
          <w:color w:val="000000"/>
          <w:sz w:val="22"/>
          <w:szCs w:val="22"/>
          <w:shd w:val="clear" w:color="auto" w:fill="FFFFFF"/>
        </w:rPr>
        <w:t>A benefit of this treatment is that it can be taken orally, rather than as an injection or infusion in hospital. This makes the treatment easier to administer</w:t>
      </w:r>
      <w:r w:rsidR="00E903E3" w:rsidRPr="00D92A54">
        <w:rPr>
          <w:rFonts w:asciiTheme="minorHAnsi" w:hAnsiTheme="minorHAnsi" w:cstheme="minorHAnsi"/>
          <w:color w:val="000000"/>
          <w:sz w:val="22"/>
          <w:szCs w:val="22"/>
          <w:shd w:val="clear" w:color="auto" w:fill="FFFFFF"/>
        </w:rPr>
        <w:t xml:space="preserve"> in the community</w:t>
      </w:r>
      <w:r w:rsidRPr="00D92A54">
        <w:rPr>
          <w:rFonts w:asciiTheme="minorHAnsi" w:hAnsiTheme="minorHAnsi" w:cstheme="minorHAnsi"/>
          <w:color w:val="000000"/>
          <w:sz w:val="22"/>
          <w:szCs w:val="22"/>
          <w:shd w:val="clear" w:color="auto" w:fill="FFFFFF"/>
        </w:rPr>
        <w:t xml:space="preserve">, particularly </w:t>
      </w:r>
      <w:r w:rsidR="00E903E3" w:rsidRPr="00D92A54">
        <w:rPr>
          <w:rFonts w:asciiTheme="minorHAnsi" w:hAnsiTheme="minorHAnsi" w:cstheme="minorHAnsi"/>
          <w:color w:val="000000"/>
          <w:sz w:val="22"/>
          <w:szCs w:val="22"/>
          <w:shd w:val="clear" w:color="auto" w:fill="FFFFFF"/>
        </w:rPr>
        <w:t>for</w:t>
      </w:r>
      <w:r w:rsidR="00A4485E" w:rsidRPr="00D92A54">
        <w:rPr>
          <w:rFonts w:asciiTheme="minorHAnsi" w:hAnsiTheme="minorHAnsi" w:cstheme="minorHAnsi"/>
          <w:color w:val="000000"/>
          <w:sz w:val="22"/>
          <w:szCs w:val="22"/>
          <w:shd w:val="clear" w:color="auto" w:fill="FFFFFF"/>
        </w:rPr>
        <w:t xml:space="preserve"> patients in</w:t>
      </w:r>
      <w:r w:rsidRPr="00D92A54">
        <w:rPr>
          <w:rFonts w:asciiTheme="minorHAnsi" w:hAnsiTheme="minorHAnsi" w:cstheme="minorHAnsi"/>
          <w:color w:val="000000"/>
          <w:sz w:val="22"/>
          <w:szCs w:val="22"/>
          <w:shd w:val="clear" w:color="auto" w:fill="FFFFFF"/>
        </w:rPr>
        <w:t xml:space="preserve"> rural and remote areas and in residential aged care and disability services. </w:t>
      </w:r>
    </w:p>
    <w:p w14:paraId="5D2808F3" w14:textId="2D52F622" w:rsidR="00F67A3F" w:rsidRPr="00D92A54" w:rsidRDefault="00D93706" w:rsidP="001A1AB8">
      <w:pPr>
        <w:pStyle w:val="ListParagraph"/>
        <w:numPr>
          <w:ilvl w:val="0"/>
          <w:numId w:val="3"/>
        </w:numPr>
        <w:spacing w:after="160" w:line="259" w:lineRule="auto"/>
        <w:rPr>
          <w:rFonts w:asciiTheme="minorHAnsi" w:hAnsiTheme="minorHAnsi" w:cstheme="minorHAnsi"/>
          <w:color w:val="000000"/>
          <w:sz w:val="22"/>
          <w:szCs w:val="22"/>
          <w:shd w:val="clear" w:color="auto" w:fill="FFFFFF"/>
        </w:rPr>
      </w:pPr>
      <w:r w:rsidRPr="00D92A54">
        <w:rPr>
          <w:rFonts w:asciiTheme="minorHAnsi" w:hAnsiTheme="minorHAnsi" w:cstheme="minorHAnsi"/>
          <w:color w:val="000000"/>
          <w:sz w:val="22"/>
          <w:szCs w:val="22"/>
          <w:shd w:val="clear" w:color="auto" w:fill="FFFFFF"/>
        </w:rPr>
        <w:t xml:space="preserve">Pivotal safety data for </w:t>
      </w:r>
      <w:r w:rsidR="009930D0" w:rsidRPr="00D92A54">
        <w:rPr>
          <w:rFonts w:asciiTheme="minorHAnsi" w:hAnsiTheme="minorHAnsi" w:cstheme="minorHAnsi"/>
          <w:color w:val="000000"/>
          <w:sz w:val="22"/>
          <w:szCs w:val="22"/>
          <w:shd w:val="clear" w:color="auto" w:fill="FFFFFF"/>
        </w:rPr>
        <w:t>Paxlovid</w:t>
      </w:r>
      <w:r w:rsidR="009930D0" w:rsidRPr="00D92A54" w:rsidDel="009930D0">
        <w:rPr>
          <w:rFonts w:asciiTheme="minorHAnsi" w:hAnsiTheme="minorHAnsi" w:cstheme="minorHAnsi"/>
          <w:color w:val="000000"/>
          <w:sz w:val="22"/>
          <w:szCs w:val="22"/>
          <w:shd w:val="clear" w:color="auto" w:fill="FFFFFF"/>
        </w:rPr>
        <w:t xml:space="preserve"> </w:t>
      </w:r>
      <w:r w:rsidRPr="00D92A54">
        <w:rPr>
          <w:rFonts w:asciiTheme="minorHAnsi" w:hAnsiTheme="minorHAnsi" w:cstheme="minorHAnsi"/>
          <w:color w:val="000000"/>
          <w:sz w:val="22"/>
          <w:szCs w:val="22"/>
          <w:shd w:val="clear" w:color="auto" w:fill="FFFFFF"/>
        </w:rPr>
        <w:t xml:space="preserve">is limited to results from a </w:t>
      </w:r>
      <w:r w:rsidR="00B94986" w:rsidRPr="00D92A54">
        <w:rPr>
          <w:rFonts w:asciiTheme="minorHAnsi" w:hAnsiTheme="minorHAnsi" w:cstheme="minorHAnsi"/>
          <w:color w:val="000000"/>
          <w:sz w:val="22"/>
          <w:szCs w:val="22"/>
          <w:shd w:val="clear" w:color="auto" w:fill="FFFFFF"/>
        </w:rPr>
        <w:t xml:space="preserve">Phase </w:t>
      </w:r>
      <w:r w:rsidR="00F34499">
        <w:rPr>
          <w:rFonts w:asciiTheme="minorHAnsi" w:hAnsiTheme="minorHAnsi" w:cstheme="minorHAnsi"/>
          <w:color w:val="000000"/>
          <w:sz w:val="22"/>
          <w:szCs w:val="22"/>
          <w:shd w:val="clear" w:color="auto" w:fill="FFFFFF"/>
        </w:rPr>
        <w:t>2/</w:t>
      </w:r>
      <w:r w:rsidR="00B94986" w:rsidRPr="00D92A54">
        <w:rPr>
          <w:rFonts w:asciiTheme="minorHAnsi" w:hAnsiTheme="minorHAnsi" w:cstheme="minorHAnsi"/>
          <w:color w:val="000000"/>
          <w:sz w:val="22"/>
          <w:szCs w:val="22"/>
          <w:shd w:val="clear" w:color="auto" w:fill="FFFFFF"/>
        </w:rPr>
        <w:t>3 clinical</w:t>
      </w:r>
      <w:r w:rsidRPr="00D92A54">
        <w:rPr>
          <w:rFonts w:asciiTheme="minorHAnsi" w:hAnsiTheme="minorHAnsi" w:cstheme="minorHAnsi"/>
          <w:color w:val="000000"/>
          <w:sz w:val="22"/>
          <w:szCs w:val="22"/>
          <w:shd w:val="clear" w:color="auto" w:fill="FFFFFF"/>
        </w:rPr>
        <w:t xml:space="preserve"> trial. In this trial, the most frequently reported side effects occurring in subjects receiving</w:t>
      </w:r>
      <w:r w:rsidR="00F0451E" w:rsidRPr="00D92A54">
        <w:rPr>
          <w:rFonts w:asciiTheme="minorHAnsi" w:hAnsiTheme="minorHAnsi" w:cstheme="minorHAnsi"/>
          <w:color w:val="000000"/>
          <w:sz w:val="22"/>
          <w:szCs w:val="22"/>
          <w:shd w:val="clear" w:color="auto" w:fill="FFFFFF"/>
        </w:rPr>
        <w:t xml:space="preserve"> </w:t>
      </w:r>
      <w:r w:rsidR="00F34499">
        <w:rPr>
          <w:rFonts w:asciiTheme="minorHAnsi" w:hAnsiTheme="minorHAnsi" w:cstheme="minorHAnsi"/>
          <w:color w:val="000000"/>
          <w:sz w:val="22"/>
          <w:szCs w:val="22"/>
          <w:shd w:val="clear" w:color="auto" w:fill="FFFFFF"/>
        </w:rPr>
        <w:t xml:space="preserve">Paxlovid </w:t>
      </w:r>
      <w:r w:rsidRPr="00D92A54">
        <w:rPr>
          <w:rFonts w:asciiTheme="minorHAnsi" w:hAnsiTheme="minorHAnsi" w:cstheme="minorHAnsi"/>
          <w:color w:val="000000"/>
          <w:sz w:val="22"/>
          <w:szCs w:val="22"/>
          <w:shd w:val="clear" w:color="auto" w:fill="FFFFFF"/>
        </w:rPr>
        <w:t xml:space="preserve">were </w:t>
      </w:r>
      <w:r w:rsidR="006D7236" w:rsidRPr="00D92A54">
        <w:rPr>
          <w:rFonts w:asciiTheme="minorHAnsi" w:hAnsiTheme="minorHAnsi" w:cstheme="minorHAnsi"/>
          <w:color w:val="000000"/>
          <w:sz w:val="22"/>
          <w:szCs w:val="22"/>
          <w:shd w:val="clear" w:color="auto" w:fill="FFFFFF"/>
        </w:rPr>
        <w:t xml:space="preserve">dysgeusia (5.6 % of participants), </w:t>
      </w:r>
      <w:r w:rsidRPr="00D92A54">
        <w:rPr>
          <w:rFonts w:asciiTheme="minorHAnsi" w:hAnsiTheme="minorHAnsi" w:cstheme="minorHAnsi"/>
          <w:color w:val="000000"/>
          <w:sz w:val="22"/>
          <w:szCs w:val="22"/>
          <w:shd w:val="clear" w:color="auto" w:fill="FFFFFF"/>
        </w:rPr>
        <w:t>diarrhoea (</w:t>
      </w:r>
      <w:r w:rsidR="006D7236" w:rsidRPr="00D92A54">
        <w:rPr>
          <w:rFonts w:asciiTheme="minorHAnsi" w:hAnsiTheme="minorHAnsi" w:cstheme="minorHAnsi"/>
          <w:color w:val="000000"/>
          <w:sz w:val="22"/>
          <w:szCs w:val="22"/>
          <w:shd w:val="clear" w:color="auto" w:fill="FFFFFF"/>
        </w:rPr>
        <w:t>3</w:t>
      </w:r>
      <w:r w:rsidR="00F34499">
        <w:rPr>
          <w:rFonts w:asciiTheme="minorHAnsi" w:hAnsiTheme="minorHAnsi" w:cstheme="minorHAnsi"/>
          <w:color w:val="000000"/>
          <w:sz w:val="22"/>
          <w:szCs w:val="22"/>
          <w:shd w:val="clear" w:color="auto" w:fill="FFFFFF"/>
        </w:rPr>
        <w:t>.1</w:t>
      </w:r>
      <w:r w:rsidRPr="00D92A54">
        <w:rPr>
          <w:rFonts w:asciiTheme="minorHAnsi" w:hAnsiTheme="minorHAnsi" w:cstheme="minorHAnsi"/>
          <w:color w:val="000000"/>
          <w:sz w:val="22"/>
          <w:szCs w:val="22"/>
          <w:shd w:val="clear" w:color="auto" w:fill="FFFFFF"/>
        </w:rPr>
        <w:t xml:space="preserve">%); </w:t>
      </w:r>
      <w:r w:rsidR="006D7236" w:rsidRPr="00D92A54">
        <w:rPr>
          <w:rFonts w:asciiTheme="minorHAnsi" w:hAnsiTheme="minorHAnsi" w:cstheme="minorHAnsi"/>
          <w:color w:val="000000"/>
          <w:sz w:val="22"/>
          <w:szCs w:val="22"/>
          <w:shd w:val="clear" w:color="auto" w:fill="FFFFFF"/>
        </w:rPr>
        <w:t xml:space="preserve">headache </w:t>
      </w:r>
      <w:r w:rsidRPr="00D92A54">
        <w:rPr>
          <w:rFonts w:asciiTheme="minorHAnsi" w:hAnsiTheme="minorHAnsi" w:cstheme="minorHAnsi"/>
          <w:color w:val="000000"/>
          <w:sz w:val="22"/>
          <w:szCs w:val="22"/>
          <w:shd w:val="clear" w:color="auto" w:fill="FFFFFF"/>
        </w:rPr>
        <w:t>(1</w:t>
      </w:r>
      <w:r w:rsidR="006D7236" w:rsidRPr="00D92A54">
        <w:rPr>
          <w:rFonts w:asciiTheme="minorHAnsi" w:hAnsiTheme="minorHAnsi" w:cstheme="minorHAnsi"/>
          <w:color w:val="000000"/>
          <w:sz w:val="22"/>
          <w:szCs w:val="22"/>
          <w:shd w:val="clear" w:color="auto" w:fill="FFFFFF"/>
        </w:rPr>
        <w:t>.4</w:t>
      </w:r>
      <w:r w:rsidRPr="00D92A54">
        <w:rPr>
          <w:rFonts w:asciiTheme="minorHAnsi" w:hAnsiTheme="minorHAnsi" w:cstheme="minorHAnsi"/>
          <w:color w:val="000000"/>
          <w:sz w:val="22"/>
          <w:szCs w:val="22"/>
          <w:shd w:val="clear" w:color="auto" w:fill="FFFFFF"/>
        </w:rPr>
        <w:t xml:space="preserve">%); and </w:t>
      </w:r>
      <w:r w:rsidR="00F34499">
        <w:rPr>
          <w:rFonts w:asciiTheme="minorHAnsi" w:hAnsiTheme="minorHAnsi" w:cstheme="minorHAnsi"/>
          <w:color w:val="000000"/>
          <w:sz w:val="22"/>
          <w:szCs w:val="22"/>
          <w:shd w:val="clear" w:color="auto" w:fill="FFFFFF"/>
        </w:rPr>
        <w:t xml:space="preserve">vomiting </w:t>
      </w:r>
      <w:r w:rsidRPr="00D92A54">
        <w:rPr>
          <w:rFonts w:asciiTheme="minorHAnsi" w:hAnsiTheme="minorHAnsi" w:cstheme="minorHAnsi"/>
          <w:color w:val="000000"/>
          <w:sz w:val="22"/>
          <w:szCs w:val="22"/>
          <w:shd w:val="clear" w:color="auto" w:fill="FFFFFF"/>
        </w:rPr>
        <w:t>(1</w:t>
      </w:r>
      <w:r w:rsidR="005822A6">
        <w:rPr>
          <w:rFonts w:asciiTheme="minorHAnsi" w:hAnsiTheme="minorHAnsi" w:cstheme="minorHAnsi"/>
          <w:color w:val="000000"/>
          <w:sz w:val="22"/>
          <w:szCs w:val="22"/>
          <w:shd w:val="clear" w:color="auto" w:fill="FFFFFF"/>
        </w:rPr>
        <w:t>.1</w:t>
      </w:r>
      <w:r w:rsidRPr="00D92A54">
        <w:rPr>
          <w:rFonts w:asciiTheme="minorHAnsi" w:hAnsiTheme="minorHAnsi" w:cstheme="minorHAnsi"/>
          <w:color w:val="000000"/>
          <w:sz w:val="22"/>
          <w:szCs w:val="22"/>
          <w:shd w:val="clear" w:color="auto" w:fill="FFFFFF"/>
        </w:rPr>
        <w:t xml:space="preserve">%). Older people receiving </w:t>
      </w:r>
      <w:r w:rsidR="002055ED" w:rsidRPr="00D92A54">
        <w:rPr>
          <w:rFonts w:asciiTheme="minorHAnsi" w:hAnsiTheme="minorHAnsi" w:cstheme="minorHAnsi"/>
          <w:color w:val="000000"/>
          <w:sz w:val="22"/>
          <w:szCs w:val="22"/>
          <w:shd w:val="clear" w:color="auto" w:fill="FFFFFF"/>
        </w:rPr>
        <w:t xml:space="preserve">Paxlovid </w:t>
      </w:r>
      <w:r w:rsidRPr="00D92A54">
        <w:rPr>
          <w:rFonts w:asciiTheme="minorHAnsi" w:hAnsiTheme="minorHAnsi" w:cstheme="minorHAnsi"/>
          <w:color w:val="000000"/>
          <w:sz w:val="22"/>
          <w:szCs w:val="22"/>
          <w:shd w:val="clear" w:color="auto" w:fill="FFFFFF"/>
        </w:rPr>
        <w:t>should be closely monitored for side effects.</w:t>
      </w:r>
    </w:p>
    <w:p w14:paraId="2B435F54" w14:textId="270E822E" w:rsidR="00DF1496" w:rsidRPr="00D92A54" w:rsidRDefault="00DF1496" w:rsidP="00D92A54">
      <w:pPr>
        <w:pStyle w:val="ListParagraph"/>
        <w:numPr>
          <w:ilvl w:val="0"/>
          <w:numId w:val="3"/>
        </w:numPr>
        <w:spacing w:after="160" w:line="259" w:lineRule="auto"/>
        <w:rPr>
          <w:rFonts w:asciiTheme="minorHAnsi" w:eastAsia="Calibri" w:hAnsiTheme="minorHAnsi" w:cstheme="minorHAnsi"/>
          <w:sz w:val="22"/>
          <w:szCs w:val="22"/>
        </w:rPr>
      </w:pPr>
      <w:r w:rsidRPr="00D92A54">
        <w:rPr>
          <w:rFonts w:asciiTheme="minorHAnsi" w:hAnsiTheme="minorHAnsi" w:cstheme="minorHAnsi"/>
          <w:color w:val="000000"/>
          <w:sz w:val="22"/>
          <w:szCs w:val="22"/>
          <w:shd w:val="clear" w:color="auto" w:fill="FFFFFF"/>
        </w:rPr>
        <w:t>Safety and efficacy of Paxlovid have not been established in patients less than 18 years of age, therefore use in paediatric patients is not recommended.</w:t>
      </w:r>
    </w:p>
    <w:p w14:paraId="424DADD0" w14:textId="77777777" w:rsidR="00F34499" w:rsidRDefault="00F34499" w:rsidP="00F34499">
      <w:pPr>
        <w:pStyle w:val="ListParagraph"/>
        <w:ind w:left="360"/>
        <w:rPr>
          <w:rFonts w:eastAsia="Calibri" w:cstheme="minorHAnsi"/>
          <w:b/>
          <w:bCs/>
        </w:rPr>
      </w:pPr>
    </w:p>
    <w:p w14:paraId="1D62D836" w14:textId="2A48B4D2" w:rsidR="00F34499" w:rsidRPr="008546A8" w:rsidRDefault="00F34499" w:rsidP="008546A8">
      <w:pPr>
        <w:rPr>
          <w:rFonts w:cstheme="minorHAnsi"/>
          <w:b/>
          <w:bCs/>
        </w:rPr>
      </w:pPr>
      <w:r w:rsidRPr="008546A8">
        <w:rPr>
          <w:rFonts w:cstheme="minorHAnsi"/>
          <w:b/>
          <w:bCs/>
        </w:rPr>
        <w:t xml:space="preserve">Interactions with other medicines </w:t>
      </w:r>
    </w:p>
    <w:p w14:paraId="27472FD6" w14:textId="2C591162" w:rsidR="00F34499" w:rsidRPr="00F34499" w:rsidRDefault="00F34499" w:rsidP="00F34499">
      <w:pPr>
        <w:pStyle w:val="ListParagraph"/>
        <w:numPr>
          <w:ilvl w:val="0"/>
          <w:numId w:val="33"/>
        </w:numPr>
        <w:spacing w:after="160"/>
        <w:rPr>
          <w:rFonts w:asciiTheme="minorHAnsi" w:eastAsia="Calibri" w:hAnsiTheme="minorHAnsi" w:cstheme="minorHAnsi"/>
          <w:sz w:val="22"/>
          <w:szCs w:val="22"/>
        </w:rPr>
      </w:pPr>
      <w:r w:rsidRPr="00F34499">
        <w:rPr>
          <w:rFonts w:asciiTheme="minorHAnsi" w:eastAsia="Calibri" w:hAnsiTheme="minorHAnsi" w:cstheme="minorHAnsi"/>
          <w:sz w:val="22"/>
          <w:szCs w:val="22"/>
        </w:rPr>
        <w:t>Paxlovid interacts with many different medicines</w:t>
      </w:r>
      <w:r>
        <w:rPr>
          <w:rFonts w:asciiTheme="minorHAnsi" w:eastAsia="Calibri" w:hAnsiTheme="minorHAnsi" w:cstheme="minorHAnsi"/>
          <w:sz w:val="22"/>
          <w:szCs w:val="22"/>
        </w:rPr>
        <w:t>, including herbal supplements</w:t>
      </w:r>
      <w:r w:rsidRPr="00F34499">
        <w:rPr>
          <w:rFonts w:asciiTheme="minorHAnsi" w:eastAsia="Calibri" w:hAnsiTheme="minorHAnsi" w:cstheme="minorHAnsi"/>
          <w:sz w:val="22"/>
          <w:szCs w:val="22"/>
        </w:rPr>
        <w:t xml:space="preserve">. These may lead to clinically significant adverse reactions, potentially leading to severe, life-threatening or fatal events from greater exposures of concomitant medications. </w:t>
      </w:r>
      <w:r w:rsidR="003D3C1E">
        <w:rPr>
          <w:rFonts w:asciiTheme="minorHAnsi" w:eastAsia="Calibri" w:hAnsiTheme="minorHAnsi" w:cstheme="minorHAnsi"/>
          <w:sz w:val="22"/>
          <w:szCs w:val="22"/>
        </w:rPr>
        <w:t>They m</w:t>
      </w:r>
      <w:r w:rsidRPr="00F34499">
        <w:rPr>
          <w:rFonts w:asciiTheme="minorHAnsi" w:eastAsia="Calibri" w:hAnsiTheme="minorHAnsi" w:cstheme="minorHAnsi"/>
          <w:sz w:val="22"/>
          <w:szCs w:val="22"/>
        </w:rPr>
        <w:t>ay</w:t>
      </w:r>
      <w:r w:rsidR="003D3C1E">
        <w:rPr>
          <w:rFonts w:asciiTheme="minorHAnsi" w:eastAsia="Calibri" w:hAnsiTheme="minorHAnsi" w:cstheme="minorHAnsi"/>
          <w:sz w:val="22"/>
          <w:szCs w:val="22"/>
        </w:rPr>
        <w:t xml:space="preserve"> also</w:t>
      </w:r>
      <w:r w:rsidRPr="00F34499">
        <w:rPr>
          <w:rFonts w:asciiTheme="minorHAnsi" w:eastAsia="Calibri" w:hAnsiTheme="minorHAnsi" w:cstheme="minorHAnsi"/>
          <w:sz w:val="22"/>
          <w:szCs w:val="22"/>
        </w:rPr>
        <w:t xml:space="preserve"> lead to</w:t>
      </w:r>
      <w:r>
        <w:rPr>
          <w:rFonts w:asciiTheme="minorHAnsi" w:eastAsia="Calibri" w:hAnsiTheme="minorHAnsi" w:cstheme="minorHAnsi"/>
          <w:sz w:val="22"/>
          <w:szCs w:val="22"/>
        </w:rPr>
        <w:t xml:space="preserve"> a</w:t>
      </w:r>
      <w:r w:rsidRPr="00F34499">
        <w:rPr>
          <w:rFonts w:asciiTheme="minorHAnsi" w:eastAsia="Calibri" w:hAnsiTheme="minorHAnsi" w:cstheme="minorHAnsi"/>
          <w:sz w:val="22"/>
          <w:szCs w:val="22"/>
        </w:rPr>
        <w:t xml:space="preserve"> loss of therapeutic effect of Paxlovid</w:t>
      </w:r>
      <w:r w:rsidR="003D3C1E">
        <w:rPr>
          <w:rFonts w:asciiTheme="minorHAnsi" w:eastAsia="Calibri" w:hAnsiTheme="minorHAnsi" w:cstheme="minorHAnsi"/>
          <w:sz w:val="22"/>
          <w:szCs w:val="22"/>
        </w:rPr>
        <w:t xml:space="preserve"> (due to reduced exposure to Paxlovid).</w:t>
      </w:r>
    </w:p>
    <w:p w14:paraId="7102DEBC" w14:textId="18F57EA2" w:rsidR="00F34499" w:rsidRPr="00E10328" w:rsidRDefault="00F34499" w:rsidP="00F34499">
      <w:pPr>
        <w:pStyle w:val="ListParagraph"/>
        <w:numPr>
          <w:ilvl w:val="0"/>
          <w:numId w:val="9"/>
        </w:numPr>
        <w:spacing w:after="160"/>
        <w:rPr>
          <w:rFonts w:asciiTheme="minorHAnsi" w:eastAsia="Calibri" w:hAnsiTheme="minorHAnsi" w:cstheme="minorHAnsi"/>
          <w:sz w:val="22"/>
          <w:szCs w:val="22"/>
        </w:rPr>
      </w:pPr>
      <w:r w:rsidRPr="00D92A54">
        <w:rPr>
          <w:rFonts w:asciiTheme="minorHAnsi" w:hAnsiTheme="minorHAnsi" w:cstheme="minorHAnsi"/>
          <w:color w:val="000000"/>
          <w:sz w:val="22"/>
          <w:szCs w:val="22"/>
          <w:shd w:val="clear" w:color="auto" w:fill="FFFFFF"/>
        </w:rPr>
        <w:t xml:space="preserve">Paxlovid is contraindicated with drugs that are highly dependent on </w:t>
      </w:r>
      <w:bookmarkStart w:id="2" w:name="_Hlk100155331"/>
      <w:r w:rsidRPr="00D92A54">
        <w:rPr>
          <w:rFonts w:asciiTheme="minorHAnsi" w:hAnsiTheme="minorHAnsi" w:cstheme="minorHAnsi"/>
          <w:color w:val="000000"/>
          <w:sz w:val="22"/>
          <w:szCs w:val="22"/>
          <w:shd w:val="clear" w:color="auto" w:fill="FFFFFF"/>
        </w:rPr>
        <w:t>CYP3A</w:t>
      </w:r>
      <w:bookmarkEnd w:id="2"/>
      <w:r w:rsidRPr="00D92A54">
        <w:rPr>
          <w:rFonts w:asciiTheme="minorHAnsi" w:hAnsiTheme="minorHAnsi" w:cstheme="minorHAnsi"/>
          <w:color w:val="000000"/>
          <w:sz w:val="22"/>
          <w:szCs w:val="22"/>
          <w:shd w:val="clear" w:color="auto" w:fill="FFFFFF"/>
        </w:rPr>
        <w:t xml:space="preserve"> for clearance and for which elevated concentrations are associated with serious and/or life-threatening reactions</w:t>
      </w:r>
      <w:r>
        <w:rPr>
          <w:rFonts w:asciiTheme="minorHAnsi" w:hAnsiTheme="minorHAnsi" w:cstheme="minorHAnsi"/>
          <w:color w:val="000000"/>
          <w:sz w:val="22"/>
          <w:szCs w:val="22"/>
          <w:shd w:val="clear" w:color="auto" w:fill="FFFFFF"/>
        </w:rPr>
        <w:t>.</w:t>
      </w:r>
    </w:p>
    <w:p w14:paraId="1627C2C4" w14:textId="6FFCAC06" w:rsidR="00F34499" w:rsidRPr="00E10328" w:rsidRDefault="00F34499" w:rsidP="00F34499">
      <w:pPr>
        <w:pStyle w:val="ListParagraph"/>
        <w:numPr>
          <w:ilvl w:val="0"/>
          <w:numId w:val="9"/>
        </w:numPr>
        <w:spacing w:after="160"/>
        <w:rPr>
          <w:rFonts w:asciiTheme="minorHAnsi" w:eastAsia="Calibri" w:hAnsiTheme="minorHAnsi" w:cstheme="minorHAnsi"/>
          <w:sz w:val="22"/>
          <w:szCs w:val="22"/>
        </w:rPr>
      </w:pPr>
      <w:r w:rsidRPr="00D92A54">
        <w:rPr>
          <w:rFonts w:asciiTheme="minorHAnsi" w:eastAsia="Calibri" w:hAnsiTheme="minorHAnsi" w:cstheme="minorHAnsi"/>
          <w:sz w:val="22"/>
          <w:szCs w:val="22"/>
        </w:rPr>
        <w:lastRenderedPageBreak/>
        <w:t>Paxlovid is also contraindicated with drugs that are potent CYP3A inducers where significantly reduced nirmatrelvir or ritonavir plasma concentrations may be associated with the potential for loss of virologic response and possible resistance. Paxlovid cannot be started immediately after discontinuation of a potent CYP3A inducer</w:t>
      </w:r>
      <w:r>
        <w:rPr>
          <w:rFonts w:asciiTheme="minorHAnsi" w:eastAsia="Calibri" w:hAnsiTheme="minorHAnsi" w:cstheme="minorHAnsi"/>
          <w:sz w:val="22"/>
          <w:szCs w:val="22"/>
        </w:rPr>
        <w:t>, due to the delayed of</w:t>
      </w:r>
      <w:r w:rsidR="00B7230C">
        <w:rPr>
          <w:rFonts w:asciiTheme="minorHAnsi" w:eastAsia="Calibri" w:hAnsiTheme="minorHAnsi" w:cstheme="minorHAnsi"/>
          <w:sz w:val="22"/>
          <w:szCs w:val="22"/>
        </w:rPr>
        <w:t>f</w:t>
      </w:r>
      <w:r>
        <w:rPr>
          <w:rFonts w:asciiTheme="minorHAnsi" w:eastAsia="Calibri" w:hAnsiTheme="minorHAnsi" w:cstheme="minorHAnsi"/>
          <w:sz w:val="22"/>
          <w:szCs w:val="22"/>
        </w:rPr>
        <w:t xml:space="preserve">set </w:t>
      </w:r>
      <w:r w:rsidR="00B7230C">
        <w:rPr>
          <w:rFonts w:asciiTheme="minorHAnsi" w:eastAsia="Calibri" w:hAnsiTheme="minorHAnsi" w:cstheme="minorHAnsi"/>
          <w:sz w:val="22"/>
          <w:szCs w:val="22"/>
        </w:rPr>
        <w:t xml:space="preserve">of </w:t>
      </w:r>
      <w:r>
        <w:rPr>
          <w:rFonts w:asciiTheme="minorHAnsi" w:eastAsia="Calibri" w:hAnsiTheme="minorHAnsi" w:cstheme="minorHAnsi"/>
          <w:sz w:val="22"/>
          <w:szCs w:val="22"/>
        </w:rPr>
        <w:t>the recently discontinued CYP3A inducer.</w:t>
      </w:r>
      <w:r w:rsidRPr="00D92A54">
        <w:rPr>
          <w:rFonts w:asciiTheme="minorHAnsi" w:eastAsia="Calibri" w:hAnsiTheme="minorHAnsi" w:cstheme="minorHAnsi"/>
          <w:sz w:val="22"/>
          <w:szCs w:val="22"/>
        </w:rPr>
        <w:t xml:space="preserve">  </w:t>
      </w:r>
    </w:p>
    <w:p w14:paraId="009E2192" w14:textId="5D553036" w:rsidR="003D3C1E" w:rsidRDefault="003D3C1E" w:rsidP="00F34499">
      <w:pPr>
        <w:pStyle w:val="ListParagraph"/>
        <w:numPr>
          <w:ilvl w:val="0"/>
          <w:numId w:val="9"/>
        </w:numPr>
        <w:spacing w:after="160" w:line="259" w:lineRule="auto"/>
        <w:rPr>
          <w:rFonts w:asciiTheme="minorHAnsi" w:eastAsia="Calibri" w:hAnsiTheme="minorHAnsi" w:cstheme="minorHAnsi"/>
          <w:sz w:val="22"/>
          <w:szCs w:val="22"/>
        </w:rPr>
      </w:pPr>
      <w:r>
        <w:rPr>
          <w:rFonts w:asciiTheme="minorHAnsi" w:eastAsia="Calibri" w:hAnsiTheme="minorHAnsi" w:cstheme="minorHAnsi"/>
          <w:sz w:val="22"/>
          <w:szCs w:val="22"/>
        </w:rPr>
        <w:t>In addition to the above contraindications, careful monitoring is recommended when Paxlovid is used with a wide range of other medicines.</w:t>
      </w:r>
    </w:p>
    <w:p w14:paraId="0E67A569" w14:textId="19D621CF" w:rsidR="00F34499" w:rsidRPr="00D92A54" w:rsidRDefault="00F34499" w:rsidP="00F34499">
      <w:pPr>
        <w:pStyle w:val="ListParagraph"/>
        <w:numPr>
          <w:ilvl w:val="0"/>
          <w:numId w:val="9"/>
        </w:numPr>
        <w:spacing w:after="160" w:line="259" w:lineRule="auto"/>
        <w:rPr>
          <w:rFonts w:asciiTheme="minorHAnsi" w:eastAsia="Calibri" w:hAnsiTheme="minorHAnsi" w:cstheme="minorHAnsi"/>
          <w:sz w:val="22"/>
          <w:szCs w:val="22"/>
        </w:rPr>
      </w:pPr>
      <w:r w:rsidRPr="00D92A54">
        <w:rPr>
          <w:rFonts w:asciiTheme="minorHAnsi" w:eastAsia="Calibri" w:hAnsiTheme="minorHAnsi" w:cstheme="minorHAnsi"/>
          <w:sz w:val="22"/>
          <w:szCs w:val="22"/>
        </w:rPr>
        <w:t>For complete details of drug interactions, including</w:t>
      </w:r>
      <w:r>
        <w:rPr>
          <w:rFonts w:asciiTheme="minorHAnsi" w:eastAsia="Calibri" w:hAnsiTheme="minorHAnsi" w:cstheme="minorHAnsi"/>
          <w:sz w:val="22"/>
          <w:szCs w:val="22"/>
        </w:rPr>
        <w:t xml:space="preserve"> </w:t>
      </w:r>
      <w:r w:rsidRPr="00D92A54">
        <w:rPr>
          <w:rFonts w:asciiTheme="minorHAnsi" w:eastAsia="Calibri" w:hAnsiTheme="minorHAnsi" w:cstheme="minorHAnsi"/>
          <w:sz w:val="22"/>
          <w:szCs w:val="22"/>
        </w:rPr>
        <w:t>medicine</w:t>
      </w:r>
      <w:r>
        <w:rPr>
          <w:rFonts w:asciiTheme="minorHAnsi" w:eastAsia="Calibri" w:hAnsiTheme="minorHAnsi" w:cstheme="minorHAnsi"/>
          <w:sz w:val="22"/>
          <w:szCs w:val="22"/>
        </w:rPr>
        <w:t>s</w:t>
      </w:r>
      <w:r w:rsidRPr="00D92A54">
        <w:rPr>
          <w:rFonts w:asciiTheme="minorHAnsi" w:eastAsia="Calibri" w:hAnsiTheme="minorHAnsi" w:cstheme="minorHAnsi"/>
          <w:sz w:val="22"/>
          <w:szCs w:val="22"/>
        </w:rPr>
        <w:t xml:space="preserve"> for which concomitant use of Paxlovid is contraindicated, please refer to the Paxlovid </w:t>
      </w:r>
      <w:hyperlink r:id="rId10" w:history="1">
        <w:r w:rsidRPr="00D2284C">
          <w:rPr>
            <w:rStyle w:val="Hyperlink"/>
            <w:rFonts w:asciiTheme="minorHAnsi" w:eastAsia="Calibri" w:hAnsiTheme="minorHAnsi" w:cstheme="minorHAnsi"/>
            <w:sz w:val="22"/>
            <w:szCs w:val="22"/>
          </w:rPr>
          <w:t>Product Information</w:t>
        </w:r>
      </w:hyperlink>
      <w:r w:rsidRPr="00D92A54">
        <w:rPr>
          <w:rFonts w:asciiTheme="minorHAnsi" w:eastAsia="Calibri" w:hAnsiTheme="minorHAnsi" w:cstheme="minorHAnsi"/>
          <w:sz w:val="22"/>
          <w:szCs w:val="22"/>
        </w:rPr>
        <w:t xml:space="preserve"> approved by the </w:t>
      </w:r>
      <w:r w:rsidR="000D2BA9">
        <w:rPr>
          <w:rFonts w:asciiTheme="minorHAnsi" w:eastAsia="Calibri" w:hAnsiTheme="minorHAnsi" w:cstheme="minorHAnsi"/>
          <w:sz w:val="22"/>
          <w:szCs w:val="22"/>
        </w:rPr>
        <w:t>TGA</w:t>
      </w:r>
      <w:r>
        <w:rPr>
          <w:rFonts w:asciiTheme="minorHAnsi" w:eastAsia="Calibri" w:hAnsiTheme="minorHAnsi" w:cstheme="minorHAnsi"/>
          <w:sz w:val="22"/>
          <w:szCs w:val="22"/>
        </w:rPr>
        <w:t>.</w:t>
      </w:r>
    </w:p>
    <w:p w14:paraId="39415635" w14:textId="69227E28" w:rsidR="00F34499" w:rsidRPr="00D92A54" w:rsidRDefault="00F34499" w:rsidP="00F34499">
      <w:pPr>
        <w:pStyle w:val="ListParagraph"/>
        <w:numPr>
          <w:ilvl w:val="0"/>
          <w:numId w:val="9"/>
        </w:numPr>
        <w:spacing w:after="160" w:line="259" w:lineRule="auto"/>
        <w:rPr>
          <w:rFonts w:asciiTheme="minorHAnsi" w:eastAsia="Calibri" w:hAnsiTheme="minorHAnsi" w:cstheme="minorHAnsi"/>
          <w:sz w:val="22"/>
          <w:szCs w:val="22"/>
        </w:rPr>
      </w:pPr>
      <w:r w:rsidRPr="00E10328">
        <w:rPr>
          <w:rFonts w:asciiTheme="minorHAnsi" w:eastAsia="Calibri" w:hAnsiTheme="minorHAnsi" w:cstheme="minorHAnsi"/>
          <w:sz w:val="22"/>
          <w:szCs w:val="22"/>
        </w:rPr>
        <w:t>Prescribers and dispensers should carefully review a patient’s concomitant medications including over-the-counter medications, herbal supplements, and recreational drug</w:t>
      </w:r>
      <w:r w:rsidR="008546A8">
        <w:rPr>
          <w:rFonts w:asciiTheme="minorHAnsi" w:eastAsia="Calibri" w:hAnsiTheme="minorHAnsi" w:cstheme="minorHAnsi"/>
          <w:sz w:val="22"/>
          <w:szCs w:val="22"/>
        </w:rPr>
        <w:t xml:space="preserve"> before prescribing or dispensing Paxlovid.</w:t>
      </w:r>
    </w:p>
    <w:p w14:paraId="4D17EBC0" w14:textId="6B4EAE07" w:rsidR="00A9702A" w:rsidRDefault="0060495D" w:rsidP="0060495D">
      <w:pPr>
        <w:rPr>
          <w:rFonts w:cstheme="minorHAnsi"/>
          <w:b/>
          <w:bCs/>
          <w:color w:val="000000"/>
          <w:shd w:val="clear" w:color="auto" w:fill="FFFFFF"/>
        </w:rPr>
      </w:pPr>
      <w:r w:rsidRPr="00F34499">
        <w:rPr>
          <w:rFonts w:cstheme="minorHAnsi"/>
          <w:b/>
          <w:bCs/>
          <w:color w:val="000000"/>
          <w:shd w:val="clear" w:color="auto" w:fill="FFFFFF"/>
        </w:rPr>
        <w:t>Contraindication</w:t>
      </w:r>
      <w:r w:rsidR="008546A8">
        <w:rPr>
          <w:rFonts w:cstheme="minorHAnsi"/>
          <w:b/>
          <w:bCs/>
          <w:color w:val="000000"/>
          <w:shd w:val="clear" w:color="auto" w:fill="FFFFFF"/>
        </w:rPr>
        <w:t>s</w:t>
      </w:r>
    </w:p>
    <w:p w14:paraId="6F4469BE" w14:textId="00DBF820" w:rsidR="00D92A54" w:rsidRPr="00F34499" w:rsidRDefault="00DF1496" w:rsidP="00D92A54">
      <w:pPr>
        <w:pStyle w:val="ListParagraph"/>
        <w:numPr>
          <w:ilvl w:val="0"/>
          <w:numId w:val="31"/>
        </w:numPr>
        <w:rPr>
          <w:rFonts w:cstheme="minorHAnsi"/>
          <w:b/>
          <w:bCs/>
          <w:color w:val="000000"/>
          <w:sz w:val="22"/>
          <w:szCs w:val="22"/>
          <w:shd w:val="clear" w:color="auto" w:fill="FFFFFF"/>
        </w:rPr>
      </w:pPr>
      <w:r>
        <w:rPr>
          <w:rFonts w:asciiTheme="minorHAnsi" w:hAnsiTheme="minorHAnsi" w:cstheme="minorHAnsi"/>
          <w:color w:val="000000"/>
          <w:sz w:val="22"/>
          <w:szCs w:val="22"/>
          <w:shd w:val="clear" w:color="auto" w:fill="FFFFFF"/>
        </w:rPr>
        <w:t xml:space="preserve">The use of Paxlovid is contraindicated with </w:t>
      </w:r>
      <w:r w:rsidRPr="00F25F29">
        <w:rPr>
          <w:rFonts w:asciiTheme="minorHAnsi" w:eastAsia="Calibri" w:hAnsiTheme="minorHAnsi" w:cstheme="minorHAnsi"/>
          <w:sz w:val="22"/>
          <w:szCs w:val="22"/>
        </w:rPr>
        <w:t>drugs that are highly dependent on CYP3A for clearance</w:t>
      </w:r>
      <w:r w:rsidR="00D92A54">
        <w:rPr>
          <w:rFonts w:asciiTheme="minorHAnsi" w:eastAsia="Calibri" w:hAnsiTheme="minorHAnsi" w:cstheme="minorHAnsi"/>
          <w:sz w:val="22"/>
          <w:szCs w:val="22"/>
        </w:rPr>
        <w:t>, or potent inducers of CYP3A. Please refer to ‘Interactions with other medicines’ above for more information.</w:t>
      </w:r>
    </w:p>
    <w:p w14:paraId="51940021" w14:textId="11CA9CF3" w:rsidR="00D92A54" w:rsidRPr="00F34499" w:rsidRDefault="00D92A54" w:rsidP="00F34499">
      <w:pPr>
        <w:pStyle w:val="ListParagraph"/>
        <w:numPr>
          <w:ilvl w:val="0"/>
          <w:numId w:val="31"/>
        </w:numPr>
        <w:rPr>
          <w:rFonts w:cstheme="minorHAnsi"/>
          <w:b/>
          <w:bCs/>
          <w:color w:val="000000"/>
          <w:sz w:val="22"/>
          <w:szCs w:val="22"/>
          <w:shd w:val="clear" w:color="auto" w:fill="FFFFFF"/>
        </w:rPr>
      </w:pPr>
      <w:r>
        <w:rPr>
          <w:rFonts w:asciiTheme="minorHAnsi" w:hAnsiTheme="minorHAnsi" w:cstheme="minorHAnsi"/>
          <w:color w:val="000000"/>
          <w:sz w:val="22"/>
          <w:szCs w:val="22"/>
          <w:shd w:val="clear" w:color="auto" w:fill="FFFFFF"/>
        </w:rPr>
        <w:t xml:space="preserve">Paxlovid is contraindicated </w:t>
      </w:r>
      <w:r>
        <w:rPr>
          <w:rFonts w:asciiTheme="minorHAnsi" w:eastAsia="Calibri" w:hAnsiTheme="minorHAnsi" w:cstheme="minorHAnsi"/>
          <w:sz w:val="22"/>
          <w:szCs w:val="22"/>
        </w:rPr>
        <w:t>in patients with severe renal or hepatic impairment</w:t>
      </w:r>
      <w:r w:rsidR="000D2BA9">
        <w:rPr>
          <w:rFonts w:asciiTheme="minorHAnsi" w:eastAsia="Calibri" w:hAnsiTheme="minorHAnsi" w:cstheme="minorHAnsi"/>
          <w:sz w:val="22"/>
          <w:szCs w:val="22"/>
        </w:rPr>
        <w:t>.</w:t>
      </w:r>
    </w:p>
    <w:p w14:paraId="3C4B7BD4" w14:textId="0C09AC25" w:rsidR="00021DFA" w:rsidRPr="008245F0" w:rsidRDefault="00021DFA" w:rsidP="008963A0">
      <w:pPr>
        <w:spacing w:before="240"/>
        <w:rPr>
          <w:rFonts w:cstheme="minorHAnsi"/>
        </w:rPr>
      </w:pPr>
      <w:r w:rsidRPr="00535CAB">
        <w:rPr>
          <w:rFonts w:cstheme="minorHAnsi"/>
          <w:b/>
          <w:bCs/>
        </w:rPr>
        <w:t xml:space="preserve">Listing of </w:t>
      </w:r>
      <w:r>
        <w:rPr>
          <w:rFonts w:cstheme="minorHAnsi"/>
          <w:b/>
          <w:bCs/>
          <w:color w:val="000000"/>
          <w:shd w:val="clear" w:color="auto" w:fill="FFFFFF"/>
        </w:rPr>
        <w:t xml:space="preserve">medicines </w:t>
      </w:r>
      <w:r w:rsidRPr="00535CAB">
        <w:rPr>
          <w:rFonts w:cstheme="minorHAnsi"/>
          <w:b/>
          <w:bCs/>
        </w:rPr>
        <w:t xml:space="preserve">on the PBS </w:t>
      </w:r>
    </w:p>
    <w:p w14:paraId="36DA5280" w14:textId="245BB01C" w:rsidR="00021DFA" w:rsidRPr="004C2ED2" w:rsidRDefault="00021DFA" w:rsidP="004C2ED2">
      <w:pPr>
        <w:pStyle w:val="ListParagraph"/>
        <w:numPr>
          <w:ilvl w:val="0"/>
          <w:numId w:val="9"/>
        </w:numPr>
        <w:spacing w:after="160" w:line="259" w:lineRule="auto"/>
        <w:rPr>
          <w:rFonts w:asciiTheme="minorHAnsi" w:hAnsiTheme="minorHAnsi" w:cstheme="minorHAnsi"/>
          <w:color w:val="000000"/>
          <w:sz w:val="22"/>
          <w:szCs w:val="22"/>
        </w:rPr>
      </w:pPr>
      <w:r w:rsidRPr="004C2ED2">
        <w:rPr>
          <w:rFonts w:asciiTheme="minorHAnsi" w:hAnsiTheme="minorHAnsi" w:cstheme="minorHAnsi"/>
          <w:color w:val="000000"/>
          <w:sz w:val="22"/>
          <w:szCs w:val="22"/>
        </w:rPr>
        <w:t xml:space="preserve">The PBS is the main mechanism through which the Government subsidises the cost of medicines for the treatment of Australian patients. </w:t>
      </w:r>
    </w:p>
    <w:p w14:paraId="709BD436" w14:textId="33D70F25" w:rsidR="00021DFA" w:rsidRPr="004C2ED2" w:rsidRDefault="00021DFA" w:rsidP="004C2ED2">
      <w:pPr>
        <w:pStyle w:val="ListParagraph"/>
        <w:numPr>
          <w:ilvl w:val="0"/>
          <w:numId w:val="9"/>
        </w:numPr>
        <w:spacing w:after="160" w:line="259" w:lineRule="auto"/>
        <w:rPr>
          <w:rFonts w:asciiTheme="minorHAnsi" w:hAnsiTheme="minorHAnsi" w:cstheme="minorHAnsi"/>
          <w:color w:val="000000"/>
          <w:sz w:val="22"/>
          <w:szCs w:val="22"/>
        </w:rPr>
      </w:pPr>
      <w:r w:rsidRPr="004C2ED2">
        <w:rPr>
          <w:rFonts w:asciiTheme="minorHAnsi" w:hAnsiTheme="minorHAnsi" w:cstheme="minorHAnsi"/>
          <w:color w:val="000000"/>
          <w:sz w:val="22"/>
          <w:szCs w:val="22"/>
        </w:rPr>
        <w:t xml:space="preserve">The PBAC is an independent, expert, statutory body established under the </w:t>
      </w:r>
      <w:r w:rsidRPr="00F34499">
        <w:rPr>
          <w:rFonts w:asciiTheme="minorHAnsi" w:hAnsiTheme="minorHAnsi" w:cstheme="minorHAnsi"/>
          <w:i/>
          <w:iCs/>
          <w:color w:val="000000"/>
          <w:sz w:val="22"/>
          <w:szCs w:val="22"/>
        </w:rPr>
        <w:t>National Health Act 1953</w:t>
      </w:r>
      <w:r w:rsidRPr="004C2ED2">
        <w:rPr>
          <w:rFonts w:asciiTheme="minorHAnsi" w:hAnsiTheme="minorHAnsi" w:cstheme="minorHAnsi"/>
          <w:color w:val="000000"/>
          <w:sz w:val="22"/>
          <w:szCs w:val="22"/>
        </w:rPr>
        <w:t xml:space="preserve"> to make recommendations and give advice to the Australian Government and the Minister for Health </w:t>
      </w:r>
      <w:r w:rsidR="0075795A">
        <w:rPr>
          <w:rFonts w:asciiTheme="minorHAnsi" w:hAnsiTheme="minorHAnsi" w:cstheme="minorHAnsi"/>
          <w:color w:val="000000"/>
          <w:sz w:val="22"/>
          <w:szCs w:val="22"/>
        </w:rPr>
        <w:t xml:space="preserve">and Aged Care </w:t>
      </w:r>
      <w:r w:rsidRPr="004C2ED2">
        <w:rPr>
          <w:rFonts w:asciiTheme="minorHAnsi" w:hAnsiTheme="minorHAnsi" w:cstheme="minorHAnsi"/>
          <w:color w:val="000000"/>
          <w:sz w:val="22"/>
          <w:szCs w:val="22"/>
        </w:rPr>
        <w:t>about which drugs and medicinal preparations should be subsidised on the PBS.</w:t>
      </w:r>
    </w:p>
    <w:p w14:paraId="31404586" w14:textId="3040254C" w:rsidR="00021DFA" w:rsidRPr="004C2ED2" w:rsidRDefault="00021DFA" w:rsidP="004C2ED2">
      <w:pPr>
        <w:pStyle w:val="ListParagraph"/>
        <w:numPr>
          <w:ilvl w:val="0"/>
          <w:numId w:val="9"/>
        </w:numPr>
        <w:spacing w:after="160" w:line="259" w:lineRule="auto"/>
        <w:rPr>
          <w:rFonts w:asciiTheme="minorHAnsi" w:hAnsiTheme="minorHAnsi" w:cstheme="minorHAnsi"/>
          <w:color w:val="000000"/>
          <w:sz w:val="22"/>
          <w:szCs w:val="22"/>
        </w:rPr>
      </w:pPr>
      <w:r w:rsidRPr="004C2ED2">
        <w:rPr>
          <w:rFonts w:asciiTheme="minorHAnsi" w:hAnsiTheme="minorHAnsi" w:cstheme="minorHAnsi"/>
          <w:color w:val="000000"/>
          <w:sz w:val="22"/>
          <w:szCs w:val="22"/>
        </w:rPr>
        <w:t>Under legislation, a new medicine cannot be listed by the Government on the PBS unless the PBAC makes a recommendation in favour of listing.</w:t>
      </w:r>
    </w:p>
    <w:p w14:paraId="73877AD7" w14:textId="6B41E4C1" w:rsidR="00021DFA" w:rsidRPr="004C2ED2" w:rsidRDefault="00021DFA" w:rsidP="004C2ED2">
      <w:pPr>
        <w:pStyle w:val="ListParagraph"/>
        <w:numPr>
          <w:ilvl w:val="0"/>
          <w:numId w:val="9"/>
        </w:numPr>
        <w:spacing w:after="160" w:line="259" w:lineRule="auto"/>
        <w:rPr>
          <w:rFonts w:asciiTheme="minorHAnsi" w:hAnsiTheme="minorHAnsi" w:cstheme="minorHAnsi"/>
          <w:color w:val="000000"/>
          <w:sz w:val="22"/>
          <w:szCs w:val="22"/>
        </w:rPr>
      </w:pPr>
      <w:r w:rsidRPr="004C2ED2">
        <w:rPr>
          <w:rFonts w:asciiTheme="minorHAnsi" w:hAnsiTheme="minorHAnsi" w:cstheme="minorHAnsi"/>
          <w:color w:val="000000"/>
          <w:sz w:val="22"/>
          <w:szCs w:val="22"/>
        </w:rPr>
        <w:t>When the PBAC evaluates applications for PBS subsidy, it is legally required to take into account the clinical effectiveness (how well it works) and cost effectiveness (value for money) of the medicine compared to other available therapies. The PBAC also takes into account the approval of a product granted by the TGA.</w:t>
      </w:r>
    </w:p>
    <w:p w14:paraId="01D2F165" w14:textId="0B134237" w:rsidR="004C2ED2" w:rsidRPr="004C2ED2" w:rsidRDefault="00021DFA" w:rsidP="004C2ED2">
      <w:pPr>
        <w:pStyle w:val="ListParagraph"/>
        <w:numPr>
          <w:ilvl w:val="0"/>
          <w:numId w:val="9"/>
        </w:numPr>
        <w:spacing w:after="160" w:line="259" w:lineRule="auto"/>
        <w:rPr>
          <w:rFonts w:asciiTheme="minorHAnsi" w:hAnsiTheme="minorHAnsi" w:cstheme="minorHAnsi"/>
          <w:color w:val="000000"/>
          <w:sz w:val="22"/>
          <w:szCs w:val="22"/>
        </w:rPr>
      </w:pPr>
      <w:r w:rsidRPr="004C2ED2">
        <w:rPr>
          <w:rFonts w:asciiTheme="minorHAnsi" w:hAnsiTheme="minorHAnsi" w:cstheme="minorHAnsi"/>
          <w:color w:val="000000"/>
          <w:sz w:val="22"/>
          <w:szCs w:val="22"/>
        </w:rPr>
        <w:t xml:space="preserve">While assessing applications, the PBAC uses a rigorous health technology assessment methodology to evaluate a range of factors including the comparative effectiveness and cost of alternative treatments. </w:t>
      </w:r>
    </w:p>
    <w:p w14:paraId="0EAB83DE" w14:textId="22FA36BF" w:rsidR="004C2ED2" w:rsidRPr="004C2ED2" w:rsidRDefault="004C2ED2" w:rsidP="004C2ED2">
      <w:pPr>
        <w:rPr>
          <w:rFonts w:cstheme="minorHAnsi"/>
          <w:b/>
          <w:bCs/>
          <w:color w:val="000000"/>
        </w:rPr>
      </w:pPr>
      <w:r w:rsidRPr="004C2ED2">
        <w:rPr>
          <w:rFonts w:cstheme="minorHAnsi"/>
          <w:b/>
          <w:bCs/>
          <w:color w:val="000000"/>
        </w:rPr>
        <w:t>Further information</w:t>
      </w:r>
    </w:p>
    <w:p w14:paraId="29E0AEBD" w14:textId="2E5D1F0E" w:rsidR="00CF2FAA" w:rsidRDefault="008235FC" w:rsidP="004C2ED2">
      <w:pPr>
        <w:rPr>
          <w:rFonts w:cstheme="minorHAnsi"/>
          <w:color w:val="000000"/>
        </w:rPr>
      </w:pPr>
      <w:r>
        <w:rPr>
          <w:rFonts w:cstheme="minorHAnsi"/>
          <w:color w:val="000000"/>
        </w:rPr>
        <w:t xml:space="preserve">Further </w:t>
      </w:r>
      <w:r w:rsidR="00CF2FAA">
        <w:rPr>
          <w:rFonts w:cstheme="minorHAnsi"/>
          <w:color w:val="000000"/>
        </w:rPr>
        <w:t>information is available from</w:t>
      </w:r>
    </w:p>
    <w:p w14:paraId="6D9F1C43" w14:textId="79663231" w:rsidR="008235FC" w:rsidRDefault="008235FC" w:rsidP="004C2ED2">
      <w:r>
        <w:t>The Department of Health website</w:t>
      </w:r>
      <w:r w:rsidR="0067080A">
        <w:t>:</w:t>
      </w:r>
    </w:p>
    <w:p w14:paraId="5EE7BBDE" w14:textId="5B3685B6" w:rsidR="008235FC" w:rsidRDefault="00B002D0" w:rsidP="008235FC">
      <w:hyperlink r:id="rId11" w:history="1">
        <w:r w:rsidR="008235FC">
          <w:rPr>
            <w:rStyle w:val="Hyperlink"/>
          </w:rPr>
          <w:t>Oral treatments for COVID-19 | Australian Government Department of Health</w:t>
        </w:r>
      </w:hyperlink>
    </w:p>
    <w:p w14:paraId="74A8B79E" w14:textId="77777777" w:rsidR="00637265" w:rsidRPr="008E3D5A" w:rsidRDefault="00B002D0" w:rsidP="00637265">
      <w:pPr>
        <w:spacing w:before="100" w:beforeAutospacing="1" w:after="100" w:afterAutospacing="1" w:line="240" w:lineRule="auto"/>
        <w:rPr>
          <w:rFonts w:cstheme="minorHAnsi"/>
        </w:rPr>
      </w:pPr>
      <w:hyperlink r:id="rId12" w:history="1">
        <w:r w:rsidR="00637265" w:rsidRPr="00B002D0">
          <w:rPr>
            <w:rStyle w:val="Hyperlink"/>
            <w:rFonts w:cstheme="minorHAnsi"/>
          </w:rPr>
          <w:t>www.pbs.gov.au/browse/publications</w:t>
        </w:r>
      </w:hyperlink>
    </w:p>
    <w:p w14:paraId="7D8381B8" w14:textId="4C9B90D5" w:rsidR="008235FC" w:rsidRDefault="008235FC" w:rsidP="008235FC">
      <w:r>
        <w:t>The TGA website</w:t>
      </w:r>
      <w:r w:rsidR="0067080A">
        <w:t>:</w:t>
      </w:r>
      <w:r>
        <w:t xml:space="preserve"> </w:t>
      </w:r>
    </w:p>
    <w:p w14:paraId="16DB96BB" w14:textId="4472A728" w:rsidR="008235FC" w:rsidRDefault="00B002D0" w:rsidP="008235FC">
      <w:hyperlink r:id="rId13" w:history="1">
        <w:r w:rsidR="008235FC">
          <w:rPr>
            <w:rStyle w:val="Hyperlink"/>
          </w:rPr>
          <w:t>COVID-19 treatments: Provisional registrations | Therapeutic Goods Administration (TGA)</w:t>
        </w:r>
      </w:hyperlink>
    </w:p>
    <w:p w14:paraId="4C027F54" w14:textId="3E2A753A" w:rsidR="008235FC" w:rsidRDefault="008235FC" w:rsidP="004C2ED2">
      <w:pPr>
        <w:rPr>
          <w:rFonts w:cstheme="minorHAnsi"/>
          <w:color w:val="000000"/>
        </w:rPr>
      </w:pPr>
      <w:r>
        <w:rPr>
          <w:rFonts w:cstheme="minorHAnsi"/>
          <w:color w:val="000000"/>
        </w:rPr>
        <w:lastRenderedPageBreak/>
        <w:t xml:space="preserve">The National </w:t>
      </w:r>
      <w:r w:rsidR="00E80F1C">
        <w:rPr>
          <w:rFonts w:cstheme="minorHAnsi"/>
          <w:color w:val="000000"/>
        </w:rPr>
        <w:t xml:space="preserve">COVID-19 </w:t>
      </w:r>
      <w:r>
        <w:rPr>
          <w:rFonts w:cstheme="minorHAnsi"/>
          <w:color w:val="000000"/>
        </w:rPr>
        <w:t>Clinical Evidence Taskforce website</w:t>
      </w:r>
      <w:r w:rsidR="0067080A">
        <w:rPr>
          <w:rFonts w:cstheme="minorHAnsi"/>
          <w:color w:val="000000"/>
        </w:rPr>
        <w:t>:</w:t>
      </w:r>
    </w:p>
    <w:p w14:paraId="7DE01785" w14:textId="7F7DF80E" w:rsidR="0075795A" w:rsidRDefault="00B002D0" w:rsidP="004C2ED2">
      <w:pPr>
        <w:rPr>
          <w:rFonts w:cstheme="minorHAnsi"/>
          <w:color w:val="000000"/>
        </w:rPr>
      </w:pPr>
      <w:hyperlink r:id="rId14" w:history="1">
        <w:r w:rsidR="0075795A">
          <w:rPr>
            <w:rStyle w:val="Hyperlink"/>
          </w:rPr>
          <w:t>Home - National COVID-19 Clinical Evidence Taskforce (covid19evidence.net.au)</w:t>
        </w:r>
      </w:hyperlink>
    </w:p>
    <w:p w14:paraId="4CC66AFB" w14:textId="6ED8EED3" w:rsidR="009572BF" w:rsidRDefault="009572BF">
      <w:pPr>
        <w:rPr>
          <w:rFonts w:cstheme="minorHAnsi"/>
          <w:color w:val="000000"/>
        </w:rPr>
      </w:pPr>
      <w:r>
        <w:rPr>
          <w:rFonts w:cstheme="minorHAnsi"/>
          <w:color w:val="000000"/>
        </w:rPr>
        <w:br w:type="page"/>
      </w:r>
    </w:p>
    <w:p w14:paraId="0D3A090D" w14:textId="77777777" w:rsidR="00637265" w:rsidRPr="00B002D0" w:rsidRDefault="00637265" w:rsidP="00637265">
      <w:pPr>
        <w:pStyle w:val="MPS3Drugname-block"/>
        <w:spacing w:before="600"/>
        <w:ind w:hanging="142"/>
      </w:pPr>
      <w:bookmarkStart w:id="3" w:name="f-1070283-536161000144105-1"/>
      <w:bookmarkStart w:id="4" w:name="f-1070283"/>
      <w:bookmarkStart w:id="5" w:name="f-1070249-536161000144105"/>
      <w:r w:rsidRPr="00B002D0">
        <w:lastRenderedPageBreak/>
        <w:t>NIRMATRELVIR (&amp;) RITONAVIR</w:t>
      </w:r>
      <w:r w:rsidRPr="00B002D0">
        <w:fldChar w:fldCharType="begin"/>
      </w:r>
      <w:r w:rsidRPr="00B002D0">
        <w:instrText>XE "NIRMATRELVIR (&amp;) RITONAVIR"</w:instrText>
      </w:r>
      <w:r w:rsidRPr="00B002D0">
        <w:fldChar w:fldCharType="end"/>
      </w:r>
    </w:p>
    <w:p w14:paraId="0679F7F1" w14:textId="688B82DE" w:rsidR="00637265" w:rsidRPr="00B002D0" w:rsidRDefault="00637265" w:rsidP="00637265">
      <w:pPr>
        <w:pStyle w:val="MPS3Cautiontype"/>
        <w:rPr>
          <w:vanish/>
          <w:specVanish/>
        </w:rPr>
      </w:pPr>
      <w:bookmarkStart w:id="6" w:name="f-1070283-d72324e15"/>
      <w:bookmarkEnd w:id="3"/>
      <w:r w:rsidRPr="00B002D0">
        <w:t>Caution</w:t>
      </w:r>
      <w:r w:rsidR="00BF6712" w:rsidRPr="00B002D0">
        <w:t xml:space="preserve"> </w:t>
      </w:r>
    </w:p>
    <w:p w14:paraId="10297F38" w14:textId="77777777" w:rsidR="00637265" w:rsidRPr="00B002D0" w:rsidRDefault="00637265" w:rsidP="00637265">
      <w:pPr>
        <w:pStyle w:val="MPS3Cautioninformation"/>
      </w:pPr>
      <w:proofErr w:type="spellStart"/>
      <w:r w:rsidRPr="00B002D0">
        <w:t>Nirmatrelvir</w:t>
      </w:r>
      <w:proofErr w:type="spellEnd"/>
      <w:r w:rsidRPr="00B002D0">
        <w:t xml:space="preserve"> with ritonavir has significant drug-drug interactions. Please refer to the TGA approved Paxlovid Product Information. Prescribers and dispensers should carefully review a patient's concomitant medications including over-the-counter medications, herbal supplements, and recreational drugs.</w:t>
      </w:r>
    </w:p>
    <w:p w14:paraId="23023055" w14:textId="2B6DB99A" w:rsidR="00637265" w:rsidRPr="00B002D0" w:rsidRDefault="00637265" w:rsidP="00637265">
      <w:pPr>
        <w:pStyle w:val="MPS3Notehead"/>
        <w:rPr>
          <w:vanish/>
          <w:specVanish/>
        </w:rPr>
      </w:pPr>
      <w:bookmarkStart w:id="7" w:name="f-1070283-d72324e69"/>
      <w:bookmarkEnd w:id="6"/>
      <w:r w:rsidRPr="00B002D0">
        <w:t xml:space="preserve">Note </w:t>
      </w:r>
    </w:p>
    <w:p w14:paraId="2604EE12" w14:textId="77777777" w:rsidR="00637265" w:rsidRPr="00B002D0" w:rsidRDefault="00637265" w:rsidP="00637265">
      <w:pPr>
        <w:pStyle w:val="MPS3notebody"/>
      </w:pPr>
      <w:r w:rsidRPr="00B002D0">
        <w:t>No increase in the maximum quantity or number of units may be authorised.</w:t>
      </w:r>
    </w:p>
    <w:p w14:paraId="262DDD11" w14:textId="2B760557" w:rsidR="00637265" w:rsidRPr="00B002D0" w:rsidRDefault="00637265" w:rsidP="00637265">
      <w:pPr>
        <w:pStyle w:val="MPS3Notehead"/>
        <w:rPr>
          <w:vanish/>
          <w:specVanish/>
        </w:rPr>
      </w:pPr>
      <w:bookmarkStart w:id="8" w:name="f-1070283-d72324e72"/>
      <w:bookmarkEnd w:id="7"/>
      <w:r w:rsidRPr="00B002D0">
        <w:t xml:space="preserve">Note </w:t>
      </w:r>
    </w:p>
    <w:p w14:paraId="48869550" w14:textId="77777777" w:rsidR="00637265" w:rsidRPr="00B002D0" w:rsidRDefault="00637265" w:rsidP="00637265">
      <w:pPr>
        <w:pStyle w:val="MPS3notebody"/>
      </w:pPr>
      <w:r w:rsidRPr="00B002D0">
        <w:t>No increase in the maximum number of repeats may be authorised.</w:t>
      </w:r>
    </w:p>
    <w:p w14:paraId="6E1B0A7B" w14:textId="77777777" w:rsidR="00637265" w:rsidRPr="00B002D0" w:rsidRDefault="00637265" w:rsidP="00637265">
      <w:pPr>
        <w:pStyle w:val="MPS3noteend"/>
      </w:pPr>
    </w:p>
    <w:p w14:paraId="1E6E0A85" w14:textId="77777777" w:rsidR="00637265" w:rsidRPr="00B002D0" w:rsidRDefault="00637265" w:rsidP="00637265">
      <w:pPr>
        <w:pStyle w:val="MPS3Restrictiontype"/>
      </w:pPr>
      <w:bookmarkStart w:id="9" w:name="f-1070283-d72324e19"/>
      <w:bookmarkEnd w:id="8"/>
      <w:r w:rsidRPr="00B002D0">
        <w:t>Authority required (STREAMLINED)</w:t>
      </w:r>
    </w:p>
    <w:p w14:paraId="7E965147" w14:textId="77777777" w:rsidR="00637265" w:rsidRPr="00B002D0" w:rsidRDefault="00637265" w:rsidP="00637265">
      <w:pPr>
        <w:pStyle w:val="MPS3RestrictionNumber"/>
      </w:pPr>
      <w:r w:rsidRPr="00B002D0">
        <w:t>13112</w:t>
      </w:r>
    </w:p>
    <w:p w14:paraId="67B8FD23" w14:textId="77777777" w:rsidR="00637265" w:rsidRPr="00B002D0" w:rsidRDefault="00637265" w:rsidP="00637265">
      <w:pPr>
        <w:pStyle w:val="MPS3Restrictioninformation"/>
      </w:pPr>
      <w:r w:rsidRPr="00B002D0">
        <w:t>SARS-CoV-2 infection</w:t>
      </w:r>
    </w:p>
    <w:p w14:paraId="6B1BA86D" w14:textId="77777777" w:rsidR="00BF6712" w:rsidRPr="00B002D0" w:rsidRDefault="00BF6712" w:rsidP="00637265">
      <w:pPr>
        <w:pStyle w:val="MPS3Restrictioninformation"/>
        <w:rPr>
          <w:b/>
        </w:rPr>
      </w:pPr>
    </w:p>
    <w:p w14:paraId="3ED41ABB" w14:textId="4B287BA1" w:rsidR="00637265" w:rsidRPr="00B002D0" w:rsidRDefault="00637265" w:rsidP="00637265">
      <w:pPr>
        <w:pStyle w:val="MPS3Restrictioninformation"/>
      </w:pPr>
      <w:r w:rsidRPr="00B002D0">
        <w:rPr>
          <w:b/>
        </w:rPr>
        <w:t>Clinical criteria:</w:t>
      </w:r>
    </w:p>
    <w:p w14:paraId="6A124ACD" w14:textId="77777777" w:rsidR="00637265" w:rsidRPr="00B002D0" w:rsidRDefault="00637265" w:rsidP="00637265">
      <w:pPr>
        <w:pStyle w:val="ListBullet"/>
      </w:pPr>
      <w:r w:rsidRPr="00B002D0">
        <w:t>Patient must have received a positive polymerase chain reaction (PCR) test result; OR</w:t>
      </w:r>
    </w:p>
    <w:p w14:paraId="5ACC96A1" w14:textId="77777777" w:rsidR="00637265" w:rsidRPr="00B002D0" w:rsidRDefault="00637265" w:rsidP="00637265">
      <w:pPr>
        <w:pStyle w:val="ListBullet"/>
        <w:rPr>
          <w:vanish/>
          <w:specVanish/>
        </w:rPr>
      </w:pPr>
      <w:r w:rsidRPr="00B002D0">
        <w:t xml:space="preserve">Patient must have received a positive rapid antigen test (RAT) result verified by a medical practitioner or nurse </w:t>
      </w:r>
      <w:proofErr w:type="spellStart"/>
      <w:r w:rsidRPr="00B002D0">
        <w:t>practitioner,</w:t>
      </w:r>
    </w:p>
    <w:p w14:paraId="75BB7780" w14:textId="77777777" w:rsidR="00637265" w:rsidRPr="00B002D0" w:rsidRDefault="00637265" w:rsidP="00637265">
      <w:pPr>
        <w:pStyle w:val="MPS3Restrictioninformation"/>
      </w:pPr>
      <w:r w:rsidRPr="00B002D0">
        <w:rPr>
          <w:b/>
        </w:rPr>
        <w:t>AND</w:t>
      </w:r>
      <w:proofErr w:type="spellEnd"/>
    </w:p>
    <w:p w14:paraId="33E4619C" w14:textId="77777777" w:rsidR="00637265" w:rsidRPr="00B002D0" w:rsidRDefault="00637265" w:rsidP="00637265">
      <w:pPr>
        <w:pStyle w:val="ListBullet"/>
        <w:rPr>
          <w:vanish/>
          <w:specVanish/>
        </w:rPr>
      </w:pPr>
      <w:r w:rsidRPr="00B002D0">
        <w:t xml:space="preserve">Patient must not require hospitalisation at the time of </w:t>
      </w:r>
      <w:proofErr w:type="spellStart"/>
      <w:r w:rsidRPr="00B002D0">
        <w:t>prescribing,</w:t>
      </w:r>
    </w:p>
    <w:p w14:paraId="5B817E1A" w14:textId="77777777" w:rsidR="00637265" w:rsidRPr="00B002D0" w:rsidRDefault="00637265" w:rsidP="00637265">
      <w:pPr>
        <w:pStyle w:val="MPS3Restrictioninformation"/>
      </w:pPr>
      <w:r w:rsidRPr="00B002D0">
        <w:rPr>
          <w:b/>
        </w:rPr>
        <w:t>AND</w:t>
      </w:r>
      <w:proofErr w:type="spellEnd"/>
    </w:p>
    <w:p w14:paraId="11CFA2E2" w14:textId="77777777" w:rsidR="00637265" w:rsidRPr="00B002D0" w:rsidRDefault="00637265" w:rsidP="00637265">
      <w:pPr>
        <w:pStyle w:val="ListBullet"/>
      </w:pPr>
      <w:r w:rsidRPr="00B002D0">
        <w:t>The treatment must be initiated within 5 days of symptom onset; OR</w:t>
      </w:r>
    </w:p>
    <w:p w14:paraId="65A8801B" w14:textId="77777777" w:rsidR="00637265" w:rsidRPr="00B002D0" w:rsidRDefault="00637265" w:rsidP="00637265">
      <w:pPr>
        <w:pStyle w:val="ListBullet"/>
      </w:pPr>
      <w:r w:rsidRPr="00B002D0">
        <w:t xml:space="preserve">The treatment must be initiated as soon as possible after a diagnosis is confirmed </w:t>
      </w:r>
      <w:proofErr w:type="gramStart"/>
      <w:r w:rsidRPr="00B002D0">
        <w:t>where</w:t>
      </w:r>
      <w:proofErr w:type="gramEnd"/>
      <w:r w:rsidRPr="00B002D0">
        <w:t xml:space="preserve"> asymptomatic.</w:t>
      </w:r>
    </w:p>
    <w:p w14:paraId="28EE8D4A" w14:textId="77777777" w:rsidR="00BF6712" w:rsidRPr="00B002D0" w:rsidRDefault="00BF6712" w:rsidP="00637265">
      <w:pPr>
        <w:pStyle w:val="MPS3Restrictioninformation"/>
        <w:rPr>
          <w:b/>
        </w:rPr>
      </w:pPr>
    </w:p>
    <w:p w14:paraId="0C477B01" w14:textId="1F194EBE" w:rsidR="00637265" w:rsidRPr="00B002D0" w:rsidRDefault="00637265" w:rsidP="00637265">
      <w:pPr>
        <w:pStyle w:val="MPS3Restrictioninformation"/>
      </w:pPr>
      <w:r w:rsidRPr="00B002D0">
        <w:rPr>
          <w:b/>
        </w:rPr>
        <w:t>Population criteria:</w:t>
      </w:r>
    </w:p>
    <w:p w14:paraId="2D469E1F" w14:textId="77777777" w:rsidR="00637265" w:rsidRPr="00B002D0" w:rsidRDefault="00637265" w:rsidP="00637265">
      <w:pPr>
        <w:pStyle w:val="ListBullet"/>
      </w:pPr>
      <w:r w:rsidRPr="00B002D0">
        <w:t>Patient must be at least 70 years of age.</w:t>
      </w:r>
    </w:p>
    <w:p w14:paraId="092CCD0D" w14:textId="77777777" w:rsidR="00637265" w:rsidRPr="00B002D0" w:rsidRDefault="00637265" w:rsidP="00637265">
      <w:pPr>
        <w:pStyle w:val="MPS3Restrictioninformation"/>
      </w:pPr>
      <w:r w:rsidRPr="00B002D0">
        <w:t>Access to this drug through this restriction is permitted irrespective of vaccination status.</w:t>
      </w:r>
    </w:p>
    <w:p w14:paraId="16C331A2" w14:textId="77777777" w:rsidR="00637265" w:rsidRPr="00B002D0" w:rsidRDefault="00637265" w:rsidP="00637265">
      <w:pPr>
        <w:pStyle w:val="MPS3Restrictioninformation"/>
      </w:pPr>
      <w:r w:rsidRPr="00B002D0">
        <w:t>Where PCR is used to confirm diagnosis, the result, testing date, location and test provider must be recorded on the patient record.</w:t>
      </w:r>
    </w:p>
    <w:p w14:paraId="5953D962" w14:textId="77777777" w:rsidR="00637265" w:rsidRPr="00B002D0" w:rsidRDefault="00637265" w:rsidP="00637265">
      <w:pPr>
        <w:pStyle w:val="MPS3Restrictioninformation"/>
      </w:pPr>
      <w:r w:rsidRPr="00B002D0">
        <w:t>Where a RAT is used to confirm diagnosis, the test must be verified by a medical practitioner or nurse practitioner. The test result, testing date, location and test provider (where relevant) must be recorded on the patient record.</w:t>
      </w:r>
    </w:p>
    <w:p w14:paraId="00C77406" w14:textId="77777777" w:rsidR="00637265" w:rsidRPr="00B002D0" w:rsidRDefault="00637265" w:rsidP="00637265">
      <w:pPr>
        <w:pStyle w:val="MPS3Restrictioninformation"/>
      </w:pPr>
      <w:r w:rsidRPr="00B002D0">
        <w:t>This drug is not PBS-subsidised for pre-exposure or post-exposure prophylaxis for the prevention of SARS-CoV-2 infection.</w:t>
      </w:r>
    </w:p>
    <w:p w14:paraId="6336E54C" w14:textId="77777777" w:rsidR="00BF6712" w:rsidRPr="00B002D0" w:rsidRDefault="00BF6712" w:rsidP="00637265">
      <w:pPr>
        <w:pStyle w:val="MPS3Restrictiontype"/>
      </w:pPr>
      <w:bookmarkStart w:id="10" w:name="f-1070283-d72324e117"/>
      <w:bookmarkEnd w:id="9"/>
    </w:p>
    <w:p w14:paraId="7EBAC179" w14:textId="748D13A0" w:rsidR="00637265" w:rsidRPr="00B002D0" w:rsidRDefault="00637265" w:rsidP="00637265">
      <w:pPr>
        <w:pStyle w:val="MPS3Restrictiontype"/>
      </w:pPr>
      <w:r w:rsidRPr="00B002D0">
        <w:t>Authority required (STREAMLINED)</w:t>
      </w:r>
    </w:p>
    <w:p w14:paraId="5D9D411B" w14:textId="77777777" w:rsidR="00637265" w:rsidRPr="00B002D0" w:rsidRDefault="00637265" w:rsidP="00637265">
      <w:pPr>
        <w:pStyle w:val="MPS3RestrictionNumber"/>
      </w:pPr>
      <w:r w:rsidRPr="00B002D0">
        <w:t>13110</w:t>
      </w:r>
    </w:p>
    <w:p w14:paraId="74D7A1D1" w14:textId="77777777" w:rsidR="00637265" w:rsidRPr="00B002D0" w:rsidRDefault="00637265" w:rsidP="00637265">
      <w:pPr>
        <w:pStyle w:val="MPS3Restrictioninformation"/>
      </w:pPr>
      <w:r w:rsidRPr="00B002D0">
        <w:t>SARS-CoV-2 infection</w:t>
      </w:r>
    </w:p>
    <w:p w14:paraId="56866808" w14:textId="77777777" w:rsidR="00BF6712" w:rsidRPr="00B002D0" w:rsidRDefault="00BF6712" w:rsidP="00637265">
      <w:pPr>
        <w:pStyle w:val="MPS3Restrictioninformation"/>
        <w:rPr>
          <w:b/>
        </w:rPr>
      </w:pPr>
    </w:p>
    <w:p w14:paraId="0F67B62E" w14:textId="4C077E55" w:rsidR="00637265" w:rsidRPr="00B002D0" w:rsidRDefault="00637265" w:rsidP="00637265">
      <w:pPr>
        <w:pStyle w:val="MPS3Restrictioninformation"/>
      </w:pPr>
      <w:r w:rsidRPr="00B002D0">
        <w:rPr>
          <w:b/>
        </w:rPr>
        <w:t>Clinical criteria:</w:t>
      </w:r>
    </w:p>
    <w:p w14:paraId="18C4C1E1" w14:textId="77777777" w:rsidR="00637265" w:rsidRPr="00B002D0" w:rsidRDefault="00637265" w:rsidP="00637265">
      <w:pPr>
        <w:pStyle w:val="ListBullet"/>
      </w:pPr>
      <w:r w:rsidRPr="00B002D0">
        <w:t>Patient must have received a positive polymerase chain reaction (PCR) test result; OR</w:t>
      </w:r>
    </w:p>
    <w:p w14:paraId="4F4E8CEF" w14:textId="77777777" w:rsidR="00637265" w:rsidRPr="00B002D0" w:rsidRDefault="00637265" w:rsidP="00637265">
      <w:pPr>
        <w:pStyle w:val="ListBullet"/>
        <w:rPr>
          <w:vanish/>
          <w:specVanish/>
        </w:rPr>
      </w:pPr>
      <w:r w:rsidRPr="00B002D0">
        <w:t xml:space="preserve">Patient must have received a positive rapid antigen test (RAT) result verified by a medical practitioner or nurse </w:t>
      </w:r>
      <w:proofErr w:type="spellStart"/>
      <w:r w:rsidRPr="00B002D0">
        <w:t>practitioner,</w:t>
      </w:r>
    </w:p>
    <w:p w14:paraId="13818F82" w14:textId="77777777" w:rsidR="00637265" w:rsidRPr="00B002D0" w:rsidRDefault="00637265" w:rsidP="00637265">
      <w:pPr>
        <w:pStyle w:val="MPS3Restrictioninformation"/>
      </w:pPr>
      <w:r w:rsidRPr="00B002D0">
        <w:rPr>
          <w:b/>
        </w:rPr>
        <w:t>AND</w:t>
      </w:r>
      <w:proofErr w:type="spellEnd"/>
    </w:p>
    <w:p w14:paraId="6C6B2A2B" w14:textId="77777777" w:rsidR="00637265" w:rsidRPr="00B002D0" w:rsidRDefault="00637265" w:rsidP="00637265">
      <w:pPr>
        <w:pStyle w:val="ListBullet"/>
        <w:rPr>
          <w:vanish/>
          <w:specVanish/>
        </w:rPr>
      </w:pPr>
      <w:r w:rsidRPr="00B002D0">
        <w:t>Patient must have at least one sign or symptom attributable to COVID-19,</w:t>
      </w:r>
    </w:p>
    <w:p w14:paraId="663D9972" w14:textId="77777777" w:rsidR="00637265" w:rsidRPr="00B002D0" w:rsidRDefault="00637265" w:rsidP="00637265">
      <w:pPr>
        <w:pStyle w:val="MPS3Restrictioninformation"/>
      </w:pPr>
      <w:r w:rsidRPr="00B002D0">
        <w:rPr>
          <w:b/>
        </w:rPr>
        <w:t>AND</w:t>
      </w:r>
    </w:p>
    <w:p w14:paraId="6434A4EC" w14:textId="77777777" w:rsidR="00637265" w:rsidRPr="00B002D0" w:rsidRDefault="00637265" w:rsidP="00637265">
      <w:pPr>
        <w:pStyle w:val="ListBullet"/>
        <w:rPr>
          <w:vanish/>
          <w:specVanish/>
        </w:rPr>
      </w:pPr>
      <w:r w:rsidRPr="00B002D0">
        <w:t xml:space="preserve">Patient must not require hospitalisation at the time of </w:t>
      </w:r>
      <w:proofErr w:type="spellStart"/>
      <w:r w:rsidRPr="00B002D0">
        <w:t>prescribing,</w:t>
      </w:r>
    </w:p>
    <w:p w14:paraId="52A7CAE6" w14:textId="77777777" w:rsidR="00637265" w:rsidRPr="00B002D0" w:rsidRDefault="00637265" w:rsidP="00637265">
      <w:pPr>
        <w:pStyle w:val="MPS3Restrictioninformation"/>
      </w:pPr>
      <w:r w:rsidRPr="00B002D0">
        <w:rPr>
          <w:b/>
        </w:rPr>
        <w:t>AND</w:t>
      </w:r>
      <w:proofErr w:type="spellEnd"/>
    </w:p>
    <w:p w14:paraId="0A1FB93E" w14:textId="77777777" w:rsidR="00637265" w:rsidRPr="00B002D0" w:rsidRDefault="00637265" w:rsidP="00637265">
      <w:pPr>
        <w:pStyle w:val="ListBullet"/>
        <w:rPr>
          <w:vanish/>
          <w:specVanish/>
        </w:rPr>
      </w:pPr>
      <w:r w:rsidRPr="00B002D0">
        <w:t xml:space="preserve">Patient must be moderately to severely </w:t>
      </w:r>
      <w:proofErr w:type="spellStart"/>
      <w:r w:rsidRPr="00B002D0">
        <w:t>immunocompromised,</w:t>
      </w:r>
    </w:p>
    <w:p w14:paraId="7E123146" w14:textId="77777777" w:rsidR="00637265" w:rsidRPr="00B002D0" w:rsidRDefault="00637265" w:rsidP="00637265">
      <w:pPr>
        <w:pStyle w:val="MPS3Restrictioninformation"/>
      </w:pPr>
      <w:r w:rsidRPr="00B002D0">
        <w:rPr>
          <w:b/>
        </w:rPr>
        <w:t>AND</w:t>
      </w:r>
      <w:proofErr w:type="spellEnd"/>
    </w:p>
    <w:p w14:paraId="1AF93BA6" w14:textId="77777777" w:rsidR="00637265" w:rsidRPr="00B002D0" w:rsidRDefault="00637265" w:rsidP="00637265">
      <w:pPr>
        <w:pStyle w:val="ListBullet"/>
        <w:rPr>
          <w:vanish/>
          <w:specVanish/>
        </w:rPr>
      </w:pPr>
      <w:r w:rsidRPr="00B002D0">
        <w:t xml:space="preserve">Patient must be at risk of progression to severe disease due to immunocompromised </w:t>
      </w:r>
      <w:proofErr w:type="spellStart"/>
      <w:r w:rsidRPr="00B002D0">
        <w:t>status,</w:t>
      </w:r>
    </w:p>
    <w:p w14:paraId="66721476" w14:textId="77777777" w:rsidR="00637265" w:rsidRPr="00B002D0" w:rsidRDefault="00637265" w:rsidP="00637265">
      <w:pPr>
        <w:pStyle w:val="MPS3Restrictioninformation"/>
      </w:pPr>
      <w:r w:rsidRPr="00B002D0">
        <w:rPr>
          <w:b/>
        </w:rPr>
        <w:t>AND</w:t>
      </w:r>
      <w:proofErr w:type="spellEnd"/>
    </w:p>
    <w:p w14:paraId="4187E5CF" w14:textId="77777777" w:rsidR="00637265" w:rsidRPr="00B002D0" w:rsidRDefault="00637265" w:rsidP="00637265">
      <w:pPr>
        <w:pStyle w:val="ListBullet"/>
      </w:pPr>
      <w:r w:rsidRPr="00B002D0">
        <w:t>The treatment must be initiated within 5 days of symptom onset.</w:t>
      </w:r>
    </w:p>
    <w:p w14:paraId="4897A6D5" w14:textId="77777777" w:rsidR="00BF6712" w:rsidRPr="00B002D0" w:rsidRDefault="00BF6712" w:rsidP="00637265">
      <w:pPr>
        <w:pStyle w:val="MPS3Restrictioninformation"/>
        <w:rPr>
          <w:b/>
        </w:rPr>
      </w:pPr>
    </w:p>
    <w:p w14:paraId="1588021B" w14:textId="7D51DCFC" w:rsidR="00637265" w:rsidRPr="00B002D0" w:rsidRDefault="00637265" w:rsidP="00637265">
      <w:pPr>
        <w:pStyle w:val="MPS3Restrictioninformation"/>
      </w:pPr>
      <w:r w:rsidRPr="00B002D0">
        <w:rPr>
          <w:b/>
        </w:rPr>
        <w:t>Population criteria:</w:t>
      </w:r>
    </w:p>
    <w:p w14:paraId="1DC5795D" w14:textId="77777777" w:rsidR="00637265" w:rsidRPr="00B002D0" w:rsidRDefault="00637265" w:rsidP="00637265">
      <w:pPr>
        <w:pStyle w:val="ListBullet"/>
      </w:pPr>
      <w:r w:rsidRPr="00B002D0">
        <w:t>Patient must be at least 18 years of age.</w:t>
      </w:r>
    </w:p>
    <w:p w14:paraId="3BCD9710" w14:textId="77777777" w:rsidR="00637265" w:rsidRPr="00B002D0" w:rsidRDefault="00637265" w:rsidP="00637265">
      <w:pPr>
        <w:pStyle w:val="MPS3Restrictioninformation"/>
      </w:pPr>
      <w:r w:rsidRPr="00B002D0">
        <w:t>For the purpose of administering this restriction, 'moderately to severely immunocompromised' patients are those with:</w:t>
      </w:r>
    </w:p>
    <w:p w14:paraId="59291614" w14:textId="77777777" w:rsidR="00637265" w:rsidRPr="00B002D0" w:rsidRDefault="00637265" w:rsidP="00637265">
      <w:pPr>
        <w:pStyle w:val="MPS3Restrictioninformation"/>
      </w:pPr>
      <w:r w:rsidRPr="00B002D0">
        <w:t>1. Any primary or acquired immunodeficiency including:</w:t>
      </w:r>
    </w:p>
    <w:p w14:paraId="1840F23B" w14:textId="77777777" w:rsidR="00637265" w:rsidRPr="00B002D0" w:rsidRDefault="00637265" w:rsidP="00637265">
      <w:pPr>
        <w:pStyle w:val="MPS3Restrictioninformation"/>
      </w:pPr>
      <w:r w:rsidRPr="00B002D0">
        <w:t xml:space="preserve">a. Haematologic neoplasms: </w:t>
      </w:r>
      <w:proofErr w:type="spellStart"/>
      <w:r w:rsidRPr="00B002D0">
        <w:t>leukaemias</w:t>
      </w:r>
      <w:proofErr w:type="spellEnd"/>
      <w:r w:rsidRPr="00B002D0">
        <w:t>, lymphomas, myelodysplastic syndromes, multiple myeloma and other plasma cell disorders,</w:t>
      </w:r>
    </w:p>
    <w:p w14:paraId="0E9989AB" w14:textId="77777777" w:rsidR="00637265" w:rsidRPr="00B002D0" w:rsidRDefault="00637265" w:rsidP="00637265">
      <w:pPr>
        <w:pStyle w:val="MPS3Restrictioninformation"/>
      </w:pPr>
      <w:r w:rsidRPr="00B002D0">
        <w:t>b. Post-transplant: solid organ (on immunosuppressive therapy), haematopoietic stem cell transplant (within 24 months),</w:t>
      </w:r>
    </w:p>
    <w:p w14:paraId="33431C7F" w14:textId="77777777" w:rsidR="00637265" w:rsidRPr="00B002D0" w:rsidRDefault="00637265" w:rsidP="00637265">
      <w:pPr>
        <w:pStyle w:val="MPS3Restrictioninformation"/>
      </w:pPr>
      <w:r w:rsidRPr="00B002D0">
        <w:t>c. Immunocompromised due to primary or acquired (HIV/AIDS) immunodeficiency; OR</w:t>
      </w:r>
    </w:p>
    <w:p w14:paraId="30A8F088" w14:textId="77777777" w:rsidR="00637265" w:rsidRPr="00B002D0" w:rsidRDefault="00637265" w:rsidP="00637265">
      <w:pPr>
        <w:pStyle w:val="MPS3Restrictioninformation"/>
      </w:pPr>
      <w:r w:rsidRPr="00B002D0">
        <w:t>2. Any significantly immunocompromising condition(s) where, in the last 3 months the patient has received:</w:t>
      </w:r>
    </w:p>
    <w:p w14:paraId="5C205451" w14:textId="77777777" w:rsidR="00637265" w:rsidRPr="00B002D0" w:rsidRDefault="00637265" w:rsidP="00637265">
      <w:pPr>
        <w:pStyle w:val="MPS3Restrictioninformation"/>
      </w:pPr>
      <w:r w:rsidRPr="00B002D0">
        <w:t>a. Chemotherapy or whole body radiotherapy,</w:t>
      </w:r>
    </w:p>
    <w:p w14:paraId="5F4F8921" w14:textId="77777777" w:rsidR="00637265" w:rsidRPr="00B002D0" w:rsidRDefault="00637265" w:rsidP="00637265">
      <w:pPr>
        <w:pStyle w:val="MPS3Restrictioninformation"/>
      </w:pPr>
      <w:r w:rsidRPr="00B002D0">
        <w:t>b. High-dose corticosteroids (at least 20 mg of prednisone per day, or equivalent) for at least 14 days in a month, or pulse corticosteroid therapy,</w:t>
      </w:r>
    </w:p>
    <w:p w14:paraId="094CB1CD" w14:textId="77777777" w:rsidR="00637265" w:rsidRPr="00B002D0" w:rsidRDefault="00637265" w:rsidP="00637265">
      <w:pPr>
        <w:pStyle w:val="MPS3Restrictioninformation"/>
      </w:pPr>
      <w:r w:rsidRPr="00B002D0">
        <w:t>c. Biological agents and other treatments that deplete or inhibit B cell or T cell function (abatacept, anti-CD20 antibodies, BTK inhibitors, JAK inhibitors, sphingosine 1-phosphate receptor modulators, anti-CD52 antibodies, anti-complement antibodies, anti-thymocyte globulin),</w:t>
      </w:r>
    </w:p>
    <w:p w14:paraId="5E4DADC8" w14:textId="77777777" w:rsidR="00637265" w:rsidRPr="00B002D0" w:rsidRDefault="00637265" w:rsidP="00637265">
      <w:pPr>
        <w:pStyle w:val="MPS3Restrictioninformation"/>
      </w:pPr>
      <w:r w:rsidRPr="00B002D0">
        <w:t>d. Selected conventional synthetic disease-modifying anti-rheumatic drugs (</w:t>
      </w:r>
      <w:proofErr w:type="spellStart"/>
      <w:r w:rsidRPr="00B002D0">
        <w:t>csDMARDs</w:t>
      </w:r>
      <w:proofErr w:type="spellEnd"/>
      <w:r w:rsidRPr="00B002D0">
        <w:t>) including mycophenolate, methotrexate, leflunomide, azathioprine, 6-mercaptopurine (at least 1.5mg/kg/day), alkylating agents (e.g. cyclophosphamide, chlorambucil), and systemic calcineurin inhibitors (e.g. cyclosporin, tacrolimus); OR</w:t>
      </w:r>
    </w:p>
    <w:p w14:paraId="6510C738" w14:textId="77777777" w:rsidR="00637265" w:rsidRPr="00B002D0" w:rsidRDefault="00637265" w:rsidP="00637265">
      <w:pPr>
        <w:pStyle w:val="MPS3Restrictioninformation"/>
      </w:pPr>
      <w:r w:rsidRPr="00B002D0">
        <w:lastRenderedPageBreak/>
        <w:t>3. Any significantly immunocompromising condition(s) where, in the last 12 months the patient has received rituximab; OR</w:t>
      </w:r>
    </w:p>
    <w:p w14:paraId="4FB788F5" w14:textId="77777777" w:rsidR="00637265" w:rsidRPr="00B002D0" w:rsidRDefault="00637265" w:rsidP="00637265">
      <w:pPr>
        <w:pStyle w:val="MPS3Restrictioninformation"/>
      </w:pPr>
      <w:r w:rsidRPr="00B002D0">
        <w:t>4. Others with very high-risk conditions including Down Syndrome, cerebral palsy, congenital heart disease, thalassemia, sickle cell disease and other haemoglobinopathies; OR</w:t>
      </w:r>
    </w:p>
    <w:p w14:paraId="4F0E0222" w14:textId="77777777" w:rsidR="00637265" w:rsidRPr="00B002D0" w:rsidRDefault="00637265" w:rsidP="00637265">
      <w:pPr>
        <w:pStyle w:val="MPS3Restrictioninformation"/>
      </w:pPr>
      <w:r w:rsidRPr="00B002D0">
        <w:t>5. People with disability with multiple comorbidities and/or frailty.</w:t>
      </w:r>
    </w:p>
    <w:p w14:paraId="6774B81A" w14:textId="77777777" w:rsidR="00637265" w:rsidRPr="00B002D0" w:rsidRDefault="00637265" w:rsidP="00637265">
      <w:pPr>
        <w:pStyle w:val="MPS3Restrictioninformation"/>
      </w:pPr>
      <w:r w:rsidRPr="00B002D0">
        <w:t>Details of the patient's medical condition necessitating use of this drug must be recorded in the patient's medical records</w:t>
      </w:r>
    </w:p>
    <w:p w14:paraId="03C7B0EA" w14:textId="77777777" w:rsidR="00637265" w:rsidRPr="00B002D0" w:rsidRDefault="00637265" w:rsidP="00637265">
      <w:pPr>
        <w:pStyle w:val="MPS3Restrictioninformation"/>
      </w:pPr>
      <w:r w:rsidRPr="00B002D0">
        <w:t xml:space="preserve">For the purpose of administering this restriction, signs or symptoms attributable to COVID-19 </w:t>
      </w:r>
      <w:proofErr w:type="gramStart"/>
      <w:r w:rsidRPr="00B002D0">
        <w:t>are:</w:t>
      </w:r>
      <w:proofErr w:type="gramEnd"/>
      <w:r w:rsidRPr="00B002D0">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1EDAB0F7" w14:textId="77777777" w:rsidR="00637265" w:rsidRPr="00B002D0" w:rsidRDefault="00637265" w:rsidP="00637265">
      <w:pPr>
        <w:pStyle w:val="MPS3Restrictioninformation"/>
      </w:pPr>
      <w:r w:rsidRPr="00B002D0">
        <w:t>Access to this drug through this restriction is permitted irrespective of vaccination status.</w:t>
      </w:r>
    </w:p>
    <w:p w14:paraId="46C3B0CC" w14:textId="77777777" w:rsidR="00637265" w:rsidRPr="00B002D0" w:rsidRDefault="00637265" w:rsidP="00637265">
      <w:pPr>
        <w:pStyle w:val="MPS3Restrictioninformation"/>
      </w:pPr>
      <w:r w:rsidRPr="00B002D0">
        <w:t>Where PCR is used to confirm diagnosis, the result, testing date, location and test provider must be recorded on the patient record.</w:t>
      </w:r>
    </w:p>
    <w:p w14:paraId="5C625D5F" w14:textId="77777777" w:rsidR="00637265" w:rsidRPr="00B002D0" w:rsidRDefault="00637265" w:rsidP="00637265">
      <w:pPr>
        <w:pStyle w:val="MPS3Restrictioninformation"/>
      </w:pPr>
      <w:r w:rsidRPr="00B002D0">
        <w:t>Where a RAT is used to confirm diagnosis, the test must be verified by a medical practitioner or nurse practitioner. The test result, testing date, location and test provider (where relevant) must be recorded on the patient record.</w:t>
      </w:r>
    </w:p>
    <w:p w14:paraId="44A4E87E" w14:textId="77777777" w:rsidR="00637265" w:rsidRPr="00B002D0" w:rsidRDefault="00637265" w:rsidP="00637265">
      <w:pPr>
        <w:pStyle w:val="MPS3Restrictioninformation"/>
      </w:pPr>
      <w:r w:rsidRPr="00B002D0">
        <w:t>This drug is not PBS-subsidised for pre-exposure or post-exposure prophylaxis for the prevention of SARS-CoV-2 infection.</w:t>
      </w:r>
    </w:p>
    <w:p w14:paraId="6F3311A2" w14:textId="77777777" w:rsidR="00BF6712" w:rsidRPr="00B002D0" w:rsidRDefault="00BF6712" w:rsidP="00637265">
      <w:pPr>
        <w:pStyle w:val="MPS3Restrictiontype"/>
      </w:pPr>
      <w:bookmarkStart w:id="11" w:name="f-1070283-d72324e303"/>
      <w:bookmarkEnd w:id="10"/>
    </w:p>
    <w:p w14:paraId="05780198" w14:textId="7CE819CF" w:rsidR="00637265" w:rsidRPr="00B002D0" w:rsidRDefault="00637265" w:rsidP="00637265">
      <w:pPr>
        <w:pStyle w:val="MPS3Restrictiontype"/>
      </w:pPr>
      <w:r w:rsidRPr="00B002D0">
        <w:t>Authority required (STREAMLINED)</w:t>
      </w:r>
    </w:p>
    <w:p w14:paraId="67E1D332" w14:textId="77777777" w:rsidR="00637265" w:rsidRPr="00B002D0" w:rsidRDefault="00637265" w:rsidP="00637265">
      <w:pPr>
        <w:pStyle w:val="MPS3RestrictionNumber"/>
      </w:pPr>
      <w:r w:rsidRPr="00B002D0">
        <w:t>13107</w:t>
      </w:r>
    </w:p>
    <w:p w14:paraId="5D702118" w14:textId="77777777" w:rsidR="00637265" w:rsidRPr="00B002D0" w:rsidRDefault="00637265" w:rsidP="00637265">
      <w:pPr>
        <w:pStyle w:val="MPS3Restrictioninformation"/>
      </w:pPr>
      <w:r w:rsidRPr="00B002D0">
        <w:t>SARS-CoV-2 infection</w:t>
      </w:r>
    </w:p>
    <w:p w14:paraId="2F22AD5B" w14:textId="77777777" w:rsidR="00BF6712" w:rsidRPr="00B002D0" w:rsidRDefault="00BF6712" w:rsidP="00637265">
      <w:pPr>
        <w:pStyle w:val="MPS3Restrictioninformation"/>
        <w:rPr>
          <w:b/>
        </w:rPr>
      </w:pPr>
    </w:p>
    <w:p w14:paraId="31B28031" w14:textId="15386260" w:rsidR="00637265" w:rsidRPr="00B002D0" w:rsidRDefault="00637265" w:rsidP="00637265">
      <w:pPr>
        <w:pStyle w:val="MPS3Restrictioninformation"/>
      </w:pPr>
      <w:r w:rsidRPr="00B002D0">
        <w:rPr>
          <w:b/>
        </w:rPr>
        <w:t>Clinical criteria:</w:t>
      </w:r>
    </w:p>
    <w:p w14:paraId="27ECB5EA" w14:textId="77777777" w:rsidR="00637265" w:rsidRPr="00B002D0" w:rsidRDefault="00637265" w:rsidP="00637265">
      <w:pPr>
        <w:pStyle w:val="ListBullet"/>
      </w:pPr>
      <w:r w:rsidRPr="00B002D0">
        <w:t>Patient must have received a positive polymerase chain reaction (PCR) test result; OR</w:t>
      </w:r>
    </w:p>
    <w:p w14:paraId="3F0B8AE1" w14:textId="77777777" w:rsidR="00637265" w:rsidRPr="00B002D0" w:rsidRDefault="00637265" w:rsidP="00637265">
      <w:pPr>
        <w:pStyle w:val="ListBullet"/>
        <w:rPr>
          <w:vanish/>
          <w:specVanish/>
        </w:rPr>
      </w:pPr>
      <w:r w:rsidRPr="00B002D0">
        <w:t xml:space="preserve">Patient must have received a positive rapid antigen test (RAT) result verified by a medical practitioner or nurse </w:t>
      </w:r>
      <w:proofErr w:type="spellStart"/>
      <w:r w:rsidRPr="00B002D0">
        <w:t>practitioner,</w:t>
      </w:r>
    </w:p>
    <w:p w14:paraId="38DBAE68" w14:textId="77777777" w:rsidR="00637265" w:rsidRPr="00B002D0" w:rsidRDefault="00637265" w:rsidP="00637265">
      <w:pPr>
        <w:pStyle w:val="MPS3Restrictioninformation"/>
      </w:pPr>
      <w:r w:rsidRPr="00B002D0">
        <w:rPr>
          <w:b/>
        </w:rPr>
        <w:t>AND</w:t>
      </w:r>
      <w:proofErr w:type="spellEnd"/>
    </w:p>
    <w:p w14:paraId="5EBEAF5C" w14:textId="77777777" w:rsidR="00637265" w:rsidRPr="00B002D0" w:rsidRDefault="00637265" w:rsidP="00637265">
      <w:pPr>
        <w:pStyle w:val="ListBullet"/>
        <w:rPr>
          <w:vanish/>
          <w:specVanish/>
        </w:rPr>
      </w:pPr>
      <w:r w:rsidRPr="00B002D0">
        <w:t>Patient must have at least one sign or symptom attributable to COVID-19,</w:t>
      </w:r>
    </w:p>
    <w:p w14:paraId="545A459F" w14:textId="77777777" w:rsidR="00637265" w:rsidRPr="00B002D0" w:rsidRDefault="00637265" w:rsidP="00637265">
      <w:pPr>
        <w:pStyle w:val="MPS3Restrictioninformation"/>
      </w:pPr>
      <w:r w:rsidRPr="00B002D0">
        <w:rPr>
          <w:b/>
        </w:rPr>
        <w:t>AND</w:t>
      </w:r>
    </w:p>
    <w:p w14:paraId="262DBF80" w14:textId="77777777" w:rsidR="00637265" w:rsidRPr="00B002D0" w:rsidRDefault="00637265" w:rsidP="00637265">
      <w:pPr>
        <w:pStyle w:val="ListBullet"/>
        <w:rPr>
          <w:vanish/>
          <w:specVanish/>
        </w:rPr>
      </w:pPr>
      <w:r w:rsidRPr="00B002D0">
        <w:t xml:space="preserve">Patient must not require hospitalisation at the time of </w:t>
      </w:r>
      <w:proofErr w:type="spellStart"/>
      <w:r w:rsidRPr="00B002D0">
        <w:t>prescribing,</w:t>
      </w:r>
    </w:p>
    <w:p w14:paraId="44186A11" w14:textId="77777777" w:rsidR="00637265" w:rsidRPr="00B002D0" w:rsidRDefault="00637265" w:rsidP="00637265">
      <w:pPr>
        <w:pStyle w:val="MPS3Restrictioninformation"/>
      </w:pPr>
      <w:r w:rsidRPr="00B002D0">
        <w:rPr>
          <w:b/>
        </w:rPr>
        <w:t>AND</w:t>
      </w:r>
      <w:proofErr w:type="spellEnd"/>
    </w:p>
    <w:p w14:paraId="77A9DC79" w14:textId="77777777" w:rsidR="00637265" w:rsidRPr="00B002D0" w:rsidRDefault="00637265" w:rsidP="00637265">
      <w:pPr>
        <w:pStyle w:val="ListBullet"/>
      </w:pPr>
      <w:r w:rsidRPr="00B002D0">
        <w:t>The treatment must be initiated within 5 days of symptom onset.</w:t>
      </w:r>
    </w:p>
    <w:p w14:paraId="0E68E9EA" w14:textId="77777777" w:rsidR="00BF6712" w:rsidRPr="00B002D0" w:rsidRDefault="00BF6712" w:rsidP="00637265">
      <w:pPr>
        <w:pStyle w:val="MPS3Restrictioninformation"/>
        <w:rPr>
          <w:b/>
        </w:rPr>
      </w:pPr>
    </w:p>
    <w:p w14:paraId="4A7C070A" w14:textId="6061438A" w:rsidR="00637265" w:rsidRPr="00B002D0" w:rsidRDefault="00637265" w:rsidP="00637265">
      <w:pPr>
        <w:pStyle w:val="MPS3Restrictioninformation"/>
      </w:pPr>
      <w:r w:rsidRPr="00B002D0">
        <w:rPr>
          <w:b/>
        </w:rPr>
        <w:t>Population criteria:</w:t>
      </w:r>
    </w:p>
    <w:p w14:paraId="1326F8DB" w14:textId="77777777" w:rsidR="00637265" w:rsidRPr="00B002D0" w:rsidRDefault="00637265" w:rsidP="00637265">
      <w:pPr>
        <w:pStyle w:val="ListBullet"/>
      </w:pPr>
      <w:r w:rsidRPr="00B002D0">
        <w:t>Patient must be each of: (</w:t>
      </w:r>
      <w:proofErr w:type="spellStart"/>
      <w:r w:rsidRPr="00B002D0">
        <w:t>i</w:t>
      </w:r>
      <w:proofErr w:type="spellEnd"/>
      <w:r w:rsidRPr="00B002D0">
        <w:t>) identify as Aboriginal or Torres Strait Islander, (ii) at least 30 years of age, (iii) at high risk.</w:t>
      </w:r>
    </w:p>
    <w:p w14:paraId="5925A473" w14:textId="77777777" w:rsidR="00637265" w:rsidRPr="00B002D0" w:rsidRDefault="00637265" w:rsidP="00637265">
      <w:pPr>
        <w:pStyle w:val="MPS3Restrictioninformation"/>
      </w:pPr>
      <w:r w:rsidRPr="00B002D0">
        <w:t>For the purpose of administering this restriction, high risk is defined as the presence of at least two of the following conditions:</w:t>
      </w:r>
    </w:p>
    <w:p w14:paraId="1422C724" w14:textId="77777777" w:rsidR="00637265" w:rsidRPr="00B002D0" w:rsidRDefault="00637265" w:rsidP="00637265">
      <w:pPr>
        <w:pStyle w:val="MPS3Restrictioninformation"/>
      </w:pPr>
      <w:r w:rsidRPr="00B002D0">
        <w:t>1. The patient is in residential aged care,</w:t>
      </w:r>
    </w:p>
    <w:p w14:paraId="153E711E" w14:textId="77777777" w:rsidR="00637265" w:rsidRPr="00B002D0" w:rsidRDefault="00637265" w:rsidP="00637265">
      <w:pPr>
        <w:pStyle w:val="MPS3Restrictioninformation"/>
      </w:pPr>
      <w:r w:rsidRPr="00B002D0">
        <w:t>2. The patient has disability with multiple comorbidities and/or frailty,</w:t>
      </w:r>
    </w:p>
    <w:p w14:paraId="178658DA" w14:textId="77777777" w:rsidR="00637265" w:rsidRPr="00B002D0" w:rsidRDefault="00637265" w:rsidP="00637265">
      <w:pPr>
        <w:pStyle w:val="MPS3Restrictioninformation"/>
      </w:pPr>
      <w:r w:rsidRPr="00B002D0">
        <w:t>3. Neurological conditions, including stroke and dementia and demyelinating conditions,</w:t>
      </w:r>
    </w:p>
    <w:p w14:paraId="180B6B94" w14:textId="77777777" w:rsidR="00637265" w:rsidRPr="00B002D0" w:rsidRDefault="00637265" w:rsidP="00637265">
      <w:pPr>
        <w:pStyle w:val="MPS3Restrictioninformation"/>
      </w:pPr>
      <w:r w:rsidRPr="00B002D0">
        <w:t>4. Respiratory compromise, including COPD, moderate or severe asthma (required inhaled steroids), and bronchiectasis, or caused by neurological or musculoskeletal disease,</w:t>
      </w:r>
    </w:p>
    <w:p w14:paraId="092AD214" w14:textId="77777777" w:rsidR="00637265" w:rsidRPr="00B002D0" w:rsidRDefault="00637265" w:rsidP="00637265">
      <w:pPr>
        <w:pStyle w:val="MPS3Restrictioninformation"/>
      </w:pPr>
      <w:r w:rsidRPr="00B002D0">
        <w:t>5. Heart failure, coronary artery disease, cardiomyopathies,</w:t>
      </w:r>
    </w:p>
    <w:p w14:paraId="4AC9FD6A" w14:textId="77777777" w:rsidR="00637265" w:rsidRPr="00B002D0" w:rsidRDefault="00637265" w:rsidP="00637265">
      <w:pPr>
        <w:pStyle w:val="MPS3Restrictioninformation"/>
      </w:pPr>
      <w:r w:rsidRPr="00B002D0">
        <w:t>6. Obesity (BMI greater than 30 kg/m</w:t>
      </w:r>
      <w:r w:rsidRPr="00B002D0">
        <w:rPr>
          <w:vertAlign w:val="superscript"/>
        </w:rPr>
        <w:t>2</w:t>
      </w:r>
      <w:r w:rsidRPr="00B002D0">
        <w:t>),</w:t>
      </w:r>
    </w:p>
    <w:p w14:paraId="420BB588" w14:textId="77777777" w:rsidR="00637265" w:rsidRPr="00B002D0" w:rsidRDefault="00637265" w:rsidP="00637265">
      <w:pPr>
        <w:pStyle w:val="MPS3Restrictioninformation"/>
      </w:pPr>
      <w:r w:rsidRPr="00B002D0">
        <w:t>7. Diabetes type I or II, requiring medication for glycaemic control,</w:t>
      </w:r>
    </w:p>
    <w:p w14:paraId="563FFD12" w14:textId="77777777" w:rsidR="00637265" w:rsidRPr="00B002D0" w:rsidRDefault="00637265" w:rsidP="00637265">
      <w:pPr>
        <w:pStyle w:val="MPS3Restrictioninformation"/>
      </w:pPr>
      <w:r w:rsidRPr="00B002D0">
        <w:t>8. Renal impairment (eGFR less than 60mL/min),</w:t>
      </w:r>
    </w:p>
    <w:p w14:paraId="6FDC6D22" w14:textId="77777777" w:rsidR="00637265" w:rsidRPr="00B002D0" w:rsidRDefault="00637265" w:rsidP="00637265">
      <w:pPr>
        <w:pStyle w:val="MPS3Restrictioninformation"/>
      </w:pPr>
      <w:r w:rsidRPr="00B002D0">
        <w:t>9. Cirrhosis, or</w:t>
      </w:r>
    </w:p>
    <w:p w14:paraId="7653AA22" w14:textId="77777777" w:rsidR="00637265" w:rsidRPr="00B002D0" w:rsidRDefault="00637265" w:rsidP="00637265">
      <w:pPr>
        <w:pStyle w:val="MPS3Restrictioninformation"/>
      </w:pPr>
      <w:r w:rsidRPr="00B002D0">
        <w:t>10. The patient has reduced, or lack of, access to higher level healthcare and lives in an area of geographic remoteness classified by the Modified Monash Model as Category 5 or above.</w:t>
      </w:r>
    </w:p>
    <w:p w14:paraId="02B2D311" w14:textId="77777777" w:rsidR="00637265" w:rsidRPr="00B002D0" w:rsidRDefault="00637265" w:rsidP="00637265">
      <w:pPr>
        <w:pStyle w:val="MPS3Restrictioninformation"/>
      </w:pPr>
      <w:r w:rsidRPr="00B002D0">
        <w:t>Details of the patient's medical condition necessitating use of this drug must be recorded in the patient's medical records.</w:t>
      </w:r>
    </w:p>
    <w:p w14:paraId="2157D844" w14:textId="77777777" w:rsidR="00637265" w:rsidRPr="00B002D0" w:rsidRDefault="00637265" w:rsidP="00637265">
      <w:pPr>
        <w:pStyle w:val="MPS3Restrictioninformation"/>
      </w:pPr>
      <w:r w:rsidRPr="00B002D0">
        <w:t xml:space="preserve">For the purpose of administering this restriction, signs or symptoms attributable to COVID-19 </w:t>
      </w:r>
      <w:proofErr w:type="gramStart"/>
      <w:r w:rsidRPr="00B002D0">
        <w:t>are:</w:t>
      </w:r>
      <w:proofErr w:type="gramEnd"/>
      <w:r w:rsidRPr="00B002D0">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42107F2C" w14:textId="77777777" w:rsidR="00637265" w:rsidRPr="00B002D0" w:rsidRDefault="00637265" w:rsidP="00637265">
      <w:pPr>
        <w:pStyle w:val="MPS3Restrictioninformation"/>
      </w:pPr>
      <w:r w:rsidRPr="00B002D0">
        <w:t>Access to this drug through this restriction is permitted irrespective of vaccination status.</w:t>
      </w:r>
    </w:p>
    <w:p w14:paraId="0DEB9CFE" w14:textId="77777777" w:rsidR="00637265" w:rsidRPr="00B002D0" w:rsidRDefault="00637265" w:rsidP="00637265">
      <w:pPr>
        <w:pStyle w:val="MPS3Restrictioninformation"/>
      </w:pPr>
      <w:r w:rsidRPr="00B002D0">
        <w:t>Where PCR is used to confirm diagnosis, the result, testing date, location and test provider must be recorded on the patient record.</w:t>
      </w:r>
    </w:p>
    <w:p w14:paraId="22F2863B" w14:textId="77777777" w:rsidR="00637265" w:rsidRPr="00B002D0" w:rsidRDefault="00637265" w:rsidP="00637265">
      <w:pPr>
        <w:pStyle w:val="MPS3Restrictioninformation"/>
      </w:pPr>
      <w:r w:rsidRPr="00B002D0">
        <w:t>Where a RAT is used to confirm diagnosis, the test must be verified by a medical practitioner or nurse practitioner. The test result, testing date, location and test provider (where relevant) must be recorded on the patient record.</w:t>
      </w:r>
    </w:p>
    <w:p w14:paraId="4D1443A0" w14:textId="77777777" w:rsidR="00637265" w:rsidRPr="00B002D0" w:rsidRDefault="00637265" w:rsidP="00637265">
      <w:pPr>
        <w:pStyle w:val="MPS3Restrictioninformation"/>
      </w:pPr>
      <w:r w:rsidRPr="00B002D0">
        <w:t>This drug is not PBS-subsidised for pre-exposure or post-exposure prophylaxis for the prevention of SARS-CoV-2 infection.</w:t>
      </w:r>
    </w:p>
    <w:p w14:paraId="1D7321D3" w14:textId="69E2753F" w:rsidR="00637265" w:rsidRPr="00B002D0" w:rsidRDefault="00637265" w:rsidP="00637265">
      <w:pPr>
        <w:pStyle w:val="MPS3Notehead"/>
        <w:rPr>
          <w:vanish/>
          <w:specVanish/>
        </w:rPr>
      </w:pPr>
      <w:bookmarkStart w:id="12" w:name="f-1070283-d72324e395"/>
      <w:bookmarkEnd w:id="11"/>
      <w:r w:rsidRPr="00B002D0">
        <w:t>Note</w:t>
      </w:r>
      <w:r w:rsidR="00BF6712" w:rsidRPr="00B002D0">
        <w:t xml:space="preserve"> </w:t>
      </w:r>
    </w:p>
    <w:p w14:paraId="64E5672E" w14:textId="77777777" w:rsidR="00637265" w:rsidRPr="00B002D0" w:rsidRDefault="00637265" w:rsidP="00637265">
      <w:pPr>
        <w:pStyle w:val="MPS3notebody"/>
      </w:pPr>
      <w:r w:rsidRPr="00B002D0">
        <w:t>The Modified Monash Model categorises an area according to geographical remoteness and town size. Details can be found at: https://www.health.gov.au/health-topics/rural-health-workforce/classifications/mmm</w:t>
      </w:r>
    </w:p>
    <w:p w14:paraId="4FB42D25" w14:textId="77777777" w:rsidR="00637265" w:rsidRPr="00B002D0" w:rsidRDefault="00637265" w:rsidP="00637265">
      <w:pPr>
        <w:pStyle w:val="MPS3noteend"/>
      </w:pPr>
    </w:p>
    <w:p w14:paraId="0AAD2582" w14:textId="77777777" w:rsidR="00BF6712" w:rsidRPr="00B002D0" w:rsidRDefault="00BF6712" w:rsidP="00637265">
      <w:pPr>
        <w:pStyle w:val="MPS3Restrictiontype"/>
      </w:pPr>
      <w:bookmarkStart w:id="13" w:name="f-1070283-d72324e471"/>
      <w:bookmarkEnd w:id="12"/>
    </w:p>
    <w:p w14:paraId="4E34D1B0" w14:textId="11C9ED9C" w:rsidR="00637265" w:rsidRPr="00B002D0" w:rsidRDefault="00637265" w:rsidP="00637265">
      <w:pPr>
        <w:pStyle w:val="MPS3Restrictiontype"/>
      </w:pPr>
      <w:r w:rsidRPr="00B002D0">
        <w:t>Authority required (STREAMLINED)</w:t>
      </w:r>
    </w:p>
    <w:p w14:paraId="5B5D2055" w14:textId="77777777" w:rsidR="00637265" w:rsidRPr="00B002D0" w:rsidRDefault="00637265" w:rsidP="00637265">
      <w:pPr>
        <w:pStyle w:val="MPS3RestrictionNumber"/>
      </w:pPr>
      <w:r w:rsidRPr="00B002D0">
        <w:t>13108</w:t>
      </w:r>
    </w:p>
    <w:p w14:paraId="1EAE3D17" w14:textId="77777777" w:rsidR="00637265" w:rsidRPr="00B002D0" w:rsidRDefault="00637265" w:rsidP="00637265">
      <w:pPr>
        <w:pStyle w:val="MPS3Restrictioninformation"/>
      </w:pPr>
      <w:r w:rsidRPr="00B002D0">
        <w:t>SARS-CoV-2 infection</w:t>
      </w:r>
    </w:p>
    <w:p w14:paraId="612CDC11" w14:textId="77777777" w:rsidR="00BF6712" w:rsidRPr="00B002D0" w:rsidRDefault="00BF6712" w:rsidP="00637265">
      <w:pPr>
        <w:pStyle w:val="MPS3Restrictioninformation"/>
        <w:rPr>
          <w:b/>
        </w:rPr>
      </w:pPr>
    </w:p>
    <w:p w14:paraId="1D6A5786" w14:textId="2FB8D76A" w:rsidR="00637265" w:rsidRPr="00B002D0" w:rsidRDefault="00637265" w:rsidP="00637265">
      <w:pPr>
        <w:pStyle w:val="MPS3Restrictioninformation"/>
      </w:pPr>
      <w:r w:rsidRPr="00B002D0">
        <w:rPr>
          <w:b/>
        </w:rPr>
        <w:t>Clinical criteria:</w:t>
      </w:r>
    </w:p>
    <w:p w14:paraId="13AC840D" w14:textId="77777777" w:rsidR="00637265" w:rsidRPr="00B002D0" w:rsidRDefault="00637265" w:rsidP="00637265">
      <w:pPr>
        <w:pStyle w:val="ListBullet"/>
      </w:pPr>
      <w:r w:rsidRPr="00B002D0">
        <w:t>Patient must have received a positive polymerase chain reaction (PCR) test result; OR</w:t>
      </w:r>
    </w:p>
    <w:p w14:paraId="5C52AE6D" w14:textId="77777777" w:rsidR="00637265" w:rsidRPr="00B002D0" w:rsidRDefault="00637265" w:rsidP="00637265">
      <w:pPr>
        <w:pStyle w:val="ListBullet"/>
        <w:rPr>
          <w:vanish/>
          <w:specVanish/>
        </w:rPr>
      </w:pPr>
      <w:r w:rsidRPr="00B002D0">
        <w:t xml:space="preserve">Patient must have received a positive rapid antigen test (RAT) result verified by a medical practitioner or nurse </w:t>
      </w:r>
      <w:proofErr w:type="spellStart"/>
      <w:r w:rsidRPr="00B002D0">
        <w:t>practitioner,</w:t>
      </w:r>
    </w:p>
    <w:p w14:paraId="6AFA8547" w14:textId="77777777" w:rsidR="00637265" w:rsidRPr="00B002D0" w:rsidRDefault="00637265" w:rsidP="00637265">
      <w:pPr>
        <w:pStyle w:val="MPS3Restrictioninformation"/>
      </w:pPr>
      <w:r w:rsidRPr="00B002D0">
        <w:rPr>
          <w:b/>
        </w:rPr>
        <w:t>AND</w:t>
      </w:r>
      <w:proofErr w:type="spellEnd"/>
    </w:p>
    <w:p w14:paraId="27D7F466" w14:textId="77777777" w:rsidR="00637265" w:rsidRPr="00B002D0" w:rsidRDefault="00637265" w:rsidP="00637265">
      <w:pPr>
        <w:pStyle w:val="ListBullet"/>
        <w:rPr>
          <w:vanish/>
          <w:specVanish/>
        </w:rPr>
      </w:pPr>
      <w:r w:rsidRPr="00B002D0">
        <w:t>Patient must have at least one sign or symptom attributable to COVID-19,</w:t>
      </w:r>
    </w:p>
    <w:p w14:paraId="22C7AD6C" w14:textId="77777777" w:rsidR="00637265" w:rsidRPr="00B002D0" w:rsidRDefault="00637265" w:rsidP="00637265">
      <w:pPr>
        <w:pStyle w:val="MPS3Restrictioninformation"/>
      </w:pPr>
      <w:r w:rsidRPr="00B002D0">
        <w:rPr>
          <w:b/>
        </w:rPr>
        <w:t>AND</w:t>
      </w:r>
    </w:p>
    <w:p w14:paraId="6154BCD5" w14:textId="77777777" w:rsidR="00637265" w:rsidRPr="00B002D0" w:rsidRDefault="00637265" w:rsidP="00637265">
      <w:pPr>
        <w:pStyle w:val="ListBullet"/>
        <w:rPr>
          <w:vanish/>
          <w:specVanish/>
        </w:rPr>
      </w:pPr>
      <w:r w:rsidRPr="00B002D0">
        <w:t xml:space="preserve">Patient must not require hospitalisation at the time of </w:t>
      </w:r>
      <w:proofErr w:type="spellStart"/>
      <w:r w:rsidRPr="00B002D0">
        <w:t>prescribing,</w:t>
      </w:r>
    </w:p>
    <w:p w14:paraId="0ADD24DA" w14:textId="77777777" w:rsidR="00637265" w:rsidRPr="00B002D0" w:rsidRDefault="00637265" w:rsidP="00637265">
      <w:pPr>
        <w:pStyle w:val="MPS3Restrictioninformation"/>
      </w:pPr>
      <w:r w:rsidRPr="00B002D0">
        <w:rPr>
          <w:b/>
        </w:rPr>
        <w:t>AND</w:t>
      </w:r>
      <w:proofErr w:type="spellEnd"/>
    </w:p>
    <w:p w14:paraId="60DB8121" w14:textId="77777777" w:rsidR="00637265" w:rsidRPr="00B002D0" w:rsidRDefault="00637265" w:rsidP="00637265">
      <w:pPr>
        <w:pStyle w:val="ListBullet"/>
      </w:pPr>
      <w:r w:rsidRPr="00B002D0">
        <w:t>The treatment must be initiated within 5 days of symptom onset.</w:t>
      </w:r>
    </w:p>
    <w:p w14:paraId="48C165DD" w14:textId="77777777" w:rsidR="00BF6712" w:rsidRPr="00B002D0" w:rsidRDefault="00BF6712" w:rsidP="00637265">
      <w:pPr>
        <w:pStyle w:val="MPS3Restrictioninformation"/>
        <w:rPr>
          <w:b/>
        </w:rPr>
      </w:pPr>
    </w:p>
    <w:p w14:paraId="5FF5C932" w14:textId="11035ADC" w:rsidR="00637265" w:rsidRPr="00B002D0" w:rsidRDefault="00637265" w:rsidP="00637265">
      <w:pPr>
        <w:pStyle w:val="MPS3Restrictioninformation"/>
      </w:pPr>
      <w:r w:rsidRPr="00B002D0">
        <w:rPr>
          <w:b/>
        </w:rPr>
        <w:t>Population criteria:</w:t>
      </w:r>
    </w:p>
    <w:p w14:paraId="733466D1" w14:textId="77777777" w:rsidR="00637265" w:rsidRPr="00B002D0" w:rsidRDefault="00637265" w:rsidP="00637265">
      <w:pPr>
        <w:pStyle w:val="ListBullet"/>
      </w:pPr>
      <w:r w:rsidRPr="00B002D0">
        <w:t>Patient must be both: (</w:t>
      </w:r>
      <w:proofErr w:type="spellStart"/>
      <w:r w:rsidRPr="00B002D0">
        <w:t>i</w:t>
      </w:r>
      <w:proofErr w:type="spellEnd"/>
      <w:r w:rsidRPr="00B002D0">
        <w:t>) at least 50 years of age, (ii) at high risk.</w:t>
      </w:r>
    </w:p>
    <w:p w14:paraId="3C595018" w14:textId="77777777" w:rsidR="00637265" w:rsidRPr="00B002D0" w:rsidRDefault="00637265" w:rsidP="00637265">
      <w:pPr>
        <w:pStyle w:val="MPS3Restrictioninformation"/>
      </w:pPr>
      <w:r w:rsidRPr="00B002D0">
        <w:t>For the purpose of administering this restriction, high risk is defined as the presence of at least two of the following conditions:</w:t>
      </w:r>
    </w:p>
    <w:p w14:paraId="49627F69" w14:textId="77777777" w:rsidR="00637265" w:rsidRPr="00B002D0" w:rsidRDefault="00637265" w:rsidP="00637265">
      <w:pPr>
        <w:pStyle w:val="MPS3Restrictioninformation"/>
      </w:pPr>
      <w:r w:rsidRPr="00B002D0">
        <w:t>1. The patient is in residential aged care,</w:t>
      </w:r>
    </w:p>
    <w:p w14:paraId="62BEBF0D" w14:textId="77777777" w:rsidR="00637265" w:rsidRPr="00B002D0" w:rsidRDefault="00637265" w:rsidP="00637265">
      <w:pPr>
        <w:pStyle w:val="MPS3Restrictioninformation"/>
      </w:pPr>
      <w:r w:rsidRPr="00B002D0">
        <w:t>2. The patient has disability with multiple comorbidities and/or frailty,</w:t>
      </w:r>
    </w:p>
    <w:p w14:paraId="4AB442BE" w14:textId="77777777" w:rsidR="00637265" w:rsidRPr="00B002D0" w:rsidRDefault="00637265" w:rsidP="00637265">
      <w:pPr>
        <w:pStyle w:val="MPS3Restrictioninformation"/>
      </w:pPr>
      <w:r w:rsidRPr="00B002D0">
        <w:t>3. Neurological conditions, including stroke and dementia and demyelinating conditions,</w:t>
      </w:r>
    </w:p>
    <w:p w14:paraId="007157E2" w14:textId="77777777" w:rsidR="00637265" w:rsidRPr="00B002D0" w:rsidRDefault="00637265" w:rsidP="00637265">
      <w:pPr>
        <w:pStyle w:val="MPS3Restrictioninformation"/>
      </w:pPr>
      <w:r w:rsidRPr="00B002D0">
        <w:t>4. Respiratory compromise, including COPD, moderate or severe asthma (required inhaled steroids), and bronchiectasis, or caused by neurological or musculoskeletal disease,</w:t>
      </w:r>
    </w:p>
    <w:p w14:paraId="174518F3" w14:textId="77777777" w:rsidR="00637265" w:rsidRPr="00B002D0" w:rsidRDefault="00637265" w:rsidP="00637265">
      <w:pPr>
        <w:pStyle w:val="MPS3Restrictioninformation"/>
      </w:pPr>
      <w:r w:rsidRPr="00B002D0">
        <w:t>5. Heart failure, coronary artery disease, cardiomyopathies,</w:t>
      </w:r>
    </w:p>
    <w:p w14:paraId="50DADD52" w14:textId="77777777" w:rsidR="00637265" w:rsidRPr="00B002D0" w:rsidRDefault="00637265" w:rsidP="00637265">
      <w:pPr>
        <w:pStyle w:val="MPS3Restrictioninformation"/>
      </w:pPr>
      <w:r w:rsidRPr="00B002D0">
        <w:t>6. Obesity (BMI greater than 30 kg/m</w:t>
      </w:r>
      <w:r w:rsidRPr="00B002D0">
        <w:rPr>
          <w:vertAlign w:val="superscript"/>
        </w:rPr>
        <w:t>2</w:t>
      </w:r>
      <w:r w:rsidRPr="00B002D0">
        <w:t>),</w:t>
      </w:r>
    </w:p>
    <w:p w14:paraId="77697D39" w14:textId="77777777" w:rsidR="00637265" w:rsidRPr="00B002D0" w:rsidRDefault="00637265" w:rsidP="00637265">
      <w:pPr>
        <w:pStyle w:val="MPS3Restrictioninformation"/>
      </w:pPr>
      <w:r w:rsidRPr="00B002D0">
        <w:t>7. Diabetes type I or II, requiring medication for glycaemic control,</w:t>
      </w:r>
    </w:p>
    <w:p w14:paraId="24F5E18E" w14:textId="77777777" w:rsidR="00637265" w:rsidRPr="00B002D0" w:rsidRDefault="00637265" w:rsidP="00637265">
      <w:pPr>
        <w:pStyle w:val="MPS3Restrictioninformation"/>
      </w:pPr>
      <w:r w:rsidRPr="00B002D0">
        <w:t>8. Renal impairment (eGFR less than 60mL/min),</w:t>
      </w:r>
    </w:p>
    <w:p w14:paraId="07DAC328" w14:textId="77777777" w:rsidR="00637265" w:rsidRPr="00B002D0" w:rsidRDefault="00637265" w:rsidP="00637265">
      <w:pPr>
        <w:pStyle w:val="MPS3Restrictioninformation"/>
      </w:pPr>
      <w:r w:rsidRPr="00B002D0">
        <w:t>9. Cirrhosis, or</w:t>
      </w:r>
    </w:p>
    <w:p w14:paraId="6E7D7C57" w14:textId="77777777" w:rsidR="00637265" w:rsidRPr="00B002D0" w:rsidRDefault="00637265" w:rsidP="00637265">
      <w:pPr>
        <w:pStyle w:val="MPS3Restrictioninformation"/>
      </w:pPr>
      <w:r w:rsidRPr="00B002D0">
        <w:t>10. The patient has reduced, or lack of, access to higher level healthcare and lives in an area of geographic remoteness classified by the Modified Monash Model as Category 5 or above.</w:t>
      </w:r>
    </w:p>
    <w:p w14:paraId="5F181941" w14:textId="77777777" w:rsidR="00637265" w:rsidRPr="00B002D0" w:rsidRDefault="00637265" w:rsidP="00637265">
      <w:pPr>
        <w:pStyle w:val="MPS3Restrictioninformation"/>
      </w:pPr>
      <w:r w:rsidRPr="00B002D0">
        <w:t>Details of the patient's medical condition necessitating use of this drug must be recorded in the patient's medical records.</w:t>
      </w:r>
    </w:p>
    <w:p w14:paraId="3A8DB1FF" w14:textId="77777777" w:rsidR="00637265" w:rsidRPr="00B002D0" w:rsidRDefault="00637265" w:rsidP="00637265">
      <w:pPr>
        <w:pStyle w:val="MPS3Restrictioninformation"/>
      </w:pPr>
      <w:r w:rsidRPr="00B002D0">
        <w:t xml:space="preserve">For the purpose of administering this restriction, signs or symptoms attributable to COVID-19 </w:t>
      </w:r>
      <w:proofErr w:type="gramStart"/>
      <w:r w:rsidRPr="00B002D0">
        <w:t>are:</w:t>
      </w:r>
      <w:proofErr w:type="gramEnd"/>
      <w:r w:rsidRPr="00B002D0">
        <w:t xml:space="preserve"> fever greater than 38 degrees Celsius, chills, cough, sore throat, shortness of breath or difficulty breathing with exertion, fatigue, nasal congestion, runny nose, headache, muscle or body aches, nausea, vomiting, diarrhea, loss of taste, loss of smell.</w:t>
      </w:r>
    </w:p>
    <w:p w14:paraId="68F2663D" w14:textId="77777777" w:rsidR="00637265" w:rsidRPr="00B002D0" w:rsidRDefault="00637265" w:rsidP="00637265">
      <w:pPr>
        <w:pStyle w:val="MPS3Restrictioninformation"/>
      </w:pPr>
      <w:r w:rsidRPr="00B002D0">
        <w:t>Access to this drug through this restriction is permitted irrespective of vaccination status.</w:t>
      </w:r>
    </w:p>
    <w:p w14:paraId="364933DD" w14:textId="77777777" w:rsidR="00637265" w:rsidRPr="00B002D0" w:rsidRDefault="00637265" w:rsidP="00637265">
      <w:pPr>
        <w:pStyle w:val="MPS3Restrictioninformation"/>
      </w:pPr>
      <w:r w:rsidRPr="00B002D0">
        <w:t>Where PCR is used to confirm diagnosis, the result, testing date, location and test provider must be recorded on the patient record.</w:t>
      </w:r>
    </w:p>
    <w:p w14:paraId="315768DF" w14:textId="77777777" w:rsidR="00637265" w:rsidRPr="00B002D0" w:rsidRDefault="00637265" w:rsidP="00637265">
      <w:pPr>
        <w:pStyle w:val="MPS3Restrictioninformation"/>
      </w:pPr>
      <w:r w:rsidRPr="00B002D0">
        <w:t>Where a RAT is used to confirm diagnosis, the test must be verified by a medical practitioner or nurse practitioner. The test result, testing date, location and test provider (where relevant) must be recorded on the patient record.</w:t>
      </w:r>
    </w:p>
    <w:p w14:paraId="015F06B6" w14:textId="77777777" w:rsidR="00637265" w:rsidRPr="00B002D0" w:rsidRDefault="00637265" w:rsidP="00637265">
      <w:pPr>
        <w:pStyle w:val="MPS3Restrictioninformation"/>
      </w:pPr>
      <w:r w:rsidRPr="00B002D0">
        <w:t>This drug is not PBS-subsidised for pre-exposure or post-exposure prophylaxis for the prevention of SARS-CoV-2 infection.</w:t>
      </w:r>
    </w:p>
    <w:p w14:paraId="35912379" w14:textId="3E6DB51D" w:rsidR="00637265" w:rsidRPr="00B002D0" w:rsidRDefault="00637265" w:rsidP="00637265">
      <w:pPr>
        <w:pStyle w:val="MPS3Notehead"/>
        <w:rPr>
          <w:vanish/>
          <w:specVanish/>
        </w:rPr>
      </w:pPr>
      <w:bookmarkStart w:id="14" w:name="f-1070283-d72324e563"/>
      <w:bookmarkEnd w:id="13"/>
      <w:r w:rsidRPr="00B002D0">
        <w:t>Note</w:t>
      </w:r>
      <w:r w:rsidR="00BF6712" w:rsidRPr="00B002D0">
        <w:t xml:space="preserve"> </w:t>
      </w:r>
    </w:p>
    <w:p w14:paraId="1C0AAB02" w14:textId="77777777" w:rsidR="00637265" w:rsidRPr="00B002D0" w:rsidRDefault="00637265" w:rsidP="00637265">
      <w:pPr>
        <w:pStyle w:val="MPS3notebody"/>
      </w:pPr>
      <w:r w:rsidRPr="00B002D0">
        <w:t>The Modified Monash Model categorises an area according to geographical remoteness and town size. Details can be found at: https://www.health.gov.au/health-topics/rural-health-workforce/classifications/mmm</w:t>
      </w:r>
    </w:p>
    <w:p w14:paraId="604F26B2" w14:textId="77777777" w:rsidR="00637265" w:rsidRPr="00B002D0" w:rsidRDefault="00637265" w:rsidP="00637265">
      <w:pPr>
        <w:pStyle w:val="MPS3noteend"/>
      </w:pPr>
    </w:p>
    <w:p w14:paraId="578C52A1" w14:textId="77777777" w:rsidR="00637265" w:rsidRPr="00B002D0" w:rsidRDefault="00637265" w:rsidP="00637265">
      <w:pPr>
        <w:pStyle w:val="MPS3Drugform"/>
      </w:pPr>
      <w:bookmarkStart w:id="15" w:name="f-1070283-12996B"/>
      <w:bookmarkEnd w:id="14"/>
      <w:proofErr w:type="spellStart"/>
      <w:r w:rsidRPr="00B002D0">
        <w:t>nirmatrelvir</w:t>
      </w:r>
      <w:proofErr w:type="spellEnd"/>
      <w:r w:rsidRPr="00B002D0">
        <w:t xml:space="preserve"> 150 mg tablet [4] (&amp;) ritonavir 100 mg tablet [2], 5 x 6</w:t>
      </w:r>
    </w:p>
    <w:tbl>
      <w:tblPr>
        <w:tblStyle w:val="mps-table-GE"/>
        <w:tblW w:w="5000" w:type="pct"/>
        <w:tblLook w:val="0600" w:firstRow="0" w:lastRow="0" w:firstColumn="0" w:lastColumn="0" w:noHBand="1" w:noVBand="1"/>
      </w:tblPr>
      <w:tblGrid>
        <w:gridCol w:w="842"/>
        <w:gridCol w:w="911"/>
        <w:gridCol w:w="793"/>
        <w:gridCol w:w="897"/>
        <w:gridCol w:w="792"/>
        <w:gridCol w:w="775"/>
        <w:gridCol w:w="146"/>
        <w:gridCol w:w="1955"/>
        <w:gridCol w:w="146"/>
        <w:gridCol w:w="1769"/>
      </w:tblGrid>
      <w:tr w:rsidR="00637265" w:rsidRPr="00B002D0" w14:paraId="1B2572E1" w14:textId="77777777" w:rsidTr="000439BD">
        <w:tc>
          <w:tcPr>
            <w:tcW w:w="894" w:type="dxa"/>
            <w:vMerge w:val="restart"/>
          </w:tcPr>
          <w:p w14:paraId="3D4ACDC5" w14:textId="77777777" w:rsidR="00637265" w:rsidRPr="00B002D0" w:rsidRDefault="00637265" w:rsidP="000439BD">
            <w:pPr>
              <w:pStyle w:val="MPS3DrugCode"/>
              <w:jc w:val="left"/>
            </w:pPr>
            <w:r w:rsidRPr="00B002D0">
              <w:t>12996B</w:t>
            </w:r>
            <w:r w:rsidRPr="00B002D0">
              <w:br/>
            </w:r>
            <w:r w:rsidRPr="00B002D0">
              <w:rPr>
                <w:noProof/>
              </w:rPr>
              <mc:AlternateContent>
                <mc:Choice Requires="wpg">
                  <w:drawing>
                    <wp:anchor distT="0" distB="0" distL="114300" distR="114300" simplePos="0" relativeHeight="251659264" behindDoc="0" locked="0" layoutInCell="1" allowOverlap="1" wp14:anchorId="368F4167" wp14:editId="30CCCB5C">
                      <wp:simplePos x="0" y="0"/>
                      <wp:positionH relativeFrom="column">
                        <wp:posOffset>111760</wp:posOffset>
                      </wp:positionH>
                      <wp:positionV relativeFrom="paragraph">
                        <wp:posOffset>178435</wp:posOffset>
                      </wp:positionV>
                      <wp:extent cx="168910" cy="1600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0020"/>
                                <a:chOff x="1027" y="12808"/>
                                <a:chExt cx="266" cy="252"/>
                              </a:xfrm>
                            </wpg:grpSpPr>
                            <wps:wsp>
                              <wps:cNvPr id="2" name="Oval 355"/>
                              <wps:cNvSpPr>
                                <a:spLocks noChangeArrowheads="1"/>
                              </wps:cNvSpPr>
                              <wps:spPr bwMode="auto">
                                <a:xfrm>
                                  <a:off x="1058" y="12838"/>
                                  <a:ext cx="205" cy="194"/>
                                </a:xfrm>
                                <a:prstGeom prst="ellipse">
                                  <a:avLst/>
                                </a:prstGeom>
                                <a:solidFill>
                                  <a:schemeClr val="tx1">
                                    <a:lumMod val="100000"/>
                                    <a:lumOff val="0"/>
                                  </a:schemeClr>
                                </a:solidFill>
                                <a:ln w="25400">
                                  <a:solidFill>
                                    <a:schemeClr val="tx1">
                                      <a:lumMod val="100000"/>
                                      <a:lumOff val="0"/>
                                    </a:schemeClr>
                                  </a:solidFill>
                                  <a:round/>
                                  <a:headEnd/>
                                  <a:tailEnd/>
                                </a:ln>
                              </wps:spPr>
                              <wps:txbx>
                                <w:txbxContent>
                                  <w:p w14:paraId="6DCA135D" w14:textId="77777777" w:rsidR="00637265" w:rsidRDefault="00637265" w:rsidP="00637265">
                                    <w:pPr>
                                      <w:rPr>
                                        <w:rFonts w:eastAsia="Times New Roman"/>
                                      </w:rPr>
                                    </w:pPr>
                                  </w:p>
                                </w:txbxContent>
                              </wps:txbx>
                              <wps:bodyPr rot="0" vert="horz" wrap="square" lIns="91440" tIns="45720" rIns="91440" bIns="45720" anchor="ctr" anchorCtr="0" upright="1">
                                <a:noAutofit/>
                              </wps:bodyPr>
                            </wps:wsp>
                            <wps:wsp>
                              <wps:cNvPr id="3" name="Text Box 356"/>
                              <wps:cNvSpPr txBox="1">
                                <a:spLocks noChangeArrowheads="1"/>
                              </wps:cNvSpPr>
                              <wps:spPr bwMode="auto">
                                <a:xfrm>
                                  <a:off x="1027" y="12808"/>
                                  <a:ext cx="26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D7E8" w14:textId="77777777" w:rsidR="00637265" w:rsidRDefault="00637265" w:rsidP="00637265">
                                    <w:pPr>
                                      <w:jc w:val="center"/>
                                    </w:pPr>
                                    <w:r>
                                      <w:rPr>
                                        <w:b/>
                                        <w:bCs/>
                                        <w:color w:val="FFFFFF" w:themeColor="background1"/>
                                        <w:kern w:val="24"/>
                                        <w:sz w:val="10"/>
                                        <w:szCs w:val="10"/>
                                      </w:rPr>
                                      <w:t>NP</w:t>
                                    </w:r>
                                  </w:p>
                                </w:txbxContent>
                              </wps:txbx>
                              <wps:bodyPr rot="0" vert="horz" wrap="square" lIns="18000" tIns="18000" rIns="18000" bIns="18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F4167" id="Group 1" o:spid="_x0000_s1026" style="position:absolute;margin-left:8.8pt;margin-top:14.05pt;width:13.3pt;height:12.6pt;z-index:251659264" coordorigin="1027,12808" coordsize="26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">
                      <v:oval id="Oval 355" o:spid="_x0000_s1027" style="position:absolute;left:1058;top:12838;width:205;height: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" fillcolor="black [3213]" strokecolor="black [3213]" strokeweight="2pt">
                        <v:textbox>
                          <w:txbxContent>
                            <w:p w14:paraId="6DCA135D" w14:textId="77777777" w:rsidR="00637265" w:rsidRDefault="00637265" w:rsidP="00637265">
                              <w:pPr>
                                <w:rPr>
                                  <w:rFonts w:eastAsia="Times New Roman"/>
                                </w:rPr>
                              </w:pPr>
                            </w:p>
                          </w:txbxContent>
                        </v:textbox>
                      </v:oval>
                      <v:shapetype id="_x0000_t202" coordsize="21600,21600" o:spt="202" path="m,l,21600r21600,l21600,xe">
                        <v:stroke joinstyle="miter"/>
                        <v:path gradientshapeok="t" o:connecttype="rect"/>
                      </v:shapetype>
                      <v:shape id="Text Box 356" o:spid="_x0000_s1028" type="#_x0000_t202" style="position:absolute;left:1027;top:12808;width:266;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" filled="f" stroked="f">
                        <v:textbox inset=".5mm,.5mm,.5mm,.5mm">
                          <w:txbxContent>
                            <w:p w14:paraId="044AD7E8" w14:textId="77777777" w:rsidR="00637265" w:rsidRDefault="00637265" w:rsidP="00637265">
                              <w:pPr>
                                <w:jc w:val="center"/>
                              </w:pPr>
                              <w:r>
                                <w:rPr>
                                  <w:b/>
                                  <w:bCs/>
                                  <w:color w:val="FFFFFF" w:themeColor="background1"/>
                                  <w:kern w:val="24"/>
                                  <w:sz w:val="10"/>
                                  <w:szCs w:val="10"/>
                                </w:rPr>
                                <w:t>NP</w:t>
                              </w:r>
                            </w:p>
                          </w:txbxContent>
                        </v:textbox>
                      </v:shape>
                    </v:group>
                  </w:pict>
                </mc:Fallback>
              </mc:AlternateContent>
            </w:r>
          </w:p>
        </w:tc>
        <w:tc>
          <w:tcPr>
            <w:tcW w:w="1021" w:type="dxa"/>
            <w:tcBorders>
              <w:bottom w:val="single" w:sz="4" w:space="0" w:color="808080" w:themeColor="background1" w:themeShade="80"/>
            </w:tcBorders>
            <w:shd w:val="clear" w:color="auto" w:fill="D9D9D9" w:themeFill="background1" w:themeFillShade="D9"/>
            <w:vAlign w:val="center"/>
          </w:tcPr>
          <w:p w14:paraId="79C4CBE4" w14:textId="77777777" w:rsidR="00637265" w:rsidRPr="00B002D0" w:rsidRDefault="00637265" w:rsidP="000439BD">
            <w:pPr>
              <w:pStyle w:val="MPS3DrugTableheaderrow"/>
              <w:jc w:val="left"/>
            </w:pPr>
            <w:proofErr w:type="spellStart"/>
            <w:r w:rsidRPr="00B002D0">
              <w:t>Max.Qty</w:t>
            </w:r>
            <w:proofErr w:type="spellEnd"/>
            <w:r w:rsidRPr="00B002D0">
              <w:t xml:space="preserve"> Packs</w:t>
            </w:r>
          </w:p>
        </w:tc>
        <w:tc>
          <w:tcPr>
            <w:tcW w:w="938" w:type="dxa"/>
            <w:tcBorders>
              <w:bottom w:val="single" w:sz="4" w:space="0" w:color="808080" w:themeColor="background1" w:themeShade="80"/>
            </w:tcBorders>
            <w:shd w:val="clear" w:color="auto" w:fill="D9D9D9" w:themeFill="background1" w:themeFillShade="D9"/>
            <w:vAlign w:val="center"/>
          </w:tcPr>
          <w:p w14:paraId="0DCED50E" w14:textId="77777777" w:rsidR="00637265" w:rsidRPr="00B002D0" w:rsidRDefault="00637265" w:rsidP="000439BD">
            <w:pPr>
              <w:pStyle w:val="MPS3DrugTableheaderrow"/>
              <w:jc w:val="left"/>
            </w:pPr>
            <w:r w:rsidRPr="00B002D0">
              <w:t xml:space="preserve">No. of </w:t>
            </w:r>
            <w:proofErr w:type="spellStart"/>
            <w:r w:rsidRPr="00B002D0">
              <w:t>Rpts</w:t>
            </w:r>
            <w:proofErr w:type="spellEnd"/>
          </w:p>
        </w:tc>
        <w:tc>
          <w:tcPr>
            <w:tcW w:w="992" w:type="dxa"/>
            <w:tcBorders>
              <w:bottom w:val="single" w:sz="4" w:space="0" w:color="808080" w:themeColor="background1" w:themeShade="80"/>
            </w:tcBorders>
            <w:shd w:val="clear" w:color="auto" w:fill="D9D9D9" w:themeFill="background1" w:themeFillShade="D9"/>
            <w:vAlign w:val="center"/>
          </w:tcPr>
          <w:p w14:paraId="52D02ADD" w14:textId="77777777" w:rsidR="00637265" w:rsidRPr="00B002D0" w:rsidRDefault="00637265" w:rsidP="000439BD">
            <w:pPr>
              <w:pStyle w:val="MPS3DrugTableheaderrow"/>
              <w:jc w:val="left"/>
            </w:pPr>
            <w:r w:rsidRPr="00B002D0">
              <w:t>Premium $</w:t>
            </w:r>
          </w:p>
        </w:tc>
        <w:tc>
          <w:tcPr>
            <w:tcW w:w="851" w:type="dxa"/>
            <w:tcBorders>
              <w:bottom w:val="single" w:sz="4" w:space="0" w:color="808080" w:themeColor="background1" w:themeShade="80"/>
            </w:tcBorders>
            <w:shd w:val="clear" w:color="auto" w:fill="D9D9D9" w:themeFill="background1" w:themeFillShade="D9"/>
            <w:vAlign w:val="center"/>
          </w:tcPr>
          <w:p w14:paraId="170943A5" w14:textId="77777777" w:rsidR="00637265" w:rsidRPr="00B002D0" w:rsidRDefault="00637265" w:rsidP="000439BD">
            <w:pPr>
              <w:pStyle w:val="MPS3DrugTableheaderrow"/>
              <w:jc w:val="left"/>
            </w:pPr>
            <w:r w:rsidRPr="00B002D0">
              <w:t>DPMQ $</w:t>
            </w:r>
          </w:p>
        </w:tc>
        <w:tc>
          <w:tcPr>
            <w:tcW w:w="850" w:type="dxa"/>
            <w:tcBorders>
              <w:bottom w:val="single" w:sz="4" w:space="0" w:color="808080" w:themeColor="background1" w:themeShade="80"/>
            </w:tcBorders>
            <w:shd w:val="clear" w:color="auto" w:fill="D9D9D9" w:themeFill="background1" w:themeFillShade="D9"/>
            <w:vAlign w:val="center"/>
          </w:tcPr>
          <w:p w14:paraId="5974BEDF" w14:textId="77777777" w:rsidR="00637265" w:rsidRPr="00B002D0" w:rsidRDefault="00637265" w:rsidP="000439BD">
            <w:pPr>
              <w:pStyle w:val="MPS3DrugTableheaderrow"/>
              <w:jc w:val="left"/>
            </w:pPr>
            <w:r w:rsidRPr="00B002D0">
              <w:t>MRVSN $</w:t>
            </w:r>
          </w:p>
        </w:tc>
        <w:tc>
          <w:tcPr>
            <w:tcW w:w="184" w:type="dxa"/>
            <w:tcBorders>
              <w:bottom w:val="single" w:sz="4" w:space="0" w:color="808080" w:themeColor="background1" w:themeShade="80"/>
            </w:tcBorders>
            <w:shd w:val="clear" w:color="auto" w:fill="D9D9D9" w:themeFill="background1" w:themeFillShade="D9"/>
            <w:vAlign w:val="center"/>
          </w:tcPr>
          <w:p w14:paraId="6ECB581C" w14:textId="77777777" w:rsidR="00637265" w:rsidRPr="00B002D0" w:rsidRDefault="00637265" w:rsidP="000439BD">
            <w:pPr>
              <w:jc w:val="left"/>
            </w:pPr>
          </w:p>
        </w:tc>
        <w:tc>
          <w:tcPr>
            <w:tcW w:w="2283" w:type="dxa"/>
            <w:tcBorders>
              <w:bottom w:val="single" w:sz="4" w:space="0" w:color="808080" w:themeColor="background1" w:themeShade="80"/>
            </w:tcBorders>
            <w:shd w:val="clear" w:color="auto" w:fill="D9D9D9" w:themeFill="background1" w:themeFillShade="D9"/>
            <w:vAlign w:val="center"/>
          </w:tcPr>
          <w:p w14:paraId="0A0027FB" w14:textId="77777777" w:rsidR="00637265" w:rsidRPr="00B002D0" w:rsidRDefault="00637265" w:rsidP="000439BD">
            <w:pPr>
              <w:pStyle w:val="MPS3DrugTableheaderrow"/>
              <w:jc w:val="left"/>
            </w:pPr>
            <w:r w:rsidRPr="00B002D0">
              <w:t>Brand Name and Manufacturer</w:t>
            </w:r>
          </w:p>
        </w:tc>
        <w:tc>
          <w:tcPr>
            <w:tcW w:w="183" w:type="dxa"/>
            <w:tcBorders>
              <w:bottom w:val="single" w:sz="4" w:space="0" w:color="808080" w:themeColor="background1" w:themeShade="80"/>
            </w:tcBorders>
            <w:shd w:val="clear" w:color="auto" w:fill="D9D9D9" w:themeFill="background1" w:themeFillShade="D9"/>
            <w:vAlign w:val="center"/>
          </w:tcPr>
          <w:p w14:paraId="430A7AC3" w14:textId="77777777" w:rsidR="00637265" w:rsidRPr="00B002D0" w:rsidRDefault="00637265" w:rsidP="000439BD">
            <w:pPr>
              <w:jc w:val="left"/>
            </w:pPr>
          </w:p>
        </w:tc>
        <w:tc>
          <w:tcPr>
            <w:tcW w:w="2283" w:type="dxa"/>
            <w:tcBorders>
              <w:bottom w:val="single" w:sz="4" w:space="0" w:color="808080" w:themeColor="background1" w:themeShade="80"/>
            </w:tcBorders>
            <w:shd w:val="clear" w:color="auto" w:fill="D9D9D9" w:themeFill="background1" w:themeFillShade="D9"/>
            <w:vAlign w:val="center"/>
          </w:tcPr>
          <w:p w14:paraId="0414559F" w14:textId="77777777" w:rsidR="00637265" w:rsidRPr="00B002D0" w:rsidRDefault="00637265" w:rsidP="000439BD">
            <w:pPr>
              <w:jc w:val="left"/>
            </w:pPr>
          </w:p>
        </w:tc>
      </w:tr>
      <w:tr w:rsidR="00637265" w14:paraId="2E0D0D97" w14:textId="77777777" w:rsidTr="000439BD">
        <w:tc>
          <w:tcPr>
            <w:tcW w:w="894" w:type="dxa"/>
            <w:vMerge/>
          </w:tcPr>
          <w:p w14:paraId="06B4EB79" w14:textId="77777777" w:rsidR="00637265" w:rsidRPr="00B002D0" w:rsidRDefault="00637265" w:rsidP="000439BD">
            <w:pPr>
              <w:jc w:val="left"/>
            </w:pPr>
          </w:p>
        </w:tc>
        <w:tc>
          <w:tcPr>
            <w:tcW w:w="1021" w:type="dxa"/>
            <w:tcBorders>
              <w:bottom w:val="single" w:sz="4" w:space="0" w:color="808080" w:themeColor="background1" w:themeShade="80"/>
            </w:tcBorders>
          </w:tcPr>
          <w:p w14:paraId="65BA2A3E" w14:textId="77777777" w:rsidR="00637265" w:rsidRPr="00B002D0" w:rsidRDefault="00637265" w:rsidP="000439BD">
            <w:pPr>
              <w:pStyle w:val="MPS3paralabel-MaxQuantity"/>
              <w:jc w:val="left"/>
            </w:pPr>
            <w:r w:rsidRPr="00B002D0">
              <w:t>‡1</w:t>
            </w:r>
          </w:p>
        </w:tc>
        <w:tc>
          <w:tcPr>
            <w:tcW w:w="938" w:type="dxa"/>
            <w:tcBorders>
              <w:bottom w:val="single" w:sz="4" w:space="0" w:color="808080" w:themeColor="background1" w:themeShade="80"/>
            </w:tcBorders>
          </w:tcPr>
          <w:p w14:paraId="31F36996" w14:textId="77777777" w:rsidR="00637265" w:rsidRPr="00B002D0" w:rsidRDefault="00637265" w:rsidP="000439BD">
            <w:pPr>
              <w:pStyle w:val="MPS3paralabel-MaxQuantity"/>
              <w:jc w:val="left"/>
            </w:pPr>
            <w:r w:rsidRPr="00B002D0">
              <w:t>..</w:t>
            </w:r>
          </w:p>
        </w:tc>
        <w:tc>
          <w:tcPr>
            <w:tcW w:w="992" w:type="dxa"/>
            <w:tcBorders>
              <w:bottom w:val="single" w:sz="4" w:space="0" w:color="808080" w:themeColor="background1" w:themeShade="80"/>
            </w:tcBorders>
          </w:tcPr>
          <w:p w14:paraId="622669E5" w14:textId="77777777" w:rsidR="00637265" w:rsidRPr="00B002D0" w:rsidRDefault="00637265" w:rsidP="000439BD">
            <w:pPr>
              <w:pStyle w:val="MPS3paralabel-MaxQuantity"/>
              <w:jc w:val="left"/>
            </w:pPr>
            <w:r w:rsidRPr="00B002D0">
              <w:t>..</w:t>
            </w:r>
          </w:p>
        </w:tc>
        <w:tc>
          <w:tcPr>
            <w:tcW w:w="851" w:type="dxa"/>
            <w:tcBorders>
              <w:bottom w:val="single" w:sz="4" w:space="0" w:color="808080" w:themeColor="background1" w:themeShade="80"/>
            </w:tcBorders>
          </w:tcPr>
          <w:p w14:paraId="76B95E30" w14:textId="77777777" w:rsidR="00637265" w:rsidRPr="00B002D0" w:rsidRDefault="00637265" w:rsidP="000439BD">
            <w:pPr>
              <w:pStyle w:val="MPS3paralabel-MaxQuantity"/>
              <w:jc w:val="left"/>
            </w:pPr>
            <w:r w:rsidRPr="00B002D0">
              <w:t>1113.99</w:t>
            </w:r>
          </w:p>
        </w:tc>
        <w:tc>
          <w:tcPr>
            <w:tcW w:w="850" w:type="dxa"/>
            <w:tcBorders>
              <w:bottom w:val="single" w:sz="4" w:space="0" w:color="808080" w:themeColor="background1" w:themeShade="80"/>
            </w:tcBorders>
          </w:tcPr>
          <w:p w14:paraId="405F5C23" w14:textId="77777777" w:rsidR="00637265" w:rsidRPr="00B002D0" w:rsidRDefault="00637265" w:rsidP="000439BD">
            <w:pPr>
              <w:pStyle w:val="MPS3paralabel-MaxQuantity"/>
              <w:jc w:val="left"/>
            </w:pPr>
            <w:r w:rsidRPr="00B002D0">
              <w:t>42.50</w:t>
            </w:r>
          </w:p>
        </w:tc>
        <w:tc>
          <w:tcPr>
            <w:tcW w:w="184" w:type="dxa"/>
            <w:tcBorders>
              <w:bottom w:val="single" w:sz="4" w:space="0" w:color="808080" w:themeColor="background1" w:themeShade="80"/>
            </w:tcBorders>
          </w:tcPr>
          <w:p w14:paraId="255E7891" w14:textId="77777777" w:rsidR="00637265" w:rsidRPr="00B002D0" w:rsidRDefault="00637265" w:rsidP="000439BD">
            <w:pPr>
              <w:pStyle w:val="MPS3bioequivelent"/>
              <w:jc w:val="left"/>
            </w:pPr>
          </w:p>
        </w:tc>
        <w:tc>
          <w:tcPr>
            <w:tcW w:w="2283" w:type="dxa"/>
            <w:tcBorders>
              <w:bottom w:val="single" w:sz="4" w:space="0" w:color="808080" w:themeColor="background1" w:themeShade="80"/>
            </w:tcBorders>
          </w:tcPr>
          <w:p w14:paraId="344421F3" w14:textId="77777777" w:rsidR="00637265" w:rsidRDefault="00637265" w:rsidP="000439BD">
            <w:pPr>
              <w:pStyle w:val="MPS3paralabel-BrandName"/>
              <w:jc w:val="left"/>
            </w:pPr>
            <w:r w:rsidRPr="00B002D0">
              <w:t>Paxlovid [HD]</w:t>
            </w:r>
            <w:r w:rsidRPr="00B002D0">
              <w:fldChar w:fldCharType="begin"/>
            </w:r>
            <w:r w:rsidRPr="00B002D0">
              <w:rPr>
                <w:i/>
              </w:rPr>
              <w:instrText xml:space="preserve">XE "Paxlovid(HD)" \i </w:instrText>
            </w:r>
            <w:r w:rsidRPr="00B002D0">
              <w:instrText>:</w:instrText>
            </w:r>
            <w:r w:rsidRPr="00B002D0">
              <w:fldChar w:fldCharType="end"/>
            </w:r>
          </w:p>
        </w:tc>
        <w:tc>
          <w:tcPr>
            <w:tcW w:w="183" w:type="dxa"/>
            <w:tcBorders>
              <w:bottom w:val="single" w:sz="4" w:space="0" w:color="808080" w:themeColor="background1" w:themeShade="80"/>
            </w:tcBorders>
          </w:tcPr>
          <w:p w14:paraId="34D747DC" w14:textId="77777777" w:rsidR="00637265" w:rsidRDefault="00637265" w:rsidP="000439BD">
            <w:pPr>
              <w:pStyle w:val="MPS3bioequivelent"/>
              <w:jc w:val="left"/>
            </w:pPr>
          </w:p>
        </w:tc>
        <w:tc>
          <w:tcPr>
            <w:tcW w:w="2283" w:type="dxa"/>
            <w:tcBorders>
              <w:bottom w:val="single" w:sz="4" w:space="0" w:color="808080" w:themeColor="background1" w:themeShade="80"/>
            </w:tcBorders>
          </w:tcPr>
          <w:p w14:paraId="41ECA1EE" w14:textId="77777777" w:rsidR="00637265" w:rsidRDefault="00637265" w:rsidP="000439BD">
            <w:pPr>
              <w:pStyle w:val="MPS3paralabel-BrandName"/>
              <w:jc w:val="left"/>
            </w:pPr>
          </w:p>
        </w:tc>
      </w:tr>
      <w:bookmarkEnd w:id="4"/>
      <w:bookmarkEnd w:id="5"/>
      <w:bookmarkEnd w:id="15"/>
    </w:tbl>
    <w:p w14:paraId="45CF236F" w14:textId="77777777" w:rsidR="00637265" w:rsidRPr="00F23F22" w:rsidRDefault="00637265" w:rsidP="00637265">
      <w:pPr>
        <w:contextualSpacing/>
        <w:rPr>
          <w:rFonts w:cstheme="minorHAnsi"/>
        </w:rPr>
      </w:pPr>
    </w:p>
    <w:p w14:paraId="134F0858" w14:textId="77777777" w:rsidR="004C2ED2" w:rsidRPr="004C2ED2" w:rsidRDefault="004C2ED2" w:rsidP="004C2ED2">
      <w:pPr>
        <w:rPr>
          <w:rFonts w:cstheme="minorHAnsi"/>
          <w:color w:val="000000"/>
        </w:rPr>
      </w:pPr>
    </w:p>
    <w:sectPr w:rsidR="004C2ED2" w:rsidRPr="004C2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11B9C" w14:textId="77777777" w:rsidR="005E07A7" w:rsidRDefault="005E07A7" w:rsidP="002F16A9">
      <w:pPr>
        <w:spacing w:after="0" w:line="240" w:lineRule="auto"/>
      </w:pPr>
      <w:r>
        <w:separator/>
      </w:r>
    </w:p>
  </w:endnote>
  <w:endnote w:type="continuationSeparator" w:id="0">
    <w:p w14:paraId="03AD17BB" w14:textId="77777777" w:rsidR="005E07A7" w:rsidRDefault="005E07A7" w:rsidP="002F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E6010" w14:textId="77777777" w:rsidR="005E07A7" w:rsidRDefault="005E07A7" w:rsidP="002F16A9">
      <w:pPr>
        <w:spacing w:after="0" w:line="240" w:lineRule="auto"/>
      </w:pPr>
      <w:r>
        <w:separator/>
      </w:r>
    </w:p>
  </w:footnote>
  <w:footnote w:type="continuationSeparator" w:id="0">
    <w:p w14:paraId="65702AEA" w14:textId="77777777" w:rsidR="005E07A7" w:rsidRDefault="005E07A7" w:rsidP="002F1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F881A02"/>
    <w:lvl w:ilvl="0">
      <w:start w:val="1"/>
      <w:numFmt w:val="bullet"/>
      <w:pStyle w:val="ListBullet"/>
      <w:lvlText w:val=""/>
      <w:lvlJc w:val="left"/>
      <w:rPr>
        <w:rFonts w:ascii="Symbol" w:hAnsi="Symbol" w:hint="default"/>
      </w:rPr>
    </w:lvl>
  </w:abstractNum>
  <w:abstractNum w:abstractNumId="1" w15:restartNumberingAfterBreak="0">
    <w:nsid w:val="0549795C"/>
    <w:multiLevelType w:val="hybridMultilevel"/>
    <w:tmpl w:val="FC421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17682"/>
    <w:multiLevelType w:val="hybridMultilevel"/>
    <w:tmpl w:val="5DBA374C"/>
    <w:lvl w:ilvl="0" w:tplc="99D6386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236972"/>
    <w:multiLevelType w:val="hybridMultilevel"/>
    <w:tmpl w:val="B9C2CD26"/>
    <w:lvl w:ilvl="0" w:tplc="A0F4386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D0C11"/>
    <w:multiLevelType w:val="hybridMultilevel"/>
    <w:tmpl w:val="296C8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DE3A98"/>
    <w:multiLevelType w:val="hybridMultilevel"/>
    <w:tmpl w:val="37FAC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B45CE"/>
    <w:multiLevelType w:val="multilevel"/>
    <w:tmpl w:val="E7E02E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6992AE0"/>
    <w:multiLevelType w:val="hybridMultilevel"/>
    <w:tmpl w:val="1688BE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51846"/>
    <w:multiLevelType w:val="multilevel"/>
    <w:tmpl w:val="E7E02E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FF53F86"/>
    <w:multiLevelType w:val="hybridMultilevel"/>
    <w:tmpl w:val="46246AB4"/>
    <w:lvl w:ilvl="0" w:tplc="BBBE20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60B21"/>
    <w:multiLevelType w:val="multilevel"/>
    <w:tmpl w:val="E7E02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B303EC"/>
    <w:multiLevelType w:val="hybridMultilevel"/>
    <w:tmpl w:val="60A05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E5542"/>
    <w:multiLevelType w:val="hybridMultilevel"/>
    <w:tmpl w:val="7E90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1A492A"/>
    <w:multiLevelType w:val="multilevel"/>
    <w:tmpl w:val="E7E02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62B18"/>
    <w:multiLevelType w:val="hybridMultilevel"/>
    <w:tmpl w:val="C7D01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762953"/>
    <w:multiLevelType w:val="multilevel"/>
    <w:tmpl w:val="E7E02E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D0B1237"/>
    <w:multiLevelType w:val="multilevel"/>
    <w:tmpl w:val="E7E02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837BA"/>
    <w:multiLevelType w:val="multilevel"/>
    <w:tmpl w:val="E7E02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D497E"/>
    <w:multiLevelType w:val="hybridMultilevel"/>
    <w:tmpl w:val="7A28ED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3C7F73"/>
    <w:multiLevelType w:val="hybridMultilevel"/>
    <w:tmpl w:val="BCEC2D34"/>
    <w:lvl w:ilvl="0" w:tplc="B51C6122">
      <w:start w:val="1"/>
      <w:numFmt w:val="bullet"/>
      <w:pStyle w:val="MPS3Drugname-block"/>
      <w:lvlText w:val=""/>
      <w:lvlJc w:val="left"/>
      <w:pPr>
        <w:ind w:left="720" w:hanging="360"/>
      </w:pPr>
      <w:rPr>
        <w:rFonts w:ascii="Wingdings" w:hAnsi="Wingdings" w:hint="default"/>
        <w:b/>
        <w:i w:val="0"/>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0478B"/>
    <w:multiLevelType w:val="hybridMultilevel"/>
    <w:tmpl w:val="B542589C"/>
    <w:lvl w:ilvl="0" w:tplc="B07ADCA6">
      <w:start w:val="1"/>
      <w:numFmt w:val="bullet"/>
      <w:lvlText w:val=""/>
      <w:lvlJc w:val="left"/>
      <w:pPr>
        <w:ind w:left="720" w:hanging="360"/>
      </w:pPr>
      <w:rPr>
        <w:rFonts w:ascii="Symbol" w:hAnsi="Symbol" w:hint="default"/>
      </w:rPr>
    </w:lvl>
    <w:lvl w:ilvl="1" w:tplc="5DA63520">
      <w:start w:val="1"/>
      <w:numFmt w:val="bullet"/>
      <w:lvlText w:val="o"/>
      <w:lvlJc w:val="left"/>
      <w:pPr>
        <w:ind w:left="1440" w:hanging="360"/>
      </w:pPr>
      <w:rPr>
        <w:rFonts w:ascii="Courier New" w:hAnsi="Courier New" w:hint="default"/>
      </w:rPr>
    </w:lvl>
    <w:lvl w:ilvl="2" w:tplc="6BCE590E">
      <w:start w:val="1"/>
      <w:numFmt w:val="bullet"/>
      <w:lvlText w:val=""/>
      <w:lvlJc w:val="left"/>
      <w:pPr>
        <w:ind w:left="2160" w:hanging="360"/>
      </w:pPr>
      <w:rPr>
        <w:rFonts w:ascii="Wingdings" w:hAnsi="Wingdings" w:hint="default"/>
      </w:rPr>
    </w:lvl>
    <w:lvl w:ilvl="3" w:tplc="EB827FA4">
      <w:start w:val="1"/>
      <w:numFmt w:val="bullet"/>
      <w:lvlText w:val=""/>
      <w:lvlJc w:val="left"/>
      <w:pPr>
        <w:ind w:left="2880" w:hanging="360"/>
      </w:pPr>
      <w:rPr>
        <w:rFonts w:ascii="Symbol" w:hAnsi="Symbol" w:hint="default"/>
      </w:rPr>
    </w:lvl>
    <w:lvl w:ilvl="4" w:tplc="42CCE450">
      <w:start w:val="1"/>
      <w:numFmt w:val="bullet"/>
      <w:lvlText w:val="o"/>
      <w:lvlJc w:val="left"/>
      <w:pPr>
        <w:ind w:left="3600" w:hanging="360"/>
      </w:pPr>
      <w:rPr>
        <w:rFonts w:ascii="Courier New" w:hAnsi="Courier New" w:hint="default"/>
      </w:rPr>
    </w:lvl>
    <w:lvl w:ilvl="5" w:tplc="7658921A">
      <w:start w:val="1"/>
      <w:numFmt w:val="bullet"/>
      <w:lvlText w:val=""/>
      <w:lvlJc w:val="left"/>
      <w:pPr>
        <w:ind w:left="4320" w:hanging="360"/>
      </w:pPr>
      <w:rPr>
        <w:rFonts w:ascii="Wingdings" w:hAnsi="Wingdings" w:hint="default"/>
      </w:rPr>
    </w:lvl>
    <w:lvl w:ilvl="6" w:tplc="8304A18A">
      <w:start w:val="1"/>
      <w:numFmt w:val="bullet"/>
      <w:lvlText w:val=""/>
      <w:lvlJc w:val="left"/>
      <w:pPr>
        <w:ind w:left="5040" w:hanging="360"/>
      </w:pPr>
      <w:rPr>
        <w:rFonts w:ascii="Symbol" w:hAnsi="Symbol" w:hint="default"/>
      </w:rPr>
    </w:lvl>
    <w:lvl w:ilvl="7" w:tplc="DC322CD0">
      <w:start w:val="1"/>
      <w:numFmt w:val="bullet"/>
      <w:lvlText w:val="o"/>
      <w:lvlJc w:val="left"/>
      <w:pPr>
        <w:ind w:left="5760" w:hanging="360"/>
      </w:pPr>
      <w:rPr>
        <w:rFonts w:ascii="Courier New" w:hAnsi="Courier New" w:hint="default"/>
      </w:rPr>
    </w:lvl>
    <w:lvl w:ilvl="8" w:tplc="A19ECE1A">
      <w:start w:val="1"/>
      <w:numFmt w:val="bullet"/>
      <w:lvlText w:val=""/>
      <w:lvlJc w:val="left"/>
      <w:pPr>
        <w:ind w:left="6480" w:hanging="360"/>
      </w:pPr>
      <w:rPr>
        <w:rFonts w:ascii="Wingdings" w:hAnsi="Wingdings" w:hint="default"/>
      </w:rPr>
    </w:lvl>
  </w:abstractNum>
  <w:abstractNum w:abstractNumId="21" w15:restartNumberingAfterBreak="0">
    <w:nsid w:val="4AC81CDA"/>
    <w:multiLevelType w:val="hybridMultilevel"/>
    <w:tmpl w:val="1C82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8207C"/>
    <w:multiLevelType w:val="hybridMultilevel"/>
    <w:tmpl w:val="CFAC9AC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3" w15:restartNumberingAfterBreak="0">
    <w:nsid w:val="4D2B39A0"/>
    <w:multiLevelType w:val="multilevel"/>
    <w:tmpl w:val="BAB8D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3F144A"/>
    <w:multiLevelType w:val="multilevel"/>
    <w:tmpl w:val="E7E02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894DC6"/>
    <w:multiLevelType w:val="hybridMultilevel"/>
    <w:tmpl w:val="8104E076"/>
    <w:lvl w:ilvl="0" w:tplc="27601AC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293A7B"/>
    <w:multiLevelType w:val="hybridMultilevel"/>
    <w:tmpl w:val="98B4DF1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6C2F0F"/>
    <w:multiLevelType w:val="hybridMultilevel"/>
    <w:tmpl w:val="1388A326"/>
    <w:lvl w:ilvl="0" w:tplc="79F061A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8043E6"/>
    <w:multiLevelType w:val="hybridMultilevel"/>
    <w:tmpl w:val="37B46A68"/>
    <w:lvl w:ilvl="0" w:tplc="9814A938">
      <w:start w:val="1"/>
      <w:numFmt w:val="bullet"/>
      <w:lvlText w:val=""/>
      <w:lvlJc w:val="left"/>
      <w:pPr>
        <w:ind w:left="720" w:hanging="360"/>
      </w:pPr>
      <w:rPr>
        <w:rFonts w:ascii="Symbol" w:hAnsi="Symbol" w:hint="default"/>
      </w:rPr>
    </w:lvl>
    <w:lvl w:ilvl="1" w:tplc="5268BDE2">
      <w:start w:val="1"/>
      <w:numFmt w:val="bullet"/>
      <w:lvlText w:val="o"/>
      <w:lvlJc w:val="left"/>
      <w:pPr>
        <w:ind w:left="1440" w:hanging="360"/>
      </w:pPr>
      <w:rPr>
        <w:rFonts w:ascii="Courier New" w:hAnsi="Courier New" w:cs="Courier New" w:hint="default"/>
      </w:rPr>
    </w:lvl>
    <w:lvl w:ilvl="2" w:tplc="13064D06">
      <w:start w:val="1"/>
      <w:numFmt w:val="bullet"/>
      <w:lvlText w:val=""/>
      <w:lvlJc w:val="left"/>
      <w:pPr>
        <w:ind w:left="2160" w:hanging="360"/>
      </w:pPr>
      <w:rPr>
        <w:rFonts w:ascii="Wingdings" w:hAnsi="Wingdings" w:hint="default"/>
      </w:rPr>
    </w:lvl>
    <w:lvl w:ilvl="3" w:tplc="339E8814">
      <w:start w:val="1"/>
      <w:numFmt w:val="bullet"/>
      <w:lvlText w:val=""/>
      <w:lvlJc w:val="left"/>
      <w:pPr>
        <w:ind w:left="2880" w:hanging="360"/>
      </w:pPr>
      <w:rPr>
        <w:rFonts w:ascii="Symbol" w:hAnsi="Symbol" w:hint="default"/>
      </w:rPr>
    </w:lvl>
    <w:lvl w:ilvl="4" w:tplc="F62A6EF8">
      <w:start w:val="1"/>
      <w:numFmt w:val="bullet"/>
      <w:lvlText w:val="o"/>
      <w:lvlJc w:val="left"/>
      <w:pPr>
        <w:ind w:left="3600" w:hanging="360"/>
      </w:pPr>
      <w:rPr>
        <w:rFonts w:ascii="Courier New" w:hAnsi="Courier New" w:cs="Courier New" w:hint="default"/>
      </w:rPr>
    </w:lvl>
    <w:lvl w:ilvl="5" w:tplc="8D64A508">
      <w:start w:val="1"/>
      <w:numFmt w:val="bullet"/>
      <w:lvlText w:val=""/>
      <w:lvlJc w:val="left"/>
      <w:pPr>
        <w:ind w:left="4320" w:hanging="360"/>
      </w:pPr>
      <w:rPr>
        <w:rFonts w:ascii="Wingdings" w:hAnsi="Wingdings" w:hint="default"/>
      </w:rPr>
    </w:lvl>
    <w:lvl w:ilvl="6" w:tplc="8CA6327A">
      <w:start w:val="1"/>
      <w:numFmt w:val="bullet"/>
      <w:lvlText w:val=""/>
      <w:lvlJc w:val="left"/>
      <w:pPr>
        <w:ind w:left="5040" w:hanging="360"/>
      </w:pPr>
      <w:rPr>
        <w:rFonts w:ascii="Symbol" w:hAnsi="Symbol" w:hint="default"/>
      </w:rPr>
    </w:lvl>
    <w:lvl w:ilvl="7" w:tplc="D04CAC5E">
      <w:start w:val="1"/>
      <w:numFmt w:val="bullet"/>
      <w:lvlText w:val="o"/>
      <w:lvlJc w:val="left"/>
      <w:pPr>
        <w:ind w:left="5760" w:hanging="360"/>
      </w:pPr>
      <w:rPr>
        <w:rFonts w:ascii="Courier New" w:hAnsi="Courier New" w:cs="Courier New" w:hint="default"/>
      </w:rPr>
    </w:lvl>
    <w:lvl w:ilvl="8" w:tplc="23D0492E">
      <w:start w:val="1"/>
      <w:numFmt w:val="bullet"/>
      <w:lvlText w:val=""/>
      <w:lvlJc w:val="left"/>
      <w:pPr>
        <w:ind w:left="6480" w:hanging="360"/>
      </w:pPr>
      <w:rPr>
        <w:rFonts w:ascii="Wingdings" w:hAnsi="Wingdings" w:hint="default"/>
      </w:rPr>
    </w:lvl>
  </w:abstractNum>
  <w:abstractNum w:abstractNumId="29" w15:restartNumberingAfterBreak="0">
    <w:nsid w:val="559E5716"/>
    <w:multiLevelType w:val="hybridMultilevel"/>
    <w:tmpl w:val="75C6AF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FC9724A"/>
    <w:multiLevelType w:val="hybridMultilevel"/>
    <w:tmpl w:val="7B248D8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FD82F1C"/>
    <w:multiLevelType w:val="hybridMultilevel"/>
    <w:tmpl w:val="0C104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0B69A8"/>
    <w:multiLevelType w:val="hybridMultilevel"/>
    <w:tmpl w:val="22069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8506DD"/>
    <w:multiLevelType w:val="hybridMultilevel"/>
    <w:tmpl w:val="9FCCEAF8"/>
    <w:lvl w:ilvl="0" w:tplc="912A62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A76D9F"/>
    <w:multiLevelType w:val="hybridMultilevel"/>
    <w:tmpl w:val="FDC626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47670F"/>
    <w:multiLevelType w:val="multilevel"/>
    <w:tmpl w:val="E7E02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33349F"/>
    <w:multiLevelType w:val="multilevel"/>
    <w:tmpl w:val="F1C82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4"/>
  </w:num>
  <w:num w:numId="3">
    <w:abstractNumId w:val="34"/>
  </w:num>
  <w:num w:numId="4">
    <w:abstractNumId w:val="20"/>
  </w:num>
  <w:num w:numId="5">
    <w:abstractNumId w:val="12"/>
  </w:num>
  <w:num w:numId="6">
    <w:abstractNumId w:val="27"/>
  </w:num>
  <w:num w:numId="7">
    <w:abstractNumId w:val="5"/>
  </w:num>
  <w:num w:numId="8">
    <w:abstractNumId w:val="1"/>
  </w:num>
  <w:num w:numId="9">
    <w:abstractNumId w:val="31"/>
  </w:num>
  <w:num w:numId="10">
    <w:abstractNumId w:val="4"/>
  </w:num>
  <w:num w:numId="11">
    <w:abstractNumId w:val="21"/>
  </w:num>
  <w:num w:numId="12">
    <w:abstractNumId w:val="22"/>
  </w:num>
  <w:num w:numId="13">
    <w:abstractNumId w:val="35"/>
  </w:num>
  <w:num w:numId="14">
    <w:abstractNumId w:val="36"/>
  </w:num>
  <w:num w:numId="15">
    <w:abstractNumId w:val="23"/>
  </w:num>
  <w:num w:numId="16">
    <w:abstractNumId w:val="13"/>
  </w:num>
  <w:num w:numId="17">
    <w:abstractNumId w:val="15"/>
  </w:num>
  <w:num w:numId="18">
    <w:abstractNumId w:val="24"/>
  </w:num>
  <w:num w:numId="19">
    <w:abstractNumId w:val="8"/>
  </w:num>
  <w:num w:numId="20">
    <w:abstractNumId w:val="6"/>
  </w:num>
  <w:num w:numId="21">
    <w:abstractNumId w:val="10"/>
  </w:num>
  <w:num w:numId="22">
    <w:abstractNumId w:val="16"/>
  </w:num>
  <w:num w:numId="23">
    <w:abstractNumId w:val="17"/>
  </w:num>
  <w:num w:numId="24">
    <w:abstractNumId w:val="34"/>
  </w:num>
  <w:num w:numId="25">
    <w:abstractNumId w:val="2"/>
  </w:num>
  <w:num w:numId="26">
    <w:abstractNumId w:val="9"/>
  </w:num>
  <w:num w:numId="27">
    <w:abstractNumId w:val="30"/>
  </w:num>
  <w:num w:numId="28">
    <w:abstractNumId w:val="26"/>
  </w:num>
  <w:num w:numId="29">
    <w:abstractNumId w:val="29"/>
  </w:num>
  <w:num w:numId="30">
    <w:abstractNumId w:val="26"/>
  </w:num>
  <w:num w:numId="31">
    <w:abstractNumId w:val="32"/>
  </w:num>
  <w:num w:numId="32">
    <w:abstractNumId w:val="33"/>
  </w:num>
  <w:num w:numId="33">
    <w:abstractNumId w:val="11"/>
  </w:num>
  <w:num w:numId="34">
    <w:abstractNumId w:val="3"/>
  </w:num>
  <w:num w:numId="35">
    <w:abstractNumId w:val="25"/>
  </w:num>
  <w:num w:numId="36">
    <w:abstractNumId w:val="7"/>
  </w:num>
  <w:num w:numId="37">
    <w:abstractNumId w:val="18"/>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8D"/>
    <w:rsid w:val="000005AC"/>
    <w:rsid w:val="0001484B"/>
    <w:rsid w:val="00021DFA"/>
    <w:rsid w:val="0002414E"/>
    <w:rsid w:val="0005310D"/>
    <w:rsid w:val="00054F4B"/>
    <w:rsid w:val="00061CA7"/>
    <w:rsid w:val="00070103"/>
    <w:rsid w:val="000B16F9"/>
    <w:rsid w:val="000B215A"/>
    <w:rsid w:val="000C4BD1"/>
    <w:rsid w:val="000D2BA9"/>
    <w:rsid w:val="000E0552"/>
    <w:rsid w:val="000F6954"/>
    <w:rsid w:val="00103C41"/>
    <w:rsid w:val="00120CFB"/>
    <w:rsid w:val="00130473"/>
    <w:rsid w:val="00140888"/>
    <w:rsid w:val="00143EE7"/>
    <w:rsid w:val="00147109"/>
    <w:rsid w:val="00154E62"/>
    <w:rsid w:val="00176574"/>
    <w:rsid w:val="00184DF2"/>
    <w:rsid w:val="0019061D"/>
    <w:rsid w:val="001A0005"/>
    <w:rsid w:val="001A1AB8"/>
    <w:rsid w:val="001A4444"/>
    <w:rsid w:val="001A4649"/>
    <w:rsid w:val="001B6948"/>
    <w:rsid w:val="001D05F6"/>
    <w:rsid w:val="001F6334"/>
    <w:rsid w:val="002055ED"/>
    <w:rsid w:val="002103B6"/>
    <w:rsid w:val="002208F6"/>
    <w:rsid w:val="00233CC7"/>
    <w:rsid w:val="00262F61"/>
    <w:rsid w:val="00264F8F"/>
    <w:rsid w:val="002A068B"/>
    <w:rsid w:val="002A1417"/>
    <w:rsid w:val="002E08D8"/>
    <w:rsid w:val="002F16A9"/>
    <w:rsid w:val="00311E78"/>
    <w:rsid w:val="003166BE"/>
    <w:rsid w:val="0032256A"/>
    <w:rsid w:val="003475A4"/>
    <w:rsid w:val="0036020E"/>
    <w:rsid w:val="00385D6F"/>
    <w:rsid w:val="00385EA7"/>
    <w:rsid w:val="00392F9D"/>
    <w:rsid w:val="003B2B41"/>
    <w:rsid w:val="003B4798"/>
    <w:rsid w:val="003D144D"/>
    <w:rsid w:val="003D3C1E"/>
    <w:rsid w:val="003E676F"/>
    <w:rsid w:val="004023C9"/>
    <w:rsid w:val="004162C3"/>
    <w:rsid w:val="004174F8"/>
    <w:rsid w:val="00420A6E"/>
    <w:rsid w:val="00434C32"/>
    <w:rsid w:val="0043738F"/>
    <w:rsid w:val="00454D74"/>
    <w:rsid w:val="0047461E"/>
    <w:rsid w:val="0048379E"/>
    <w:rsid w:val="004B028E"/>
    <w:rsid w:val="004C2ED2"/>
    <w:rsid w:val="004D0D63"/>
    <w:rsid w:val="004D7B48"/>
    <w:rsid w:val="004F3DF2"/>
    <w:rsid w:val="0052058A"/>
    <w:rsid w:val="005222B1"/>
    <w:rsid w:val="005242C3"/>
    <w:rsid w:val="005325C5"/>
    <w:rsid w:val="00535CAB"/>
    <w:rsid w:val="00570F27"/>
    <w:rsid w:val="00571F2A"/>
    <w:rsid w:val="005822A6"/>
    <w:rsid w:val="00594B6F"/>
    <w:rsid w:val="005E07A7"/>
    <w:rsid w:val="005E7190"/>
    <w:rsid w:val="005F72C7"/>
    <w:rsid w:val="0060495D"/>
    <w:rsid w:val="00637265"/>
    <w:rsid w:val="006469BB"/>
    <w:rsid w:val="00665045"/>
    <w:rsid w:val="0067080A"/>
    <w:rsid w:val="00684EA8"/>
    <w:rsid w:val="00696740"/>
    <w:rsid w:val="006A102B"/>
    <w:rsid w:val="006A2126"/>
    <w:rsid w:val="006C0290"/>
    <w:rsid w:val="006C1FCE"/>
    <w:rsid w:val="006C2F9F"/>
    <w:rsid w:val="006D4821"/>
    <w:rsid w:val="006D7236"/>
    <w:rsid w:val="006F1C91"/>
    <w:rsid w:val="007015E7"/>
    <w:rsid w:val="0071008B"/>
    <w:rsid w:val="00710FF4"/>
    <w:rsid w:val="00743FBB"/>
    <w:rsid w:val="0075795A"/>
    <w:rsid w:val="00763A54"/>
    <w:rsid w:val="00772910"/>
    <w:rsid w:val="00777FFE"/>
    <w:rsid w:val="007900AB"/>
    <w:rsid w:val="007954E1"/>
    <w:rsid w:val="007C1160"/>
    <w:rsid w:val="008010AE"/>
    <w:rsid w:val="008235FC"/>
    <w:rsid w:val="008245F0"/>
    <w:rsid w:val="0083233F"/>
    <w:rsid w:val="0085088E"/>
    <w:rsid w:val="008546A8"/>
    <w:rsid w:val="008625B6"/>
    <w:rsid w:val="00885600"/>
    <w:rsid w:val="008948C7"/>
    <w:rsid w:val="008963A0"/>
    <w:rsid w:val="008B3B7B"/>
    <w:rsid w:val="008E2EEF"/>
    <w:rsid w:val="00903952"/>
    <w:rsid w:val="0090619E"/>
    <w:rsid w:val="00915B2E"/>
    <w:rsid w:val="00935882"/>
    <w:rsid w:val="00935F25"/>
    <w:rsid w:val="00941E2D"/>
    <w:rsid w:val="00956877"/>
    <w:rsid w:val="009572BF"/>
    <w:rsid w:val="00965726"/>
    <w:rsid w:val="009930D0"/>
    <w:rsid w:val="009B518D"/>
    <w:rsid w:val="009E1C4B"/>
    <w:rsid w:val="009E2D68"/>
    <w:rsid w:val="00A0114B"/>
    <w:rsid w:val="00A15CC3"/>
    <w:rsid w:val="00A319AC"/>
    <w:rsid w:val="00A43023"/>
    <w:rsid w:val="00A4485E"/>
    <w:rsid w:val="00A5387A"/>
    <w:rsid w:val="00A634C5"/>
    <w:rsid w:val="00A9702A"/>
    <w:rsid w:val="00AD66F8"/>
    <w:rsid w:val="00AF4BC6"/>
    <w:rsid w:val="00B002D0"/>
    <w:rsid w:val="00B1137F"/>
    <w:rsid w:val="00B30757"/>
    <w:rsid w:val="00B45314"/>
    <w:rsid w:val="00B62A77"/>
    <w:rsid w:val="00B63E3A"/>
    <w:rsid w:val="00B7230C"/>
    <w:rsid w:val="00B829BE"/>
    <w:rsid w:val="00B94986"/>
    <w:rsid w:val="00B9675C"/>
    <w:rsid w:val="00BB79E2"/>
    <w:rsid w:val="00BC59E5"/>
    <w:rsid w:val="00BC5FCC"/>
    <w:rsid w:val="00BD3DD0"/>
    <w:rsid w:val="00BF6712"/>
    <w:rsid w:val="00C54012"/>
    <w:rsid w:val="00C640A0"/>
    <w:rsid w:val="00C7564D"/>
    <w:rsid w:val="00C92312"/>
    <w:rsid w:val="00CC0932"/>
    <w:rsid w:val="00CC64BC"/>
    <w:rsid w:val="00CD5B43"/>
    <w:rsid w:val="00CE0C3A"/>
    <w:rsid w:val="00CF2FAA"/>
    <w:rsid w:val="00D01C67"/>
    <w:rsid w:val="00D1009C"/>
    <w:rsid w:val="00D2284C"/>
    <w:rsid w:val="00D310AE"/>
    <w:rsid w:val="00D72F5E"/>
    <w:rsid w:val="00D77564"/>
    <w:rsid w:val="00D92A54"/>
    <w:rsid w:val="00D932D0"/>
    <w:rsid w:val="00D93706"/>
    <w:rsid w:val="00DC0AD5"/>
    <w:rsid w:val="00DD4D64"/>
    <w:rsid w:val="00DE39BE"/>
    <w:rsid w:val="00DF1496"/>
    <w:rsid w:val="00E13DC7"/>
    <w:rsid w:val="00E34163"/>
    <w:rsid w:val="00E4403B"/>
    <w:rsid w:val="00E45407"/>
    <w:rsid w:val="00E624E3"/>
    <w:rsid w:val="00E66C40"/>
    <w:rsid w:val="00E70DBC"/>
    <w:rsid w:val="00E80F1C"/>
    <w:rsid w:val="00E903E3"/>
    <w:rsid w:val="00E97E11"/>
    <w:rsid w:val="00EA420F"/>
    <w:rsid w:val="00EE1B41"/>
    <w:rsid w:val="00EE3EA5"/>
    <w:rsid w:val="00EE4049"/>
    <w:rsid w:val="00EF7DB6"/>
    <w:rsid w:val="00F0451E"/>
    <w:rsid w:val="00F25F29"/>
    <w:rsid w:val="00F34499"/>
    <w:rsid w:val="00F46221"/>
    <w:rsid w:val="00F64C50"/>
    <w:rsid w:val="00F67A3F"/>
    <w:rsid w:val="00F70442"/>
    <w:rsid w:val="00F87740"/>
    <w:rsid w:val="00FD135F"/>
    <w:rsid w:val="00FE1A0C"/>
    <w:rsid w:val="00FF6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1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1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9B518D"/>
    <w:pPr>
      <w:spacing w:after="0" w:line="240" w:lineRule="auto"/>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70103"/>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EE4049"/>
    <w:rPr>
      <w:rFonts w:ascii="Times New Roman" w:hAnsi="Times New Roman" w:cs="Times New Roman"/>
      <w:sz w:val="24"/>
      <w:szCs w:val="24"/>
    </w:rPr>
  </w:style>
  <w:style w:type="character" w:styleId="Hyperlink">
    <w:name w:val="Hyperlink"/>
    <w:basedOn w:val="DefaultParagraphFont"/>
    <w:uiPriority w:val="99"/>
    <w:unhideWhenUsed/>
    <w:rsid w:val="00A15CC3"/>
    <w:rPr>
      <w:color w:val="0000FF"/>
      <w:u w:val="single"/>
    </w:rPr>
  </w:style>
  <w:style w:type="character" w:styleId="CommentReference">
    <w:name w:val="annotation reference"/>
    <w:basedOn w:val="DefaultParagraphFont"/>
    <w:uiPriority w:val="99"/>
    <w:semiHidden/>
    <w:unhideWhenUsed/>
    <w:rsid w:val="008010AE"/>
    <w:rPr>
      <w:sz w:val="16"/>
      <w:szCs w:val="16"/>
    </w:rPr>
  </w:style>
  <w:style w:type="paragraph" w:styleId="CommentText">
    <w:name w:val="annotation text"/>
    <w:basedOn w:val="Normal"/>
    <w:link w:val="CommentTextChar"/>
    <w:uiPriority w:val="99"/>
    <w:unhideWhenUsed/>
    <w:rsid w:val="008010AE"/>
    <w:pPr>
      <w:spacing w:line="240" w:lineRule="auto"/>
    </w:pPr>
    <w:rPr>
      <w:sz w:val="20"/>
      <w:szCs w:val="20"/>
    </w:rPr>
  </w:style>
  <w:style w:type="character" w:customStyle="1" w:styleId="CommentTextChar">
    <w:name w:val="Comment Text Char"/>
    <w:basedOn w:val="DefaultParagraphFont"/>
    <w:link w:val="CommentText"/>
    <w:uiPriority w:val="99"/>
    <w:rsid w:val="008010AE"/>
    <w:rPr>
      <w:sz w:val="20"/>
      <w:szCs w:val="20"/>
    </w:rPr>
  </w:style>
  <w:style w:type="character" w:styleId="UnresolvedMention">
    <w:name w:val="Unresolved Mention"/>
    <w:basedOn w:val="DefaultParagraphFont"/>
    <w:uiPriority w:val="99"/>
    <w:semiHidden/>
    <w:unhideWhenUsed/>
    <w:rsid w:val="00E903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43FBB"/>
    <w:rPr>
      <w:b/>
      <w:bCs/>
    </w:rPr>
  </w:style>
  <w:style w:type="character" w:customStyle="1" w:styleId="CommentSubjectChar">
    <w:name w:val="Comment Subject Char"/>
    <w:basedOn w:val="CommentTextChar"/>
    <w:link w:val="CommentSubject"/>
    <w:uiPriority w:val="99"/>
    <w:semiHidden/>
    <w:rsid w:val="00743FBB"/>
    <w:rPr>
      <w:b/>
      <w:bCs/>
      <w:sz w:val="20"/>
      <w:szCs w:val="20"/>
    </w:rPr>
  </w:style>
  <w:style w:type="paragraph" w:customStyle="1" w:styleId="Default">
    <w:name w:val="Default"/>
    <w:rsid w:val="00054F4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94986"/>
    <w:rPr>
      <w:color w:val="954F72" w:themeColor="followedHyperlink"/>
      <w:u w:val="single"/>
    </w:rPr>
  </w:style>
  <w:style w:type="paragraph" w:styleId="Revision">
    <w:name w:val="Revision"/>
    <w:hidden/>
    <w:uiPriority w:val="99"/>
    <w:semiHidden/>
    <w:rsid w:val="00A4485E"/>
    <w:pPr>
      <w:spacing w:after="0" w:line="240" w:lineRule="auto"/>
    </w:pPr>
  </w:style>
  <w:style w:type="paragraph" w:styleId="Header">
    <w:name w:val="header"/>
    <w:basedOn w:val="Normal"/>
    <w:link w:val="HeaderChar"/>
    <w:uiPriority w:val="99"/>
    <w:unhideWhenUsed/>
    <w:rsid w:val="002F1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6A9"/>
  </w:style>
  <w:style w:type="paragraph" w:styleId="Footer">
    <w:name w:val="footer"/>
    <w:basedOn w:val="Normal"/>
    <w:link w:val="FooterChar"/>
    <w:uiPriority w:val="99"/>
    <w:unhideWhenUsed/>
    <w:rsid w:val="002F1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6A9"/>
  </w:style>
  <w:style w:type="paragraph" w:customStyle="1" w:styleId="MPS3Drugname-block">
    <w:name w:val="MPS3 Drug name - block"/>
    <w:basedOn w:val="Normal"/>
    <w:next w:val="Normal"/>
    <w:qFormat/>
    <w:rsid w:val="00637265"/>
    <w:pPr>
      <w:keepNext/>
      <w:numPr>
        <w:numId w:val="38"/>
      </w:numPr>
      <w:tabs>
        <w:tab w:val="left" w:pos="28"/>
        <w:tab w:val="left" w:pos="1680"/>
      </w:tabs>
      <w:spacing w:before="113" w:after="28" w:line="240" w:lineRule="auto"/>
      <w:ind w:left="113" w:hanging="113"/>
    </w:pPr>
    <w:rPr>
      <w:rFonts w:ascii="Arial" w:eastAsiaTheme="minorEastAsia" w:hAnsi="Arial"/>
      <w:b/>
      <w:sz w:val="21"/>
      <w:lang w:eastAsia="zh-CN"/>
    </w:rPr>
  </w:style>
  <w:style w:type="paragraph" w:customStyle="1" w:styleId="MPS3Restrictioninformation">
    <w:name w:val="MPS3 Restriction information"/>
    <w:basedOn w:val="Normal"/>
    <w:qFormat/>
    <w:rsid w:val="00637265"/>
    <w:pPr>
      <w:spacing w:after="28" w:line="240" w:lineRule="auto"/>
      <w:ind w:left="851"/>
    </w:pPr>
    <w:rPr>
      <w:rFonts w:ascii="Arial" w:eastAsiaTheme="minorEastAsia" w:hAnsi="Arial"/>
      <w:sz w:val="17"/>
      <w:lang w:eastAsia="zh-CN"/>
    </w:rPr>
  </w:style>
  <w:style w:type="paragraph" w:customStyle="1" w:styleId="MPS3Cautioninformation">
    <w:name w:val="MPS3 Caution information"/>
    <w:basedOn w:val="Normal"/>
    <w:qFormat/>
    <w:rsid w:val="00637265"/>
    <w:pPr>
      <w:spacing w:after="28" w:line="240" w:lineRule="auto"/>
      <w:ind w:left="851"/>
    </w:pPr>
    <w:rPr>
      <w:rFonts w:ascii="Arial" w:eastAsiaTheme="minorEastAsia" w:hAnsi="Arial"/>
      <w:sz w:val="17"/>
      <w:lang w:eastAsia="zh-CN"/>
    </w:rPr>
  </w:style>
  <w:style w:type="paragraph" w:customStyle="1" w:styleId="MPS3Restrictiontype">
    <w:name w:val="MPS3 Restriction type"/>
    <w:basedOn w:val="Normal"/>
    <w:next w:val="Normal"/>
    <w:qFormat/>
    <w:rsid w:val="00637265"/>
    <w:pPr>
      <w:spacing w:after="28" w:line="240" w:lineRule="auto"/>
      <w:ind w:left="851"/>
    </w:pPr>
    <w:rPr>
      <w:rFonts w:ascii="Arial" w:eastAsiaTheme="minorEastAsia" w:hAnsi="Arial"/>
      <w:b/>
      <w:sz w:val="17"/>
      <w:u w:val="single"/>
      <w:lang w:eastAsia="zh-CN"/>
    </w:rPr>
  </w:style>
  <w:style w:type="paragraph" w:customStyle="1" w:styleId="MPS3Cautiontype">
    <w:name w:val="MPS3 Caution type"/>
    <w:basedOn w:val="Normal"/>
    <w:next w:val="Normal"/>
    <w:qFormat/>
    <w:rsid w:val="00637265"/>
    <w:pPr>
      <w:spacing w:after="28" w:line="240" w:lineRule="auto"/>
      <w:ind w:left="170"/>
    </w:pPr>
    <w:rPr>
      <w:rFonts w:ascii="Arial" w:eastAsiaTheme="minorEastAsia" w:hAnsi="Arial"/>
      <w:b/>
      <w:sz w:val="17"/>
      <w:lang w:eastAsia="zh-CN"/>
    </w:rPr>
  </w:style>
  <w:style w:type="paragraph" w:customStyle="1" w:styleId="MPS3Drugform">
    <w:name w:val="MPS3 Drug form"/>
    <w:basedOn w:val="Normal"/>
    <w:next w:val="Normal"/>
    <w:qFormat/>
    <w:rsid w:val="00637265"/>
    <w:pPr>
      <w:keepNext/>
      <w:spacing w:before="57" w:after="40" w:line="240" w:lineRule="auto"/>
      <w:ind w:left="113"/>
      <w:textboxTightWrap w:val="allLines"/>
    </w:pPr>
    <w:rPr>
      <w:rFonts w:ascii="Arial" w:eastAsiaTheme="minorEastAsia" w:hAnsi="Arial"/>
      <w:b/>
      <w:sz w:val="19"/>
      <w:lang w:eastAsia="zh-CN"/>
    </w:rPr>
  </w:style>
  <w:style w:type="paragraph" w:customStyle="1" w:styleId="MPS3DrugCode">
    <w:name w:val="MPS3 Drug Code"/>
    <w:basedOn w:val="Normal"/>
    <w:next w:val="Normal"/>
    <w:link w:val="MPS3DrugCodeChar"/>
    <w:qFormat/>
    <w:rsid w:val="00637265"/>
    <w:pPr>
      <w:keepNext/>
      <w:spacing w:before="20" w:after="28" w:line="264" w:lineRule="auto"/>
    </w:pPr>
    <w:rPr>
      <w:rFonts w:ascii="Arial" w:eastAsiaTheme="minorEastAsia" w:hAnsi="Arial"/>
      <w:color w:val="000000" w:themeColor="text1"/>
      <w:sz w:val="19"/>
      <w:lang w:eastAsia="zh-CN"/>
    </w:rPr>
  </w:style>
  <w:style w:type="character" w:customStyle="1" w:styleId="MPS3DrugCodeChar">
    <w:name w:val="MPS3 Drug Code Char"/>
    <w:basedOn w:val="DefaultParagraphFont"/>
    <w:link w:val="MPS3DrugCode"/>
    <w:rsid w:val="00637265"/>
    <w:rPr>
      <w:rFonts w:ascii="Arial" w:eastAsiaTheme="minorEastAsia" w:hAnsi="Arial"/>
      <w:color w:val="000000" w:themeColor="text1"/>
      <w:sz w:val="19"/>
      <w:lang w:eastAsia="zh-CN"/>
    </w:rPr>
  </w:style>
  <w:style w:type="paragraph" w:customStyle="1" w:styleId="MPS3paralabel-MaxQuantity">
    <w:name w:val="MPS3 paralabel-MaxQuantity"/>
    <w:basedOn w:val="Normal"/>
    <w:qFormat/>
    <w:rsid w:val="00637265"/>
    <w:pPr>
      <w:spacing w:before="20" w:after="0" w:line="240" w:lineRule="auto"/>
      <w:jc w:val="center"/>
    </w:pPr>
    <w:rPr>
      <w:rFonts w:ascii="Arial" w:eastAsiaTheme="minorEastAsia" w:hAnsi="Arial"/>
      <w:sz w:val="16"/>
      <w:lang w:eastAsia="zh-CN"/>
    </w:rPr>
  </w:style>
  <w:style w:type="paragraph" w:customStyle="1" w:styleId="MPS3paralabel-BrandName">
    <w:name w:val="MPS3 paralabel-BrandName"/>
    <w:basedOn w:val="Normal"/>
    <w:qFormat/>
    <w:rsid w:val="00637265"/>
    <w:pPr>
      <w:spacing w:before="20" w:after="0" w:line="240" w:lineRule="auto"/>
    </w:pPr>
    <w:rPr>
      <w:rFonts w:ascii="Arial" w:eastAsiaTheme="minorEastAsia" w:hAnsi="Arial"/>
      <w:sz w:val="16"/>
      <w:lang w:eastAsia="zh-CN"/>
    </w:rPr>
  </w:style>
  <w:style w:type="paragraph" w:customStyle="1" w:styleId="MPS3DrugTableheaderrow">
    <w:name w:val="MPS3 Drug Table header row"/>
    <w:basedOn w:val="Normal"/>
    <w:qFormat/>
    <w:rsid w:val="00637265"/>
    <w:pPr>
      <w:spacing w:after="57" w:line="240" w:lineRule="auto"/>
      <w:jc w:val="center"/>
    </w:pPr>
    <w:rPr>
      <w:rFonts w:ascii="Arial" w:eastAsiaTheme="minorEastAsia" w:hAnsi="Arial"/>
      <w:sz w:val="14"/>
      <w:lang w:eastAsia="zh-CN"/>
    </w:rPr>
  </w:style>
  <w:style w:type="paragraph" w:customStyle="1" w:styleId="MPS3RestrictionNumber">
    <w:name w:val="MPS3 Restriction Number"/>
    <w:basedOn w:val="Normal"/>
    <w:qFormat/>
    <w:rsid w:val="00637265"/>
    <w:pPr>
      <w:spacing w:after="0" w:line="240" w:lineRule="auto"/>
      <w:ind w:left="851"/>
    </w:pPr>
    <w:rPr>
      <w:rFonts w:ascii="Arial" w:eastAsiaTheme="minorEastAsia" w:hAnsi="Arial"/>
      <w:b/>
      <w:i/>
      <w:sz w:val="18"/>
      <w:lang w:eastAsia="zh-CN"/>
    </w:rPr>
  </w:style>
  <w:style w:type="table" w:customStyle="1" w:styleId="mps-table-GE">
    <w:name w:val="mps-table-GE"/>
    <w:basedOn w:val="TableNormal"/>
    <w:uiPriority w:val="99"/>
    <w:rsid w:val="00637265"/>
    <w:pPr>
      <w:spacing w:after="0" w:line="240" w:lineRule="auto"/>
      <w:jc w:val="center"/>
    </w:pPr>
    <w:rPr>
      <w:rFonts w:ascii="Calibri Light" w:eastAsiaTheme="minorEastAsia" w:hAnsi="Calibri Light"/>
      <w:sz w:val="16"/>
      <w:lang w:eastAsia="zh-CN"/>
    </w:rPr>
    <w:tblPr>
      <w:tblCellMar>
        <w:left w:w="6" w:type="dxa"/>
        <w:right w:w="6" w:type="dxa"/>
      </w:tblCellMar>
    </w:tblPr>
    <w:trPr>
      <w:cantSplit/>
    </w:trPr>
    <w:tblStylePr w:type="firstRow">
      <w:pPr>
        <w:keepNext w:val="0"/>
        <w:keepLines w:val="0"/>
        <w:pageBreakBefore w:val="0"/>
        <w:widowControl w:val="0"/>
        <w:suppressLineNumbers w:val="0"/>
        <w:suppressAutoHyphens w:val="0"/>
        <w:wordWrap/>
        <w:spacing w:beforeLines="20" w:before="20" w:beforeAutospacing="0" w:afterLines="20" w:after="20" w:afterAutospacing="0" w:line="276" w:lineRule="auto"/>
        <w:ind w:leftChars="0" w:left="0" w:rightChars="0" w:right="0" w:firstLineChars="0" w:firstLine="0"/>
        <w:contextualSpacing w:val="0"/>
        <w:mirrorIndents w:val="0"/>
        <w:jc w:val="center"/>
        <w:textboxTightWrap w:val="none"/>
      </w:pPr>
      <w:rPr>
        <w:rFonts w:ascii="Calibri Light" w:hAnsi="Calibri Light"/>
        <w:color w:val="595959" w:themeColor="text1" w:themeTint="A6"/>
        <w:sz w:val="16"/>
      </w:rPr>
    </w:tblStylePr>
    <w:tblStylePr w:type="lastCol">
      <w:pPr>
        <w:jc w:val="left"/>
      </w:pPr>
    </w:tblStylePr>
  </w:style>
  <w:style w:type="paragraph" w:customStyle="1" w:styleId="MPS3Notehead">
    <w:name w:val="MPS3 Note head"/>
    <w:basedOn w:val="Normal"/>
    <w:qFormat/>
    <w:rsid w:val="00637265"/>
    <w:pPr>
      <w:spacing w:before="20" w:after="20" w:line="264" w:lineRule="auto"/>
      <w:ind w:left="907" w:hanging="482"/>
    </w:pPr>
    <w:rPr>
      <w:rFonts w:ascii="Arial" w:eastAsiaTheme="minorEastAsia" w:hAnsi="Arial"/>
      <w:b/>
      <w:sz w:val="17"/>
      <w:lang w:eastAsia="zh-CN"/>
    </w:rPr>
  </w:style>
  <w:style w:type="paragraph" w:customStyle="1" w:styleId="MPS3notebody">
    <w:name w:val="MPS3 note body"/>
    <w:qFormat/>
    <w:rsid w:val="00637265"/>
    <w:pPr>
      <w:spacing w:before="40" w:after="20" w:line="240" w:lineRule="auto"/>
      <w:ind w:left="851"/>
    </w:pPr>
    <w:rPr>
      <w:rFonts w:ascii="Arial" w:eastAsiaTheme="minorEastAsia" w:hAnsi="Arial"/>
      <w:sz w:val="17"/>
      <w:lang w:eastAsia="zh-CN"/>
    </w:rPr>
  </w:style>
  <w:style w:type="paragraph" w:customStyle="1" w:styleId="MPS3noteend">
    <w:name w:val="MPS3 note end"/>
    <w:basedOn w:val="MPS3notebody"/>
    <w:qFormat/>
    <w:rsid w:val="00637265"/>
    <w:pPr>
      <w:pBdr>
        <w:bottom w:val="single" w:sz="4" w:space="1" w:color="auto"/>
      </w:pBdr>
      <w:spacing w:before="0" w:after="0"/>
      <w:ind w:left="369"/>
    </w:pPr>
    <w:rPr>
      <w:sz w:val="2"/>
    </w:rPr>
  </w:style>
  <w:style w:type="paragraph" w:customStyle="1" w:styleId="MPS3bioequivelent">
    <w:name w:val="MPS3 bioequivelent"/>
    <w:basedOn w:val="MPS3paralabel-MaxQuantity"/>
    <w:qFormat/>
    <w:rsid w:val="00637265"/>
    <w:rPr>
      <w:vertAlign w:val="superscript"/>
    </w:rPr>
  </w:style>
  <w:style w:type="paragraph" w:styleId="ListBullet">
    <w:name w:val="List Bullet"/>
    <w:basedOn w:val="Normal"/>
    <w:uiPriority w:val="99"/>
    <w:unhideWhenUsed/>
    <w:rsid w:val="00637265"/>
    <w:pPr>
      <w:numPr>
        <w:numId w:val="39"/>
      </w:numPr>
      <w:spacing w:after="0" w:line="240" w:lineRule="auto"/>
      <w:ind w:left="1078" w:hanging="227"/>
      <w:contextualSpacing/>
    </w:pPr>
    <w:rPr>
      <w:rFonts w:ascii="Arial" w:eastAsiaTheme="minorEastAsia" w:hAnsi="Arial"/>
      <w:sz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4868">
      <w:bodyDiv w:val="1"/>
      <w:marLeft w:val="0"/>
      <w:marRight w:val="0"/>
      <w:marTop w:val="0"/>
      <w:marBottom w:val="0"/>
      <w:divBdr>
        <w:top w:val="none" w:sz="0" w:space="0" w:color="auto"/>
        <w:left w:val="none" w:sz="0" w:space="0" w:color="auto"/>
        <w:bottom w:val="none" w:sz="0" w:space="0" w:color="auto"/>
        <w:right w:val="none" w:sz="0" w:space="0" w:color="auto"/>
      </w:divBdr>
    </w:div>
    <w:div w:id="478697110">
      <w:bodyDiv w:val="1"/>
      <w:marLeft w:val="0"/>
      <w:marRight w:val="0"/>
      <w:marTop w:val="0"/>
      <w:marBottom w:val="0"/>
      <w:divBdr>
        <w:top w:val="none" w:sz="0" w:space="0" w:color="auto"/>
        <w:left w:val="none" w:sz="0" w:space="0" w:color="auto"/>
        <w:bottom w:val="none" w:sz="0" w:space="0" w:color="auto"/>
        <w:right w:val="none" w:sz="0" w:space="0" w:color="auto"/>
      </w:divBdr>
    </w:div>
    <w:div w:id="492374591">
      <w:bodyDiv w:val="1"/>
      <w:marLeft w:val="0"/>
      <w:marRight w:val="0"/>
      <w:marTop w:val="0"/>
      <w:marBottom w:val="0"/>
      <w:divBdr>
        <w:top w:val="none" w:sz="0" w:space="0" w:color="auto"/>
        <w:left w:val="none" w:sz="0" w:space="0" w:color="auto"/>
        <w:bottom w:val="none" w:sz="0" w:space="0" w:color="auto"/>
        <w:right w:val="none" w:sz="0" w:space="0" w:color="auto"/>
      </w:divBdr>
    </w:div>
    <w:div w:id="501897776">
      <w:bodyDiv w:val="1"/>
      <w:marLeft w:val="0"/>
      <w:marRight w:val="0"/>
      <w:marTop w:val="0"/>
      <w:marBottom w:val="0"/>
      <w:divBdr>
        <w:top w:val="none" w:sz="0" w:space="0" w:color="auto"/>
        <w:left w:val="none" w:sz="0" w:space="0" w:color="auto"/>
        <w:bottom w:val="none" w:sz="0" w:space="0" w:color="auto"/>
        <w:right w:val="none" w:sz="0" w:space="0" w:color="auto"/>
      </w:divBdr>
    </w:div>
    <w:div w:id="687490072">
      <w:bodyDiv w:val="1"/>
      <w:marLeft w:val="0"/>
      <w:marRight w:val="0"/>
      <w:marTop w:val="0"/>
      <w:marBottom w:val="0"/>
      <w:divBdr>
        <w:top w:val="none" w:sz="0" w:space="0" w:color="auto"/>
        <w:left w:val="none" w:sz="0" w:space="0" w:color="auto"/>
        <w:bottom w:val="none" w:sz="0" w:space="0" w:color="auto"/>
        <w:right w:val="none" w:sz="0" w:space="0" w:color="auto"/>
      </w:divBdr>
    </w:div>
    <w:div w:id="739792018">
      <w:bodyDiv w:val="1"/>
      <w:marLeft w:val="0"/>
      <w:marRight w:val="0"/>
      <w:marTop w:val="0"/>
      <w:marBottom w:val="0"/>
      <w:divBdr>
        <w:top w:val="none" w:sz="0" w:space="0" w:color="auto"/>
        <w:left w:val="none" w:sz="0" w:space="0" w:color="auto"/>
        <w:bottom w:val="none" w:sz="0" w:space="0" w:color="auto"/>
        <w:right w:val="none" w:sz="0" w:space="0" w:color="auto"/>
      </w:divBdr>
    </w:div>
    <w:div w:id="776683120">
      <w:bodyDiv w:val="1"/>
      <w:marLeft w:val="0"/>
      <w:marRight w:val="0"/>
      <w:marTop w:val="0"/>
      <w:marBottom w:val="0"/>
      <w:divBdr>
        <w:top w:val="none" w:sz="0" w:space="0" w:color="auto"/>
        <w:left w:val="none" w:sz="0" w:space="0" w:color="auto"/>
        <w:bottom w:val="none" w:sz="0" w:space="0" w:color="auto"/>
        <w:right w:val="none" w:sz="0" w:space="0" w:color="auto"/>
      </w:divBdr>
    </w:div>
    <w:div w:id="845217856">
      <w:bodyDiv w:val="1"/>
      <w:marLeft w:val="0"/>
      <w:marRight w:val="0"/>
      <w:marTop w:val="0"/>
      <w:marBottom w:val="0"/>
      <w:divBdr>
        <w:top w:val="none" w:sz="0" w:space="0" w:color="auto"/>
        <w:left w:val="none" w:sz="0" w:space="0" w:color="auto"/>
        <w:bottom w:val="none" w:sz="0" w:space="0" w:color="auto"/>
        <w:right w:val="none" w:sz="0" w:space="0" w:color="auto"/>
      </w:divBdr>
    </w:div>
    <w:div w:id="859467405">
      <w:bodyDiv w:val="1"/>
      <w:marLeft w:val="0"/>
      <w:marRight w:val="0"/>
      <w:marTop w:val="0"/>
      <w:marBottom w:val="0"/>
      <w:divBdr>
        <w:top w:val="none" w:sz="0" w:space="0" w:color="auto"/>
        <w:left w:val="none" w:sz="0" w:space="0" w:color="auto"/>
        <w:bottom w:val="none" w:sz="0" w:space="0" w:color="auto"/>
        <w:right w:val="none" w:sz="0" w:space="0" w:color="auto"/>
      </w:divBdr>
    </w:div>
    <w:div w:id="945503482">
      <w:bodyDiv w:val="1"/>
      <w:marLeft w:val="0"/>
      <w:marRight w:val="0"/>
      <w:marTop w:val="0"/>
      <w:marBottom w:val="0"/>
      <w:divBdr>
        <w:top w:val="none" w:sz="0" w:space="0" w:color="auto"/>
        <w:left w:val="none" w:sz="0" w:space="0" w:color="auto"/>
        <w:bottom w:val="none" w:sz="0" w:space="0" w:color="auto"/>
        <w:right w:val="none" w:sz="0" w:space="0" w:color="auto"/>
      </w:divBdr>
    </w:div>
    <w:div w:id="966006713">
      <w:bodyDiv w:val="1"/>
      <w:marLeft w:val="0"/>
      <w:marRight w:val="0"/>
      <w:marTop w:val="0"/>
      <w:marBottom w:val="0"/>
      <w:divBdr>
        <w:top w:val="none" w:sz="0" w:space="0" w:color="auto"/>
        <w:left w:val="none" w:sz="0" w:space="0" w:color="auto"/>
        <w:bottom w:val="none" w:sz="0" w:space="0" w:color="auto"/>
        <w:right w:val="none" w:sz="0" w:space="0" w:color="auto"/>
      </w:divBdr>
    </w:div>
    <w:div w:id="1014725675">
      <w:bodyDiv w:val="1"/>
      <w:marLeft w:val="0"/>
      <w:marRight w:val="0"/>
      <w:marTop w:val="0"/>
      <w:marBottom w:val="0"/>
      <w:divBdr>
        <w:top w:val="none" w:sz="0" w:space="0" w:color="auto"/>
        <w:left w:val="none" w:sz="0" w:space="0" w:color="auto"/>
        <w:bottom w:val="none" w:sz="0" w:space="0" w:color="auto"/>
        <w:right w:val="none" w:sz="0" w:space="0" w:color="auto"/>
      </w:divBdr>
    </w:div>
    <w:div w:id="1054308226">
      <w:bodyDiv w:val="1"/>
      <w:marLeft w:val="0"/>
      <w:marRight w:val="0"/>
      <w:marTop w:val="0"/>
      <w:marBottom w:val="0"/>
      <w:divBdr>
        <w:top w:val="none" w:sz="0" w:space="0" w:color="auto"/>
        <w:left w:val="none" w:sz="0" w:space="0" w:color="auto"/>
        <w:bottom w:val="none" w:sz="0" w:space="0" w:color="auto"/>
        <w:right w:val="none" w:sz="0" w:space="0" w:color="auto"/>
      </w:divBdr>
    </w:div>
    <w:div w:id="1242838447">
      <w:bodyDiv w:val="1"/>
      <w:marLeft w:val="0"/>
      <w:marRight w:val="0"/>
      <w:marTop w:val="0"/>
      <w:marBottom w:val="0"/>
      <w:divBdr>
        <w:top w:val="none" w:sz="0" w:space="0" w:color="auto"/>
        <w:left w:val="none" w:sz="0" w:space="0" w:color="auto"/>
        <w:bottom w:val="none" w:sz="0" w:space="0" w:color="auto"/>
        <w:right w:val="none" w:sz="0" w:space="0" w:color="auto"/>
      </w:divBdr>
    </w:div>
    <w:div w:id="1261837761">
      <w:bodyDiv w:val="1"/>
      <w:marLeft w:val="0"/>
      <w:marRight w:val="0"/>
      <w:marTop w:val="0"/>
      <w:marBottom w:val="0"/>
      <w:divBdr>
        <w:top w:val="none" w:sz="0" w:space="0" w:color="auto"/>
        <w:left w:val="none" w:sz="0" w:space="0" w:color="auto"/>
        <w:bottom w:val="none" w:sz="0" w:space="0" w:color="auto"/>
        <w:right w:val="none" w:sz="0" w:space="0" w:color="auto"/>
      </w:divBdr>
    </w:div>
    <w:div w:id="1445492358">
      <w:bodyDiv w:val="1"/>
      <w:marLeft w:val="0"/>
      <w:marRight w:val="0"/>
      <w:marTop w:val="0"/>
      <w:marBottom w:val="0"/>
      <w:divBdr>
        <w:top w:val="none" w:sz="0" w:space="0" w:color="auto"/>
        <w:left w:val="none" w:sz="0" w:space="0" w:color="auto"/>
        <w:bottom w:val="none" w:sz="0" w:space="0" w:color="auto"/>
        <w:right w:val="none" w:sz="0" w:space="0" w:color="auto"/>
      </w:divBdr>
    </w:div>
    <w:div w:id="1543250847">
      <w:bodyDiv w:val="1"/>
      <w:marLeft w:val="0"/>
      <w:marRight w:val="0"/>
      <w:marTop w:val="0"/>
      <w:marBottom w:val="0"/>
      <w:divBdr>
        <w:top w:val="none" w:sz="0" w:space="0" w:color="auto"/>
        <w:left w:val="none" w:sz="0" w:space="0" w:color="auto"/>
        <w:bottom w:val="none" w:sz="0" w:space="0" w:color="auto"/>
        <w:right w:val="none" w:sz="0" w:space="0" w:color="auto"/>
      </w:divBdr>
    </w:div>
    <w:div w:id="1748921285">
      <w:bodyDiv w:val="1"/>
      <w:marLeft w:val="0"/>
      <w:marRight w:val="0"/>
      <w:marTop w:val="0"/>
      <w:marBottom w:val="0"/>
      <w:divBdr>
        <w:top w:val="none" w:sz="0" w:space="0" w:color="auto"/>
        <w:left w:val="none" w:sz="0" w:space="0" w:color="auto"/>
        <w:bottom w:val="none" w:sz="0" w:space="0" w:color="auto"/>
        <w:right w:val="none" w:sz="0" w:space="0" w:color="auto"/>
      </w:divBdr>
    </w:div>
    <w:div w:id="1933270676">
      <w:bodyDiv w:val="1"/>
      <w:marLeft w:val="0"/>
      <w:marRight w:val="0"/>
      <w:marTop w:val="0"/>
      <w:marBottom w:val="0"/>
      <w:divBdr>
        <w:top w:val="none" w:sz="0" w:space="0" w:color="auto"/>
        <w:left w:val="none" w:sz="0" w:space="0" w:color="auto"/>
        <w:bottom w:val="none" w:sz="0" w:space="0" w:color="auto"/>
        <w:right w:val="none" w:sz="0" w:space="0" w:color="auto"/>
      </w:divBdr>
    </w:div>
    <w:div w:id="21322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tga-provisionally-approves-pfizer-australia-pty-ltds-covid-19-treatment-nirmatrelvir-ritonavir-paxlovid" TargetMode="External"/><Relationship Id="rId13" Type="http://schemas.openxmlformats.org/officeDocument/2006/relationships/hyperlink" Target="https://www.tga.gov.au/covid-19-treatments-provisional-regist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s.gov.au/browse/pub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health-alerts/covid-19/treatments/o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bs.tga.gov.au/ebs/picmi/picmirepository.nsf/pdf?OpenAgent&amp;id=CP-2022-PI-01049-1&amp;d=20220404172310101" TargetMode="External"/><Relationship Id="rId4" Type="http://schemas.openxmlformats.org/officeDocument/2006/relationships/settings" Target="settings.xml"/><Relationship Id="rId9" Type="http://schemas.openxmlformats.org/officeDocument/2006/relationships/hyperlink" Target="https://www.tga.gov.au/committee/advisory-committee-medicines-acm" TargetMode="External"/><Relationship Id="rId14" Type="http://schemas.openxmlformats.org/officeDocument/2006/relationships/hyperlink" Target="https://covid19eviden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D4A4A-494A-4E5E-A5A2-330E71A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2022-07-08T08:38:00Z</dcterms:created>
  <dcterms:modified xsi:type="dcterms:W3CDTF">2022-07-08T09:09:00Z</dcterms:modified>
</cp:coreProperties>
</file>