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5E" w:rsidRPr="00A44305" w:rsidRDefault="009B075E" w:rsidP="00EA64CE">
      <w:pPr>
        <w:jc w:val="center"/>
        <w:rPr>
          <w:rFonts w:ascii="Arial" w:hAnsi="Arial" w:cs="Arial"/>
          <w:sz w:val="28"/>
          <w:szCs w:val="28"/>
        </w:rPr>
      </w:pPr>
    </w:p>
    <w:p w:rsidR="009B075E" w:rsidRPr="00A44305" w:rsidRDefault="009B075E" w:rsidP="00EA64CE">
      <w:pPr>
        <w:jc w:val="center"/>
        <w:rPr>
          <w:rFonts w:ascii="Arial" w:hAnsi="Arial" w:cs="Arial"/>
          <w:sz w:val="28"/>
          <w:szCs w:val="28"/>
        </w:rPr>
      </w:pPr>
    </w:p>
    <w:p w:rsidR="009B075E" w:rsidRPr="00A44305" w:rsidRDefault="009B075E" w:rsidP="00EA64CE">
      <w:pPr>
        <w:jc w:val="center"/>
        <w:rPr>
          <w:rFonts w:ascii="Arial" w:hAnsi="Arial" w:cs="Arial"/>
          <w:sz w:val="28"/>
          <w:szCs w:val="28"/>
        </w:rPr>
      </w:pPr>
    </w:p>
    <w:p w:rsidR="00807623" w:rsidRDefault="009B075E" w:rsidP="00807623">
      <w:pPr>
        <w:jc w:val="center"/>
        <w:rPr>
          <w:rFonts w:ascii="Arial" w:hAnsi="Arial" w:cs="Arial"/>
          <w:color w:val="17365D"/>
          <w:sz w:val="28"/>
          <w:szCs w:val="28"/>
        </w:rPr>
      </w:pPr>
      <w:r w:rsidRPr="00EA03A4">
        <w:rPr>
          <w:rFonts w:ascii="Arial" w:hAnsi="Arial" w:cs="Arial"/>
          <w:color w:val="17365D"/>
          <w:sz w:val="28"/>
          <w:szCs w:val="28"/>
        </w:rPr>
        <w:t>D</w:t>
      </w:r>
      <w:r w:rsidR="00807623">
        <w:rPr>
          <w:rFonts w:ascii="Arial" w:hAnsi="Arial" w:cs="Arial"/>
          <w:color w:val="17365D"/>
          <w:sz w:val="28"/>
          <w:szCs w:val="28"/>
        </w:rPr>
        <w:t xml:space="preserve">epartment </w:t>
      </w:r>
      <w:r w:rsidRPr="00EA03A4">
        <w:rPr>
          <w:rFonts w:ascii="Arial" w:hAnsi="Arial" w:cs="Arial"/>
          <w:color w:val="17365D"/>
          <w:sz w:val="28"/>
          <w:szCs w:val="28"/>
        </w:rPr>
        <w:t>o</w:t>
      </w:r>
      <w:r w:rsidR="00807623">
        <w:rPr>
          <w:rFonts w:ascii="Arial" w:hAnsi="Arial" w:cs="Arial"/>
          <w:color w:val="17365D"/>
          <w:sz w:val="28"/>
          <w:szCs w:val="28"/>
        </w:rPr>
        <w:t xml:space="preserve">f </w:t>
      </w:r>
      <w:r w:rsidRPr="00EA03A4">
        <w:rPr>
          <w:rFonts w:ascii="Arial" w:hAnsi="Arial" w:cs="Arial"/>
          <w:color w:val="17365D"/>
          <w:sz w:val="28"/>
          <w:szCs w:val="28"/>
        </w:rPr>
        <w:t>H</w:t>
      </w:r>
      <w:r w:rsidR="00807623">
        <w:rPr>
          <w:rFonts w:ascii="Arial" w:hAnsi="Arial" w:cs="Arial"/>
          <w:color w:val="17365D"/>
          <w:sz w:val="28"/>
          <w:szCs w:val="28"/>
        </w:rPr>
        <w:t xml:space="preserve">ealth and </w:t>
      </w:r>
      <w:r w:rsidRPr="00EA03A4">
        <w:rPr>
          <w:rFonts w:ascii="Arial" w:hAnsi="Arial" w:cs="Arial"/>
          <w:color w:val="17365D"/>
          <w:sz w:val="28"/>
          <w:szCs w:val="28"/>
        </w:rPr>
        <w:t>A</w:t>
      </w:r>
      <w:r w:rsidR="00807623">
        <w:rPr>
          <w:rFonts w:ascii="Arial" w:hAnsi="Arial" w:cs="Arial"/>
          <w:color w:val="17365D"/>
          <w:sz w:val="28"/>
          <w:szCs w:val="28"/>
        </w:rPr>
        <w:t xml:space="preserve">geing – </w:t>
      </w:r>
      <w:r w:rsidRPr="00EA03A4">
        <w:rPr>
          <w:rFonts w:ascii="Arial" w:hAnsi="Arial" w:cs="Arial"/>
          <w:color w:val="17365D"/>
          <w:sz w:val="28"/>
          <w:szCs w:val="28"/>
        </w:rPr>
        <w:t>M</w:t>
      </w:r>
      <w:r w:rsidR="00807623">
        <w:rPr>
          <w:rFonts w:ascii="Arial" w:hAnsi="Arial" w:cs="Arial"/>
          <w:color w:val="17365D"/>
          <w:sz w:val="28"/>
          <w:szCs w:val="28"/>
        </w:rPr>
        <w:t xml:space="preserve">edicines </w:t>
      </w:r>
      <w:r w:rsidR="00807623" w:rsidRPr="00EA03A4">
        <w:rPr>
          <w:rFonts w:ascii="Arial" w:hAnsi="Arial" w:cs="Arial"/>
          <w:color w:val="17365D"/>
          <w:sz w:val="28"/>
          <w:szCs w:val="28"/>
        </w:rPr>
        <w:t>A</w:t>
      </w:r>
      <w:r w:rsidR="00807623">
        <w:rPr>
          <w:rFonts w:ascii="Arial" w:hAnsi="Arial" w:cs="Arial"/>
          <w:color w:val="17365D"/>
          <w:sz w:val="28"/>
          <w:szCs w:val="28"/>
        </w:rPr>
        <w:t>ustralia</w:t>
      </w:r>
      <w:r w:rsidRPr="00EA03A4">
        <w:rPr>
          <w:rFonts w:ascii="Arial" w:hAnsi="Arial" w:cs="Arial"/>
          <w:color w:val="17365D"/>
          <w:sz w:val="28"/>
          <w:szCs w:val="28"/>
        </w:rPr>
        <w:t xml:space="preserve"> </w:t>
      </w:r>
    </w:p>
    <w:p w:rsidR="009B075E" w:rsidRPr="00EA03A4" w:rsidRDefault="009B075E" w:rsidP="00807623">
      <w:pPr>
        <w:jc w:val="center"/>
        <w:rPr>
          <w:rFonts w:ascii="Arial" w:hAnsi="Arial" w:cs="Arial"/>
          <w:color w:val="17365D"/>
          <w:sz w:val="28"/>
          <w:szCs w:val="28"/>
        </w:rPr>
      </w:pPr>
      <w:r w:rsidRPr="00EA03A4">
        <w:rPr>
          <w:rFonts w:ascii="Arial" w:hAnsi="Arial" w:cs="Arial"/>
          <w:color w:val="17365D"/>
          <w:sz w:val="28"/>
          <w:szCs w:val="28"/>
        </w:rPr>
        <w:t>joint monitoring report on</w:t>
      </w:r>
    </w:p>
    <w:p w:rsidR="009B075E" w:rsidRPr="00EA03A4" w:rsidRDefault="009B075E" w:rsidP="00EA64CE">
      <w:pPr>
        <w:jc w:val="center"/>
        <w:rPr>
          <w:rFonts w:ascii="Arial" w:hAnsi="Arial" w:cs="Arial"/>
          <w:b/>
          <w:color w:val="17365D"/>
          <w:sz w:val="48"/>
          <w:szCs w:val="48"/>
        </w:rPr>
      </w:pPr>
      <w:r w:rsidRPr="00EA03A4">
        <w:rPr>
          <w:rFonts w:ascii="Arial" w:hAnsi="Arial" w:cs="Arial"/>
          <w:b/>
          <w:color w:val="17365D"/>
          <w:sz w:val="48"/>
          <w:szCs w:val="48"/>
        </w:rPr>
        <w:t xml:space="preserve">Trends in and drivers of </w:t>
      </w:r>
      <w:r w:rsidR="00807623" w:rsidRPr="00EA03A4">
        <w:rPr>
          <w:rFonts w:ascii="Arial" w:hAnsi="Arial" w:cs="Arial"/>
          <w:b/>
          <w:color w:val="17365D"/>
          <w:sz w:val="48"/>
          <w:szCs w:val="48"/>
        </w:rPr>
        <w:t>P</w:t>
      </w:r>
      <w:r w:rsidR="00807623">
        <w:rPr>
          <w:rFonts w:ascii="Arial" w:hAnsi="Arial" w:cs="Arial"/>
          <w:b/>
          <w:color w:val="17365D"/>
          <w:sz w:val="48"/>
          <w:szCs w:val="48"/>
        </w:rPr>
        <w:t xml:space="preserve">harmaceutical </w:t>
      </w:r>
      <w:r w:rsidRPr="00EA03A4">
        <w:rPr>
          <w:rFonts w:ascii="Arial" w:hAnsi="Arial" w:cs="Arial"/>
          <w:b/>
          <w:color w:val="17365D"/>
          <w:sz w:val="48"/>
          <w:szCs w:val="48"/>
        </w:rPr>
        <w:t>B</w:t>
      </w:r>
      <w:r w:rsidR="00807623">
        <w:rPr>
          <w:rFonts w:ascii="Arial" w:hAnsi="Arial" w:cs="Arial"/>
          <w:b/>
          <w:color w:val="17365D"/>
          <w:sz w:val="48"/>
          <w:szCs w:val="48"/>
        </w:rPr>
        <w:t xml:space="preserve">enefits </w:t>
      </w:r>
      <w:r w:rsidRPr="00EA03A4">
        <w:rPr>
          <w:rFonts w:ascii="Arial" w:hAnsi="Arial" w:cs="Arial"/>
          <w:b/>
          <w:color w:val="17365D"/>
          <w:sz w:val="48"/>
          <w:szCs w:val="48"/>
        </w:rPr>
        <w:t>S</w:t>
      </w:r>
      <w:r w:rsidR="00807623">
        <w:rPr>
          <w:rFonts w:ascii="Arial" w:hAnsi="Arial" w:cs="Arial"/>
          <w:b/>
          <w:color w:val="17365D"/>
          <w:sz w:val="48"/>
          <w:szCs w:val="48"/>
        </w:rPr>
        <w:t>cheme</w:t>
      </w:r>
      <w:r w:rsidRPr="00EA03A4">
        <w:rPr>
          <w:rFonts w:ascii="Arial" w:hAnsi="Arial" w:cs="Arial"/>
          <w:b/>
          <w:color w:val="17365D"/>
          <w:sz w:val="48"/>
          <w:szCs w:val="48"/>
        </w:rPr>
        <w:t xml:space="preserve"> expenditure</w:t>
      </w:r>
      <w:r w:rsidRPr="00EA03A4">
        <w:rPr>
          <w:rFonts w:ascii="Arial" w:hAnsi="Arial" w:cs="Arial"/>
          <w:b/>
          <w:color w:val="17365D"/>
          <w:sz w:val="48"/>
          <w:szCs w:val="48"/>
        </w:rPr>
        <w:br/>
      </w:r>
    </w:p>
    <w:p w:rsidR="009B075E" w:rsidRPr="00EA03A4" w:rsidRDefault="009B075E" w:rsidP="00EA64CE">
      <w:pPr>
        <w:jc w:val="center"/>
        <w:rPr>
          <w:rFonts w:ascii="Arial" w:hAnsi="Arial" w:cs="Arial"/>
          <w:color w:val="17365D"/>
          <w:sz w:val="48"/>
          <w:szCs w:val="48"/>
        </w:rPr>
      </w:pPr>
    </w:p>
    <w:p w:rsidR="009B075E" w:rsidRPr="00EA03A4" w:rsidRDefault="009B075E" w:rsidP="00EA64CE">
      <w:pPr>
        <w:jc w:val="center"/>
        <w:rPr>
          <w:rFonts w:ascii="Arial" w:hAnsi="Arial" w:cs="Arial"/>
          <w:color w:val="17365D"/>
          <w:sz w:val="48"/>
          <w:szCs w:val="48"/>
        </w:rPr>
      </w:pPr>
      <w:r w:rsidRPr="00EA03A4">
        <w:rPr>
          <w:rFonts w:ascii="Arial" w:hAnsi="Arial" w:cs="Arial"/>
          <w:color w:val="17365D"/>
          <w:sz w:val="48"/>
          <w:szCs w:val="48"/>
        </w:rPr>
        <w:t>Report for the Acc</w:t>
      </w:r>
      <w:r w:rsidR="00807623">
        <w:rPr>
          <w:rFonts w:ascii="Arial" w:hAnsi="Arial" w:cs="Arial"/>
          <w:color w:val="17365D"/>
          <w:sz w:val="48"/>
          <w:szCs w:val="48"/>
        </w:rPr>
        <w:t xml:space="preserve">ess to Medicines Working Group </w:t>
      </w:r>
    </w:p>
    <w:p w:rsidR="009B075E" w:rsidRPr="00EA03A4" w:rsidRDefault="009B075E" w:rsidP="00EA64CE">
      <w:pPr>
        <w:jc w:val="center"/>
        <w:rPr>
          <w:rFonts w:ascii="Arial" w:hAnsi="Arial" w:cs="Arial"/>
          <w:color w:val="0F243E"/>
          <w:sz w:val="48"/>
          <w:szCs w:val="48"/>
        </w:rPr>
      </w:pPr>
    </w:p>
    <w:p w:rsidR="009B075E" w:rsidRPr="00EA03A4" w:rsidRDefault="009B075E" w:rsidP="00EA64CE">
      <w:pPr>
        <w:jc w:val="center"/>
        <w:rPr>
          <w:rFonts w:ascii="Arial" w:hAnsi="Arial" w:cs="Arial"/>
          <w:sz w:val="48"/>
          <w:szCs w:val="48"/>
        </w:rPr>
      </w:pPr>
    </w:p>
    <w:p w:rsidR="009B075E" w:rsidRPr="00EA03A4" w:rsidRDefault="008C35FC" w:rsidP="00EA64CE">
      <w:pPr>
        <w:jc w:val="center"/>
        <w:rPr>
          <w:rFonts w:ascii="Arial" w:hAnsi="Arial" w:cs="Arial"/>
          <w:color w:val="17365D"/>
          <w:sz w:val="48"/>
          <w:szCs w:val="48"/>
        </w:rPr>
      </w:pPr>
      <w:r>
        <w:rPr>
          <w:rFonts w:ascii="Arial" w:hAnsi="Arial" w:cs="Arial"/>
          <w:color w:val="17365D"/>
          <w:sz w:val="48"/>
          <w:szCs w:val="48"/>
        </w:rPr>
        <w:t>May</w:t>
      </w:r>
      <w:r w:rsidR="00130E2A">
        <w:rPr>
          <w:rFonts w:ascii="Arial" w:hAnsi="Arial" w:cs="Arial"/>
          <w:color w:val="17365D"/>
          <w:sz w:val="48"/>
          <w:szCs w:val="48"/>
        </w:rPr>
        <w:t xml:space="preserve"> </w:t>
      </w:r>
      <w:r w:rsidR="00807623">
        <w:rPr>
          <w:rFonts w:ascii="Arial" w:hAnsi="Arial" w:cs="Arial"/>
          <w:color w:val="17365D"/>
          <w:sz w:val="48"/>
          <w:szCs w:val="48"/>
        </w:rPr>
        <w:t>2013</w:t>
      </w:r>
    </w:p>
    <w:p w:rsidR="009B075E" w:rsidRPr="00EA03A4" w:rsidRDefault="009B075E">
      <w:pPr>
        <w:rPr>
          <w:rFonts w:ascii="Arial" w:hAnsi="Arial" w:cs="Arial"/>
          <w:sz w:val="48"/>
          <w:szCs w:val="48"/>
        </w:rPr>
      </w:pPr>
    </w:p>
    <w:p w:rsidR="009B075E" w:rsidRPr="00EA03A4" w:rsidRDefault="009B075E">
      <w:pPr>
        <w:rPr>
          <w:rFonts w:ascii="Arial" w:hAnsi="Arial" w:cs="Arial"/>
        </w:rPr>
      </w:pPr>
    </w:p>
    <w:p w:rsidR="009B075E" w:rsidRPr="00DC51D5" w:rsidRDefault="009B075E">
      <w:pPr>
        <w:rPr>
          <w:rFonts w:ascii="Arial" w:hAnsi="Arial" w:cs="Arial"/>
          <w:highlight w:val="yellow"/>
        </w:rPr>
      </w:pPr>
    </w:p>
    <w:p w:rsidR="009B075E" w:rsidRPr="00DC51D5" w:rsidRDefault="009B075E" w:rsidP="00C11A33">
      <w:pPr>
        <w:spacing w:after="0" w:line="240" w:lineRule="auto"/>
        <w:rPr>
          <w:rFonts w:ascii="Arial" w:hAnsi="Arial" w:cs="Arial"/>
          <w:color w:val="1F497D"/>
          <w:sz w:val="32"/>
          <w:szCs w:val="32"/>
          <w:highlight w:val="yellow"/>
        </w:rPr>
        <w:sectPr w:rsidR="009B075E" w:rsidRPr="00DC51D5" w:rsidSect="00EA64CE">
          <w:footerReference w:type="default" r:id="rId9"/>
          <w:footerReference w:type="first" r:id="rId10"/>
          <w:pgSz w:w="11906" w:h="16838"/>
          <w:pgMar w:top="993" w:right="1440" w:bottom="1440" w:left="1440" w:header="708" w:footer="708" w:gutter="0"/>
          <w:cols w:space="708"/>
          <w:titlePg/>
          <w:docGrid w:linePitch="360"/>
        </w:sectPr>
      </w:pPr>
    </w:p>
    <w:p w:rsidR="009B075E" w:rsidRPr="003C2D43" w:rsidRDefault="009B075E" w:rsidP="00C11A33">
      <w:pPr>
        <w:spacing w:after="0" w:line="240" w:lineRule="auto"/>
        <w:jc w:val="center"/>
        <w:rPr>
          <w:rFonts w:ascii="Arial" w:hAnsi="Arial" w:cs="Arial"/>
          <w:color w:val="1F497D"/>
          <w:sz w:val="32"/>
          <w:szCs w:val="32"/>
        </w:rPr>
      </w:pPr>
      <w:r w:rsidRPr="003C2D43">
        <w:rPr>
          <w:rFonts w:ascii="Arial" w:hAnsi="Arial" w:cs="Arial"/>
          <w:color w:val="1F497D"/>
          <w:sz w:val="32"/>
          <w:szCs w:val="32"/>
        </w:rPr>
        <w:lastRenderedPageBreak/>
        <w:t>Table of Contents</w:t>
      </w:r>
    </w:p>
    <w:p w:rsidR="009B075E" w:rsidRPr="00B80E77" w:rsidRDefault="009B075E">
      <w:pPr>
        <w:pStyle w:val="TOC1"/>
        <w:tabs>
          <w:tab w:val="right" w:leader="dot" w:pos="9016"/>
        </w:tabs>
        <w:rPr>
          <w:rFonts w:ascii="Arial" w:hAnsi="Arial" w:cs="Arial"/>
          <w:color w:val="17365D"/>
        </w:rPr>
      </w:pPr>
    </w:p>
    <w:p w:rsidR="00516BA9" w:rsidRDefault="00855AAF">
      <w:pPr>
        <w:pStyle w:val="TOC1"/>
        <w:tabs>
          <w:tab w:val="right" w:leader="dot" w:pos="9016"/>
        </w:tabs>
        <w:rPr>
          <w:rFonts w:asciiTheme="minorHAnsi" w:eastAsiaTheme="minorEastAsia" w:hAnsiTheme="minorHAnsi" w:cstheme="minorBidi"/>
          <w:noProof/>
          <w:lang w:eastAsia="en-AU"/>
        </w:rPr>
      </w:pPr>
      <w:r w:rsidRPr="00B80E77">
        <w:rPr>
          <w:rFonts w:ascii="Arial" w:hAnsi="Arial" w:cs="Arial"/>
          <w:color w:val="17365D"/>
        </w:rPr>
        <w:fldChar w:fldCharType="begin"/>
      </w:r>
      <w:r w:rsidR="009B075E" w:rsidRPr="00B80E77">
        <w:rPr>
          <w:rFonts w:ascii="Arial" w:hAnsi="Arial" w:cs="Arial"/>
          <w:color w:val="17365D"/>
        </w:rPr>
        <w:instrText xml:space="preserve"> TOC \o "1-3" \h \z \u </w:instrText>
      </w:r>
      <w:r w:rsidRPr="00B80E77">
        <w:rPr>
          <w:rFonts w:ascii="Arial" w:hAnsi="Arial" w:cs="Arial"/>
          <w:color w:val="17365D"/>
        </w:rPr>
        <w:fldChar w:fldCharType="separate"/>
      </w:r>
      <w:hyperlink w:anchor="_Toc357174823" w:history="1">
        <w:r w:rsidR="00516BA9" w:rsidRPr="00A02015">
          <w:rPr>
            <w:rStyle w:val="Hyperlink"/>
            <w:rFonts w:ascii="Arial" w:hAnsi="Arial" w:cs="Arial"/>
            <w:noProof/>
          </w:rPr>
          <w:t>Executive Summary</w:t>
        </w:r>
        <w:r w:rsidR="00516BA9">
          <w:rPr>
            <w:noProof/>
            <w:webHidden/>
          </w:rPr>
          <w:tab/>
        </w:r>
        <w:r w:rsidR="00516BA9">
          <w:rPr>
            <w:noProof/>
            <w:webHidden/>
          </w:rPr>
          <w:fldChar w:fldCharType="begin"/>
        </w:r>
        <w:r w:rsidR="00516BA9">
          <w:rPr>
            <w:noProof/>
            <w:webHidden/>
          </w:rPr>
          <w:instrText xml:space="preserve"> PAGEREF _Toc357174823 \h </w:instrText>
        </w:r>
        <w:r w:rsidR="00516BA9">
          <w:rPr>
            <w:noProof/>
            <w:webHidden/>
          </w:rPr>
        </w:r>
        <w:r w:rsidR="00516BA9">
          <w:rPr>
            <w:noProof/>
            <w:webHidden/>
          </w:rPr>
          <w:fldChar w:fldCharType="separate"/>
        </w:r>
        <w:r w:rsidR="00516BA9">
          <w:rPr>
            <w:noProof/>
            <w:webHidden/>
          </w:rPr>
          <w:t>3</w:t>
        </w:r>
        <w:r w:rsidR="00516BA9">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24" w:history="1">
        <w:r w:rsidRPr="00A02015">
          <w:rPr>
            <w:rStyle w:val="Hyperlink"/>
            <w:rFonts w:ascii="Arial" w:hAnsi="Arial" w:cs="Arial"/>
            <w:noProof/>
          </w:rPr>
          <w:t>Key Findings</w:t>
        </w:r>
        <w:r>
          <w:rPr>
            <w:noProof/>
            <w:webHidden/>
          </w:rPr>
          <w:tab/>
        </w:r>
        <w:r>
          <w:rPr>
            <w:noProof/>
            <w:webHidden/>
          </w:rPr>
          <w:fldChar w:fldCharType="begin"/>
        </w:r>
        <w:r>
          <w:rPr>
            <w:noProof/>
            <w:webHidden/>
          </w:rPr>
          <w:instrText xml:space="preserve"> PAGEREF _Toc357174824 \h </w:instrText>
        </w:r>
        <w:r>
          <w:rPr>
            <w:noProof/>
            <w:webHidden/>
          </w:rPr>
        </w:r>
        <w:r>
          <w:rPr>
            <w:noProof/>
            <w:webHidden/>
          </w:rPr>
          <w:fldChar w:fldCharType="separate"/>
        </w:r>
        <w:r>
          <w:rPr>
            <w:noProof/>
            <w:webHidden/>
          </w:rPr>
          <w:t>3</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25" w:history="1">
        <w:r w:rsidRPr="00A02015">
          <w:rPr>
            <w:rStyle w:val="Hyperlink"/>
            <w:rFonts w:ascii="Arial" w:hAnsi="Arial" w:cs="Arial"/>
            <w:noProof/>
          </w:rPr>
          <w:t>Background</w:t>
        </w:r>
        <w:r>
          <w:rPr>
            <w:noProof/>
            <w:webHidden/>
          </w:rPr>
          <w:tab/>
        </w:r>
        <w:r>
          <w:rPr>
            <w:noProof/>
            <w:webHidden/>
          </w:rPr>
          <w:fldChar w:fldCharType="begin"/>
        </w:r>
        <w:r>
          <w:rPr>
            <w:noProof/>
            <w:webHidden/>
          </w:rPr>
          <w:instrText xml:space="preserve"> PAGEREF _Toc357174825 \h </w:instrText>
        </w:r>
        <w:r>
          <w:rPr>
            <w:noProof/>
            <w:webHidden/>
          </w:rPr>
        </w:r>
        <w:r>
          <w:rPr>
            <w:noProof/>
            <w:webHidden/>
          </w:rPr>
          <w:fldChar w:fldCharType="separate"/>
        </w:r>
        <w:r>
          <w:rPr>
            <w:noProof/>
            <w:webHidden/>
          </w:rPr>
          <w:t>5</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26" w:history="1">
        <w:r w:rsidRPr="00A02015">
          <w:rPr>
            <w:rStyle w:val="Hyperlink"/>
            <w:rFonts w:ascii="Arial" w:hAnsi="Arial" w:cs="Arial"/>
            <w:noProof/>
          </w:rPr>
          <w:t>Project Scope</w:t>
        </w:r>
        <w:r>
          <w:rPr>
            <w:noProof/>
            <w:webHidden/>
          </w:rPr>
          <w:tab/>
        </w:r>
        <w:r>
          <w:rPr>
            <w:noProof/>
            <w:webHidden/>
          </w:rPr>
          <w:fldChar w:fldCharType="begin"/>
        </w:r>
        <w:r>
          <w:rPr>
            <w:noProof/>
            <w:webHidden/>
          </w:rPr>
          <w:instrText xml:space="preserve"> PAGEREF _Toc357174826 \h </w:instrText>
        </w:r>
        <w:r>
          <w:rPr>
            <w:noProof/>
            <w:webHidden/>
          </w:rPr>
        </w:r>
        <w:r>
          <w:rPr>
            <w:noProof/>
            <w:webHidden/>
          </w:rPr>
          <w:fldChar w:fldCharType="separate"/>
        </w:r>
        <w:r>
          <w:rPr>
            <w:noProof/>
            <w:webHidden/>
          </w:rPr>
          <w:t>7</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27" w:history="1">
        <w:r w:rsidRPr="00A02015">
          <w:rPr>
            <w:rStyle w:val="Hyperlink"/>
            <w:rFonts w:ascii="Arial" w:hAnsi="Arial" w:cs="Arial"/>
            <w:noProof/>
          </w:rPr>
          <w:t>Data coverage in this report</w:t>
        </w:r>
        <w:r>
          <w:rPr>
            <w:noProof/>
            <w:webHidden/>
          </w:rPr>
          <w:tab/>
        </w:r>
        <w:r>
          <w:rPr>
            <w:noProof/>
            <w:webHidden/>
          </w:rPr>
          <w:fldChar w:fldCharType="begin"/>
        </w:r>
        <w:r>
          <w:rPr>
            <w:noProof/>
            <w:webHidden/>
          </w:rPr>
          <w:instrText xml:space="preserve"> PAGEREF _Toc357174827 \h </w:instrText>
        </w:r>
        <w:r>
          <w:rPr>
            <w:noProof/>
            <w:webHidden/>
          </w:rPr>
        </w:r>
        <w:r>
          <w:rPr>
            <w:noProof/>
            <w:webHidden/>
          </w:rPr>
          <w:fldChar w:fldCharType="separate"/>
        </w:r>
        <w:r>
          <w:rPr>
            <w:noProof/>
            <w:webHidden/>
          </w:rPr>
          <w:t>7</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28" w:history="1">
        <w:r w:rsidRPr="00A02015">
          <w:rPr>
            <w:rStyle w:val="Hyperlink"/>
            <w:rFonts w:ascii="Arial" w:hAnsi="Arial" w:cs="Arial"/>
            <w:noProof/>
          </w:rPr>
          <w:t>Breakdown of PBS expenditure</w:t>
        </w:r>
        <w:r>
          <w:rPr>
            <w:noProof/>
            <w:webHidden/>
          </w:rPr>
          <w:tab/>
        </w:r>
        <w:r>
          <w:rPr>
            <w:noProof/>
            <w:webHidden/>
          </w:rPr>
          <w:fldChar w:fldCharType="begin"/>
        </w:r>
        <w:r>
          <w:rPr>
            <w:noProof/>
            <w:webHidden/>
          </w:rPr>
          <w:instrText xml:space="preserve"> PAGEREF _Toc357174828 \h </w:instrText>
        </w:r>
        <w:r>
          <w:rPr>
            <w:noProof/>
            <w:webHidden/>
          </w:rPr>
        </w:r>
        <w:r>
          <w:rPr>
            <w:noProof/>
            <w:webHidden/>
          </w:rPr>
          <w:fldChar w:fldCharType="separate"/>
        </w:r>
        <w:r>
          <w:rPr>
            <w:noProof/>
            <w:webHidden/>
          </w:rPr>
          <w:t>8</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29" w:history="1">
        <w:r w:rsidRPr="00A02015">
          <w:rPr>
            <w:rStyle w:val="Hyperlink"/>
            <w:rFonts w:ascii="Arial" w:hAnsi="Arial" w:cs="Arial"/>
            <w:noProof/>
          </w:rPr>
          <w:t>Linkages between drivers of PBS expenditure</w:t>
        </w:r>
        <w:r>
          <w:rPr>
            <w:noProof/>
            <w:webHidden/>
          </w:rPr>
          <w:tab/>
        </w:r>
        <w:r>
          <w:rPr>
            <w:noProof/>
            <w:webHidden/>
          </w:rPr>
          <w:fldChar w:fldCharType="begin"/>
        </w:r>
        <w:r>
          <w:rPr>
            <w:noProof/>
            <w:webHidden/>
          </w:rPr>
          <w:instrText xml:space="preserve"> PAGEREF _Toc357174829 \h </w:instrText>
        </w:r>
        <w:r>
          <w:rPr>
            <w:noProof/>
            <w:webHidden/>
          </w:rPr>
        </w:r>
        <w:r>
          <w:rPr>
            <w:noProof/>
            <w:webHidden/>
          </w:rPr>
          <w:fldChar w:fldCharType="separate"/>
        </w:r>
        <w:r>
          <w:rPr>
            <w:noProof/>
            <w:webHidden/>
          </w:rPr>
          <w:t>8</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30" w:history="1">
        <w:r w:rsidRPr="00A02015">
          <w:rPr>
            <w:rStyle w:val="Hyperlink"/>
            <w:rFonts w:ascii="Arial" w:hAnsi="Arial" w:cs="Arial"/>
            <w:noProof/>
          </w:rPr>
          <w:t>Price Drivers and their influence</w:t>
        </w:r>
        <w:r>
          <w:rPr>
            <w:noProof/>
            <w:webHidden/>
          </w:rPr>
          <w:tab/>
        </w:r>
        <w:r>
          <w:rPr>
            <w:noProof/>
            <w:webHidden/>
          </w:rPr>
          <w:fldChar w:fldCharType="begin"/>
        </w:r>
        <w:r>
          <w:rPr>
            <w:noProof/>
            <w:webHidden/>
          </w:rPr>
          <w:instrText xml:space="preserve"> PAGEREF _Toc357174830 \h </w:instrText>
        </w:r>
        <w:r>
          <w:rPr>
            <w:noProof/>
            <w:webHidden/>
          </w:rPr>
        </w:r>
        <w:r>
          <w:rPr>
            <w:noProof/>
            <w:webHidden/>
          </w:rPr>
          <w:fldChar w:fldCharType="separate"/>
        </w:r>
        <w:r>
          <w:rPr>
            <w:noProof/>
            <w:webHidden/>
          </w:rPr>
          <w:t>10</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31" w:history="1">
        <w:r w:rsidRPr="00A02015">
          <w:rPr>
            <w:rStyle w:val="Hyperlink"/>
            <w:rFonts w:ascii="Arial" w:hAnsi="Arial" w:cs="Arial"/>
            <w:noProof/>
          </w:rPr>
          <w:t>Volume Drivers and their influence</w:t>
        </w:r>
        <w:r>
          <w:rPr>
            <w:noProof/>
            <w:webHidden/>
          </w:rPr>
          <w:tab/>
        </w:r>
        <w:r>
          <w:rPr>
            <w:noProof/>
            <w:webHidden/>
          </w:rPr>
          <w:fldChar w:fldCharType="begin"/>
        </w:r>
        <w:r>
          <w:rPr>
            <w:noProof/>
            <w:webHidden/>
          </w:rPr>
          <w:instrText xml:space="preserve"> PAGEREF _Toc357174831 \h </w:instrText>
        </w:r>
        <w:r>
          <w:rPr>
            <w:noProof/>
            <w:webHidden/>
          </w:rPr>
        </w:r>
        <w:r>
          <w:rPr>
            <w:noProof/>
            <w:webHidden/>
          </w:rPr>
          <w:fldChar w:fldCharType="separate"/>
        </w:r>
        <w:r>
          <w:rPr>
            <w:noProof/>
            <w:webHidden/>
          </w:rPr>
          <w:t>12</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32" w:history="1">
        <w:r w:rsidRPr="00A02015">
          <w:rPr>
            <w:rStyle w:val="Hyperlink"/>
            <w:rFonts w:ascii="Arial" w:hAnsi="Arial" w:cs="Arial"/>
            <w:noProof/>
          </w:rPr>
          <w:t>Price &amp; Volume Drivers and their influence</w:t>
        </w:r>
        <w:r>
          <w:rPr>
            <w:noProof/>
            <w:webHidden/>
          </w:rPr>
          <w:tab/>
        </w:r>
        <w:r>
          <w:rPr>
            <w:noProof/>
            <w:webHidden/>
          </w:rPr>
          <w:fldChar w:fldCharType="begin"/>
        </w:r>
        <w:r>
          <w:rPr>
            <w:noProof/>
            <w:webHidden/>
          </w:rPr>
          <w:instrText xml:space="preserve"> PAGEREF _Toc357174832 \h </w:instrText>
        </w:r>
        <w:r>
          <w:rPr>
            <w:noProof/>
            <w:webHidden/>
          </w:rPr>
        </w:r>
        <w:r>
          <w:rPr>
            <w:noProof/>
            <w:webHidden/>
          </w:rPr>
          <w:fldChar w:fldCharType="separate"/>
        </w:r>
        <w:r>
          <w:rPr>
            <w:noProof/>
            <w:webHidden/>
          </w:rPr>
          <w:t>12</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33" w:history="1">
        <w:r w:rsidRPr="00A02015">
          <w:rPr>
            <w:rStyle w:val="Hyperlink"/>
            <w:rFonts w:ascii="Arial" w:hAnsi="Arial" w:cs="Arial"/>
            <w:noProof/>
          </w:rPr>
          <w:t>PBS expenditure – an overview (2004-2011)</w:t>
        </w:r>
        <w:r>
          <w:rPr>
            <w:noProof/>
            <w:webHidden/>
          </w:rPr>
          <w:tab/>
        </w:r>
        <w:r>
          <w:rPr>
            <w:noProof/>
            <w:webHidden/>
          </w:rPr>
          <w:fldChar w:fldCharType="begin"/>
        </w:r>
        <w:r>
          <w:rPr>
            <w:noProof/>
            <w:webHidden/>
          </w:rPr>
          <w:instrText xml:space="preserve"> PAGEREF _Toc357174833 \h </w:instrText>
        </w:r>
        <w:r>
          <w:rPr>
            <w:noProof/>
            <w:webHidden/>
          </w:rPr>
        </w:r>
        <w:r>
          <w:rPr>
            <w:noProof/>
            <w:webHidden/>
          </w:rPr>
          <w:fldChar w:fldCharType="separate"/>
        </w:r>
        <w:r>
          <w:rPr>
            <w:noProof/>
            <w:webHidden/>
          </w:rPr>
          <w:t>14</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34" w:history="1">
        <w:r w:rsidRPr="00A02015">
          <w:rPr>
            <w:rStyle w:val="Hyperlink"/>
            <w:rFonts w:ascii="Arial" w:hAnsi="Arial" w:cs="Arial"/>
            <w:noProof/>
          </w:rPr>
          <w:t>Key drivers of growth and their influence on PBS expenditure</w:t>
        </w:r>
        <w:r>
          <w:rPr>
            <w:noProof/>
            <w:webHidden/>
          </w:rPr>
          <w:tab/>
        </w:r>
        <w:r>
          <w:rPr>
            <w:noProof/>
            <w:webHidden/>
          </w:rPr>
          <w:fldChar w:fldCharType="begin"/>
        </w:r>
        <w:r>
          <w:rPr>
            <w:noProof/>
            <w:webHidden/>
          </w:rPr>
          <w:instrText xml:space="preserve"> PAGEREF _Toc357174834 \h </w:instrText>
        </w:r>
        <w:r>
          <w:rPr>
            <w:noProof/>
            <w:webHidden/>
          </w:rPr>
        </w:r>
        <w:r>
          <w:rPr>
            <w:noProof/>
            <w:webHidden/>
          </w:rPr>
          <w:fldChar w:fldCharType="separate"/>
        </w:r>
        <w:r>
          <w:rPr>
            <w:noProof/>
            <w:webHidden/>
          </w:rPr>
          <w:t>16</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35" w:history="1">
        <w:r w:rsidRPr="00A02015">
          <w:rPr>
            <w:rStyle w:val="Hyperlink"/>
            <w:rFonts w:ascii="Arial" w:hAnsi="Arial" w:cs="Arial"/>
            <w:noProof/>
          </w:rPr>
          <w:t>Trends in disease prevalence and PBS expenditure</w:t>
        </w:r>
        <w:r>
          <w:rPr>
            <w:noProof/>
            <w:webHidden/>
          </w:rPr>
          <w:tab/>
        </w:r>
        <w:r>
          <w:rPr>
            <w:noProof/>
            <w:webHidden/>
          </w:rPr>
          <w:fldChar w:fldCharType="begin"/>
        </w:r>
        <w:r>
          <w:rPr>
            <w:noProof/>
            <w:webHidden/>
          </w:rPr>
          <w:instrText xml:space="preserve"> PAGEREF _Toc357174835 \h </w:instrText>
        </w:r>
        <w:r>
          <w:rPr>
            <w:noProof/>
            <w:webHidden/>
          </w:rPr>
        </w:r>
        <w:r>
          <w:rPr>
            <w:noProof/>
            <w:webHidden/>
          </w:rPr>
          <w:fldChar w:fldCharType="separate"/>
        </w:r>
        <w:r>
          <w:rPr>
            <w:noProof/>
            <w:webHidden/>
          </w:rPr>
          <w:t>20</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36" w:history="1">
        <w:r w:rsidRPr="00A02015">
          <w:rPr>
            <w:rStyle w:val="Hyperlink"/>
            <w:rFonts w:ascii="Arial" w:hAnsi="Arial" w:cs="Arial"/>
            <w:noProof/>
          </w:rPr>
          <w:t>PBS and the Australian population</w:t>
        </w:r>
        <w:r>
          <w:rPr>
            <w:noProof/>
            <w:webHidden/>
          </w:rPr>
          <w:tab/>
        </w:r>
        <w:r>
          <w:rPr>
            <w:noProof/>
            <w:webHidden/>
          </w:rPr>
          <w:fldChar w:fldCharType="begin"/>
        </w:r>
        <w:r>
          <w:rPr>
            <w:noProof/>
            <w:webHidden/>
          </w:rPr>
          <w:instrText xml:space="preserve"> PAGEREF _Toc357174836 \h </w:instrText>
        </w:r>
        <w:r>
          <w:rPr>
            <w:noProof/>
            <w:webHidden/>
          </w:rPr>
        </w:r>
        <w:r>
          <w:rPr>
            <w:noProof/>
            <w:webHidden/>
          </w:rPr>
          <w:fldChar w:fldCharType="separate"/>
        </w:r>
        <w:r>
          <w:rPr>
            <w:noProof/>
            <w:webHidden/>
          </w:rPr>
          <w:t>23</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37" w:history="1">
        <w:r w:rsidRPr="00A02015">
          <w:rPr>
            <w:rStyle w:val="Hyperlink"/>
            <w:rFonts w:ascii="Arial" w:hAnsi="Arial" w:cs="Arial"/>
            <w:noProof/>
          </w:rPr>
          <w:t>Trends in PBS expenditure by age group (2006-2011)</w:t>
        </w:r>
        <w:r>
          <w:rPr>
            <w:noProof/>
            <w:webHidden/>
          </w:rPr>
          <w:tab/>
        </w:r>
        <w:r>
          <w:rPr>
            <w:noProof/>
            <w:webHidden/>
          </w:rPr>
          <w:fldChar w:fldCharType="begin"/>
        </w:r>
        <w:r>
          <w:rPr>
            <w:noProof/>
            <w:webHidden/>
          </w:rPr>
          <w:instrText xml:space="preserve"> PAGEREF _Toc357174837 \h </w:instrText>
        </w:r>
        <w:r>
          <w:rPr>
            <w:noProof/>
            <w:webHidden/>
          </w:rPr>
        </w:r>
        <w:r>
          <w:rPr>
            <w:noProof/>
            <w:webHidden/>
          </w:rPr>
          <w:fldChar w:fldCharType="separate"/>
        </w:r>
        <w:r>
          <w:rPr>
            <w:noProof/>
            <w:webHidden/>
          </w:rPr>
          <w:t>25</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38" w:history="1">
        <w:r w:rsidRPr="00A02015">
          <w:rPr>
            <w:rStyle w:val="Hyperlink"/>
            <w:rFonts w:ascii="Arial" w:hAnsi="Arial" w:cs="Arial"/>
            <w:noProof/>
          </w:rPr>
          <w:t>PBS expenditure by General/Concessional mix (2006-2011)</w:t>
        </w:r>
        <w:r>
          <w:rPr>
            <w:noProof/>
            <w:webHidden/>
          </w:rPr>
          <w:tab/>
        </w:r>
        <w:r>
          <w:rPr>
            <w:noProof/>
            <w:webHidden/>
          </w:rPr>
          <w:fldChar w:fldCharType="begin"/>
        </w:r>
        <w:r>
          <w:rPr>
            <w:noProof/>
            <w:webHidden/>
          </w:rPr>
          <w:instrText xml:space="preserve"> PAGEREF _Toc357174838 \h </w:instrText>
        </w:r>
        <w:r>
          <w:rPr>
            <w:noProof/>
            <w:webHidden/>
          </w:rPr>
        </w:r>
        <w:r>
          <w:rPr>
            <w:noProof/>
            <w:webHidden/>
          </w:rPr>
          <w:fldChar w:fldCharType="separate"/>
        </w:r>
        <w:r>
          <w:rPr>
            <w:noProof/>
            <w:webHidden/>
          </w:rPr>
          <w:t>26</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39" w:history="1">
        <w:r w:rsidRPr="00A02015">
          <w:rPr>
            <w:rStyle w:val="Hyperlink"/>
            <w:rFonts w:ascii="Arial" w:hAnsi="Arial" w:cs="Arial"/>
            <w:noProof/>
          </w:rPr>
          <w:t>Trends in patient contribution (2006-2011)</w:t>
        </w:r>
        <w:r>
          <w:rPr>
            <w:noProof/>
            <w:webHidden/>
          </w:rPr>
          <w:tab/>
        </w:r>
        <w:r>
          <w:rPr>
            <w:noProof/>
            <w:webHidden/>
          </w:rPr>
          <w:fldChar w:fldCharType="begin"/>
        </w:r>
        <w:r>
          <w:rPr>
            <w:noProof/>
            <w:webHidden/>
          </w:rPr>
          <w:instrText xml:space="preserve"> PAGEREF _Toc357174839 \h </w:instrText>
        </w:r>
        <w:r>
          <w:rPr>
            <w:noProof/>
            <w:webHidden/>
          </w:rPr>
        </w:r>
        <w:r>
          <w:rPr>
            <w:noProof/>
            <w:webHidden/>
          </w:rPr>
          <w:fldChar w:fldCharType="separate"/>
        </w:r>
        <w:r>
          <w:rPr>
            <w:noProof/>
            <w:webHidden/>
          </w:rPr>
          <w:t>28</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40" w:history="1">
        <w:r w:rsidRPr="00A02015">
          <w:rPr>
            <w:rStyle w:val="Hyperlink"/>
            <w:rFonts w:ascii="Arial" w:hAnsi="Arial" w:cs="Arial"/>
            <w:noProof/>
          </w:rPr>
          <w:t>Trends in PBS expenditure by formularies (2007-2011)</w:t>
        </w:r>
        <w:r>
          <w:rPr>
            <w:noProof/>
            <w:webHidden/>
          </w:rPr>
          <w:tab/>
        </w:r>
        <w:r>
          <w:rPr>
            <w:noProof/>
            <w:webHidden/>
          </w:rPr>
          <w:fldChar w:fldCharType="begin"/>
        </w:r>
        <w:r>
          <w:rPr>
            <w:noProof/>
            <w:webHidden/>
          </w:rPr>
          <w:instrText xml:space="preserve"> PAGEREF _Toc357174840 \h </w:instrText>
        </w:r>
        <w:r>
          <w:rPr>
            <w:noProof/>
            <w:webHidden/>
          </w:rPr>
        </w:r>
        <w:r>
          <w:rPr>
            <w:noProof/>
            <w:webHidden/>
          </w:rPr>
          <w:fldChar w:fldCharType="separate"/>
        </w:r>
        <w:r>
          <w:rPr>
            <w:noProof/>
            <w:webHidden/>
          </w:rPr>
          <w:t>30</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41" w:history="1">
        <w:r w:rsidRPr="00A02015">
          <w:rPr>
            <w:rStyle w:val="Hyperlink"/>
            <w:rFonts w:ascii="Arial" w:hAnsi="Arial" w:cs="Arial"/>
            <w:noProof/>
          </w:rPr>
          <w:t>Trends in PBS script volume by formularies (2007-2011)</w:t>
        </w:r>
        <w:r>
          <w:rPr>
            <w:noProof/>
            <w:webHidden/>
          </w:rPr>
          <w:tab/>
        </w:r>
        <w:r>
          <w:rPr>
            <w:noProof/>
            <w:webHidden/>
          </w:rPr>
          <w:fldChar w:fldCharType="begin"/>
        </w:r>
        <w:r>
          <w:rPr>
            <w:noProof/>
            <w:webHidden/>
          </w:rPr>
          <w:instrText xml:space="preserve"> PAGEREF _Toc357174841 \h </w:instrText>
        </w:r>
        <w:r>
          <w:rPr>
            <w:noProof/>
            <w:webHidden/>
          </w:rPr>
        </w:r>
        <w:r>
          <w:rPr>
            <w:noProof/>
            <w:webHidden/>
          </w:rPr>
          <w:fldChar w:fldCharType="separate"/>
        </w:r>
        <w:r>
          <w:rPr>
            <w:noProof/>
            <w:webHidden/>
          </w:rPr>
          <w:t>33</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42" w:history="1">
        <w:r w:rsidRPr="00A02015">
          <w:rPr>
            <w:rStyle w:val="Hyperlink"/>
            <w:rFonts w:ascii="Arial" w:hAnsi="Arial" w:cs="Arial"/>
            <w:noProof/>
          </w:rPr>
          <w:t>Trends in PBS Section 85 expenditure by supply chain participants (2006-2011)</w:t>
        </w:r>
        <w:r>
          <w:rPr>
            <w:noProof/>
            <w:webHidden/>
          </w:rPr>
          <w:tab/>
        </w:r>
        <w:r>
          <w:rPr>
            <w:noProof/>
            <w:webHidden/>
          </w:rPr>
          <w:fldChar w:fldCharType="begin"/>
        </w:r>
        <w:r>
          <w:rPr>
            <w:noProof/>
            <w:webHidden/>
          </w:rPr>
          <w:instrText xml:space="preserve"> PAGEREF _Toc357174842 \h </w:instrText>
        </w:r>
        <w:r>
          <w:rPr>
            <w:noProof/>
            <w:webHidden/>
          </w:rPr>
        </w:r>
        <w:r>
          <w:rPr>
            <w:noProof/>
            <w:webHidden/>
          </w:rPr>
          <w:fldChar w:fldCharType="separate"/>
        </w:r>
        <w:r>
          <w:rPr>
            <w:noProof/>
            <w:webHidden/>
          </w:rPr>
          <w:t>35</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43" w:history="1">
        <w:r w:rsidRPr="00A02015">
          <w:rPr>
            <w:rStyle w:val="Hyperlink"/>
            <w:rFonts w:ascii="Arial" w:hAnsi="Arial" w:cs="Arial"/>
            <w:noProof/>
          </w:rPr>
          <w:t>Trends in concession card holders</w:t>
        </w:r>
        <w:r>
          <w:rPr>
            <w:noProof/>
            <w:webHidden/>
          </w:rPr>
          <w:tab/>
        </w:r>
        <w:r>
          <w:rPr>
            <w:noProof/>
            <w:webHidden/>
          </w:rPr>
          <w:fldChar w:fldCharType="begin"/>
        </w:r>
        <w:r>
          <w:rPr>
            <w:noProof/>
            <w:webHidden/>
          </w:rPr>
          <w:instrText xml:space="preserve"> PAGEREF _Toc357174843 \h </w:instrText>
        </w:r>
        <w:r>
          <w:rPr>
            <w:noProof/>
            <w:webHidden/>
          </w:rPr>
        </w:r>
        <w:r>
          <w:rPr>
            <w:noProof/>
            <w:webHidden/>
          </w:rPr>
          <w:fldChar w:fldCharType="separate"/>
        </w:r>
        <w:r>
          <w:rPr>
            <w:noProof/>
            <w:webHidden/>
          </w:rPr>
          <w:t>37</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44" w:history="1">
        <w:r w:rsidRPr="00A02015">
          <w:rPr>
            <w:rStyle w:val="Hyperlink"/>
            <w:rFonts w:ascii="Arial" w:hAnsi="Arial" w:cs="Arial"/>
            <w:noProof/>
          </w:rPr>
          <w:t>Highly Specialised Drugs (HSD) Program - General Trends (2006-2011)</w:t>
        </w:r>
        <w:r>
          <w:rPr>
            <w:noProof/>
            <w:webHidden/>
          </w:rPr>
          <w:tab/>
        </w:r>
        <w:r>
          <w:rPr>
            <w:noProof/>
            <w:webHidden/>
          </w:rPr>
          <w:fldChar w:fldCharType="begin"/>
        </w:r>
        <w:r>
          <w:rPr>
            <w:noProof/>
            <w:webHidden/>
          </w:rPr>
          <w:instrText xml:space="preserve"> PAGEREF _Toc357174844 \h </w:instrText>
        </w:r>
        <w:r>
          <w:rPr>
            <w:noProof/>
            <w:webHidden/>
          </w:rPr>
        </w:r>
        <w:r>
          <w:rPr>
            <w:noProof/>
            <w:webHidden/>
          </w:rPr>
          <w:fldChar w:fldCharType="separate"/>
        </w:r>
        <w:r>
          <w:rPr>
            <w:noProof/>
            <w:webHidden/>
          </w:rPr>
          <w:t>40</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45" w:history="1">
        <w:r w:rsidRPr="00A02015">
          <w:rPr>
            <w:rStyle w:val="Hyperlink"/>
            <w:rFonts w:ascii="Arial" w:hAnsi="Arial" w:cs="Arial"/>
            <w:noProof/>
          </w:rPr>
          <w:t>Conclusions</w:t>
        </w:r>
        <w:r>
          <w:rPr>
            <w:noProof/>
            <w:webHidden/>
          </w:rPr>
          <w:tab/>
        </w:r>
        <w:r>
          <w:rPr>
            <w:noProof/>
            <w:webHidden/>
          </w:rPr>
          <w:fldChar w:fldCharType="begin"/>
        </w:r>
        <w:r>
          <w:rPr>
            <w:noProof/>
            <w:webHidden/>
          </w:rPr>
          <w:instrText xml:space="preserve"> PAGEREF _Toc357174845 \h </w:instrText>
        </w:r>
        <w:r>
          <w:rPr>
            <w:noProof/>
            <w:webHidden/>
          </w:rPr>
        </w:r>
        <w:r>
          <w:rPr>
            <w:noProof/>
            <w:webHidden/>
          </w:rPr>
          <w:fldChar w:fldCharType="separate"/>
        </w:r>
        <w:r>
          <w:rPr>
            <w:noProof/>
            <w:webHidden/>
          </w:rPr>
          <w:t>43</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46" w:history="1">
        <w:r w:rsidRPr="00A02015">
          <w:rPr>
            <w:rStyle w:val="Hyperlink"/>
            <w:rFonts w:ascii="Arial" w:hAnsi="Arial" w:cs="Arial"/>
            <w:noProof/>
          </w:rPr>
          <w:t>Appendix 1: Background definitional and methodological information</w:t>
        </w:r>
        <w:r>
          <w:rPr>
            <w:noProof/>
            <w:webHidden/>
          </w:rPr>
          <w:tab/>
        </w:r>
        <w:r>
          <w:rPr>
            <w:noProof/>
            <w:webHidden/>
          </w:rPr>
          <w:fldChar w:fldCharType="begin"/>
        </w:r>
        <w:r>
          <w:rPr>
            <w:noProof/>
            <w:webHidden/>
          </w:rPr>
          <w:instrText xml:space="preserve"> PAGEREF _Toc357174846 \h </w:instrText>
        </w:r>
        <w:r>
          <w:rPr>
            <w:noProof/>
            <w:webHidden/>
          </w:rPr>
        </w:r>
        <w:r>
          <w:rPr>
            <w:noProof/>
            <w:webHidden/>
          </w:rPr>
          <w:fldChar w:fldCharType="separate"/>
        </w:r>
        <w:r>
          <w:rPr>
            <w:noProof/>
            <w:webHidden/>
          </w:rPr>
          <w:t>45</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47" w:history="1">
        <w:r w:rsidRPr="00A02015">
          <w:rPr>
            <w:rStyle w:val="Hyperlink"/>
            <w:rFonts w:ascii="Arial" w:hAnsi="Arial" w:cs="Arial"/>
            <w:noProof/>
          </w:rPr>
          <w:t>Appendix 2: Supporting tables</w:t>
        </w:r>
        <w:r>
          <w:rPr>
            <w:noProof/>
            <w:webHidden/>
          </w:rPr>
          <w:tab/>
        </w:r>
        <w:r>
          <w:rPr>
            <w:noProof/>
            <w:webHidden/>
          </w:rPr>
          <w:fldChar w:fldCharType="begin"/>
        </w:r>
        <w:r>
          <w:rPr>
            <w:noProof/>
            <w:webHidden/>
          </w:rPr>
          <w:instrText xml:space="preserve"> PAGEREF _Toc357174847 \h </w:instrText>
        </w:r>
        <w:r>
          <w:rPr>
            <w:noProof/>
            <w:webHidden/>
          </w:rPr>
        </w:r>
        <w:r>
          <w:rPr>
            <w:noProof/>
            <w:webHidden/>
          </w:rPr>
          <w:fldChar w:fldCharType="separate"/>
        </w:r>
        <w:r>
          <w:rPr>
            <w:noProof/>
            <w:webHidden/>
          </w:rPr>
          <w:t>46</w:t>
        </w:r>
        <w:r>
          <w:rPr>
            <w:noProof/>
            <w:webHidden/>
          </w:rPr>
          <w:fldChar w:fldCharType="end"/>
        </w:r>
      </w:hyperlink>
    </w:p>
    <w:p w:rsidR="00516BA9" w:rsidRDefault="00516BA9">
      <w:pPr>
        <w:pStyle w:val="TOC1"/>
        <w:tabs>
          <w:tab w:val="right" w:leader="dot" w:pos="9016"/>
        </w:tabs>
        <w:rPr>
          <w:rFonts w:asciiTheme="minorHAnsi" w:eastAsiaTheme="minorEastAsia" w:hAnsiTheme="minorHAnsi" w:cstheme="minorBidi"/>
          <w:noProof/>
          <w:lang w:eastAsia="en-AU"/>
        </w:rPr>
      </w:pPr>
      <w:hyperlink w:anchor="_Toc357174848" w:history="1">
        <w:r w:rsidRPr="00A02015">
          <w:rPr>
            <w:rStyle w:val="Hyperlink"/>
            <w:rFonts w:ascii="Arial" w:hAnsi="Arial" w:cs="Arial"/>
            <w:noProof/>
          </w:rPr>
          <w:t>Attachment A  Framework for the joint monitoring of PBS expenditure trends and growth drivers</w:t>
        </w:r>
        <w:r>
          <w:rPr>
            <w:noProof/>
            <w:webHidden/>
          </w:rPr>
          <w:tab/>
        </w:r>
        <w:r>
          <w:rPr>
            <w:noProof/>
            <w:webHidden/>
          </w:rPr>
          <w:fldChar w:fldCharType="begin"/>
        </w:r>
        <w:r>
          <w:rPr>
            <w:noProof/>
            <w:webHidden/>
          </w:rPr>
          <w:instrText xml:space="preserve"> PAGEREF _Toc357174848 \h </w:instrText>
        </w:r>
        <w:r>
          <w:rPr>
            <w:noProof/>
            <w:webHidden/>
          </w:rPr>
        </w:r>
        <w:r>
          <w:rPr>
            <w:noProof/>
            <w:webHidden/>
          </w:rPr>
          <w:fldChar w:fldCharType="separate"/>
        </w:r>
        <w:r>
          <w:rPr>
            <w:noProof/>
            <w:webHidden/>
          </w:rPr>
          <w:t>59</w:t>
        </w:r>
        <w:r>
          <w:rPr>
            <w:noProof/>
            <w:webHidden/>
          </w:rPr>
          <w:fldChar w:fldCharType="end"/>
        </w:r>
      </w:hyperlink>
    </w:p>
    <w:p w:rsidR="009B075E" w:rsidRPr="00DC51D5" w:rsidRDefault="00855AAF">
      <w:pPr>
        <w:spacing w:after="0" w:line="240" w:lineRule="auto"/>
        <w:rPr>
          <w:rFonts w:ascii="Arial" w:hAnsi="Arial" w:cs="Arial"/>
          <w:b/>
          <w:bCs/>
          <w:color w:val="1F497D"/>
          <w:sz w:val="28"/>
          <w:szCs w:val="28"/>
          <w:highlight w:val="yellow"/>
        </w:rPr>
      </w:pPr>
      <w:r w:rsidRPr="00B80E77">
        <w:rPr>
          <w:rFonts w:ascii="Arial" w:hAnsi="Arial" w:cs="Arial"/>
          <w:color w:val="17365D"/>
        </w:rPr>
        <w:fldChar w:fldCharType="end"/>
      </w:r>
    </w:p>
    <w:p w:rsidR="009B075E" w:rsidRPr="00DC51D5" w:rsidRDefault="009B075E" w:rsidP="00C11A33">
      <w:pPr>
        <w:spacing w:after="0" w:line="240" w:lineRule="auto"/>
        <w:rPr>
          <w:rFonts w:ascii="Arial" w:hAnsi="Arial" w:cs="Arial"/>
          <w:color w:val="1F497D"/>
          <w:sz w:val="24"/>
          <w:szCs w:val="24"/>
          <w:highlight w:val="yellow"/>
        </w:rPr>
        <w:sectPr w:rsidR="009B075E" w:rsidRPr="00DC51D5" w:rsidSect="00EA64CE">
          <w:headerReference w:type="first" r:id="rId11"/>
          <w:footerReference w:type="first" r:id="rId12"/>
          <w:pgSz w:w="11906" w:h="16838"/>
          <w:pgMar w:top="993" w:right="1440" w:bottom="1440" w:left="1440" w:header="708" w:footer="708" w:gutter="0"/>
          <w:cols w:space="708"/>
          <w:titlePg/>
          <w:docGrid w:linePitch="360"/>
        </w:sectPr>
      </w:pPr>
    </w:p>
    <w:p w:rsidR="009B075E" w:rsidRPr="0001354D" w:rsidRDefault="009B075E" w:rsidP="00C11A33">
      <w:pPr>
        <w:pStyle w:val="Heading1"/>
        <w:rPr>
          <w:rFonts w:ascii="Arial" w:hAnsi="Arial" w:cs="Arial"/>
          <w:color w:val="17365D"/>
          <w:sz w:val="24"/>
          <w:szCs w:val="24"/>
        </w:rPr>
      </w:pPr>
      <w:bookmarkStart w:id="0" w:name="_Toc337033178"/>
      <w:bookmarkStart w:id="1" w:name="_Toc357174823"/>
      <w:r w:rsidRPr="0001354D">
        <w:rPr>
          <w:rFonts w:ascii="Arial" w:hAnsi="Arial" w:cs="Arial"/>
          <w:color w:val="17365D"/>
          <w:sz w:val="24"/>
          <w:szCs w:val="24"/>
        </w:rPr>
        <w:lastRenderedPageBreak/>
        <w:t>Executive Summary</w:t>
      </w:r>
      <w:bookmarkEnd w:id="0"/>
      <w:bookmarkEnd w:id="1"/>
    </w:p>
    <w:p w:rsidR="009B075E" w:rsidRPr="0001354D" w:rsidRDefault="009B075E" w:rsidP="0098384D">
      <w:pPr>
        <w:pStyle w:val="ListParagraph"/>
        <w:numPr>
          <w:ilvl w:val="0"/>
          <w:numId w:val="5"/>
        </w:numPr>
        <w:spacing w:before="240" w:after="240"/>
        <w:rPr>
          <w:rFonts w:ascii="Arial" w:hAnsi="Arial" w:cs="Arial"/>
        </w:rPr>
      </w:pPr>
      <w:r w:rsidRPr="0001354D">
        <w:rPr>
          <w:rFonts w:ascii="Arial" w:hAnsi="Arial" w:cs="Arial"/>
        </w:rPr>
        <w:t>In September 2010, the Australian Government and Medicines Australia signed a Memorandum of Understanding (MoU).  The MoU set out a number of ways in which the Government and Medicines Australia could continue to cooperate and collaborate, including a project for joint monitoring of the trends in and drivers of PBS expenditure.  This is the second report jointly developed by Department of Health and Ageing and Medicines Australia</w:t>
      </w:r>
      <w:r w:rsidR="00965900">
        <w:rPr>
          <w:rFonts w:ascii="Arial" w:hAnsi="Arial" w:cs="Arial"/>
        </w:rPr>
        <w:t>.</w:t>
      </w:r>
    </w:p>
    <w:p w:rsidR="009B075E" w:rsidRPr="00EA03A4" w:rsidRDefault="009B075E" w:rsidP="0098384D">
      <w:pPr>
        <w:pStyle w:val="ListParagraph"/>
        <w:numPr>
          <w:ilvl w:val="0"/>
          <w:numId w:val="5"/>
        </w:numPr>
        <w:spacing w:before="240" w:after="240"/>
        <w:rPr>
          <w:rFonts w:ascii="Arial" w:hAnsi="Arial" w:cs="Arial"/>
        </w:rPr>
      </w:pPr>
      <w:r w:rsidRPr="0001354D">
        <w:rPr>
          <w:rFonts w:ascii="Arial" w:hAnsi="Arial" w:cs="Arial"/>
        </w:rPr>
        <w:t xml:space="preserve">For the joint monitoring, the Access to Medicines Working Group (AMWG) Sub-group established the Data Working Group (DWG). The DWG </w:t>
      </w:r>
      <w:r>
        <w:rPr>
          <w:rFonts w:ascii="Arial" w:hAnsi="Arial" w:cs="Arial"/>
        </w:rPr>
        <w:t xml:space="preserve">is </w:t>
      </w:r>
      <w:r w:rsidRPr="0001354D">
        <w:rPr>
          <w:rFonts w:ascii="Arial" w:hAnsi="Arial" w:cs="Arial"/>
        </w:rPr>
        <w:t>comprise</w:t>
      </w:r>
      <w:r>
        <w:rPr>
          <w:rFonts w:ascii="Arial" w:hAnsi="Arial" w:cs="Arial"/>
        </w:rPr>
        <w:t>d</w:t>
      </w:r>
      <w:r w:rsidRPr="0001354D">
        <w:rPr>
          <w:rFonts w:ascii="Arial" w:hAnsi="Arial" w:cs="Arial"/>
        </w:rPr>
        <w:t xml:space="preserve"> of officials from the Department of Health and Ageing (</w:t>
      </w:r>
      <w:smartTag w:uri="urn:schemas-microsoft-com:office:smarttags" w:element="place">
        <w:smartTag w:uri="urn:schemas-microsoft-com:office:smarttags" w:element="City">
          <w:r w:rsidRPr="0001354D">
            <w:rPr>
              <w:rFonts w:ascii="Arial" w:hAnsi="Arial" w:cs="Arial"/>
            </w:rPr>
            <w:t>DoHA</w:t>
          </w:r>
        </w:smartTag>
      </w:smartTag>
      <w:r w:rsidRPr="0001354D">
        <w:rPr>
          <w:rFonts w:ascii="Arial" w:hAnsi="Arial" w:cs="Arial"/>
        </w:rPr>
        <w:t>)</w:t>
      </w:r>
      <w:r>
        <w:rPr>
          <w:rFonts w:ascii="Arial" w:hAnsi="Arial" w:cs="Arial"/>
        </w:rPr>
        <w:t xml:space="preserve">, </w:t>
      </w:r>
      <w:r w:rsidRPr="0001354D">
        <w:rPr>
          <w:rFonts w:ascii="Arial" w:hAnsi="Arial" w:cs="Arial"/>
        </w:rPr>
        <w:t>representatives from Medicines Australia (MA) and some</w:t>
      </w:r>
      <w:r w:rsidRPr="00EA03A4">
        <w:rPr>
          <w:rFonts w:ascii="Arial" w:hAnsi="Arial" w:cs="Arial"/>
        </w:rPr>
        <w:t xml:space="preserve"> of its member companies.</w:t>
      </w:r>
    </w:p>
    <w:p w:rsidR="009B075E" w:rsidRPr="00EA03A4" w:rsidRDefault="009B075E" w:rsidP="0098384D">
      <w:pPr>
        <w:pStyle w:val="ListParagraph"/>
        <w:numPr>
          <w:ilvl w:val="0"/>
          <w:numId w:val="5"/>
        </w:numPr>
        <w:spacing w:before="240" w:after="240"/>
        <w:rPr>
          <w:rFonts w:ascii="Arial" w:hAnsi="Arial" w:cs="Arial"/>
        </w:rPr>
      </w:pPr>
      <w:r w:rsidRPr="00EA03A4">
        <w:rPr>
          <w:rFonts w:ascii="Arial" w:hAnsi="Arial" w:cs="Arial"/>
        </w:rPr>
        <w:t>The DWG is expected to monitor and to report on PBS expenditure trends and growth drivers on a half-yearly basis to the AMWG.</w:t>
      </w:r>
    </w:p>
    <w:p w:rsidR="009B075E" w:rsidRPr="00EA03A4" w:rsidRDefault="009B075E" w:rsidP="0098384D">
      <w:pPr>
        <w:pStyle w:val="ListParagraph"/>
        <w:numPr>
          <w:ilvl w:val="0"/>
          <w:numId w:val="5"/>
        </w:numPr>
        <w:spacing w:before="240" w:after="240"/>
        <w:rPr>
          <w:rFonts w:ascii="Arial" w:hAnsi="Arial" w:cs="Arial"/>
        </w:rPr>
      </w:pPr>
      <w:r w:rsidRPr="00EA03A4">
        <w:rPr>
          <w:rFonts w:ascii="Arial" w:hAnsi="Arial" w:cs="Arial"/>
        </w:rPr>
        <w:t xml:space="preserve">The primary data source for the joint monitoring project is PBS data processed by </w:t>
      </w:r>
      <w:r>
        <w:rPr>
          <w:rFonts w:ascii="Arial" w:hAnsi="Arial" w:cs="Arial"/>
        </w:rPr>
        <w:t>the Department of Human Services (DHS – formerly</w:t>
      </w:r>
      <w:r w:rsidRPr="00EA03A4">
        <w:rPr>
          <w:rFonts w:ascii="Arial" w:hAnsi="Arial" w:cs="Arial"/>
        </w:rPr>
        <w:t xml:space="preserve"> Medicare </w:t>
      </w:r>
      <w:smartTag w:uri="urn:schemas-microsoft-com:office:smarttags" w:element="place">
        <w:smartTag w:uri="urn:schemas-microsoft-com:office:smarttags" w:element="country-region">
          <w:r w:rsidRPr="00EA03A4">
            <w:rPr>
              <w:rFonts w:ascii="Arial" w:hAnsi="Arial" w:cs="Arial"/>
            </w:rPr>
            <w:t>Australia</w:t>
          </w:r>
        </w:smartTag>
      </w:smartTag>
      <w:r>
        <w:rPr>
          <w:rFonts w:ascii="Arial" w:hAnsi="Arial" w:cs="Arial"/>
        </w:rPr>
        <w:t>).  W</w:t>
      </w:r>
      <w:r w:rsidRPr="00EA03A4">
        <w:rPr>
          <w:rFonts w:ascii="Arial" w:hAnsi="Arial" w:cs="Arial"/>
        </w:rPr>
        <w:t xml:space="preserve">here appropriate, additional data </w:t>
      </w:r>
      <w:r>
        <w:rPr>
          <w:rFonts w:ascii="Arial" w:hAnsi="Arial" w:cs="Arial"/>
        </w:rPr>
        <w:t>may be</w:t>
      </w:r>
      <w:r w:rsidRPr="00EA03A4">
        <w:rPr>
          <w:rFonts w:ascii="Arial" w:hAnsi="Arial" w:cs="Arial"/>
        </w:rPr>
        <w:t xml:space="preserve"> sourced from </w:t>
      </w:r>
      <w:r>
        <w:rPr>
          <w:rFonts w:ascii="Arial" w:hAnsi="Arial" w:cs="Arial"/>
        </w:rPr>
        <w:t xml:space="preserve">the </w:t>
      </w:r>
      <w:r w:rsidRPr="00EA03A4">
        <w:rPr>
          <w:rFonts w:ascii="Arial" w:hAnsi="Arial" w:cs="Arial"/>
        </w:rPr>
        <w:t xml:space="preserve">BEACH </w:t>
      </w:r>
      <w:r>
        <w:rPr>
          <w:rFonts w:ascii="Arial" w:hAnsi="Arial" w:cs="Arial"/>
        </w:rPr>
        <w:t>survey</w:t>
      </w:r>
      <w:r w:rsidRPr="00EA03A4">
        <w:rPr>
          <w:rFonts w:ascii="Arial" w:hAnsi="Arial" w:cs="Arial"/>
        </w:rPr>
        <w:t xml:space="preserve"> (compiled by the Australian General Practice Statistics and Classification Centre), </w:t>
      </w:r>
      <w:r>
        <w:rPr>
          <w:rFonts w:ascii="Arial" w:hAnsi="Arial" w:cs="Arial"/>
        </w:rPr>
        <w:t xml:space="preserve">PBAC’s </w:t>
      </w:r>
      <w:r w:rsidRPr="00EA03A4">
        <w:rPr>
          <w:rFonts w:ascii="Arial" w:hAnsi="Arial" w:cs="Arial"/>
        </w:rPr>
        <w:t xml:space="preserve">Drug Utilisation Sub Committee (DUSC), the Department of Families, Housing, Community Services and Indigenous Affairs (FaHCSIA) and the Australian Institute of Health and Welfare (AIHW).  </w:t>
      </w:r>
    </w:p>
    <w:p w:rsidR="009B075E" w:rsidRPr="00EA03A4" w:rsidRDefault="009B075E" w:rsidP="0098384D">
      <w:pPr>
        <w:pStyle w:val="ListParagraph"/>
        <w:numPr>
          <w:ilvl w:val="0"/>
          <w:numId w:val="5"/>
        </w:numPr>
        <w:spacing w:before="240" w:after="240"/>
        <w:rPr>
          <w:rFonts w:ascii="Arial" w:hAnsi="Arial" w:cs="Arial"/>
        </w:rPr>
      </w:pPr>
      <w:r w:rsidRPr="00EA03A4">
        <w:rPr>
          <w:rFonts w:ascii="Arial" w:hAnsi="Arial" w:cs="Arial"/>
        </w:rPr>
        <w:t>As part of joint monitoring, the DWG will not forecast or measure future actual expenditure against any forecasts.</w:t>
      </w:r>
    </w:p>
    <w:p w:rsidR="009B075E" w:rsidRPr="00EA03A4" w:rsidRDefault="009B075E" w:rsidP="0098384D">
      <w:pPr>
        <w:pStyle w:val="ListParagraph"/>
        <w:numPr>
          <w:ilvl w:val="0"/>
          <w:numId w:val="5"/>
        </w:numPr>
        <w:spacing w:before="240" w:after="240"/>
        <w:rPr>
          <w:rFonts w:ascii="Arial" w:hAnsi="Arial" w:cs="Arial"/>
        </w:rPr>
      </w:pPr>
      <w:r w:rsidRPr="00EA03A4">
        <w:rPr>
          <w:rFonts w:ascii="Arial" w:hAnsi="Arial" w:cs="Arial"/>
        </w:rPr>
        <w:t>As a starting point in decomposing the PBS expenditure, the Data Working Group (DWG) looked at the two key elements that make up the PBS expenditure - Price and Volume</w:t>
      </w:r>
      <w:r>
        <w:rPr>
          <w:rFonts w:ascii="Arial" w:hAnsi="Arial" w:cs="Arial"/>
        </w:rPr>
        <w:t>;</w:t>
      </w:r>
      <w:r w:rsidRPr="00EA03A4">
        <w:rPr>
          <w:rFonts w:ascii="Arial" w:hAnsi="Arial" w:cs="Arial"/>
        </w:rPr>
        <w:t xml:space="preserve"> any factor that impacts (negatively or positively) either price paid by the Government or volume of PBS benefits or both will have a flow on impact on overall PBS expenditure and growth.  In addition the DWG also identified a number of sub-factors that </w:t>
      </w:r>
      <w:r>
        <w:rPr>
          <w:rFonts w:ascii="Arial" w:hAnsi="Arial" w:cs="Arial"/>
        </w:rPr>
        <w:t xml:space="preserve">may also </w:t>
      </w:r>
      <w:r w:rsidRPr="00EA03A4">
        <w:rPr>
          <w:rFonts w:ascii="Arial" w:hAnsi="Arial" w:cs="Arial"/>
        </w:rPr>
        <w:t xml:space="preserve">influence price or volume.  </w:t>
      </w:r>
    </w:p>
    <w:p w:rsidR="009B075E" w:rsidRPr="0001354D" w:rsidRDefault="009B075E" w:rsidP="0098384D">
      <w:pPr>
        <w:pStyle w:val="ListParagraph"/>
        <w:numPr>
          <w:ilvl w:val="0"/>
          <w:numId w:val="5"/>
        </w:numPr>
        <w:spacing w:before="240" w:after="240"/>
        <w:rPr>
          <w:rFonts w:ascii="Arial" w:hAnsi="Arial" w:cs="Arial"/>
          <w:color w:val="1F497D"/>
        </w:rPr>
      </w:pPr>
      <w:r w:rsidRPr="00EA03A4">
        <w:rPr>
          <w:rFonts w:ascii="Arial" w:hAnsi="Arial" w:cs="Arial"/>
        </w:rPr>
        <w:t xml:space="preserve">The DWG also identified the various linkages between the key drivers and their sub-drivers noting their influence on PBS expenditure growth and their </w:t>
      </w:r>
      <w:r w:rsidRPr="00040336">
        <w:rPr>
          <w:rFonts w:ascii="Arial" w:hAnsi="Arial" w:cs="Arial"/>
        </w:rPr>
        <w:t>interdependencies.</w:t>
      </w:r>
    </w:p>
    <w:p w:rsidR="009B075E" w:rsidRPr="0001354D" w:rsidRDefault="009B075E" w:rsidP="0098384D">
      <w:pPr>
        <w:pStyle w:val="ListParagraph"/>
        <w:numPr>
          <w:ilvl w:val="0"/>
          <w:numId w:val="5"/>
        </w:numPr>
        <w:spacing w:before="240" w:after="240"/>
        <w:rPr>
          <w:rFonts w:ascii="Arial" w:hAnsi="Arial" w:cs="Arial"/>
          <w:color w:val="1F497D"/>
        </w:rPr>
      </w:pPr>
      <w:r>
        <w:rPr>
          <w:rFonts w:ascii="Arial" w:hAnsi="Arial" w:cs="Arial"/>
        </w:rPr>
        <w:t xml:space="preserve">This is the second report to the AMWG and extends the analysis contained in the first report tabled in August 2011. </w:t>
      </w:r>
    </w:p>
    <w:p w:rsidR="009B075E" w:rsidRPr="00040336" w:rsidRDefault="009B075E" w:rsidP="00A30088">
      <w:pPr>
        <w:pStyle w:val="Heading1"/>
        <w:rPr>
          <w:rFonts w:ascii="Arial" w:hAnsi="Arial" w:cs="Arial"/>
          <w:color w:val="17365D"/>
          <w:sz w:val="24"/>
          <w:szCs w:val="24"/>
        </w:rPr>
      </w:pPr>
      <w:bookmarkStart w:id="2" w:name="_Toc337033179"/>
      <w:bookmarkStart w:id="3" w:name="_Toc357174824"/>
      <w:r w:rsidRPr="00040336">
        <w:rPr>
          <w:rFonts w:ascii="Arial" w:hAnsi="Arial" w:cs="Arial"/>
          <w:color w:val="17365D"/>
          <w:sz w:val="24"/>
          <w:szCs w:val="24"/>
        </w:rPr>
        <w:t>Key Findings</w:t>
      </w:r>
      <w:bookmarkEnd w:id="2"/>
      <w:bookmarkEnd w:id="3"/>
    </w:p>
    <w:p w:rsidR="009B075E" w:rsidRPr="00B169BF" w:rsidRDefault="009B075E" w:rsidP="0098384D">
      <w:pPr>
        <w:pStyle w:val="ListParagraph"/>
        <w:numPr>
          <w:ilvl w:val="0"/>
          <w:numId w:val="6"/>
        </w:numPr>
        <w:spacing w:before="240" w:after="240"/>
        <w:rPr>
          <w:rFonts w:ascii="Arial" w:hAnsi="Arial" w:cs="Arial"/>
        </w:rPr>
      </w:pPr>
      <w:r w:rsidRPr="00040336">
        <w:rPr>
          <w:rFonts w:ascii="Arial" w:hAnsi="Arial" w:cs="Arial"/>
        </w:rPr>
        <w:t xml:space="preserve">Overall, Pharmaceutical Benefits expenditure on </w:t>
      </w:r>
      <w:r>
        <w:rPr>
          <w:rFonts w:ascii="Arial" w:hAnsi="Arial" w:cs="Arial"/>
        </w:rPr>
        <w:t>c</w:t>
      </w:r>
      <w:r w:rsidRPr="00040336">
        <w:rPr>
          <w:rFonts w:ascii="Arial" w:hAnsi="Arial" w:cs="Arial"/>
        </w:rPr>
        <w:t xml:space="preserve">oncessional and </w:t>
      </w:r>
      <w:r>
        <w:rPr>
          <w:rFonts w:ascii="Arial" w:hAnsi="Arial" w:cs="Arial"/>
        </w:rPr>
        <w:t>g</w:t>
      </w:r>
      <w:r w:rsidRPr="00040336">
        <w:rPr>
          <w:rFonts w:ascii="Arial" w:hAnsi="Arial" w:cs="Arial"/>
        </w:rPr>
        <w:t xml:space="preserve">eneral </w:t>
      </w:r>
      <w:r>
        <w:rPr>
          <w:rFonts w:ascii="Arial" w:hAnsi="Arial" w:cs="Arial"/>
        </w:rPr>
        <w:t>c</w:t>
      </w:r>
      <w:r w:rsidRPr="00040336">
        <w:rPr>
          <w:rFonts w:ascii="Arial" w:hAnsi="Arial" w:cs="Arial"/>
        </w:rPr>
        <w:t>ategories (PBS Section 85</w:t>
      </w:r>
      <w:r w:rsidR="00C2739E">
        <w:rPr>
          <w:rStyle w:val="FootnoteReference"/>
        </w:rPr>
        <w:footnoteReference w:id="1"/>
      </w:r>
      <w:r w:rsidRPr="00040336">
        <w:rPr>
          <w:rFonts w:ascii="Arial" w:hAnsi="Arial" w:cs="Arial"/>
        </w:rPr>
        <w:t>) makes up the vast majority of expenditure in the time period analysed</w:t>
      </w:r>
      <w:r w:rsidRPr="00B169BF">
        <w:rPr>
          <w:rFonts w:ascii="Arial" w:hAnsi="Arial" w:cs="Arial"/>
        </w:rPr>
        <w:t xml:space="preserve">.  In terms of growth since 2007-08, the contribution of general and concessional </w:t>
      </w:r>
      <w:r>
        <w:rPr>
          <w:rFonts w:ascii="Arial" w:hAnsi="Arial" w:cs="Arial"/>
        </w:rPr>
        <w:t>prescriptions</w:t>
      </w:r>
      <w:r w:rsidRPr="00B169BF">
        <w:rPr>
          <w:rFonts w:ascii="Arial" w:hAnsi="Arial" w:cs="Arial"/>
        </w:rPr>
        <w:t xml:space="preserve"> to overall growth has fallen whereas the contribution of </w:t>
      </w:r>
      <w:r>
        <w:rPr>
          <w:rFonts w:ascii="Arial" w:hAnsi="Arial" w:cs="Arial"/>
        </w:rPr>
        <w:t xml:space="preserve">the Highly Specialised Drugs </w:t>
      </w:r>
      <w:r w:rsidRPr="00B169BF">
        <w:rPr>
          <w:rFonts w:ascii="Arial" w:hAnsi="Arial" w:cs="Arial"/>
        </w:rPr>
        <w:t xml:space="preserve">program had increased.  </w:t>
      </w:r>
    </w:p>
    <w:p w:rsidR="009B075E" w:rsidRPr="00B169BF" w:rsidRDefault="009B075E" w:rsidP="0098384D">
      <w:pPr>
        <w:pStyle w:val="ListParagraph"/>
        <w:numPr>
          <w:ilvl w:val="0"/>
          <w:numId w:val="6"/>
        </w:numPr>
        <w:spacing w:before="240" w:after="240"/>
        <w:rPr>
          <w:rFonts w:ascii="Arial" w:hAnsi="Arial" w:cs="Arial"/>
        </w:rPr>
      </w:pPr>
      <w:r w:rsidRPr="00B169BF">
        <w:rPr>
          <w:rFonts w:ascii="Arial" w:hAnsi="Arial" w:cs="Arial"/>
        </w:rPr>
        <w:t>The analysis of key drivers shows that in the time period analysed, change</w:t>
      </w:r>
      <w:r>
        <w:rPr>
          <w:rFonts w:ascii="Arial" w:hAnsi="Arial" w:cs="Arial"/>
        </w:rPr>
        <w:t>s</w:t>
      </w:r>
      <w:r w:rsidRPr="00B169BF">
        <w:rPr>
          <w:rFonts w:ascii="Arial" w:hAnsi="Arial" w:cs="Arial"/>
        </w:rPr>
        <w:t xml:space="preserve"> in volume of existing medicines and new listing</w:t>
      </w:r>
      <w:r>
        <w:rPr>
          <w:rFonts w:ascii="Arial" w:hAnsi="Arial" w:cs="Arial"/>
        </w:rPr>
        <w:t>s</w:t>
      </w:r>
      <w:r w:rsidRPr="00B169BF">
        <w:rPr>
          <w:rFonts w:ascii="Arial" w:hAnsi="Arial" w:cs="Arial"/>
        </w:rPr>
        <w:t xml:space="preserve"> added to PBS expenditure and growth </w:t>
      </w:r>
      <w:r w:rsidRPr="00B169BF">
        <w:rPr>
          <w:rFonts w:ascii="Arial" w:hAnsi="Arial" w:cs="Arial"/>
        </w:rPr>
        <w:lastRenderedPageBreak/>
        <w:t>while change</w:t>
      </w:r>
      <w:r>
        <w:rPr>
          <w:rFonts w:ascii="Arial" w:hAnsi="Arial" w:cs="Arial"/>
        </w:rPr>
        <w:t>s</w:t>
      </w:r>
      <w:r w:rsidRPr="00B169BF">
        <w:rPr>
          <w:rFonts w:ascii="Arial" w:hAnsi="Arial" w:cs="Arial"/>
        </w:rPr>
        <w:t xml:space="preserve"> in prices of existing medicines and delisting of medicines reduced PBS expenditure and growth.  </w:t>
      </w:r>
    </w:p>
    <w:p w:rsidR="009B075E" w:rsidRPr="00B169BF" w:rsidRDefault="009B075E" w:rsidP="0098384D">
      <w:pPr>
        <w:pStyle w:val="ListParagraph"/>
        <w:numPr>
          <w:ilvl w:val="0"/>
          <w:numId w:val="6"/>
        </w:numPr>
        <w:spacing w:before="240" w:after="240"/>
        <w:rPr>
          <w:rFonts w:ascii="Arial" w:hAnsi="Arial" w:cs="Arial"/>
        </w:rPr>
      </w:pPr>
      <w:r w:rsidRPr="00B169BF">
        <w:rPr>
          <w:rFonts w:ascii="Arial" w:hAnsi="Arial" w:cs="Arial"/>
        </w:rPr>
        <w:t>In terms of burden of disease, cancers, cardiovascular diseases and mental disorders contributed to almost half (48%) of the projected disease burden in 2010.  DWG analysis shows that a significant proportion of PBS expenditure continues to be on medicines to treat or manage these diseases (</w:t>
      </w:r>
      <w:r w:rsidR="0096349B" w:rsidRPr="00B169BF">
        <w:rPr>
          <w:rFonts w:ascii="Arial" w:hAnsi="Arial" w:cs="Arial"/>
        </w:rPr>
        <w:t>6</w:t>
      </w:r>
      <w:r w:rsidR="0096349B">
        <w:rPr>
          <w:rFonts w:ascii="Arial" w:hAnsi="Arial" w:cs="Arial"/>
        </w:rPr>
        <w:t>2</w:t>
      </w:r>
      <w:r w:rsidRPr="00B169BF">
        <w:rPr>
          <w:rFonts w:ascii="Arial" w:hAnsi="Arial" w:cs="Arial"/>
        </w:rPr>
        <w:t>%</w:t>
      </w:r>
      <w:r w:rsidR="00816CB0">
        <w:rPr>
          <w:rFonts w:ascii="Arial" w:hAnsi="Arial" w:cs="Arial"/>
        </w:rPr>
        <w:t xml:space="preserve"> in 2010-11</w:t>
      </w:r>
      <w:r w:rsidRPr="00B169BF">
        <w:rPr>
          <w:rFonts w:ascii="Arial" w:hAnsi="Arial" w:cs="Arial"/>
        </w:rPr>
        <w:t xml:space="preserve">).  Antineoplastics </w:t>
      </w:r>
      <w:r w:rsidR="00C2739E">
        <w:rPr>
          <w:rFonts w:ascii="Arial" w:hAnsi="Arial" w:cs="Arial"/>
        </w:rPr>
        <w:t xml:space="preserve">(used in the treatment of cancer) </w:t>
      </w:r>
      <w:r w:rsidRPr="00B169BF">
        <w:rPr>
          <w:rFonts w:ascii="Arial" w:hAnsi="Arial" w:cs="Arial"/>
        </w:rPr>
        <w:t>and immunomodulating agents</w:t>
      </w:r>
      <w:r w:rsidR="00C2739E">
        <w:rPr>
          <w:rFonts w:ascii="Arial" w:hAnsi="Arial" w:cs="Arial"/>
        </w:rPr>
        <w:t xml:space="preserve"> (agents acting on the immune system)</w:t>
      </w:r>
      <w:r w:rsidRPr="00B169BF">
        <w:rPr>
          <w:rFonts w:ascii="Arial" w:hAnsi="Arial" w:cs="Arial"/>
        </w:rPr>
        <w:t xml:space="preserve">, along with drugs that act on nervous system and sensory organs are key contributors to PBS growth </w:t>
      </w:r>
      <w:r w:rsidR="00816CB0">
        <w:rPr>
          <w:rFonts w:ascii="Arial" w:hAnsi="Arial" w:cs="Arial"/>
        </w:rPr>
        <w:t>(accounting for 80% of growth in 2010-11).</w:t>
      </w:r>
    </w:p>
    <w:p w:rsidR="009B075E" w:rsidRPr="00B169BF" w:rsidRDefault="009B075E" w:rsidP="0098384D">
      <w:pPr>
        <w:pStyle w:val="ListParagraph"/>
        <w:numPr>
          <w:ilvl w:val="0"/>
          <w:numId w:val="6"/>
        </w:numPr>
        <w:spacing w:before="120" w:after="120"/>
        <w:rPr>
          <w:rFonts w:ascii="Arial" w:hAnsi="Arial" w:cs="Arial"/>
        </w:rPr>
      </w:pPr>
      <w:r w:rsidRPr="00B169BF">
        <w:rPr>
          <w:rFonts w:ascii="Arial" w:hAnsi="Arial" w:cs="Arial"/>
        </w:rPr>
        <w:t>Trend analysis into Government expenditure on s</w:t>
      </w:r>
      <w:r>
        <w:rPr>
          <w:rFonts w:ascii="Arial" w:hAnsi="Arial" w:cs="Arial"/>
        </w:rPr>
        <w:t xml:space="preserve">ection </w:t>
      </w:r>
      <w:r w:rsidRPr="00B169BF">
        <w:rPr>
          <w:rFonts w:ascii="Arial" w:hAnsi="Arial" w:cs="Arial"/>
        </w:rPr>
        <w:t xml:space="preserve">85 </w:t>
      </w:r>
      <w:r>
        <w:rPr>
          <w:rFonts w:ascii="Arial" w:hAnsi="Arial" w:cs="Arial"/>
        </w:rPr>
        <w:t xml:space="preserve">(S85) </w:t>
      </w:r>
      <w:r w:rsidRPr="00B169BF">
        <w:rPr>
          <w:rFonts w:ascii="Arial" w:hAnsi="Arial" w:cs="Arial"/>
        </w:rPr>
        <w:t xml:space="preserve">drugs by age groups shows that persons aged 65 years and over contributed to over half of all Government expenditure and nearly two-thirds of all the growth in PBS expenditure in the time period analysed (2006-2011).  </w:t>
      </w:r>
    </w:p>
    <w:p w:rsidR="009B075E" w:rsidRPr="00AE6AE1" w:rsidRDefault="009B075E" w:rsidP="0098384D">
      <w:pPr>
        <w:pStyle w:val="ListParagraph"/>
        <w:numPr>
          <w:ilvl w:val="0"/>
          <w:numId w:val="6"/>
        </w:numPr>
        <w:spacing w:before="120" w:after="120"/>
        <w:rPr>
          <w:rFonts w:ascii="Arial" w:hAnsi="Arial" w:cs="Arial"/>
        </w:rPr>
      </w:pPr>
      <w:r w:rsidRPr="00B169BF">
        <w:rPr>
          <w:rFonts w:ascii="Arial" w:hAnsi="Arial" w:cs="Arial"/>
        </w:rPr>
        <w:t xml:space="preserve">Trend analysis into Government expenditure on </w:t>
      </w:r>
      <w:r>
        <w:rPr>
          <w:rFonts w:ascii="Arial" w:hAnsi="Arial" w:cs="Arial"/>
        </w:rPr>
        <w:t>S85</w:t>
      </w:r>
      <w:r w:rsidRPr="00B169BF">
        <w:rPr>
          <w:rFonts w:ascii="Arial" w:hAnsi="Arial" w:cs="Arial"/>
        </w:rPr>
        <w:t xml:space="preserve"> drugs by general/concessional status shows that the majority of PBS expenditure (78%-80%) in the time period was on concessional patients and concessional patients contributed </w:t>
      </w:r>
      <w:r w:rsidRPr="00AE6AE1">
        <w:rPr>
          <w:rFonts w:ascii="Arial" w:hAnsi="Arial" w:cs="Arial"/>
        </w:rPr>
        <w:t>between two-thirds (</w:t>
      </w:r>
      <w:r w:rsidR="0096349B" w:rsidRPr="00AE6AE1">
        <w:rPr>
          <w:rFonts w:ascii="Arial" w:hAnsi="Arial" w:cs="Arial"/>
        </w:rPr>
        <w:t>6</w:t>
      </w:r>
      <w:r w:rsidR="00C00E11">
        <w:rPr>
          <w:rFonts w:ascii="Arial" w:hAnsi="Arial" w:cs="Arial"/>
        </w:rPr>
        <w:t>6</w:t>
      </w:r>
      <w:r w:rsidRPr="00AE6AE1">
        <w:rPr>
          <w:rFonts w:ascii="Arial" w:hAnsi="Arial" w:cs="Arial"/>
        </w:rPr>
        <w:t xml:space="preserve">%) to over three-quarters (78%) of all the growth in Government expenditure on </w:t>
      </w:r>
      <w:r>
        <w:rPr>
          <w:rFonts w:ascii="Arial" w:hAnsi="Arial" w:cs="Arial"/>
        </w:rPr>
        <w:t>S85</w:t>
      </w:r>
      <w:r w:rsidRPr="00AE6AE1">
        <w:rPr>
          <w:rFonts w:ascii="Arial" w:hAnsi="Arial" w:cs="Arial"/>
        </w:rPr>
        <w:t xml:space="preserve"> drugs in the time period analysed (2006-2011).  </w:t>
      </w:r>
    </w:p>
    <w:p w:rsidR="009B075E" w:rsidRPr="00AE6AE1" w:rsidRDefault="009B075E" w:rsidP="0098384D">
      <w:pPr>
        <w:pStyle w:val="ListParagraph"/>
        <w:numPr>
          <w:ilvl w:val="0"/>
          <w:numId w:val="6"/>
        </w:numPr>
        <w:spacing w:before="120" w:after="120"/>
        <w:rPr>
          <w:rFonts w:ascii="Arial" w:hAnsi="Arial" w:cs="Arial"/>
        </w:rPr>
      </w:pPr>
      <w:r w:rsidRPr="00AE6AE1">
        <w:rPr>
          <w:rFonts w:ascii="Arial" w:hAnsi="Arial" w:cs="Arial"/>
        </w:rPr>
        <w:t xml:space="preserve">Trend analysis into patient contributions show that the Government contributes to the </w:t>
      </w:r>
      <w:r w:rsidR="0096349B">
        <w:rPr>
          <w:rFonts w:ascii="Arial" w:hAnsi="Arial" w:cs="Arial"/>
        </w:rPr>
        <w:t xml:space="preserve">great </w:t>
      </w:r>
      <w:r w:rsidRPr="00AE6AE1">
        <w:rPr>
          <w:rFonts w:ascii="Arial" w:hAnsi="Arial" w:cs="Arial"/>
        </w:rPr>
        <w:t>majority of expenditure</w:t>
      </w:r>
      <w:r w:rsidR="0096349B">
        <w:rPr>
          <w:rFonts w:ascii="Arial" w:hAnsi="Arial" w:cs="Arial"/>
        </w:rPr>
        <w:t xml:space="preserve"> on medicines</w:t>
      </w:r>
      <w:r w:rsidRPr="00AE6AE1">
        <w:rPr>
          <w:rFonts w:ascii="Arial" w:hAnsi="Arial" w:cs="Arial"/>
        </w:rPr>
        <w:t xml:space="preserve"> for concessional patients and up to two-thirds of expenditure for general patients. </w:t>
      </w:r>
    </w:p>
    <w:p w:rsidR="009B075E" w:rsidRDefault="009B075E" w:rsidP="0098384D">
      <w:pPr>
        <w:pStyle w:val="ListParagraph"/>
        <w:numPr>
          <w:ilvl w:val="0"/>
          <w:numId w:val="6"/>
        </w:numPr>
        <w:spacing w:before="120" w:after="120"/>
        <w:rPr>
          <w:rFonts w:ascii="Arial" w:hAnsi="Arial" w:cs="Arial"/>
        </w:rPr>
      </w:pPr>
      <w:r w:rsidRPr="00AE6AE1">
        <w:rPr>
          <w:rFonts w:ascii="Arial" w:hAnsi="Arial" w:cs="Arial"/>
        </w:rPr>
        <w:t xml:space="preserve">Trend analysis into Government expenditure on </w:t>
      </w:r>
      <w:r>
        <w:rPr>
          <w:rFonts w:ascii="Arial" w:hAnsi="Arial" w:cs="Arial"/>
        </w:rPr>
        <w:t>S85</w:t>
      </w:r>
      <w:r w:rsidRPr="00AE6AE1">
        <w:rPr>
          <w:rFonts w:ascii="Arial" w:hAnsi="Arial" w:cs="Arial"/>
        </w:rPr>
        <w:t xml:space="preserve"> drugs by PBS formularies shows that</w:t>
      </w:r>
      <w:r w:rsidR="00965900">
        <w:rPr>
          <w:rFonts w:ascii="Arial" w:hAnsi="Arial" w:cs="Arial"/>
        </w:rPr>
        <w:t xml:space="preserve">, with variations, </w:t>
      </w:r>
      <w:r w:rsidRPr="00AE6AE1">
        <w:rPr>
          <w:rFonts w:ascii="Arial" w:hAnsi="Arial" w:cs="Arial"/>
        </w:rPr>
        <w:t xml:space="preserve">over half of all the PBS expenditure in the time period </w:t>
      </w:r>
      <w:r w:rsidR="00D04611">
        <w:rPr>
          <w:rFonts w:ascii="Arial" w:hAnsi="Arial" w:cs="Arial"/>
        </w:rPr>
        <w:t xml:space="preserve">(2007-2011) </w:t>
      </w:r>
      <w:r w:rsidRPr="00AE6AE1">
        <w:rPr>
          <w:rFonts w:ascii="Arial" w:hAnsi="Arial" w:cs="Arial"/>
        </w:rPr>
        <w:t xml:space="preserve">analysed relates to medicines on the F1 </w:t>
      </w:r>
      <w:r>
        <w:rPr>
          <w:rFonts w:ascii="Arial" w:hAnsi="Arial" w:cs="Arial"/>
        </w:rPr>
        <w:t>f</w:t>
      </w:r>
      <w:r w:rsidRPr="00AE6AE1">
        <w:rPr>
          <w:rFonts w:ascii="Arial" w:hAnsi="Arial" w:cs="Arial"/>
        </w:rPr>
        <w:t>ormulary</w:t>
      </w:r>
      <w:r w:rsidRPr="00154097">
        <w:rPr>
          <w:rFonts w:ascii="Arial" w:hAnsi="Arial" w:cs="Arial"/>
        </w:rPr>
        <w:t>.</w:t>
      </w:r>
      <w:r w:rsidRPr="00AE6AE1">
        <w:rPr>
          <w:rFonts w:ascii="Arial" w:hAnsi="Arial" w:cs="Arial"/>
        </w:rPr>
        <w:t xml:space="preserve">  The remaining expenditure is more likely to be on medicines on the F2 formulary (</w:t>
      </w:r>
      <w:r w:rsidR="00816CB0">
        <w:rPr>
          <w:rFonts w:ascii="Arial" w:hAnsi="Arial" w:cs="Arial"/>
        </w:rPr>
        <w:t xml:space="preserve">decreasing from </w:t>
      </w:r>
      <w:r w:rsidRPr="00AE6AE1">
        <w:rPr>
          <w:rFonts w:ascii="Arial" w:hAnsi="Arial" w:cs="Arial"/>
        </w:rPr>
        <w:t>38%</w:t>
      </w:r>
      <w:r w:rsidR="00816CB0">
        <w:rPr>
          <w:rFonts w:ascii="Arial" w:hAnsi="Arial" w:cs="Arial"/>
        </w:rPr>
        <w:t xml:space="preserve"> to 33%</w:t>
      </w:r>
      <w:r w:rsidRPr="00AE6AE1">
        <w:rPr>
          <w:rFonts w:ascii="Arial" w:hAnsi="Arial" w:cs="Arial"/>
        </w:rPr>
        <w:t>) rather than combination medicines (9%-10%).  However in terms of growth, the contribution of F1 formulary medicines continued to fall and that of medicines of the F2 formulary continued to rise throughout the time period analysed</w:t>
      </w:r>
      <w:r>
        <w:rPr>
          <w:rFonts w:ascii="Arial" w:hAnsi="Arial" w:cs="Arial"/>
        </w:rPr>
        <w:t xml:space="preserve"> (2006-2011)</w:t>
      </w:r>
      <w:r w:rsidRPr="00AE6AE1">
        <w:rPr>
          <w:rFonts w:ascii="Arial" w:hAnsi="Arial" w:cs="Arial"/>
        </w:rPr>
        <w:t xml:space="preserve">.  It is interesting to note </w:t>
      </w:r>
      <w:r>
        <w:rPr>
          <w:rFonts w:ascii="Arial" w:hAnsi="Arial" w:cs="Arial"/>
        </w:rPr>
        <w:t xml:space="preserve">the </w:t>
      </w:r>
      <w:r w:rsidRPr="00AE6AE1">
        <w:rPr>
          <w:rFonts w:ascii="Arial" w:hAnsi="Arial" w:cs="Arial"/>
        </w:rPr>
        <w:t xml:space="preserve">growing contribution of combination items </w:t>
      </w:r>
      <w:r w:rsidR="00895C0F" w:rsidRPr="00AE6AE1">
        <w:rPr>
          <w:rFonts w:ascii="Arial" w:hAnsi="Arial" w:cs="Arial"/>
        </w:rPr>
        <w:t xml:space="preserve">to </w:t>
      </w:r>
      <w:r w:rsidR="00895C0F">
        <w:rPr>
          <w:rFonts w:ascii="Arial" w:hAnsi="Arial" w:cs="Arial"/>
        </w:rPr>
        <w:t>overall</w:t>
      </w:r>
      <w:r w:rsidRPr="00AE6AE1">
        <w:rPr>
          <w:rFonts w:ascii="Arial" w:hAnsi="Arial" w:cs="Arial"/>
        </w:rPr>
        <w:t xml:space="preserve"> PBS growth in 2010-11. </w:t>
      </w:r>
    </w:p>
    <w:p w:rsidR="009B075E" w:rsidRPr="00304870" w:rsidRDefault="009B075E" w:rsidP="0098384D">
      <w:pPr>
        <w:pStyle w:val="ListParagraph"/>
        <w:numPr>
          <w:ilvl w:val="0"/>
          <w:numId w:val="6"/>
        </w:numPr>
        <w:spacing w:before="120" w:after="120"/>
        <w:rPr>
          <w:rFonts w:ascii="Arial" w:hAnsi="Arial" w:cs="Arial"/>
        </w:rPr>
      </w:pPr>
      <w:r w:rsidRPr="00304870">
        <w:rPr>
          <w:rFonts w:ascii="Arial" w:hAnsi="Arial" w:cs="Arial"/>
        </w:rPr>
        <w:t xml:space="preserve">Trend analysis into PBS S85 prescriptions reveals the majority of PBS subsidised scripts (six out of every 10 scripts) were dispensed for a medicine in the F2 formulary. Three out of every 10 scripts dispensed on the PBS were written for a medicine in the F1 formulary.  This indicates that F2 medicines are being prescribed more frequently in healthcare settings.  </w:t>
      </w:r>
    </w:p>
    <w:p w:rsidR="009B075E" w:rsidRPr="00AE6AE1" w:rsidRDefault="009B075E" w:rsidP="0098384D">
      <w:pPr>
        <w:pStyle w:val="ListParagraph"/>
        <w:numPr>
          <w:ilvl w:val="0"/>
          <w:numId w:val="6"/>
        </w:numPr>
        <w:spacing w:before="120" w:after="120"/>
      </w:pPr>
      <w:r w:rsidRPr="00AE6AE1">
        <w:rPr>
          <w:rFonts w:ascii="Arial" w:hAnsi="Arial" w:cs="Arial"/>
        </w:rPr>
        <w:t xml:space="preserve">Trend analysis into Government expenditure on </w:t>
      </w:r>
      <w:r>
        <w:rPr>
          <w:rFonts w:ascii="Arial" w:hAnsi="Arial" w:cs="Arial"/>
        </w:rPr>
        <w:t>S85</w:t>
      </w:r>
      <w:r w:rsidRPr="00AE6AE1">
        <w:rPr>
          <w:rFonts w:ascii="Arial" w:hAnsi="Arial" w:cs="Arial"/>
        </w:rPr>
        <w:t xml:space="preserve"> drugs </w:t>
      </w:r>
      <w:r w:rsidR="00C41812">
        <w:rPr>
          <w:rFonts w:ascii="Arial" w:hAnsi="Arial" w:cs="Arial"/>
        </w:rPr>
        <w:t>for</w:t>
      </w:r>
      <w:r w:rsidRPr="00AE6AE1">
        <w:rPr>
          <w:rFonts w:ascii="Arial" w:hAnsi="Arial" w:cs="Arial"/>
        </w:rPr>
        <w:t xml:space="preserve"> supply chain participants shows </w:t>
      </w:r>
      <w:r w:rsidRPr="00C31A1C">
        <w:rPr>
          <w:rFonts w:ascii="Arial" w:hAnsi="Arial" w:cs="Arial"/>
        </w:rPr>
        <w:t xml:space="preserve">that </w:t>
      </w:r>
      <w:r w:rsidR="00816CB0">
        <w:rPr>
          <w:rFonts w:ascii="Arial" w:hAnsi="Arial" w:cs="Arial"/>
        </w:rPr>
        <w:t xml:space="preserve">the </w:t>
      </w:r>
      <w:r w:rsidR="00B62C57" w:rsidRPr="00C31A1C">
        <w:rPr>
          <w:rFonts w:ascii="Arial" w:hAnsi="Arial" w:cs="Arial"/>
        </w:rPr>
        <w:t xml:space="preserve">supply chain </w:t>
      </w:r>
      <w:r w:rsidR="0096349B" w:rsidRPr="00C31A1C">
        <w:rPr>
          <w:rFonts w:ascii="Arial" w:hAnsi="Arial" w:cs="Arial"/>
        </w:rPr>
        <w:t>expenditure</w:t>
      </w:r>
      <w:r w:rsidR="00B62C57" w:rsidRPr="00C31A1C">
        <w:rPr>
          <w:rFonts w:ascii="Arial" w:hAnsi="Arial" w:cs="Arial"/>
        </w:rPr>
        <w:t xml:space="preserve"> </w:t>
      </w:r>
      <w:r w:rsidR="00816CB0">
        <w:rPr>
          <w:rFonts w:ascii="Arial" w:hAnsi="Arial" w:cs="Arial"/>
        </w:rPr>
        <w:t xml:space="preserve">contribution </w:t>
      </w:r>
      <w:r w:rsidR="00C41812">
        <w:rPr>
          <w:rFonts w:ascii="Arial" w:hAnsi="Arial" w:cs="Arial"/>
        </w:rPr>
        <w:t>to</w:t>
      </w:r>
      <w:r w:rsidR="00816CB0">
        <w:rPr>
          <w:rFonts w:ascii="Arial" w:hAnsi="Arial" w:cs="Arial"/>
        </w:rPr>
        <w:t xml:space="preserve"> PBS S85 growth</w:t>
      </w:r>
      <w:r w:rsidR="0096349B" w:rsidRPr="00C31A1C">
        <w:rPr>
          <w:rFonts w:ascii="Arial" w:hAnsi="Arial" w:cs="Arial"/>
        </w:rPr>
        <w:t xml:space="preserve"> </w:t>
      </w:r>
      <w:r w:rsidR="00816CB0">
        <w:rPr>
          <w:rFonts w:ascii="Arial" w:hAnsi="Arial" w:cs="Arial"/>
        </w:rPr>
        <w:t>fell</w:t>
      </w:r>
      <w:r w:rsidR="0096349B" w:rsidRPr="00C31A1C">
        <w:rPr>
          <w:rFonts w:ascii="Arial" w:hAnsi="Arial" w:cs="Arial"/>
        </w:rPr>
        <w:t xml:space="preserve"> from around 40% in 2008</w:t>
      </w:r>
      <w:r w:rsidR="0084381F" w:rsidRPr="00C31A1C">
        <w:rPr>
          <w:rFonts w:ascii="Arial" w:hAnsi="Arial" w:cs="Arial"/>
        </w:rPr>
        <w:t>-</w:t>
      </w:r>
      <w:r w:rsidR="0096349B" w:rsidRPr="00C31A1C">
        <w:rPr>
          <w:rFonts w:ascii="Arial" w:hAnsi="Arial" w:cs="Arial"/>
        </w:rPr>
        <w:t>09 to 20% in 2010</w:t>
      </w:r>
      <w:r w:rsidR="0084381F" w:rsidRPr="00C31A1C">
        <w:rPr>
          <w:rFonts w:ascii="Arial" w:hAnsi="Arial" w:cs="Arial"/>
        </w:rPr>
        <w:t>-</w:t>
      </w:r>
      <w:r w:rsidR="0096349B" w:rsidRPr="00C31A1C">
        <w:rPr>
          <w:rFonts w:ascii="Arial" w:hAnsi="Arial" w:cs="Arial"/>
        </w:rPr>
        <w:t>11. S</w:t>
      </w:r>
      <w:r w:rsidRPr="00C31A1C">
        <w:rPr>
          <w:rFonts w:ascii="Arial" w:hAnsi="Arial" w:cs="Arial"/>
        </w:rPr>
        <w:t xml:space="preserve">upply chain remuneration </w:t>
      </w:r>
      <w:r w:rsidR="006E3EA5" w:rsidRPr="00C31A1C">
        <w:rPr>
          <w:rFonts w:ascii="Arial" w:hAnsi="Arial" w:cs="Arial"/>
        </w:rPr>
        <w:t xml:space="preserve">as </w:t>
      </w:r>
      <w:r w:rsidR="00C41812">
        <w:rPr>
          <w:rFonts w:ascii="Arial" w:hAnsi="Arial" w:cs="Arial"/>
        </w:rPr>
        <w:t xml:space="preserve">a </w:t>
      </w:r>
      <w:r w:rsidR="006E3EA5" w:rsidRPr="00C31A1C">
        <w:rPr>
          <w:rFonts w:ascii="Arial" w:hAnsi="Arial" w:cs="Arial"/>
        </w:rPr>
        <w:t>proportion of</w:t>
      </w:r>
      <w:r w:rsidR="00B62C57" w:rsidRPr="00C31A1C">
        <w:rPr>
          <w:rFonts w:ascii="Arial" w:hAnsi="Arial" w:cs="Arial"/>
        </w:rPr>
        <w:t xml:space="preserve"> </w:t>
      </w:r>
      <w:r w:rsidRPr="00C31A1C">
        <w:rPr>
          <w:rFonts w:ascii="Arial" w:hAnsi="Arial" w:cs="Arial"/>
        </w:rPr>
        <w:t xml:space="preserve">PBS expenditure </w:t>
      </w:r>
      <w:r w:rsidR="00B8058A">
        <w:rPr>
          <w:rFonts w:ascii="Arial" w:hAnsi="Arial" w:cs="Arial"/>
        </w:rPr>
        <w:t>rose marginally between 2006 and 2008 (26% to 27%) and has remained relatively steady at around 27</w:t>
      </w:r>
      <w:r w:rsidR="0084381F">
        <w:rPr>
          <w:rFonts w:ascii="Arial" w:hAnsi="Arial" w:cs="Arial"/>
        </w:rPr>
        <w:t>% since then</w:t>
      </w:r>
      <w:r w:rsidRPr="00AE6AE1">
        <w:rPr>
          <w:rFonts w:ascii="Arial" w:hAnsi="Arial" w:cs="Arial"/>
        </w:rPr>
        <w:t xml:space="preserve">.  </w:t>
      </w:r>
    </w:p>
    <w:p w:rsidR="009B075E" w:rsidRPr="00AE6AE1" w:rsidRDefault="009B075E" w:rsidP="0098384D">
      <w:pPr>
        <w:pStyle w:val="ListParagraph"/>
        <w:numPr>
          <w:ilvl w:val="0"/>
          <w:numId w:val="6"/>
        </w:numPr>
        <w:spacing w:before="120" w:after="120"/>
      </w:pPr>
      <w:r w:rsidRPr="00AE6AE1">
        <w:rPr>
          <w:rFonts w:ascii="Arial" w:hAnsi="Arial" w:cs="Arial"/>
        </w:rPr>
        <w:t xml:space="preserve">Trend analysis into Government expenditure on </w:t>
      </w:r>
      <w:r w:rsidR="00C41812">
        <w:rPr>
          <w:rFonts w:ascii="Arial" w:hAnsi="Arial" w:cs="Arial"/>
        </w:rPr>
        <w:t>the H</w:t>
      </w:r>
      <w:r w:rsidRPr="00AE6AE1">
        <w:rPr>
          <w:rFonts w:ascii="Arial" w:hAnsi="Arial" w:cs="Arial"/>
        </w:rPr>
        <w:t xml:space="preserve">ighly </w:t>
      </w:r>
      <w:r w:rsidR="00C41812">
        <w:rPr>
          <w:rFonts w:ascii="Arial" w:hAnsi="Arial" w:cs="Arial"/>
        </w:rPr>
        <w:t>S</w:t>
      </w:r>
      <w:r w:rsidRPr="00AE6AE1">
        <w:rPr>
          <w:rFonts w:ascii="Arial" w:hAnsi="Arial" w:cs="Arial"/>
        </w:rPr>
        <w:t xml:space="preserve">pecialised </w:t>
      </w:r>
      <w:r w:rsidR="00C41812">
        <w:rPr>
          <w:rFonts w:ascii="Arial" w:hAnsi="Arial" w:cs="Arial"/>
        </w:rPr>
        <w:t>D</w:t>
      </w:r>
      <w:r w:rsidRPr="00AE6AE1">
        <w:rPr>
          <w:rFonts w:ascii="Arial" w:hAnsi="Arial" w:cs="Arial"/>
        </w:rPr>
        <w:t xml:space="preserve">rugs </w:t>
      </w:r>
      <w:r w:rsidR="00C41812">
        <w:rPr>
          <w:rFonts w:ascii="Arial" w:hAnsi="Arial" w:cs="Arial"/>
        </w:rPr>
        <w:t xml:space="preserve">(HSD) </w:t>
      </w:r>
      <w:r w:rsidRPr="00AE6AE1">
        <w:rPr>
          <w:rFonts w:ascii="Arial" w:hAnsi="Arial" w:cs="Arial"/>
        </w:rPr>
        <w:t xml:space="preserve">program shows that the majority of expenditure on the HSD program is in </w:t>
      </w:r>
      <w:r>
        <w:rPr>
          <w:rFonts w:ascii="Arial" w:hAnsi="Arial" w:cs="Arial"/>
        </w:rPr>
        <w:t>p</w:t>
      </w:r>
      <w:r w:rsidRPr="00AE6AE1">
        <w:rPr>
          <w:rFonts w:ascii="Arial" w:hAnsi="Arial" w:cs="Arial"/>
        </w:rPr>
        <w:t xml:space="preserve">ublic hospitals (73%-78%) and that its contribution to overall growth in HSD program </w:t>
      </w:r>
      <w:r>
        <w:rPr>
          <w:rFonts w:ascii="Arial" w:hAnsi="Arial" w:cs="Arial"/>
        </w:rPr>
        <w:t>increased</w:t>
      </w:r>
      <w:r w:rsidRPr="00AE6AE1">
        <w:rPr>
          <w:rFonts w:ascii="Arial" w:hAnsi="Arial" w:cs="Arial"/>
        </w:rPr>
        <w:t xml:space="preserve"> throughout the analysis time period (2006-2011).  Immunosuppressive Agents, HIV/AIDS Antiretroviral Agents and Pulmonary Arterial Hypertension Agents </w:t>
      </w:r>
      <w:r>
        <w:rPr>
          <w:rFonts w:ascii="Arial" w:hAnsi="Arial" w:cs="Arial"/>
        </w:rPr>
        <w:t xml:space="preserve">contributed to over half of all the growth in HSD expenditure in </w:t>
      </w:r>
      <w:r w:rsidR="0084381F">
        <w:rPr>
          <w:rFonts w:ascii="Arial" w:hAnsi="Arial" w:cs="Arial"/>
        </w:rPr>
        <w:t>2009-10</w:t>
      </w:r>
      <w:r>
        <w:rPr>
          <w:rFonts w:ascii="Arial" w:hAnsi="Arial" w:cs="Arial"/>
        </w:rPr>
        <w:t xml:space="preserve">.  </w:t>
      </w:r>
    </w:p>
    <w:p w:rsidR="00895C0F" w:rsidRDefault="00895C0F">
      <w:pPr>
        <w:spacing w:after="0" w:line="240" w:lineRule="auto"/>
        <w:rPr>
          <w:rFonts w:ascii="Arial" w:eastAsia="Times New Roman" w:hAnsi="Arial" w:cs="Arial"/>
          <w:b/>
          <w:bCs/>
          <w:color w:val="365F91"/>
          <w:sz w:val="24"/>
          <w:szCs w:val="24"/>
        </w:rPr>
      </w:pPr>
      <w:bookmarkStart w:id="4" w:name="_Toc337033180"/>
    </w:p>
    <w:p w:rsidR="009B075E" w:rsidRPr="00EA03A4" w:rsidRDefault="009B075E" w:rsidP="003C2D43">
      <w:pPr>
        <w:pStyle w:val="Heading1"/>
        <w:rPr>
          <w:rFonts w:ascii="Arial" w:hAnsi="Arial" w:cs="Arial"/>
          <w:sz w:val="24"/>
          <w:szCs w:val="24"/>
        </w:rPr>
      </w:pPr>
      <w:bookmarkStart w:id="5" w:name="_Toc357174825"/>
      <w:r w:rsidRPr="00EA03A4">
        <w:rPr>
          <w:rFonts w:ascii="Arial" w:hAnsi="Arial" w:cs="Arial"/>
          <w:sz w:val="24"/>
          <w:szCs w:val="24"/>
        </w:rPr>
        <w:lastRenderedPageBreak/>
        <w:t>Background</w:t>
      </w:r>
      <w:bookmarkEnd w:id="4"/>
      <w:bookmarkEnd w:id="5"/>
      <w:r w:rsidRPr="00EA03A4">
        <w:rPr>
          <w:rFonts w:ascii="Arial" w:hAnsi="Arial" w:cs="Arial"/>
          <w:sz w:val="24"/>
          <w:szCs w:val="24"/>
        </w:rPr>
        <w:t xml:space="preserve"> </w:t>
      </w:r>
    </w:p>
    <w:p w:rsidR="009B075E" w:rsidRPr="00EA03A4" w:rsidRDefault="009B075E" w:rsidP="003C2D43">
      <w:pPr>
        <w:pStyle w:val="NoSpacing"/>
        <w:outlineLvl w:val="0"/>
        <w:rPr>
          <w:rFonts w:ascii="Arial" w:hAnsi="Arial" w:cs="Arial"/>
          <w:b/>
          <w:bCs/>
        </w:rPr>
      </w:pPr>
    </w:p>
    <w:p w:rsidR="009B075E" w:rsidRPr="00EA03A4" w:rsidRDefault="009B075E" w:rsidP="003C2D43">
      <w:pPr>
        <w:pStyle w:val="NoSpacing"/>
        <w:rPr>
          <w:rFonts w:ascii="Arial" w:hAnsi="Arial" w:cs="Arial"/>
        </w:rPr>
      </w:pPr>
      <w:r w:rsidRPr="00EA03A4">
        <w:rPr>
          <w:rFonts w:ascii="Arial" w:hAnsi="Arial" w:cs="Arial"/>
        </w:rPr>
        <w:t>In September 2010, the Australian Government and Medicines Australia signed a Memorandum of Understanding (MoU) aimed at “ensuring access to quality medicines at a lower cost to the taxpayer, and providing certainty to the pharmaceutical industry in relation to PBS pricing policy.”</w:t>
      </w:r>
      <w:r w:rsidRPr="00EA03A4">
        <w:rPr>
          <w:rStyle w:val="FootnoteReference"/>
          <w:rFonts w:ascii="Arial" w:hAnsi="Arial" w:cs="Arial"/>
        </w:rPr>
        <w:footnoteReference w:id="2"/>
      </w:r>
      <w:r w:rsidRPr="00EA03A4">
        <w:rPr>
          <w:rFonts w:ascii="Arial" w:hAnsi="Arial" w:cs="Arial"/>
        </w:rPr>
        <w:t xml:space="preserve"> The MoU set out a number of ways in which the Government and Medicines Australia could continue to cooperate and collaborate, including a project for joint monitoring of the trends in and drivers of PBS expenditure: </w:t>
      </w:r>
    </w:p>
    <w:p w:rsidR="009B075E" w:rsidRPr="00EA03A4" w:rsidRDefault="009B075E" w:rsidP="003C2D43">
      <w:pPr>
        <w:pStyle w:val="NoSpacing"/>
        <w:rPr>
          <w:rFonts w:ascii="Arial" w:hAnsi="Arial" w:cs="Arial"/>
        </w:rPr>
      </w:pPr>
    </w:p>
    <w:p w:rsidR="009B075E" w:rsidRPr="00EA03A4" w:rsidRDefault="009B075E" w:rsidP="003C2D43">
      <w:pPr>
        <w:pStyle w:val="NoSpacing"/>
        <w:ind w:left="720"/>
        <w:rPr>
          <w:rFonts w:ascii="Arial" w:hAnsi="Arial" w:cs="Arial"/>
          <w:i/>
        </w:rPr>
      </w:pPr>
      <w:r w:rsidRPr="00EA03A4">
        <w:rPr>
          <w:rFonts w:ascii="Arial" w:hAnsi="Arial" w:cs="Arial"/>
          <w:i/>
        </w:rPr>
        <w:t xml:space="preserve">Both parties undertake to jointly monitor trends in, and the drivers of, PBS expenditure through the Access to Medicines Working Group (AMWG), which will also develop a framework for this purpose. This will commence not later than </w:t>
      </w:r>
      <w:r w:rsidR="00D04611">
        <w:rPr>
          <w:rFonts w:ascii="Arial" w:hAnsi="Arial" w:cs="Arial"/>
          <w:i/>
        </w:rPr>
        <w:br/>
      </w:r>
      <w:r w:rsidRPr="00EA03A4">
        <w:rPr>
          <w:rFonts w:ascii="Arial" w:hAnsi="Arial" w:cs="Arial"/>
          <w:i/>
        </w:rPr>
        <w:t xml:space="preserve">1 January 2011. The Commonwealth agrees to share with Medicines Australia, without cost, the information and analyses required to achieve this. </w:t>
      </w:r>
    </w:p>
    <w:p w:rsidR="009B075E" w:rsidRPr="00EA03A4" w:rsidRDefault="009B075E" w:rsidP="003C2D43">
      <w:pPr>
        <w:pStyle w:val="NoSpacing"/>
        <w:ind w:left="720"/>
        <w:jc w:val="right"/>
        <w:rPr>
          <w:rFonts w:ascii="Arial" w:hAnsi="Arial" w:cs="Arial"/>
        </w:rPr>
      </w:pPr>
      <w:r w:rsidRPr="00EA03A4">
        <w:rPr>
          <w:rFonts w:ascii="Arial" w:hAnsi="Arial" w:cs="Arial"/>
        </w:rPr>
        <w:t>Clause 7, MoU</w:t>
      </w:r>
    </w:p>
    <w:p w:rsidR="009B075E" w:rsidRPr="00EA03A4" w:rsidRDefault="009B075E" w:rsidP="003C2D43">
      <w:pPr>
        <w:pStyle w:val="NoSpacing"/>
        <w:rPr>
          <w:rFonts w:ascii="Arial" w:hAnsi="Arial" w:cs="Arial"/>
        </w:rPr>
      </w:pPr>
    </w:p>
    <w:p w:rsidR="009B075E" w:rsidRPr="00EA03A4" w:rsidRDefault="009B075E" w:rsidP="003C2D43">
      <w:pPr>
        <w:pStyle w:val="NoSpacing"/>
        <w:rPr>
          <w:rFonts w:ascii="Arial" w:hAnsi="Arial" w:cs="Arial"/>
        </w:rPr>
      </w:pPr>
      <w:r w:rsidRPr="00EA03A4">
        <w:rPr>
          <w:rFonts w:ascii="Arial" w:hAnsi="Arial" w:cs="Arial"/>
        </w:rPr>
        <w:t>To progress the joint monitoring project, the Access to Medicines Working Group (AMWG) Sub-group</w:t>
      </w:r>
      <w:r w:rsidRPr="00EA03A4">
        <w:rPr>
          <w:rStyle w:val="FootnoteReference"/>
          <w:rFonts w:ascii="Arial" w:hAnsi="Arial" w:cs="Arial"/>
        </w:rPr>
        <w:footnoteReference w:id="3"/>
      </w:r>
      <w:r w:rsidRPr="00EA03A4">
        <w:rPr>
          <w:rFonts w:ascii="Arial" w:hAnsi="Arial" w:cs="Arial"/>
        </w:rPr>
        <w:t xml:space="preserve"> established the Data Working Group (DWG). The DWG is comprise</w:t>
      </w:r>
      <w:r>
        <w:rPr>
          <w:rFonts w:ascii="Arial" w:hAnsi="Arial" w:cs="Arial"/>
        </w:rPr>
        <w:t>d</w:t>
      </w:r>
      <w:r w:rsidRPr="00EA03A4">
        <w:rPr>
          <w:rFonts w:ascii="Arial" w:hAnsi="Arial" w:cs="Arial"/>
        </w:rPr>
        <w:t xml:space="preserve"> of officials from the Department of Health and Ageing (DoHA) and representatives from Medicines Australia (MA) and some of its member companies. Together, they have been tasked with the development and implementation of a joint monitoring framework, joint production of monitoring reports and resolution of operational and policy matters related to the initiative. </w:t>
      </w:r>
    </w:p>
    <w:p w:rsidR="009B075E" w:rsidRPr="00EA03A4" w:rsidRDefault="009B075E" w:rsidP="003C2D43">
      <w:pPr>
        <w:pStyle w:val="NoSpacing"/>
        <w:rPr>
          <w:rFonts w:ascii="Arial" w:hAnsi="Arial" w:cs="Arial"/>
        </w:rPr>
      </w:pPr>
    </w:p>
    <w:p w:rsidR="009B075E" w:rsidRPr="00EA03A4" w:rsidRDefault="009B075E" w:rsidP="003C2D43">
      <w:pPr>
        <w:pStyle w:val="NoSpacing"/>
        <w:rPr>
          <w:rFonts w:ascii="Arial" w:hAnsi="Arial" w:cs="Arial"/>
        </w:rPr>
      </w:pPr>
      <w:r w:rsidRPr="00EA03A4">
        <w:rPr>
          <w:rFonts w:ascii="Arial" w:hAnsi="Arial" w:cs="Arial"/>
        </w:rPr>
        <w:t>All parties have agreed to a set of governance and process principles to guide the project.</w:t>
      </w:r>
      <w:r w:rsidRPr="00EA03A4">
        <w:rPr>
          <w:rStyle w:val="FootnoteReference"/>
          <w:rFonts w:ascii="Arial" w:hAnsi="Arial" w:cs="Arial"/>
        </w:rPr>
        <w:footnoteReference w:id="4"/>
      </w:r>
      <w:r w:rsidRPr="00EA03A4">
        <w:rPr>
          <w:rFonts w:ascii="Arial" w:hAnsi="Arial" w:cs="Arial"/>
        </w:rPr>
        <w:t xml:space="preserve"> Top level governance for the joint monitoring project and for the operation of the DWG is provided by the AMWG, which will give final approval and endorsement of joint monitoring reports. The DWG also seeks advice from and reports to the AMWG Sub-group, which considers higher level policy matters arising under the project and will endorse reports before tabling to the AMWG. </w:t>
      </w:r>
    </w:p>
    <w:p w:rsidR="009B075E" w:rsidRPr="00EA03A4" w:rsidRDefault="009B075E" w:rsidP="003C2D43">
      <w:pPr>
        <w:pStyle w:val="NoSpacing"/>
        <w:rPr>
          <w:rFonts w:ascii="Arial" w:hAnsi="Arial" w:cs="Arial"/>
        </w:rPr>
      </w:pPr>
    </w:p>
    <w:p w:rsidR="009B075E" w:rsidRPr="00EA03A4" w:rsidRDefault="009B075E" w:rsidP="003C2D43">
      <w:pPr>
        <w:pStyle w:val="NoSpacing"/>
        <w:rPr>
          <w:rFonts w:ascii="Arial" w:hAnsi="Arial" w:cs="Arial"/>
        </w:rPr>
      </w:pPr>
      <w:r w:rsidRPr="00EA03A4">
        <w:rPr>
          <w:rFonts w:ascii="Arial" w:hAnsi="Arial" w:cs="Arial"/>
        </w:rPr>
        <w:t xml:space="preserve">The DWG is expected to monitor and to report on PBS expenditure trends and growth drivers on a half-yearly basis, and this is the second report. It is proposed that wherever possible, and as </w:t>
      </w:r>
      <w:r>
        <w:rPr>
          <w:rFonts w:ascii="Arial" w:hAnsi="Arial" w:cs="Arial"/>
        </w:rPr>
        <w:t>endorsed</w:t>
      </w:r>
      <w:r w:rsidRPr="00EA03A4">
        <w:rPr>
          <w:rFonts w:ascii="Arial" w:hAnsi="Arial" w:cs="Arial"/>
        </w:rPr>
        <w:t xml:space="preserve"> by the AMWG</w:t>
      </w:r>
      <w:r w:rsidRPr="00EB377A">
        <w:rPr>
          <w:rFonts w:ascii="Arial" w:hAnsi="Arial" w:cs="Arial"/>
        </w:rPr>
        <w:t xml:space="preserve"> </w:t>
      </w:r>
      <w:r>
        <w:rPr>
          <w:rFonts w:ascii="Arial" w:hAnsi="Arial" w:cs="Arial"/>
        </w:rPr>
        <w:t>and approved by the Minister for Health and Ageing</w:t>
      </w:r>
      <w:r w:rsidRPr="00EA03A4">
        <w:rPr>
          <w:rFonts w:ascii="Arial" w:hAnsi="Arial" w:cs="Arial"/>
        </w:rPr>
        <w:t xml:space="preserve">, reports or summaries of reports by the DWG should be made publically available. </w:t>
      </w:r>
    </w:p>
    <w:p w:rsidR="009B075E" w:rsidRPr="00DC51D5" w:rsidRDefault="009B075E" w:rsidP="003C2D43">
      <w:pPr>
        <w:pStyle w:val="NoSpacing"/>
        <w:rPr>
          <w:rFonts w:ascii="Arial" w:hAnsi="Arial" w:cs="Arial"/>
          <w:highlight w:val="yellow"/>
        </w:rPr>
      </w:pPr>
    </w:p>
    <w:p w:rsidR="009B075E" w:rsidRPr="00EA03A4" w:rsidRDefault="009B075E" w:rsidP="003C2D43">
      <w:pPr>
        <w:pStyle w:val="NoSpacing"/>
        <w:rPr>
          <w:rFonts w:ascii="Arial" w:hAnsi="Arial" w:cs="Arial"/>
        </w:rPr>
      </w:pPr>
      <w:r w:rsidRPr="00EA03A4">
        <w:rPr>
          <w:rFonts w:ascii="Arial" w:hAnsi="Arial" w:cs="Arial"/>
        </w:rPr>
        <w:t>At the request of the AMWG, the DWG began the development of the joint monitoring project by identifying a set of high level guiding questions against which Pharmaceutical Benefits Scheme (PBS) expenditure could be analysed. These questions, refined with the feedback and advice of the AMWG Subgroup and the AMWG, include:</w:t>
      </w:r>
      <w:r w:rsidRPr="00EA03A4">
        <w:rPr>
          <w:rStyle w:val="FootnoteReference"/>
          <w:rFonts w:ascii="Arial" w:hAnsi="Arial" w:cs="Arial"/>
        </w:rPr>
        <w:footnoteReference w:id="5"/>
      </w:r>
      <w:r w:rsidRPr="00EA03A4">
        <w:rPr>
          <w:rFonts w:ascii="Arial" w:hAnsi="Arial" w:cs="Arial"/>
        </w:rPr>
        <w:t xml:space="preserve"> </w:t>
      </w:r>
    </w:p>
    <w:p w:rsidR="009B075E" w:rsidRPr="00DC51D5" w:rsidRDefault="009B075E" w:rsidP="003C2D43">
      <w:pPr>
        <w:pStyle w:val="NoSpacing"/>
        <w:rPr>
          <w:rFonts w:ascii="Arial" w:hAnsi="Arial" w:cs="Arial"/>
          <w:highlight w:val="yellow"/>
        </w:rPr>
      </w:pPr>
    </w:p>
    <w:p w:rsidR="009B075E" w:rsidRPr="00EA03A4" w:rsidRDefault="009B075E" w:rsidP="0098384D">
      <w:pPr>
        <w:pStyle w:val="NoSpacing"/>
        <w:numPr>
          <w:ilvl w:val="0"/>
          <w:numId w:val="2"/>
        </w:numPr>
        <w:rPr>
          <w:rFonts w:ascii="Arial" w:hAnsi="Arial" w:cs="Arial"/>
        </w:rPr>
      </w:pPr>
      <w:r w:rsidRPr="00EA03A4">
        <w:rPr>
          <w:rFonts w:ascii="Arial" w:hAnsi="Arial" w:cs="Arial"/>
        </w:rPr>
        <w:t xml:space="preserve">Are there particular groups of patients contributing more than others to PBS growth? </w:t>
      </w:r>
    </w:p>
    <w:p w:rsidR="009B075E" w:rsidRPr="00EA03A4" w:rsidRDefault="009B075E" w:rsidP="0098384D">
      <w:pPr>
        <w:pStyle w:val="NoSpacing"/>
        <w:numPr>
          <w:ilvl w:val="0"/>
          <w:numId w:val="2"/>
        </w:numPr>
        <w:rPr>
          <w:rFonts w:ascii="Arial" w:hAnsi="Arial" w:cs="Arial"/>
        </w:rPr>
      </w:pPr>
      <w:r w:rsidRPr="00EA03A4">
        <w:rPr>
          <w:rFonts w:ascii="Arial" w:hAnsi="Arial" w:cs="Arial"/>
        </w:rPr>
        <w:t>Are there particular drugs or groups of drugs contributing more than others to PBS growth?</w:t>
      </w:r>
    </w:p>
    <w:p w:rsidR="009B075E" w:rsidRPr="00EA03A4" w:rsidRDefault="009B075E" w:rsidP="0098384D">
      <w:pPr>
        <w:pStyle w:val="NoSpacing"/>
        <w:numPr>
          <w:ilvl w:val="0"/>
          <w:numId w:val="2"/>
        </w:numPr>
        <w:rPr>
          <w:rFonts w:ascii="Arial" w:hAnsi="Arial" w:cs="Arial"/>
        </w:rPr>
      </w:pPr>
      <w:r w:rsidRPr="00EA03A4">
        <w:rPr>
          <w:rFonts w:ascii="Arial" w:hAnsi="Arial" w:cs="Arial"/>
        </w:rPr>
        <w:t>What is the contribution of newly listed medicines to PBS expenditure growth in comparison to already listed medicines?</w:t>
      </w:r>
    </w:p>
    <w:p w:rsidR="009B075E" w:rsidRPr="00EA03A4" w:rsidRDefault="009B075E" w:rsidP="0098384D">
      <w:pPr>
        <w:pStyle w:val="NoSpacing"/>
        <w:numPr>
          <w:ilvl w:val="0"/>
          <w:numId w:val="2"/>
        </w:numPr>
        <w:rPr>
          <w:rFonts w:ascii="Arial" w:hAnsi="Arial" w:cs="Arial"/>
        </w:rPr>
      </w:pPr>
      <w:r w:rsidRPr="00EA03A4">
        <w:rPr>
          <w:rFonts w:ascii="Arial" w:hAnsi="Arial" w:cs="Arial"/>
        </w:rPr>
        <w:t xml:space="preserve">Are generic PBS medicines growing at a faster or slower rate than the general PBS? </w:t>
      </w:r>
    </w:p>
    <w:p w:rsidR="009B075E" w:rsidRPr="00EA03A4" w:rsidRDefault="009B075E" w:rsidP="0098384D">
      <w:pPr>
        <w:pStyle w:val="NoSpacing"/>
        <w:numPr>
          <w:ilvl w:val="0"/>
          <w:numId w:val="2"/>
        </w:numPr>
        <w:rPr>
          <w:rFonts w:ascii="Arial" w:hAnsi="Arial" w:cs="Arial"/>
        </w:rPr>
      </w:pPr>
      <w:r w:rsidRPr="00EA03A4">
        <w:rPr>
          <w:rFonts w:ascii="Arial" w:hAnsi="Arial" w:cs="Arial"/>
        </w:rPr>
        <w:lastRenderedPageBreak/>
        <w:t xml:space="preserve">To what extent do factors such as changes in pharmacy remuneration impact PBS growth? </w:t>
      </w:r>
    </w:p>
    <w:p w:rsidR="009B075E" w:rsidRPr="00EA03A4" w:rsidRDefault="009B075E" w:rsidP="0098384D">
      <w:pPr>
        <w:pStyle w:val="NoSpacing"/>
        <w:numPr>
          <w:ilvl w:val="0"/>
          <w:numId w:val="2"/>
        </w:numPr>
        <w:rPr>
          <w:rFonts w:ascii="Arial" w:hAnsi="Arial" w:cs="Arial"/>
        </w:rPr>
      </w:pPr>
      <w:r w:rsidRPr="00EA03A4">
        <w:rPr>
          <w:rFonts w:ascii="Arial" w:hAnsi="Arial" w:cs="Arial"/>
        </w:rPr>
        <w:t>To what extent do changes to PBS pricing policy affect PBS growth?</w:t>
      </w:r>
    </w:p>
    <w:p w:rsidR="009B075E" w:rsidRPr="00EA03A4" w:rsidRDefault="009B075E" w:rsidP="0098384D">
      <w:pPr>
        <w:pStyle w:val="NoSpacing"/>
        <w:numPr>
          <w:ilvl w:val="0"/>
          <w:numId w:val="2"/>
        </w:numPr>
        <w:rPr>
          <w:rFonts w:ascii="Arial" w:hAnsi="Arial" w:cs="Arial"/>
        </w:rPr>
      </w:pPr>
      <w:r w:rsidRPr="00EA03A4">
        <w:rPr>
          <w:rFonts w:ascii="Arial" w:hAnsi="Arial" w:cs="Arial"/>
        </w:rPr>
        <w:t>Do patient compliance programs have an impact on PBS growth?</w:t>
      </w:r>
    </w:p>
    <w:p w:rsidR="009B075E" w:rsidRPr="00EA03A4" w:rsidRDefault="009B075E" w:rsidP="0098384D">
      <w:pPr>
        <w:pStyle w:val="NoSpacing"/>
        <w:numPr>
          <w:ilvl w:val="0"/>
          <w:numId w:val="2"/>
        </w:numPr>
        <w:rPr>
          <w:rFonts w:ascii="Arial" w:hAnsi="Arial" w:cs="Arial"/>
        </w:rPr>
      </w:pPr>
      <w:r w:rsidRPr="00EA03A4">
        <w:rPr>
          <w:rFonts w:ascii="Arial" w:hAnsi="Arial" w:cs="Arial"/>
        </w:rPr>
        <w:t>What is the contribution of medicines listed on both S100</w:t>
      </w:r>
      <w:r w:rsidR="001D0481">
        <w:rPr>
          <w:rStyle w:val="FootnoteReference"/>
        </w:rPr>
        <w:footnoteReference w:id="6"/>
      </w:r>
      <w:r w:rsidRPr="00EA03A4">
        <w:rPr>
          <w:rFonts w:ascii="Arial" w:hAnsi="Arial" w:cs="Arial"/>
        </w:rPr>
        <w:t xml:space="preserve"> and the Highly Specialised Drugs Program</w:t>
      </w:r>
      <w:r w:rsidR="001D0481">
        <w:rPr>
          <w:rStyle w:val="FootnoteReference"/>
        </w:rPr>
        <w:footnoteReference w:id="7"/>
      </w:r>
      <w:r w:rsidRPr="00EA03A4">
        <w:rPr>
          <w:rFonts w:ascii="Arial" w:hAnsi="Arial" w:cs="Arial"/>
        </w:rPr>
        <w:t xml:space="preserve"> to overall PBS growth?</w:t>
      </w:r>
    </w:p>
    <w:p w:rsidR="009B075E" w:rsidRPr="00EA03A4" w:rsidRDefault="009B075E" w:rsidP="003C2D43">
      <w:pPr>
        <w:pStyle w:val="NoSpacing"/>
        <w:rPr>
          <w:rFonts w:ascii="Arial" w:hAnsi="Arial" w:cs="Arial"/>
        </w:rPr>
      </w:pPr>
    </w:p>
    <w:p w:rsidR="009B075E" w:rsidRPr="00EA03A4" w:rsidRDefault="009B075E" w:rsidP="003C2D43">
      <w:pPr>
        <w:pStyle w:val="NoSpacing"/>
        <w:rPr>
          <w:rFonts w:ascii="Arial" w:hAnsi="Arial" w:cs="Arial"/>
        </w:rPr>
      </w:pPr>
      <w:r w:rsidRPr="00EA03A4">
        <w:rPr>
          <w:rFonts w:ascii="Arial" w:hAnsi="Arial" w:cs="Arial"/>
        </w:rPr>
        <w:t>The AMWG endorsed these guiding questions in December 2010 alongside the overall framework developed by the DWG for the examination of these questions under the joint monitoring project.</w:t>
      </w:r>
      <w:r w:rsidRPr="00EA03A4">
        <w:rPr>
          <w:rStyle w:val="FootnoteReference"/>
          <w:rFonts w:ascii="Arial" w:hAnsi="Arial" w:cs="Arial"/>
        </w:rPr>
        <w:footnoteReference w:id="8"/>
      </w:r>
      <w:r w:rsidRPr="00EA03A4">
        <w:rPr>
          <w:rFonts w:ascii="Arial" w:hAnsi="Arial" w:cs="Arial"/>
        </w:rPr>
        <w:t xml:space="preserve"> The framework outlines the background, scope and monitoring and reporting schedule for the project. Broadly, the framework charts the basic steps for identifying potential drivers, establishing the base line for evaluation, analysing the chosen variables and reporting.</w:t>
      </w:r>
      <w:r w:rsidRPr="00EA03A4">
        <w:rPr>
          <w:rStyle w:val="FootnoteReference"/>
          <w:rFonts w:ascii="Arial" w:hAnsi="Arial" w:cs="Arial"/>
        </w:rPr>
        <w:footnoteReference w:id="9"/>
      </w:r>
      <w:r w:rsidRPr="00EA03A4">
        <w:rPr>
          <w:rFonts w:ascii="Arial" w:hAnsi="Arial" w:cs="Arial"/>
        </w:rPr>
        <w:t xml:space="preserve"> </w:t>
      </w:r>
    </w:p>
    <w:p w:rsidR="009B075E" w:rsidRPr="00DC51D5" w:rsidRDefault="009B075E" w:rsidP="003C2D43">
      <w:pPr>
        <w:pStyle w:val="NoSpacing"/>
        <w:rPr>
          <w:rFonts w:ascii="Arial" w:hAnsi="Arial" w:cs="Arial"/>
          <w:highlight w:val="yellow"/>
        </w:rPr>
      </w:pPr>
    </w:p>
    <w:p w:rsidR="009B075E" w:rsidRPr="00EA03A4" w:rsidRDefault="009B075E" w:rsidP="003C2D43">
      <w:pPr>
        <w:pStyle w:val="NoSpacing"/>
        <w:rPr>
          <w:rFonts w:ascii="Arial" w:hAnsi="Arial" w:cs="Arial"/>
        </w:rPr>
      </w:pPr>
      <w:r w:rsidRPr="00EA03A4">
        <w:rPr>
          <w:rFonts w:ascii="Arial" w:hAnsi="Arial" w:cs="Arial"/>
        </w:rPr>
        <w:t>Under the endorsed framework, the DWG is expected to monitor PBS expenditure against a list of key drivers and data sets that are mutually agreed between MA and DoHA. To achieve this, the DWG developed a table of variables, metrics and possible data sources for the first joint monitoring report.</w:t>
      </w:r>
      <w:r w:rsidRPr="00EA03A4">
        <w:rPr>
          <w:rStyle w:val="FootnoteReference"/>
          <w:rFonts w:ascii="Arial" w:hAnsi="Arial" w:cs="Arial"/>
        </w:rPr>
        <w:footnoteReference w:id="10"/>
      </w:r>
      <w:r w:rsidRPr="00EA03A4">
        <w:rPr>
          <w:rFonts w:ascii="Arial" w:hAnsi="Arial" w:cs="Arial"/>
        </w:rPr>
        <w:t xml:space="preserve"> The attached table shows, for example, that to examine how drug formulary groups affect the PBS (the variable), the DWG will look to Medicare PBS data and formulary allocation under the PBS (the data sources) to determine the percentage contribution to PBS expenditure growth of each formulary (the metric). The DWG identified guiding metrics and data sources for the following variables:</w:t>
      </w:r>
    </w:p>
    <w:p w:rsidR="009B075E" w:rsidRPr="00EA03A4" w:rsidRDefault="009B075E" w:rsidP="003C2D43">
      <w:pPr>
        <w:pStyle w:val="NoSpacing"/>
        <w:rPr>
          <w:rFonts w:ascii="Arial" w:hAnsi="Arial" w:cs="Arial"/>
        </w:rPr>
      </w:pPr>
    </w:p>
    <w:p w:rsidR="009B075E" w:rsidRPr="00EA03A4" w:rsidRDefault="009B075E" w:rsidP="0098384D">
      <w:pPr>
        <w:pStyle w:val="NoSpacing"/>
        <w:numPr>
          <w:ilvl w:val="0"/>
          <w:numId w:val="3"/>
        </w:numPr>
        <w:rPr>
          <w:rFonts w:ascii="Arial" w:hAnsi="Arial" w:cs="Arial"/>
        </w:rPr>
      </w:pPr>
      <w:r w:rsidRPr="00EA03A4">
        <w:rPr>
          <w:rFonts w:ascii="Arial" w:hAnsi="Arial" w:cs="Arial"/>
        </w:rPr>
        <w:t>New listings on the PBS in the previous 12 months</w:t>
      </w:r>
    </w:p>
    <w:p w:rsidR="009B075E" w:rsidRPr="00EA03A4" w:rsidRDefault="009B075E" w:rsidP="0098384D">
      <w:pPr>
        <w:pStyle w:val="NoSpacing"/>
        <w:numPr>
          <w:ilvl w:val="0"/>
          <w:numId w:val="3"/>
        </w:numPr>
        <w:rPr>
          <w:rFonts w:ascii="Arial" w:hAnsi="Arial" w:cs="Arial"/>
        </w:rPr>
      </w:pPr>
      <w:r w:rsidRPr="00EA03A4">
        <w:rPr>
          <w:rFonts w:ascii="Arial" w:hAnsi="Arial" w:cs="Arial"/>
        </w:rPr>
        <w:t>New listings on the PBS in the previous 4 years</w:t>
      </w:r>
    </w:p>
    <w:p w:rsidR="009B075E" w:rsidRPr="00EA03A4" w:rsidRDefault="009B075E" w:rsidP="0098384D">
      <w:pPr>
        <w:pStyle w:val="NoSpacing"/>
        <w:numPr>
          <w:ilvl w:val="0"/>
          <w:numId w:val="3"/>
        </w:numPr>
        <w:rPr>
          <w:rFonts w:ascii="Arial" w:hAnsi="Arial" w:cs="Arial"/>
        </w:rPr>
      </w:pPr>
      <w:r w:rsidRPr="00EA03A4">
        <w:rPr>
          <w:rFonts w:ascii="Arial" w:hAnsi="Arial" w:cs="Arial"/>
        </w:rPr>
        <w:t>Prescriptions volume</w:t>
      </w:r>
    </w:p>
    <w:p w:rsidR="009B075E" w:rsidRPr="00EA03A4" w:rsidRDefault="009B075E" w:rsidP="0098384D">
      <w:pPr>
        <w:pStyle w:val="NoSpacing"/>
        <w:numPr>
          <w:ilvl w:val="0"/>
          <w:numId w:val="3"/>
        </w:numPr>
        <w:rPr>
          <w:rFonts w:ascii="Arial" w:hAnsi="Arial" w:cs="Arial"/>
        </w:rPr>
      </w:pPr>
      <w:r w:rsidRPr="00EA03A4">
        <w:rPr>
          <w:rFonts w:ascii="Arial" w:hAnsi="Arial" w:cs="Arial"/>
        </w:rPr>
        <w:t>Price of medicines</w:t>
      </w:r>
    </w:p>
    <w:p w:rsidR="009B075E" w:rsidRPr="00EA03A4" w:rsidRDefault="009B075E" w:rsidP="0098384D">
      <w:pPr>
        <w:pStyle w:val="NoSpacing"/>
        <w:numPr>
          <w:ilvl w:val="0"/>
          <w:numId w:val="3"/>
        </w:numPr>
        <w:rPr>
          <w:rFonts w:ascii="Arial" w:hAnsi="Arial" w:cs="Arial"/>
        </w:rPr>
      </w:pPr>
      <w:r w:rsidRPr="00EA03A4">
        <w:rPr>
          <w:rFonts w:ascii="Arial" w:hAnsi="Arial" w:cs="Arial"/>
        </w:rPr>
        <w:t>Changes in policy</w:t>
      </w:r>
    </w:p>
    <w:p w:rsidR="009B075E" w:rsidRPr="00EA03A4" w:rsidRDefault="009B075E" w:rsidP="0098384D">
      <w:pPr>
        <w:pStyle w:val="NoSpacing"/>
        <w:numPr>
          <w:ilvl w:val="0"/>
          <w:numId w:val="3"/>
        </w:numPr>
        <w:rPr>
          <w:rFonts w:ascii="Arial" w:hAnsi="Arial" w:cs="Arial"/>
        </w:rPr>
      </w:pPr>
      <w:r w:rsidRPr="00EA03A4">
        <w:rPr>
          <w:rFonts w:ascii="Arial" w:hAnsi="Arial" w:cs="Arial"/>
        </w:rPr>
        <w:t>Drug formulary groups</w:t>
      </w:r>
    </w:p>
    <w:p w:rsidR="009B075E" w:rsidRPr="00EA03A4" w:rsidRDefault="009B075E" w:rsidP="0098384D">
      <w:pPr>
        <w:pStyle w:val="NoSpacing"/>
        <w:numPr>
          <w:ilvl w:val="0"/>
          <w:numId w:val="3"/>
        </w:numPr>
        <w:rPr>
          <w:rFonts w:ascii="Arial" w:hAnsi="Arial" w:cs="Arial"/>
        </w:rPr>
      </w:pPr>
      <w:r w:rsidRPr="00EA03A4">
        <w:rPr>
          <w:rFonts w:ascii="Arial" w:hAnsi="Arial" w:cs="Arial"/>
        </w:rPr>
        <w:t>Drug ATC2 groups</w:t>
      </w:r>
    </w:p>
    <w:p w:rsidR="009B075E" w:rsidRPr="00EA03A4" w:rsidRDefault="009B075E" w:rsidP="0098384D">
      <w:pPr>
        <w:pStyle w:val="NoSpacing"/>
        <w:numPr>
          <w:ilvl w:val="0"/>
          <w:numId w:val="3"/>
        </w:numPr>
        <w:rPr>
          <w:rFonts w:ascii="Arial" w:hAnsi="Arial" w:cs="Arial"/>
        </w:rPr>
      </w:pPr>
      <w:r w:rsidRPr="00EA03A4">
        <w:rPr>
          <w:rFonts w:ascii="Arial" w:hAnsi="Arial" w:cs="Arial"/>
        </w:rPr>
        <w:t>Individual drugs</w:t>
      </w:r>
    </w:p>
    <w:p w:rsidR="009B075E" w:rsidRPr="00EA03A4" w:rsidRDefault="009B075E" w:rsidP="0098384D">
      <w:pPr>
        <w:pStyle w:val="NoSpacing"/>
        <w:numPr>
          <w:ilvl w:val="0"/>
          <w:numId w:val="3"/>
        </w:numPr>
        <w:rPr>
          <w:rFonts w:ascii="Arial" w:hAnsi="Arial" w:cs="Arial"/>
        </w:rPr>
      </w:pPr>
      <w:r w:rsidRPr="00EA03A4">
        <w:rPr>
          <w:rFonts w:ascii="Arial" w:hAnsi="Arial" w:cs="Arial"/>
        </w:rPr>
        <w:t>Age of population</w:t>
      </w:r>
    </w:p>
    <w:p w:rsidR="009B075E" w:rsidRPr="00EA03A4" w:rsidRDefault="009B075E" w:rsidP="0098384D">
      <w:pPr>
        <w:pStyle w:val="NoSpacing"/>
        <w:numPr>
          <w:ilvl w:val="0"/>
          <w:numId w:val="3"/>
        </w:numPr>
        <w:rPr>
          <w:rFonts w:ascii="Arial" w:hAnsi="Arial" w:cs="Arial"/>
        </w:rPr>
      </w:pPr>
      <w:r w:rsidRPr="00EA03A4">
        <w:rPr>
          <w:rFonts w:ascii="Arial" w:hAnsi="Arial" w:cs="Arial"/>
        </w:rPr>
        <w:t>Concession card holders</w:t>
      </w:r>
    </w:p>
    <w:p w:rsidR="009B075E" w:rsidRPr="00EA03A4" w:rsidRDefault="009B075E" w:rsidP="0098384D">
      <w:pPr>
        <w:pStyle w:val="NoSpacing"/>
        <w:numPr>
          <w:ilvl w:val="0"/>
          <w:numId w:val="3"/>
        </w:numPr>
        <w:rPr>
          <w:rFonts w:ascii="Arial" w:hAnsi="Arial" w:cs="Arial"/>
        </w:rPr>
      </w:pPr>
      <w:r w:rsidRPr="00EA03A4">
        <w:rPr>
          <w:rFonts w:ascii="Arial" w:hAnsi="Arial" w:cs="Arial"/>
        </w:rPr>
        <w:t>Disease burden</w:t>
      </w:r>
    </w:p>
    <w:p w:rsidR="009B075E" w:rsidRPr="00EA03A4" w:rsidRDefault="009B075E" w:rsidP="0098384D">
      <w:pPr>
        <w:pStyle w:val="NoSpacing"/>
        <w:numPr>
          <w:ilvl w:val="0"/>
          <w:numId w:val="3"/>
        </w:numPr>
        <w:rPr>
          <w:rFonts w:ascii="Arial" w:hAnsi="Arial" w:cs="Arial"/>
        </w:rPr>
      </w:pPr>
      <w:r w:rsidRPr="00EA03A4">
        <w:rPr>
          <w:rFonts w:ascii="Arial" w:hAnsi="Arial" w:cs="Arial"/>
        </w:rPr>
        <w:t>Patient compliance</w:t>
      </w:r>
    </w:p>
    <w:p w:rsidR="009B075E" w:rsidRPr="00EA03A4" w:rsidRDefault="009B075E" w:rsidP="0098384D">
      <w:pPr>
        <w:pStyle w:val="NoSpacing"/>
        <w:numPr>
          <w:ilvl w:val="0"/>
          <w:numId w:val="3"/>
        </w:numPr>
        <w:rPr>
          <w:rFonts w:ascii="Arial" w:hAnsi="Arial" w:cs="Arial"/>
        </w:rPr>
      </w:pPr>
      <w:r w:rsidRPr="00EA03A4">
        <w:rPr>
          <w:rFonts w:ascii="Arial" w:hAnsi="Arial" w:cs="Arial"/>
        </w:rPr>
        <w:t>Below co-payment market</w:t>
      </w:r>
    </w:p>
    <w:p w:rsidR="009B075E" w:rsidRPr="00EA03A4" w:rsidRDefault="009B075E" w:rsidP="0098384D">
      <w:pPr>
        <w:pStyle w:val="NoSpacing"/>
        <w:numPr>
          <w:ilvl w:val="0"/>
          <w:numId w:val="3"/>
        </w:numPr>
        <w:rPr>
          <w:rFonts w:ascii="Arial" w:hAnsi="Arial" w:cs="Arial"/>
        </w:rPr>
      </w:pPr>
      <w:r w:rsidRPr="00EA03A4">
        <w:rPr>
          <w:rFonts w:ascii="Arial" w:hAnsi="Arial" w:cs="Arial"/>
        </w:rPr>
        <w:t>Highly Specialised Drugs program</w:t>
      </w:r>
    </w:p>
    <w:p w:rsidR="009B075E" w:rsidRPr="00DC51D5" w:rsidRDefault="009B075E" w:rsidP="003C2D43">
      <w:pPr>
        <w:pStyle w:val="NoSpacing"/>
        <w:rPr>
          <w:rFonts w:ascii="Arial" w:hAnsi="Arial" w:cs="Arial"/>
          <w:highlight w:val="yellow"/>
        </w:rPr>
      </w:pPr>
    </w:p>
    <w:p w:rsidR="009B075E" w:rsidRDefault="009B075E" w:rsidP="003C2D43">
      <w:pPr>
        <w:pStyle w:val="NoSpacing"/>
        <w:rPr>
          <w:rFonts w:ascii="Arial" w:hAnsi="Arial" w:cs="Arial"/>
        </w:rPr>
      </w:pPr>
      <w:r w:rsidRPr="00EA03A4">
        <w:rPr>
          <w:rFonts w:ascii="Arial" w:hAnsi="Arial" w:cs="Arial"/>
        </w:rPr>
        <w:t xml:space="preserve">The DWG is expected to monitor and to report on PBS expenditure trends and growth drivers on a half-yearly basis, and this is the second report. This report is organised based on the first level of analysis which compares PBS expenditure on new medicine listings against the expenditure on existing listings, which is further divided into price factors and volume factors. Additional depth of analysis, to consider the agreed variables such as age of population, disease groups, and general and concessional status of patients, is also provided. It must be noted that while seemingly independent, variables that affect price and volume are interlinked; this presents a methodological challenge which has been extensively considered by the DWG and is discussed throughout the report. </w:t>
      </w:r>
    </w:p>
    <w:p w:rsidR="00F163D6" w:rsidRDefault="00F163D6" w:rsidP="003C2D43">
      <w:pPr>
        <w:pStyle w:val="NoSpacing"/>
        <w:rPr>
          <w:rFonts w:ascii="Arial" w:hAnsi="Arial" w:cs="Arial"/>
        </w:rPr>
      </w:pPr>
      <w:r>
        <w:rPr>
          <w:rFonts w:ascii="Arial" w:hAnsi="Arial" w:cs="Arial"/>
        </w:rPr>
        <w:br w:type="page"/>
      </w:r>
    </w:p>
    <w:p w:rsidR="00F163D6" w:rsidRPr="00EA03A4" w:rsidRDefault="00F163D6" w:rsidP="003C2D43">
      <w:pPr>
        <w:pStyle w:val="NoSpacing"/>
      </w:pPr>
    </w:p>
    <w:p w:rsidR="009B075E" w:rsidRPr="00EA03A4" w:rsidRDefault="009B075E" w:rsidP="003C2D43">
      <w:pPr>
        <w:pStyle w:val="Heading1"/>
        <w:rPr>
          <w:rFonts w:ascii="Arial" w:hAnsi="Arial" w:cs="Arial"/>
          <w:sz w:val="24"/>
          <w:szCs w:val="24"/>
        </w:rPr>
      </w:pPr>
      <w:bookmarkStart w:id="6" w:name="_Toc337033181"/>
      <w:bookmarkStart w:id="7" w:name="_Toc357174826"/>
      <w:r w:rsidRPr="00EA03A4">
        <w:rPr>
          <w:rFonts w:ascii="Arial" w:hAnsi="Arial" w:cs="Arial"/>
          <w:sz w:val="24"/>
          <w:szCs w:val="24"/>
        </w:rPr>
        <w:t>Project Scope</w:t>
      </w:r>
      <w:bookmarkEnd w:id="6"/>
      <w:bookmarkEnd w:id="7"/>
    </w:p>
    <w:p w:rsidR="009B075E" w:rsidRPr="00EA03A4" w:rsidRDefault="009B075E" w:rsidP="003C2D43">
      <w:pPr>
        <w:pStyle w:val="NoSpacing"/>
        <w:rPr>
          <w:rFonts w:ascii="Arial" w:hAnsi="Arial" w:cs="Arial"/>
        </w:rPr>
      </w:pPr>
      <w:r w:rsidRPr="00EA03A4">
        <w:rPr>
          <w:rFonts w:ascii="Arial" w:hAnsi="Arial" w:cs="Arial"/>
        </w:rPr>
        <w:t>The DWG framework sets out provisions to control the scope of the project:</w:t>
      </w:r>
    </w:p>
    <w:p w:rsidR="009B075E" w:rsidRPr="00EA03A4" w:rsidRDefault="009B075E" w:rsidP="003C2D43">
      <w:pPr>
        <w:pStyle w:val="NoSpacing"/>
        <w:rPr>
          <w:rFonts w:ascii="Arial" w:hAnsi="Arial" w:cs="Arial"/>
        </w:rPr>
      </w:pPr>
    </w:p>
    <w:p w:rsidR="009B075E" w:rsidRPr="00EA03A4" w:rsidRDefault="009B075E" w:rsidP="0098384D">
      <w:pPr>
        <w:pStyle w:val="NoSpacing"/>
        <w:numPr>
          <w:ilvl w:val="0"/>
          <w:numId w:val="4"/>
        </w:numPr>
        <w:rPr>
          <w:rFonts w:ascii="Arial" w:hAnsi="Arial" w:cs="Arial"/>
        </w:rPr>
      </w:pPr>
      <w:r w:rsidRPr="00EA03A4">
        <w:rPr>
          <w:rFonts w:ascii="Arial" w:hAnsi="Arial" w:cs="Arial"/>
        </w:rPr>
        <w:t xml:space="preserve">The primary data source for the joint monitoring project is PBS data processed by </w:t>
      </w:r>
      <w:r>
        <w:rPr>
          <w:rFonts w:ascii="Arial" w:hAnsi="Arial" w:cs="Arial"/>
        </w:rPr>
        <w:t>the Department of Health and Ageing (DHS – formerly</w:t>
      </w:r>
      <w:r w:rsidRPr="00EA03A4">
        <w:rPr>
          <w:rFonts w:ascii="Arial" w:hAnsi="Arial" w:cs="Arial"/>
        </w:rPr>
        <w:t xml:space="preserve"> Medicare Australia</w:t>
      </w:r>
      <w:r>
        <w:rPr>
          <w:rFonts w:ascii="Arial" w:hAnsi="Arial" w:cs="Arial"/>
        </w:rPr>
        <w:t xml:space="preserve">); </w:t>
      </w:r>
      <w:r w:rsidRPr="00EA03A4">
        <w:rPr>
          <w:rFonts w:ascii="Arial" w:hAnsi="Arial" w:cs="Arial"/>
        </w:rPr>
        <w:t xml:space="preserve">where appropriate, additional data </w:t>
      </w:r>
      <w:r>
        <w:rPr>
          <w:rFonts w:ascii="Arial" w:hAnsi="Arial" w:cs="Arial"/>
        </w:rPr>
        <w:t>may be</w:t>
      </w:r>
      <w:r w:rsidRPr="00EA03A4">
        <w:rPr>
          <w:rFonts w:ascii="Arial" w:hAnsi="Arial" w:cs="Arial"/>
        </w:rPr>
        <w:t xml:space="preserve"> sourced from </w:t>
      </w:r>
      <w:r>
        <w:rPr>
          <w:rFonts w:ascii="Arial" w:hAnsi="Arial" w:cs="Arial"/>
        </w:rPr>
        <w:t xml:space="preserve">the </w:t>
      </w:r>
      <w:r w:rsidRPr="00EA03A4">
        <w:rPr>
          <w:rFonts w:ascii="Arial" w:hAnsi="Arial" w:cs="Arial"/>
        </w:rPr>
        <w:t>B</w:t>
      </w:r>
      <w:r w:rsidR="00C90541">
        <w:rPr>
          <w:rFonts w:ascii="Arial" w:hAnsi="Arial" w:cs="Arial"/>
        </w:rPr>
        <w:t xml:space="preserve">ettering </w:t>
      </w:r>
      <w:r w:rsidRPr="00EA03A4">
        <w:rPr>
          <w:rFonts w:ascii="Arial" w:hAnsi="Arial" w:cs="Arial"/>
        </w:rPr>
        <w:t>E</w:t>
      </w:r>
      <w:r w:rsidR="00C90541">
        <w:rPr>
          <w:rFonts w:ascii="Arial" w:hAnsi="Arial" w:cs="Arial"/>
        </w:rPr>
        <w:t xml:space="preserve">valuation </w:t>
      </w:r>
      <w:r w:rsidRPr="00EA03A4">
        <w:rPr>
          <w:rFonts w:ascii="Arial" w:hAnsi="Arial" w:cs="Arial"/>
        </w:rPr>
        <w:t>A</w:t>
      </w:r>
      <w:r w:rsidR="00C90541">
        <w:rPr>
          <w:rFonts w:ascii="Arial" w:hAnsi="Arial" w:cs="Arial"/>
        </w:rPr>
        <w:t xml:space="preserve">nd </w:t>
      </w:r>
      <w:r w:rsidRPr="00EA03A4">
        <w:rPr>
          <w:rFonts w:ascii="Arial" w:hAnsi="Arial" w:cs="Arial"/>
        </w:rPr>
        <w:t>C</w:t>
      </w:r>
      <w:r w:rsidR="00C90541">
        <w:rPr>
          <w:rFonts w:ascii="Arial" w:hAnsi="Arial" w:cs="Arial"/>
        </w:rPr>
        <w:t xml:space="preserve">are in </w:t>
      </w:r>
      <w:r w:rsidRPr="00EA03A4">
        <w:rPr>
          <w:rFonts w:ascii="Arial" w:hAnsi="Arial" w:cs="Arial"/>
        </w:rPr>
        <w:t>H</w:t>
      </w:r>
      <w:r w:rsidR="00C90541">
        <w:rPr>
          <w:rFonts w:ascii="Arial" w:hAnsi="Arial" w:cs="Arial"/>
        </w:rPr>
        <w:t>ealth (BEACH)</w:t>
      </w:r>
      <w:r w:rsidRPr="00EA03A4">
        <w:rPr>
          <w:rFonts w:ascii="Arial" w:hAnsi="Arial" w:cs="Arial"/>
        </w:rPr>
        <w:t xml:space="preserve"> </w:t>
      </w:r>
      <w:r>
        <w:rPr>
          <w:rFonts w:ascii="Arial" w:hAnsi="Arial" w:cs="Arial"/>
        </w:rPr>
        <w:t>survey</w:t>
      </w:r>
      <w:r w:rsidR="00C90541">
        <w:rPr>
          <w:rStyle w:val="FootnoteReference"/>
        </w:rPr>
        <w:footnoteReference w:id="11"/>
      </w:r>
      <w:r w:rsidRPr="00EA03A4">
        <w:rPr>
          <w:rFonts w:ascii="Arial" w:hAnsi="Arial" w:cs="Arial"/>
        </w:rPr>
        <w:t xml:space="preserve">, </w:t>
      </w:r>
      <w:r>
        <w:rPr>
          <w:rFonts w:ascii="Arial" w:hAnsi="Arial" w:cs="Arial"/>
        </w:rPr>
        <w:t xml:space="preserve">PBAC’s </w:t>
      </w:r>
      <w:r w:rsidRPr="00EA03A4">
        <w:rPr>
          <w:rFonts w:ascii="Arial" w:hAnsi="Arial" w:cs="Arial"/>
        </w:rPr>
        <w:t>Drug Utilisation Sub Committee (DUSC), the Department of Families, Housing, Community Services and Indigenous Affairs (FaHCSIA) and the Australian Institute of Health and Welfare (AIHW).</w:t>
      </w:r>
    </w:p>
    <w:p w:rsidR="009B075E" w:rsidRPr="00EA03A4" w:rsidRDefault="009B075E" w:rsidP="0098384D">
      <w:pPr>
        <w:pStyle w:val="NoSpacing"/>
        <w:numPr>
          <w:ilvl w:val="0"/>
          <w:numId w:val="4"/>
        </w:numPr>
        <w:rPr>
          <w:rFonts w:ascii="Arial" w:hAnsi="Arial" w:cs="Arial"/>
        </w:rPr>
      </w:pPr>
      <w:r w:rsidRPr="00EA03A4">
        <w:rPr>
          <w:rFonts w:ascii="Arial" w:hAnsi="Arial" w:cs="Arial"/>
        </w:rPr>
        <w:t>The</w:t>
      </w:r>
      <w:r>
        <w:rPr>
          <w:rFonts w:ascii="Arial" w:hAnsi="Arial" w:cs="Arial"/>
        </w:rPr>
        <w:t>re are a number of caveats around the completeness of the PBS expenditure due to data limitations, primarily</w:t>
      </w:r>
      <w:r w:rsidRPr="00EA03A4">
        <w:rPr>
          <w:rFonts w:ascii="Arial" w:hAnsi="Arial" w:cs="Arial"/>
        </w:rPr>
        <w:t xml:space="preserve"> </w:t>
      </w:r>
    </w:p>
    <w:p w:rsidR="009B075E" w:rsidRPr="00EA03A4" w:rsidRDefault="009B075E" w:rsidP="0098384D">
      <w:pPr>
        <w:pStyle w:val="NoSpacing"/>
        <w:numPr>
          <w:ilvl w:val="1"/>
          <w:numId w:val="4"/>
        </w:numPr>
        <w:rPr>
          <w:rFonts w:ascii="Arial" w:hAnsi="Arial" w:cs="Arial"/>
        </w:rPr>
      </w:pPr>
      <w:r w:rsidRPr="00EA03A4">
        <w:rPr>
          <w:rFonts w:ascii="Arial" w:hAnsi="Arial" w:cs="Arial"/>
        </w:rPr>
        <w:t xml:space="preserve">PBS expenditure on prescriptions not processed through </w:t>
      </w:r>
      <w:r>
        <w:rPr>
          <w:rFonts w:ascii="Arial" w:hAnsi="Arial" w:cs="Arial"/>
        </w:rPr>
        <w:t xml:space="preserve">DHS, for example below co-payment prescriptions, </w:t>
      </w:r>
      <w:r w:rsidRPr="00EA03A4">
        <w:rPr>
          <w:rFonts w:ascii="Arial" w:hAnsi="Arial" w:cs="Arial"/>
        </w:rPr>
        <w:t xml:space="preserve">is not </w:t>
      </w:r>
      <w:r>
        <w:rPr>
          <w:rFonts w:ascii="Arial" w:hAnsi="Arial" w:cs="Arial"/>
        </w:rPr>
        <w:t xml:space="preserve">available </w:t>
      </w:r>
    </w:p>
    <w:p w:rsidR="009B075E" w:rsidRPr="00EA03A4" w:rsidRDefault="009B075E" w:rsidP="0098384D">
      <w:pPr>
        <w:pStyle w:val="NoSpacing"/>
        <w:numPr>
          <w:ilvl w:val="1"/>
          <w:numId w:val="4"/>
        </w:numPr>
        <w:rPr>
          <w:rFonts w:ascii="Arial" w:hAnsi="Arial" w:cs="Arial"/>
        </w:rPr>
      </w:pPr>
      <w:r w:rsidRPr="00EA03A4">
        <w:rPr>
          <w:rFonts w:ascii="Arial" w:hAnsi="Arial" w:cs="Arial"/>
        </w:rPr>
        <w:t>S100 expenditure, including expenditure on Highly Specialised Drugs,</w:t>
      </w:r>
      <w:r>
        <w:rPr>
          <w:rFonts w:ascii="Arial" w:hAnsi="Arial" w:cs="Arial"/>
        </w:rPr>
        <w:t xml:space="preserve"> is available at an </w:t>
      </w:r>
      <w:r w:rsidRPr="00EA03A4">
        <w:rPr>
          <w:rFonts w:ascii="Arial" w:hAnsi="Arial" w:cs="Arial"/>
        </w:rPr>
        <w:t>aggregate leve</w:t>
      </w:r>
      <w:r>
        <w:rPr>
          <w:rFonts w:ascii="Arial" w:hAnsi="Arial" w:cs="Arial"/>
        </w:rPr>
        <w:t>l only</w:t>
      </w:r>
    </w:p>
    <w:p w:rsidR="009B075E" w:rsidRPr="00EA03A4" w:rsidRDefault="009B075E" w:rsidP="0098384D">
      <w:pPr>
        <w:pStyle w:val="NoSpacing"/>
        <w:numPr>
          <w:ilvl w:val="1"/>
          <w:numId w:val="4"/>
        </w:numPr>
        <w:rPr>
          <w:rFonts w:ascii="Arial" w:hAnsi="Arial" w:cs="Arial"/>
        </w:rPr>
      </w:pPr>
      <w:r w:rsidRPr="00EA03A4">
        <w:rPr>
          <w:rFonts w:ascii="Arial" w:hAnsi="Arial" w:cs="Arial"/>
        </w:rPr>
        <w:t xml:space="preserve">Repatriation Pharmaceutical Benefits Scheme </w:t>
      </w:r>
      <w:r>
        <w:rPr>
          <w:rFonts w:ascii="Arial" w:hAnsi="Arial" w:cs="Arial"/>
        </w:rPr>
        <w:t xml:space="preserve">(RPBS) </w:t>
      </w:r>
      <w:r w:rsidRPr="00EA03A4">
        <w:rPr>
          <w:rFonts w:ascii="Arial" w:hAnsi="Arial" w:cs="Arial"/>
        </w:rPr>
        <w:t>prescriptions are not included in this report.</w:t>
      </w:r>
    </w:p>
    <w:p w:rsidR="009B075E" w:rsidRPr="00EA03A4" w:rsidRDefault="009B075E" w:rsidP="0098384D">
      <w:pPr>
        <w:pStyle w:val="NoSpacing"/>
        <w:numPr>
          <w:ilvl w:val="0"/>
          <w:numId w:val="4"/>
        </w:numPr>
        <w:rPr>
          <w:rFonts w:ascii="Arial" w:hAnsi="Arial" w:cs="Arial"/>
        </w:rPr>
      </w:pPr>
      <w:r w:rsidRPr="00EA03A4">
        <w:rPr>
          <w:rFonts w:ascii="Arial" w:hAnsi="Arial" w:cs="Arial"/>
        </w:rPr>
        <w:t xml:space="preserve">The DWG will not forecast or measure future actual expenditure against any forecast. </w:t>
      </w:r>
    </w:p>
    <w:p w:rsidR="009B075E" w:rsidRPr="00C31A1C" w:rsidRDefault="009B075E" w:rsidP="0098384D">
      <w:pPr>
        <w:pStyle w:val="NoSpacing"/>
        <w:numPr>
          <w:ilvl w:val="0"/>
          <w:numId w:val="4"/>
        </w:numPr>
        <w:rPr>
          <w:rFonts w:ascii="Arial" w:hAnsi="Arial" w:cs="Arial"/>
        </w:rPr>
      </w:pPr>
      <w:r w:rsidRPr="00EA03A4">
        <w:rPr>
          <w:rFonts w:ascii="Arial" w:hAnsi="Arial" w:cs="Arial"/>
        </w:rPr>
        <w:t xml:space="preserve">Requests for analysis outside of the endorsed framework must be formally approved by the AMWG Sub-group. Requests should outline the reasons for and the benefits of the additional analysis and must give due consideration to the sensitivity of the proposed data sets and the resource burden on the </w:t>
      </w:r>
      <w:r w:rsidR="00855AAF" w:rsidRPr="00855AAF">
        <w:rPr>
          <w:rFonts w:ascii="Arial" w:hAnsi="Arial" w:cs="Arial"/>
        </w:rPr>
        <w:t>DWG.</w:t>
      </w:r>
      <w:r w:rsidR="00B8058A">
        <w:rPr>
          <w:rFonts w:ascii="Arial" w:hAnsi="Arial" w:cs="Arial"/>
        </w:rPr>
        <w:t xml:space="preserve"> </w:t>
      </w:r>
    </w:p>
    <w:p w:rsidR="009B075E" w:rsidRPr="00EA03A4" w:rsidRDefault="009B075E" w:rsidP="003C2D43">
      <w:pPr>
        <w:pStyle w:val="Heading1"/>
        <w:rPr>
          <w:rFonts w:ascii="Arial" w:hAnsi="Arial" w:cs="Arial"/>
          <w:sz w:val="24"/>
          <w:szCs w:val="24"/>
        </w:rPr>
      </w:pPr>
      <w:bookmarkStart w:id="8" w:name="_Toc337033182"/>
      <w:bookmarkStart w:id="9" w:name="_Toc357174827"/>
      <w:r w:rsidRPr="00EA03A4">
        <w:rPr>
          <w:rFonts w:ascii="Arial" w:hAnsi="Arial" w:cs="Arial"/>
          <w:sz w:val="24"/>
          <w:szCs w:val="24"/>
        </w:rPr>
        <w:t>Data coverage in this report</w:t>
      </w:r>
      <w:bookmarkEnd w:id="8"/>
      <w:bookmarkEnd w:id="9"/>
      <w:r w:rsidRPr="00EA03A4">
        <w:rPr>
          <w:rFonts w:ascii="Arial" w:hAnsi="Arial" w:cs="Arial"/>
          <w:sz w:val="24"/>
          <w:szCs w:val="24"/>
        </w:rPr>
        <w:t xml:space="preserve"> </w:t>
      </w:r>
    </w:p>
    <w:p w:rsidR="009B075E" w:rsidRPr="00EA03A4" w:rsidRDefault="009B075E" w:rsidP="003C2D43">
      <w:pPr>
        <w:pStyle w:val="NoSpacing"/>
        <w:rPr>
          <w:rFonts w:ascii="Arial" w:hAnsi="Arial" w:cs="Arial"/>
          <w:b/>
          <w:color w:val="1F497D"/>
        </w:rPr>
      </w:pPr>
    </w:p>
    <w:p w:rsidR="009B075E" w:rsidRPr="00EA03A4" w:rsidRDefault="009B075E" w:rsidP="003C2D43">
      <w:pPr>
        <w:pStyle w:val="NoSpacing"/>
        <w:rPr>
          <w:rFonts w:ascii="Arial" w:hAnsi="Arial" w:cs="Arial"/>
        </w:rPr>
      </w:pPr>
      <w:r w:rsidRPr="00EA03A4">
        <w:rPr>
          <w:rFonts w:ascii="Arial" w:hAnsi="Arial" w:cs="Arial"/>
        </w:rPr>
        <w:t>Unless otherwise indicated, expenditure and prescriptions are Section 85 (</w:t>
      </w:r>
      <w:r>
        <w:rPr>
          <w:rFonts w:ascii="Arial" w:hAnsi="Arial" w:cs="Arial"/>
        </w:rPr>
        <w:t>S85</w:t>
      </w:r>
      <w:r w:rsidRPr="00EA03A4">
        <w:rPr>
          <w:rFonts w:ascii="Arial" w:hAnsi="Arial" w:cs="Arial"/>
        </w:rPr>
        <w:t>) general and concessional government expenditure and prescriptions</w:t>
      </w:r>
      <w:r>
        <w:rPr>
          <w:rFonts w:ascii="Arial" w:hAnsi="Arial" w:cs="Arial"/>
        </w:rPr>
        <w:t xml:space="preserve"> only</w:t>
      </w:r>
      <w:r w:rsidRPr="00EA03A4">
        <w:rPr>
          <w:rFonts w:ascii="Arial" w:hAnsi="Arial" w:cs="Arial"/>
        </w:rPr>
        <w:t>, excluding Doctors Bag</w:t>
      </w:r>
      <w:r w:rsidR="00C90541">
        <w:rPr>
          <w:rStyle w:val="FootnoteReference"/>
        </w:rPr>
        <w:footnoteReference w:id="12"/>
      </w:r>
      <w:r w:rsidRPr="00EA03A4">
        <w:rPr>
          <w:rFonts w:ascii="Arial" w:hAnsi="Arial" w:cs="Arial"/>
        </w:rPr>
        <w:t xml:space="preserve"> prescriptions, processed through Medicare Australia.</w:t>
      </w:r>
      <w:r>
        <w:rPr>
          <w:rFonts w:ascii="Arial" w:hAnsi="Arial" w:cs="Arial"/>
        </w:rPr>
        <w:t xml:space="preserve"> </w:t>
      </w:r>
    </w:p>
    <w:p w:rsidR="009B075E" w:rsidRPr="00EA03A4" w:rsidRDefault="009B075E" w:rsidP="003C2D43">
      <w:pPr>
        <w:pStyle w:val="NoSpacing"/>
        <w:rPr>
          <w:rFonts w:ascii="Arial" w:hAnsi="Arial" w:cs="Arial"/>
        </w:rPr>
      </w:pPr>
    </w:p>
    <w:p w:rsidR="009B075E" w:rsidRPr="00EA03A4" w:rsidRDefault="009B075E" w:rsidP="003C2D43">
      <w:pPr>
        <w:pStyle w:val="NoSpacing"/>
        <w:rPr>
          <w:rFonts w:ascii="Arial" w:hAnsi="Arial" w:cs="Arial"/>
        </w:rPr>
      </w:pPr>
      <w:r w:rsidRPr="00EA03A4">
        <w:rPr>
          <w:rFonts w:ascii="Arial" w:hAnsi="Arial" w:cs="Arial"/>
        </w:rPr>
        <w:t>All data (unless the indicated source is DUSC, BEACH</w:t>
      </w:r>
      <w:r w:rsidR="00C90541">
        <w:rPr>
          <w:rFonts w:ascii="Arial" w:hAnsi="Arial" w:cs="Arial"/>
        </w:rPr>
        <w:t>,</w:t>
      </w:r>
      <w:r w:rsidRPr="00EA03A4">
        <w:rPr>
          <w:rFonts w:ascii="Arial" w:hAnsi="Arial" w:cs="Arial"/>
        </w:rPr>
        <w:t xml:space="preserve"> S100 or other) is date of processing data</w:t>
      </w:r>
      <w:r>
        <w:rPr>
          <w:rFonts w:ascii="Arial" w:hAnsi="Arial" w:cs="Arial"/>
        </w:rPr>
        <w:t xml:space="preserve">, i.e. prescriptions </w:t>
      </w:r>
      <w:r w:rsidRPr="00EA03A4">
        <w:rPr>
          <w:rFonts w:ascii="Arial" w:hAnsi="Arial" w:cs="Arial"/>
        </w:rPr>
        <w:t xml:space="preserve">and expenditure </w:t>
      </w:r>
      <w:r>
        <w:rPr>
          <w:rFonts w:ascii="Arial" w:hAnsi="Arial" w:cs="Arial"/>
        </w:rPr>
        <w:t xml:space="preserve">are </w:t>
      </w:r>
      <w:r w:rsidRPr="00EA03A4">
        <w:rPr>
          <w:rFonts w:ascii="Arial" w:hAnsi="Arial" w:cs="Arial"/>
        </w:rPr>
        <w:t xml:space="preserve">reported in </w:t>
      </w:r>
      <w:r>
        <w:rPr>
          <w:rFonts w:ascii="Arial" w:hAnsi="Arial" w:cs="Arial"/>
        </w:rPr>
        <w:t xml:space="preserve">the </w:t>
      </w:r>
      <w:r w:rsidRPr="00EA03A4">
        <w:rPr>
          <w:rFonts w:ascii="Arial" w:hAnsi="Arial" w:cs="Arial"/>
        </w:rPr>
        <w:t xml:space="preserve">year processed by Medicare Australia and not necessarily </w:t>
      </w:r>
      <w:r>
        <w:rPr>
          <w:rFonts w:ascii="Arial" w:hAnsi="Arial" w:cs="Arial"/>
        </w:rPr>
        <w:t xml:space="preserve">the year </w:t>
      </w:r>
      <w:r w:rsidRPr="00EA03A4">
        <w:rPr>
          <w:rFonts w:ascii="Arial" w:hAnsi="Arial" w:cs="Arial"/>
        </w:rPr>
        <w:t>dispensed</w:t>
      </w:r>
      <w:r>
        <w:rPr>
          <w:rFonts w:ascii="Arial" w:hAnsi="Arial" w:cs="Arial"/>
        </w:rPr>
        <w:t xml:space="preserve">. </w:t>
      </w:r>
    </w:p>
    <w:p w:rsidR="009B075E" w:rsidRPr="00DC51D5" w:rsidRDefault="009B075E" w:rsidP="003C2D43">
      <w:pPr>
        <w:pStyle w:val="NoSpacing"/>
        <w:rPr>
          <w:rFonts w:ascii="Arial" w:hAnsi="Arial" w:cs="Arial"/>
          <w:highlight w:val="yellow"/>
        </w:rPr>
      </w:pPr>
    </w:p>
    <w:p w:rsidR="009B075E" w:rsidRPr="00EA03A4" w:rsidRDefault="009B075E" w:rsidP="003C2D43">
      <w:pPr>
        <w:pStyle w:val="NoSpacing"/>
        <w:rPr>
          <w:rFonts w:ascii="Arial" w:hAnsi="Arial" w:cs="Arial"/>
        </w:rPr>
      </w:pPr>
      <w:r w:rsidRPr="007356D4">
        <w:rPr>
          <w:rFonts w:ascii="Arial" w:hAnsi="Arial" w:cs="Arial"/>
          <w:b/>
        </w:rPr>
        <w:t>Together these factors limit the comparability of the expenditure in this report with the PBS expenditure reported in budget papers and DoHA Annual Reports.</w:t>
      </w:r>
      <w:r w:rsidRPr="00EA03A4">
        <w:rPr>
          <w:rFonts w:ascii="Arial" w:hAnsi="Arial" w:cs="Arial"/>
        </w:rPr>
        <w:t xml:space="preserve">  The </w:t>
      </w:r>
      <w:r>
        <w:rPr>
          <w:rFonts w:ascii="Arial" w:hAnsi="Arial" w:cs="Arial"/>
        </w:rPr>
        <w:t xml:space="preserve">published </w:t>
      </w:r>
      <w:r w:rsidRPr="00EA03A4">
        <w:rPr>
          <w:rFonts w:ascii="Arial" w:hAnsi="Arial" w:cs="Arial"/>
        </w:rPr>
        <w:t xml:space="preserve">PBS expenditure includes PBS </w:t>
      </w:r>
      <w:r>
        <w:rPr>
          <w:rFonts w:ascii="Arial" w:hAnsi="Arial" w:cs="Arial"/>
        </w:rPr>
        <w:t>S85</w:t>
      </w:r>
      <w:r w:rsidRPr="00EA03A4">
        <w:rPr>
          <w:rFonts w:ascii="Arial" w:hAnsi="Arial" w:cs="Arial"/>
        </w:rPr>
        <w:t xml:space="preserve"> general and concessional expenditure, expenditure on highly specialised drugs, Doctors Bag prescriptions, other S100 expenditure and expenditure for fees paid for the issuing of </w:t>
      </w:r>
      <w:r>
        <w:rPr>
          <w:rFonts w:ascii="Arial" w:hAnsi="Arial" w:cs="Arial"/>
        </w:rPr>
        <w:t>Safety Net</w:t>
      </w:r>
      <w:r w:rsidRPr="00EA03A4">
        <w:rPr>
          <w:rFonts w:ascii="Arial" w:hAnsi="Arial" w:cs="Arial"/>
        </w:rPr>
        <w:t xml:space="preserve"> cards.</w:t>
      </w:r>
    </w:p>
    <w:p w:rsidR="009B075E" w:rsidRPr="00DC51D5" w:rsidRDefault="009B075E" w:rsidP="003C2D43">
      <w:pPr>
        <w:pStyle w:val="NoSpacing"/>
        <w:rPr>
          <w:rFonts w:ascii="Arial" w:hAnsi="Arial" w:cs="Arial"/>
          <w:highlight w:val="yellow"/>
        </w:rPr>
      </w:pPr>
    </w:p>
    <w:p w:rsidR="009B075E" w:rsidRPr="00EA03A4" w:rsidRDefault="009B075E" w:rsidP="003C2D43">
      <w:pPr>
        <w:pStyle w:val="NoSpacing"/>
        <w:rPr>
          <w:rFonts w:ascii="Arial" w:hAnsi="Arial" w:cs="Arial"/>
        </w:rPr>
      </w:pPr>
      <w:r>
        <w:rPr>
          <w:rFonts w:ascii="Arial" w:hAnsi="Arial" w:cs="Arial"/>
        </w:rPr>
        <w:t xml:space="preserve">In addition, Government published </w:t>
      </w:r>
      <w:r w:rsidRPr="00EA03A4">
        <w:rPr>
          <w:rFonts w:ascii="Arial" w:hAnsi="Arial" w:cs="Arial"/>
        </w:rPr>
        <w:t xml:space="preserve">PBS expenditure is </w:t>
      </w:r>
      <w:r>
        <w:rPr>
          <w:rFonts w:ascii="Arial" w:hAnsi="Arial" w:cs="Arial"/>
        </w:rPr>
        <w:t xml:space="preserve">reported </w:t>
      </w:r>
      <w:r w:rsidRPr="00EA03A4">
        <w:rPr>
          <w:rFonts w:ascii="Arial" w:hAnsi="Arial" w:cs="Arial"/>
        </w:rPr>
        <w:t xml:space="preserve">on an accrual basis, whereas the expenditure analysed in this report is on a cash basis. The detailed breakdowns of PBS </w:t>
      </w:r>
      <w:r>
        <w:rPr>
          <w:rFonts w:ascii="Arial" w:hAnsi="Arial" w:cs="Arial"/>
        </w:rPr>
        <w:t>S85</w:t>
      </w:r>
      <w:r w:rsidRPr="00EA03A4">
        <w:rPr>
          <w:rFonts w:ascii="Arial" w:hAnsi="Arial" w:cs="Arial"/>
        </w:rPr>
        <w:t xml:space="preserve"> expenditure </w:t>
      </w:r>
      <w:r>
        <w:rPr>
          <w:rFonts w:ascii="Arial" w:hAnsi="Arial" w:cs="Arial"/>
        </w:rPr>
        <w:t>used</w:t>
      </w:r>
      <w:r w:rsidRPr="00EA03A4">
        <w:rPr>
          <w:rFonts w:ascii="Arial" w:hAnsi="Arial" w:cs="Arial"/>
        </w:rPr>
        <w:t xml:space="preserve"> in this report are not available for accrualised PBS expenditure, </w:t>
      </w:r>
      <w:r>
        <w:rPr>
          <w:rFonts w:ascii="Arial" w:hAnsi="Arial" w:cs="Arial"/>
        </w:rPr>
        <w:t>or</w:t>
      </w:r>
      <w:r w:rsidRPr="00EA03A4">
        <w:rPr>
          <w:rFonts w:ascii="Arial" w:hAnsi="Arial" w:cs="Arial"/>
        </w:rPr>
        <w:t xml:space="preserve"> for the other components of PBS expenditure not included in this report. </w:t>
      </w:r>
    </w:p>
    <w:p w:rsidR="009B075E" w:rsidRPr="00EA03A4" w:rsidRDefault="009B075E" w:rsidP="003C2D43">
      <w:pPr>
        <w:pStyle w:val="NoSpacing"/>
        <w:rPr>
          <w:rFonts w:ascii="Arial" w:hAnsi="Arial" w:cs="Arial"/>
        </w:rPr>
      </w:pPr>
    </w:p>
    <w:p w:rsidR="003D1B98" w:rsidRPr="00EA03A4" w:rsidRDefault="009B075E" w:rsidP="003C2D43">
      <w:pPr>
        <w:pStyle w:val="NoSpacing"/>
        <w:rPr>
          <w:rFonts w:ascii="Arial" w:hAnsi="Arial" w:cs="Arial"/>
        </w:rPr>
      </w:pPr>
      <w:r w:rsidRPr="00EA03A4">
        <w:rPr>
          <w:rFonts w:ascii="Arial" w:hAnsi="Arial" w:cs="Arial"/>
        </w:rPr>
        <w:t xml:space="preserve">For a more detailed description of the data items being analysed in this report see </w:t>
      </w:r>
      <w:r w:rsidRPr="00EA03A4">
        <w:rPr>
          <w:rFonts w:ascii="Arial" w:hAnsi="Arial" w:cs="Arial"/>
        </w:rPr>
        <w:br/>
        <w:t>Appendix 1 – Background definitional and methodological information.</w:t>
      </w:r>
    </w:p>
    <w:p w:rsidR="009B075E" w:rsidRPr="00EA03A4" w:rsidRDefault="009B075E" w:rsidP="003C2D43">
      <w:pPr>
        <w:pStyle w:val="Heading1"/>
        <w:rPr>
          <w:rFonts w:ascii="Arial" w:hAnsi="Arial" w:cs="Arial"/>
          <w:color w:val="1F497D"/>
          <w:sz w:val="22"/>
          <w:szCs w:val="22"/>
        </w:rPr>
      </w:pPr>
      <w:r w:rsidRPr="00EA03A4">
        <w:rPr>
          <w:rFonts w:ascii="Arial" w:hAnsi="Arial" w:cs="Arial"/>
          <w:color w:val="auto"/>
        </w:rPr>
        <w:br w:type="page"/>
      </w:r>
      <w:bookmarkStart w:id="10" w:name="_Toc337033183"/>
      <w:bookmarkStart w:id="11" w:name="_Toc357174828"/>
      <w:r w:rsidR="00C77242">
        <w:rPr>
          <w:rFonts w:ascii="Arial" w:hAnsi="Arial" w:cs="Arial"/>
          <w:sz w:val="24"/>
          <w:szCs w:val="24"/>
        </w:rPr>
        <w:lastRenderedPageBreak/>
        <w:t>Breakdown</w:t>
      </w:r>
      <w:r w:rsidR="00C77242" w:rsidRPr="00EA03A4">
        <w:rPr>
          <w:rFonts w:ascii="Arial" w:hAnsi="Arial" w:cs="Arial"/>
          <w:sz w:val="24"/>
          <w:szCs w:val="24"/>
        </w:rPr>
        <w:t xml:space="preserve"> </w:t>
      </w:r>
      <w:r w:rsidRPr="00EA03A4">
        <w:rPr>
          <w:rFonts w:ascii="Arial" w:hAnsi="Arial" w:cs="Arial"/>
          <w:sz w:val="24"/>
          <w:szCs w:val="24"/>
        </w:rPr>
        <w:t>of PBS expenditure</w:t>
      </w:r>
      <w:bookmarkEnd w:id="10"/>
      <w:bookmarkEnd w:id="11"/>
    </w:p>
    <w:p w:rsidR="00664A23" w:rsidRDefault="009B075E" w:rsidP="002E776C">
      <w:pPr>
        <w:spacing w:before="120" w:after="120"/>
        <w:rPr>
          <w:rFonts w:ascii="Arial" w:hAnsi="Arial" w:cs="Arial"/>
        </w:rPr>
      </w:pPr>
      <w:r w:rsidRPr="00EA03A4">
        <w:rPr>
          <w:rFonts w:ascii="Arial" w:hAnsi="Arial" w:cs="Arial"/>
        </w:rPr>
        <w:t xml:space="preserve">As a starting point in decomposing the PBS expenditure, the DWG looked at the two key elements that make up the PBS expenditure - Price and Volume.  It was widely acknowledged within the DWG that any factor that impacts (negatively or positively) either price paid by the Government or volume of PBS </w:t>
      </w:r>
      <w:r>
        <w:rPr>
          <w:rFonts w:ascii="Arial" w:hAnsi="Arial" w:cs="Arial"/>
        </w:rPr>
        <w:t>subsidised prescriptions</w:t>
      </w:r>
      <w:r w:rsidRPr="00EA03A4">
        <w:rPr>
          <w:rFonts w:ascii="Arial" w:hAnsi="Arial" w:cs="Arial"/>
        </w:rPr>
        <w:t xml:space="preserve"> or both will have a flow on impact on overall PBS expenditure and growth.  A number of sub-factors affect both price paid by the Government for medicines or the volume of PBS </w:t>
      </w:r>
      <w:r>
        <w:rPr>
          <w:rFonts w:ascii="Arial" w:hAnsi="Arial" w:cs="Arial"/>
        </w:rPr>
        <w:t>prescriptions</w:t>
      </w:r>
      <w:r w:rsidRPr="00EA03A4">
        <w:rPr>
          <w:rFonts w:ascii="Arial" w:hAnsi="Arial" w:cs="Arial"/>
        </w:rPr>
        <w:t xml:space="preserve"> (see </w:t>
      </w:r>
      <w:r w:rsidR="00664A23">
        <w:rPr>
          <w:rFonts w:ascii="Arial" w:hAnsi="Arial" w:cs="Arial"/>
        </w:rPr>
        <w:t xml:space="preserve">Figure </w:t>
      </w:r>
      <w:r w:rsidR="007D2064">
        <w:rPr>
          <w:rFonts w:ascii="Arial" w:hAnsi="Arial" w:cs="Arial"/>
        </w:rPr>
        <w:t>A</w:t>
      </w:r>
      <w:r w:rsidR="00664A23">
        <w:rPr>
          <w:rFonts w:ascii="Arial" w:hAnsi="Arial" w:cs="Arial"/>
        </w:rPr>
        <w:t xml:space="preserve"> </w:t>
      </w:r>
      <w:r w:rsidRPr="00EA03A4">
        <w:rPr>
          <w:rFonts w:ascii="Arial" w:hAnsi="Arial" w:cs="Arial"/>
        </w:rPr>
        <w:t xml:space="preserve">below). </w:t>
      </w:r>
    </w:p>
    <w:p w:rsidR="00664A23" w:rsidRDefault="00664A23" w:rsidP="002E776C">
      <w:pPr>
        <w:spacing w:before="120" w:after="120"/>
        <w:rPr>
          <w:rFonts w:ascii="Arial" w:hAnsi="Arial" w:cs="Arial"/>
        </w:rPr>
      </w:pPr>
    </w:p>
    <w:p w:rsidR="009B075E" w:rsidRPr="007356D4" w:rsidRDefault="00080328" w:rsidP="007356D4">
      <w:pPr>
        <w:spacing w:before="120" w:after="120"/>
        <w:jc w:val="center"/>
        <w:rPr>
          <w:rFonts w:ascii="Arial" w:hAnsi="Arial" w:cs="Arial"/>
          <w:b/>
        </w:rPr>
      </w:pPr>
      <w:r>
        <w:rPr>
          <w:rFonts w:ascii="Arial" w:hAnsi="Arial" w:cs="Arial"/>
          <w:b/>
        </w:rPr>
        <w:t xml:space="preserve">Figure </w:t>
      </w:r>
      <w:r w:rsidR="007D2064">
        <w:rPr>
          <w:rFonts w:ascii="Arial" w:hAnsi="Arial" w:cs="Arial"/>
          <w:b/>
        </w:rPr>
        <w:t>A</w:t>
      </w:r>
      <w:r>
        <w:rPr>
          <w:rFonts w:ascii="Arial" w:hAnsi="Arial" w:cs="Arial"/>
          <w:b/>
        </w:rPr>
        <w:t>:</w:t>
      </w:r>
      <w:r w:rsidR="00664A23" w:rsidRPr="007356D4">
        <w:rPr>
          <w:rFonts w:ascii="Arial" w:hAnsi="Arial" w:cs="Arial"/>
          <w:b/>
        </w:rPr>
        <w:t xml:space="preserve"> Factors affecting the price government pays for PBS prescriptions</w:t>
      </w:r>
    </w:p>
    <w:p w:rsidR="009B075E" w:rsidRPr="00DC51D5" w:rsidRDefault="005E0A95" w:rsidP="002E776C">
      <w:pPr>
        <w:spacing w:before="120" w:after="120"/>
        <w:rPr>
          <w:rFonts w:ascii="Arial" w:hAnsi="Arial" w:cs="Arial"/>
          <w:highlight w:val="yellow"/>
        </w:rPr>
      </w:pPr>
      <w:r>
        <w:rPr>
          <w:noProof/>
          <w:lang w:eastAsia="en-AU"/>
        </w:rPr>
        <w:drawing>
          <wp:anchor distT="438912" distB="461772" distL="114300" distR="114300" simplePos="0" relativeHeight="251659264" behindDoc="1" locked="0" layoutInCell="1" allowOverlap="1" wp14:anchorId="78EF5018" wp14:editId="0FE0AA0C">
            <wp:simplePos x="0" y="0"/>
            <wp:positionH relativeFrom="column">
              <wp:posOffset>25527</wp:posOffset>
            </wp:positionH>
            <wp:positionV relativeFrom="paragraph">
              <wp:posOffset>-31877</wp:posOffset>
            </wp:positionV>
            <wp:extent cx="3000121" cy="1924304"/>
            <wp:effectExtent l="38100" t="0" r="48260" b="0"/>
            <wp:wrapTight wrapText="bothSides">
              <wp:wrapPolygon edited="0">
                <wp:start x="6721" y="428"/>
                <wp:lineTo x="2058" y="855"/>
                <wp:lineTo x="2058" y="7485"/>
                <wp:lineTo x="549" y="7699"/>
                <wp:lineTo x="549" y="11121"/>
                <wp:lineTo x="-274" y="11121"/>
                <wp:lineTo x="-274" y="19675"/>
                <wp:lineTo x="9876" y="21172"/>
                <wp:lineTo x="11934" y="21172"/>
                <wp:lineTo x="15363" y="20745"/>
                <wp:lineTo x="21810" y="19034"/>
                <wp:lineTo x="21810" y="14756"/>
                <wp:lineTo x="21262" y="14543"/>
                <wp:lineTo x="17832" y="14543"/>
                <wp:lineTo x="21262" y="12618"/>
                <wp:lineTo x="21262" y="9196"/>
                <wp:lineTo x="20576" y="8341"/>
                <wp:lineTo x="18518" y="7699"/>
                <wp:lineTo x="18655" y="4063"/>
                <wp:lineTo x="17009" y="2566"/>
                <wp:lineTo x="14952" y="428"/>
                <wp:lineTo x="6721" y="428"/>
              </wp:wrapPolygon>
            </wp:wrapTight>
            <wp:docPr id="28" name="Picture 3" descr="Factors affecting the price government pays for PBS prescriptions - Price Drivers" title="Figure A"/>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Pr>
          <w:noProof/>
          <w:lang w:eastAsia="en-AU"/>
        </w:rPr>
        <w:drawing>
          <wp:anchor distT="0" distB="0" distL="114300" distR="114300" simplePos="0" relativeHeight="251656192" behindDoc="0" locked="0" layoutInCell="1" allowOverlap="1" wp14:anchorId="38E8559E" wp14:editId="44295E46">
            <wp:simplePos x="0" y="0"/>
            <wp:positionH relativeFrom="column">
              <wp:posOffset>3397377</wp:posOffset>
            </wp:positionH>
            <wp:positionV relativeFrom="paragraph">
              <wp:posOffset>57277</wp:posOffset>
            </wp:positionV>
            <wp:extent cx="3000375" cy="1803146"/>
            <wp:effectExtent l="0" t="0" r="9525" b="26035"/>
            <wp:wrapSquare wrapText="bothSides"/>
            <wp:docPr id="27" name="Diagram 5" descr="Figure A: Factors affecting the price government pays for PBS prescriptions - Volume Drivers" title="Figure B"/>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9B075E" w:rsidRPr="00DC51D5" w:rsidRDefault="009B075E" w:rsidP="002E776C">
      <w:pPr>
        <w:spacing w:before="120" w:after="120"/>
        <w:rPr>
          <w:rFonts w:ascii="Arial" w:hAnsi="Arial" w:cs="Arial"/>
          <w:highlight w:val="yellow"/>
        </w:rPr>
      </w:pPr>
    </w:p>
    <w:p w:rsidR="009B075E" w:rsidRPr="00DC51D5" w:rsidRDefault="009B075E" w:rsidP="002E776C">
      <w:pPr>
        <w:spacing w:before="120" w:after="120"/>
        <w:rPr>
          <w:rFonts w:ascii="Arial" w:hAnsi="Arial" w:cs="Arial"/>
          <w:highlight w:val="yellow"/>
        </w:rPr>
      </w:pPr>
    </w:p>
    <w:p w:rsidR="009B075E" w:rsidRPr="00DC51D5" w:rsidRDefault="009B075E" w:rsidP="002E776C">
      <w:pPr>
        <w:spacing w:before="120" w:after="120"/>
        <w:rPr>
          <w:rFonts w:ascii="Arial" w:hAnsi="Arial" w:cs="Arial"/>
          <w:highlight w:val="yellow"/>
        </w:rPr>
      </w:pPr>
    </w:p>
    <w:p w:rsidR="009B075E" w:rsidRPr="00DC51D5" w:rsidRDefault="009B075E" w:rsidP="002E776C">
      <w:pPr>
        <w:spacing w:before="120" w:after="120"/>
        <w:rPr>
          <w:rFonts w:ascii="Arial" w:hAnsi="Arial" w:cs="Arial"/>
          <w:highlight w:val="yellow"/>
        </w:rPr>
      </w:pPr>
    </w:p>
    <w:p w:rsidR="00B8752A" w:rsidRDefault="00B8752A" w:rsidP="002E776C">
      <w:pPr>
        <w:spacing w:before="120" w:after="120"/>
        <w:rPr>
          <w:rFonts w:ascii="Arial" w:hAnsi="Arial" w:cs="Arial"/>
        </w:rPr>
      </w:pPr>
    </w:p>
    <w:p w:rsidR="00B8752A" w:rsidRDefault="00B8752A" w:rsidP="002E776C">
      <w:pPr>
        <w:spacing w:before="120" w:after="120"/>
        <w:rPr>
          <w:rFonts w:ascii="Arial" w:hAnsi="Arial" w:cs="Arial"/>
        </w:rPr>
      </w:pPr>
    </w:p>
    <w:p w:rsidR="00B8752A" w:rsidRDefault="00B8752A" w:rsidP="002E776C">
      <w:pPr>
        <w:spacing w:before="120" w:after="120"/>
        <w:rPr>
          <w:rFonts w:ascii="Arial" w:hAnsi="Arial" w:cs="Arial"/>
        </w:rPr>
      </w:pPr>
    </w:p>
    <w:p w:rsidR="009B075E" w:rsidRPr="00EA03A4" w:rsidRDefault="009B075E" w:rsidP="002E776C">
      <w:pPr>
        <w:spacing w:before="120" w:after="120"/>
        <w:rPr>
          <w:rFonts w:ascii="Arial" w:hAnsi="Arial" w:cs="Arial"/>
        </w:rPr>
      </w:pPr>
      <w:r w:rsidRPr="00EA03A4">
        <w:rPr>
          <w:rFonts w:ascii="Arial" w:hAnsi="Arial" w:cs="Arial"/>
        </w:rPr>
        <w:t xml:space="preserve">It was also agreed at least two </w:t>
      </w:r>
      <w:r>
        <w:rPr>
          <w:rFonts w:ascii="Arial" w:hAnsi="Arial" w:cs="Arial"/>
        </w:rPr>
        <w:t xml:space="preserve">additional </w:t>
      </w:r>
      <w:r w:rsidRPr="00EA03A4">
        <w:rPr>
          <w:rFonts w:ascii="Arial" w:hAnsi="Arial" w:cs="Arial"/>
        </w:rPr>
        <w:t xml:space="preserve">elements affect both </w:t>
      </w:r>
      <w:r>
        <w:rPr>
          <w:rFonts w:ascii="Arial" w:hAnsi="Arial" w:cs="Arial"/>
        </w:rPr>
        <w:t>government expenditure</w:t>
      </w:r>
      <w:r w:rsidRPr="00EA03A4">
        <w:rPr>
          <w:rFonts w:ascii="Arial" w:hAnsi="Arial" w:cs="Arial"/>
        </w:rPr>
        <w:t xml:space="preserve"> and </w:t>
      </w:r>
      <w:r>
        <w:rPr>
          <w:rFonts w:ascii="Arial" w:hAnsi="Arial" w:cs="Arial"/>
        </w:rPr>
        <w:t xml:space="preserve">PBS prescription </w:t>
      </w:r>
      <w:r w:rsidRPr="00EA03A4">
        <w:rPr>
          <w:rFonts w:ascii="Arial" w:hAnsi="Arial" w:cs="Arial"/>
        </w:rPr>
        <w:t>volume directly</w:t>
      </w:r>
      <w:r>
        <w:rPr>
          <w:rFonts w:ascii="Arial" w:hAnsi="Arial" w:cs="Arial"/>
        </w:rPr>
        <w:t xml:space="preserve">: 1) the </w:t>
      </w:r>
      <w:r w:rsidRPr="00EA03A4">
        <w:rPr>
          <w:rFonts w:ascii="Arial" w:hAnsi="Arial" w:cs="Arial"/>
        </w:rPr>
        <w:t xml:space="preserve">listing of new medicines and </w:t>
      </w:r>
      <w:r>
        <w:rPr>
          <w:rFonts w:ascii="Arial" w:hAnsi="Arial" w:cs="Arial"/>
        </w:rPr>
        <w:t xml:space="preserve">2) </w:t>
      </w:r>
      <w:r w:rsidRPr="00EA03A4">
        <w:rPr>
          <w:rFonts w:ascii="Arial" w:hAnsi="Arial" w:cs="Arial"/>
        </w:rPr>
        <w:t xml:space="preserve">the de-listing of older medicines from the PBS.  </w:t>
      </w:r>
    </w:p>
    <w:p w:rsidR="009B075E" w:rsidRPr="00EA03A4" w:rsidRDefault="009B075E" w:rsidP="002D49AD">
      <w:pPr>
        <w:pStyle w:val="Heading1"/>
        <w:rPr>
          <w:rFonts w:ascii="Arial" w:hAnsi="Arial" w:cs="Arial"/>
          <w:sz w:val="24"/>
          <w:szCs w:val="24"/>
        </w:rPr>
      </w:pPr>
      <w:bookmarkStart w:id="12" w:name="_Toc337033184"/>
      <w:bookmarkStart w:id="13" w:name="OLE_LINK2"/>
      <w:bookmarkStart w:id="14" w:name="_Toc357174829"/>
      <w:r w:rsidRPr="00EA03A4">
        <w:rPr>
          <w:rFonts w:ascii="Arial" w:hAnsi="Arial" w:cs="Arial"/>
          <w:sz w:val="24"/>
          <w:szCs w:val="24"/>
        </w:rPr>
        <w:t>Linkages between drivers of PBS expenditure</w:t>
      </w:r>
      <w:bookmarkEnd w:id="12"/>
      <w:bookmarkEnd w:id="14"/>
    </w:p>
    <w:p w:rsidR="006972B5" w:rsidRDefault="00664A23">
      <w:pPr>
        <w:spacing w:after="0" w:line="240" w:lineRule="auto"/>
        <w:rPr>
          <w:rFonts w:ascii="Arial" w:hAnsi="Arial" w:cs="Arial"/>
        </w:rPr>
      </w:pPr>
      <w:r w:rsidRPr="007356D4">
        <w:rPr>
          <w:rFonts w:ascii="Arial" w:hAnsi="Arial" w:cs="Arial"/>
        </w:rPr>
        <w:t xml:space="preserve">Figure </w:t>
      </w:r>
      <w:r w:rsidR="007D2064">
        <w:rPr>
          <w:rFonts w:ascii="Arial" w:hAnsi="Arial" w:cs="Arial"/>
        </w:rPr>
        <w:t>B</w:t>
      </w:r>
      <w:r w:rsidR="009B075E" w:rsidRPr="00664A23">
        <w:rPr>
          <w:rFonts w:ascii="Arial" w:hAnsi="Arial" w:cs="Arial"/>
        </w:rPr>
        <w:t xml:space="preserve"> </w:t>
      </w:r>
      <w:r w:rsidR="009B075E" w:rsidRPr="00EA03A4">
        <w:rPr>
          <w:rFonts w:ascii="Arial" w:hAnsi="Arial" w:cs="Arial"/>
        </w:rPr>
        <w:t xml:space="preserve">provides a schematic of the various linkages between the key drivers and their sub-drivers </w:t>
      </w:r>
      <w:r w:rsidR="009B075E">
        <w:rPr>
          <w:rFonts w:ascii="Arial" w:hAnsi="Arial" w:cs="Arial"/>
        </w:rPr>
        <w:t xml:space="preserve">and </w:t>
      </w:r>
      <w:r w:rsidR="009B075E" w:rsidRPr="00EA03A4">
        <w:rPr>
          <w:rFonts w:ascii="Arial" w:hAnsi="Arial" w:cs="Arial"/>
        </w:rPr>
        <w:t>summaris</w:t>
      </w:r>
      <w:r w:rsidR="009B075E">
        <w:rPr>
          <w:rFonts w:ascii="Arial" w:hAnsi="Arial" w:cs="Arial"/>
        </w:rPr>
        <w:t>es</w:t>
      </w:r>
      <w:r w:rsidR="009B075E" w:rsidRPr="00EA03A4">
        <w:rPr>
          <w:rFonts w:ascii="Arial" w:hAnsi="Arial" w:cs="Arial"/>
        </w:rPr>
        <w:t xml:space="preserve"> their influence on PBS expenditure.   These linkages demonstrate the complexities in examining growth of PBS </w:t>
      </w:r>
      <w:r w:rsidR="009B075E">
        <w:rPr>
          <w:rFonts w:ascii="Arial" w:hAnsi="Arial" w:cs="Arial"/>
        </w:rPr>
        <w:t xml:space="preserve">expenditure </w:t>
      </w:r>
      <w:r w:rsidR="009B075E" w:rsidRPr="00EA03A4">
        <w:rPr>
          <w:rFonts w:ascii="Arial" w:hAnsi="Arial" w:cs="Arial"/>
        </w:rPr>
        <w:t>in any time period</w:t>
      </w:r>
      <w:r w:rsidR="009B075E">
        <w:rPr>
          <w:rFonts w:ascii="Arial" w:hAnsi="Arial" w:cs="Arial"/>
        </w:rPr>
        <w:t>,</w:t>
      </w:r>
      <w:r w:rsidR="009B075E" w:rsidRPr="00EA03A4">
        <w:rPr>
          <w:rFonts w:ascii="Arial" w:hAnsi="Arial" w:cs="Arial"/>
        </w:rPr>
        <w:t xml:space="preserve"> as there are multiple factors at play.  The DWG have attempted to separate the effect of drivers, to the extent possible, in this report to demonstrate their impact.  However, a number of drivers cannot be separated from each other due to lack of granularity in datasets.  DWG will continue to examine ways to approximate/estimate the impact based on sound assumptions going forward.</w:t>
      </w:r>
      <w:r w:rsidR="006972B5">
        <w:rPr>
          <w:rFonts w:ascii="Arial" w:hAnsi="Arial" w:cs="Arial"/>
        </w:rPr>
        <w:br w:type="page"/>
      </w:r>
    </w:p>
    <w:p w:rsidR="009B075E" w:rsidRPr="00DC51D5" w:rsidRDefault="00AC62D6" w:rsidP="00785562">
      <w:pPr>
        <w:tabs>
          <w:tab w:val="left" w:pos="2873"/>
        </w:tabs>
        <w:rPr>
          <w:rFonts w:ascii="Arial" w:hAnsi="Arial" w:cs="Arial"/>
          <w:color w:val="1F497D"/>
          <w:highlight w:val="yellow"/>
        </w:rPr>
      </w:pPr>
      <w:r w:rsidRPr="00AC62D6">
        <w:rPr>
          <w:noProof/>
          <w:lang w:eastAsia="en-AU"/>
        </w:rPr>
        <w:lastRenderedPageBreak/>
        <mc:AlternateContent>
          <mc:Choice Requires="wpc">
            <w:drawing>
              <wp:anchor distT="0" distB="0" distL="114300" distR="114300" simplePos="0" relativeHeight="251657216" behindDoc="0" locked="0" layoutInCell="1" allowOverlap="0" wp14:anchorId="02126F09" wp14:editId="183A6A50">
                <wp:simplePos x="0" y="0"/>
                <wp:positionH relativeFrom="column">
                  <wp:posOffset>-104775</wp:posOffset>
                </wp:positionH>
                <wp:positionV relativeFrom="paragraph">
                  <wp:posOffset>492125</wp:posOffset>
                </wp:positionV>
                <wp:extent cx="5991225" cy="3934460"/>
                <wp:effectExtent l="0" t="0" r="0" b="0"/>
                <wp:wrapSquare wrapText="bothSides"/>
                <wp:docPr id="94" name="Canvas 6" descr="Linkages between drivers of PBS expenditure " title="Figure B"/>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8"/>
                        <wps:cNvSpPr>
                          <a:spLocks noChangeArrowheads="1"/>
                        </wps:cNvSpPr>
                        <wps:spPr bwMode="auto">
                          <a:xfrm>
                            <a:off x="2314129" y="1453712"/>
                            <a:ext cx="964612" cy="2326119"/>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9" name="Rectangle 9"/>
                        <wps:cNvSpPr>
                          <a:spLocks noChangeArrowheads="1"/>
                        </wps:cNvSpPr>
                        <wps:spPr bwMode="auto">
                          <a:xfrm>
                            <a:off x="3607645" y="1384511"/>
                            <a:ext cx="1227615" cy="2353719"/>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0" name="Text Box 10"/>
                        <wps:cNvSpPr txBox="1">
                          <a:spLocks noChangeArrowheads="1"/>
                        </wps:cNvSpPr>
                        <wps:spPr bwMode="auto">
                          <a:xfrm>
                            <a:off x="2204528" y="0"/>
                            <a:ext cx="1096214" cy="346103"/>
                          </a:xfrm>
                          <a:prstGeom prst="rect">
                            <a:avLst/>
                          </a:prstGeom>
                          <a:solidFill>
                            <a:srgbClr val="17365D"/>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8"/>
                                  <w:szCs w:val="28"/>
                                </w:rPr>
                              </w:pPr>
                              <w:r w:rsidRPr="00963AEC">
                                <w:rPr>
                                  <w:rFonts w:ascii="Arial Narrow" w:hAnsi="Arial Narrow"/>
                                  <w:sz w:val="18"/>
                                  <w:szCs w:val="28"/>
                                </w:rPr>
                                <w:t xml:space="preserve">Growth in PBS </w:t>
                              </w:r>
                              <w:r w:rsidRPr="00963AEC">
                                <w:rPr>
                                  <w:rFonts w:ascii="Arial Narrow" w:hAnsi="Arial Narrow"/>
                                  <w:sz w:val="18"/>
                                  <w:szCs w:val="28"/>
                                </w:rPr>
                                <w:br/>
                                <w:t>$Year 1 to Year2</w:t>
                              </w:r>
                            </w:p>
                          </w:txbxContent>
                        </wps:txbx>
                        <wps:bodyPr rot="0" vert="horz" wrap="square" lIns="54347" tIns="27173" rIns="54347" bIns="27173" anchor="t" anchorCtr="0" upright="1">
                          <a:noAutofit/>
                        </wps:bodyPr>
                      </wps:wsp>
                      <wps:wsp>
                        <wps:cNvPr id="21" name="Line 11"/>
                        <wps:cNvCnPr/>
                        <wps:spPr bwMode="auto">
                          <a:xfrm flipH="1">
                            <a:off x="1283816" y="138401"/>
                            <a:ext cx="920712" cy="138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2"/>
                        <wps:cNvCnPr/>
                        <wps:spPr bwMode="auto">
                          <a:xfrm>
                            <a:off x="3300741" y="138401"/>
                            <a:ext cx="635708" cy="138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3"/>
                        <wps:cNvSpPr txBox="1">
                          <a:spLocks noChangeArrowheads="1"/>
                        </wps:cNvSpPr>
                        <wps:spPr bwMode="auto">
                          <a:xfrm>
                            <a:off x="297304" y="138401"/>
                            <a:ext cx="986912" cy="276902"/>
                          </a:xfrm>
                          <a:prstGeom prst="rect">
                            <a:avLst/>
                          </a:prstGeom>
                          <a:solidFill>
                            <a:srgbClr val="92D050"/>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b/>
                                  <w:sz w:val="13"/>
                                </w:rPr>
                                <w:t>New listings</w:t>
                              </w:r>
                              <w:r w:rsidRPr="00963AEC">
                                <w:rPr>
                                  <w:rFonts w:ascii="Arial Narrow" w:hAnsi="Arial Narrow"/>
                                  <w:b/>
                                  <w:sz w:val="13"/>
                                </w:rPr>
                                <w:br/>
                              </w:r>
                              <w:r w:rsidRPr="00963AEC">
                                <w:rPr>
                                  <w:rFonts w:ascii="Arial Narrow" w:hAnsi="Arial Narrow"/>
                                  <w:sz w:val="13"/>
                                </w:rPr>
                                <w:t>Over 1 yr, 2 yrs, 4 yrs</w:t>
                              </w:r>
                            </w:p>
                          </w:txbxContent>
                        </wps:txbx>
                        <wps:bodyPr rot="0" vert="horz" wrap="square" lIns="54347" tIns="27173" rIns="54347" bIns="27173" anchor="t" anchorCtr="0" upright="1">
                          <a:noAutofit/>
                        </wps:bodyPr>
                      </wps:wsp>
                      <wps:wsp>
                        <wps:cNvPr id="35" name="Text Box 14"/>
                        <wps:cNvSpPr txBox="1">
                          <a:spLocks noChangeArrowheads="1"/>
                        </wps:cNvSpPr>
                        <wps:spPr bwMode="auto">
                          <a:xfrm>
                            <a:off x="3936449" y="103801"/>
                            <a:ext cx="767310" cy="242302"/>
                          </a:xfrm>
                          <a:prstGeom prst="rect">
                            <a:avLst/>
                          </a:prstGeom>
                          <a:solidFill>
                            <a:srgbClr val="E36C0A"/>
                          </a:solidFill>
                          <a:ln w="9525">
                            <a:solidFill>
                              <a:srgbClr val="000000"/>
                            </a:solidFill>
                            <a:miter lim="800000"/>
                            <a:headEnd/>
                            <a:tailEnd/>
                          </a:ln>
                        </wps:spPr>
                        <wps:txbx>
                          <w:txbxContent>
                            <w:p w:rsidR="006E7ADC" w:rsidRPr="00963AEC" w:rsidRDefault="006E7ADC" w:rsidP="002E776C">
                              <w:pPr>
                                <w:jc w:val="center"/>
                                <w:rPr>
                                  <w:rFonts w:ascii="Arial Narrow" w:hAnsi="Arial Narrow"/>
                                  <w:b/>
                                  <w:sz w:val="13"/>
                                </w:rPr>
                              </w:pPr>
                              <w:r w:rsidRPr="00963AEC">
                                <w:rPr>
                                  <w:rFonts w:ascii="Arial Narrow" w:hAnsi="Arial Narrow"/>
                                  <w:b/>
                                  <w:sz w:val="13"/>
                                </w:rPr>
                                <w:t>Existing listings</w:t>
                              </w:r>
                            </w:p>
                          </w:txbxContent>
                        </wps:txbx>
                        <wps:bodyPr rot="0" vert="horz" wrap="square" lIns="54347" tIns="27173" rIns="54347" bIns="27173" anchor="t" anchorCtr="0" upright="1">
                          <a:noAutofit/>
                        </wps:bodyPr>
                      </wps:wsp>
                      <wps:wsp>
                        <wps:cNvPr id="36" name="Line 15"/>
                        <wps:cNvCnPr/>
                        <wps:spPr bwMode="auto">
                          <a:xfrm flipH="1">
                            <a:off x="2818435" y="346103"/>
                            <a:ext cx="1534519" cy="692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6"/>
                        <wps:cNvCnPr/>
                        <wps:spPr bwMode="auto">
                          <a:xfrm flipH="1">
                            <a:off x="4199553" y="346103"/>
                            <a:ext cx="153402" cy="692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7"/>
                        <wps:cNvSpPr txBox="1">
                          <a:spLocks noChangeArrowheads="1"/>
                        </wps:cNvSpPr>
                        <wps:spPr bwMode="auto">
                          <a:xfrm>
                            <a:off x="2248428" y="1038408"/>
                            <a:ext cx="1074213" cy="276902"/>
                          </a:xfrm>
                          <a:prstGeom prst="rect">
                            <a:avLst/>
                          </a:prstGeom>
                          <a:solidFill>
                            <a:srgbClr val="365F91"/>
                          </a:solidFill>
                          <a:ln w="9525">
                            <a:solidFill>
                              <a:srgbClr val="000000"/>
                            </a:solidFill>
                            <a:miter lim="800000"/>
                            <a:headEnd/>
                            <a:tailEnd/>
                          </a:ln>
                        </wps:spPr>
                        <wps:txbx>
                          <w:txbxContent>
                            <w:p w:rsidR="006E7ADC" w:rsidRPr="00E36696" w:rsidRDefault="006E7ADC" w:rsidP="002E776C">
                              <w:pPr>
                                <w:jc w:val="center"/>
                                <w:rPr>
                                  <w:rFonts w:ascii="Arial Narrow" w:hAnsi="Arial Narrow"/>
                                  <w:color w:val="FFFFFF"/>
                                  <w:sz w:val="13"/>
                                </w:rPr>
                              </w:pPr>
                              <w:r w:rsidRPr="00E36696">
                                <w:rPr>
                                  <w:rFonts w:ascii="Arial Narrow" w:hAnsi="Arial Narrow"/>
                                  <w:b/>
                                  <w:color w:val="FFFFFF"/>
                                  <w:sz w:val="13"/>
                                </w:rPr>
                                <w:t xml:space="preserve">Price </w:t>
                              </w:r>
                              <w:r w:rsidRPr="00E36696">
                                <w:rPr>
                                  <w:rFonts w:ascii="Arial Narrow" w:hAnsi="Arial Narrow"/>
                                  <w:b/>
                                  <w:color w:val="FFFFFF"/>
                                  <w:sz w:val="13"/>
                                </w:rPr>
                                <w:br/>
                              </w:r>
                              <w:r w:rsidRPr="00E36696">
                                <w:rPr>
                                  <w:rFonts w:ascii="Arial Narrow" w:hAnsi="Arial Narrow"/>
                                  <w:color w:val="FFFFFF"/>
                                  <w:sz w:val="13"/>
                                </w:rPr>
                                <w:t>(paid by the Government)</w:t>
                              </w:r>
                            </w:p>
                          </w:txbxContent>
                        </wps:txbx>
                        <wps:bodyPr rot="0" vert="horz" wrap="square" lIns="54347" tIns="27173" rIns="54347" bIns="27173" anchor="t" anchorCtr="0" upright="1">
                          <a:noAutofit/>
                        </wps:bodyPr>
                      </wps:wsp>
                      <wps:wsp>
                        <wps:cNvPr id="39" name="Text Box 18"/>
                        <wps:cNvSpPr txBox="1">
                          <a:spLocks noChangeArrowheads="1"/>
                        </wps:cNvSpPr>
                        <wps:spPr bwMode="auto">
                          <a:xfrm>
                            <a:off x="3739147" y="1038408"/>
                            <a:ext cx="876911" cy="276902"/>
                          </a:xfrm>
                          <a:prstGeom prst="rect">
                            <a:avLst/>
                          </a:prstGeom>
                          <a:solidFill>
                            <a:srgbClr val="938953"/>
                          </a:solidFill>
                          <a:ln w="9525">
                            <a:solidFill>
                              <a:srgbClr val="000000"/>
                            </a:solidFill>
                            <a:miter lim="800000"/>
                            <a:headEnd/>
                            <a:tailEnd/>
                          </a:ln>
                        </wps:spPr>
                        <wps:txbx>
                          <w:txbxContent>
                            <w:p w:rsidR="006E7ADC" w:rsidRPr="00E36696" w:rsidRDefault="006E7ADC" w:rsidP="002E776C">
                              <w:pPr>
                                <w:jc w:val="center"/>
                                <w:rPr>
                                  <w:rFonts w:ascii="Arial Narrow" w:hAnsi="Arial Narrow"/>
                                  <w:color w:val="FFFFFF"/>
                                  <w:sz w:val="13"/>
                                </w:rPr>
                              </w:pPr>
                              <w:r w:rsidRPr="00E36696">
                                <w:rPr>
                                  <w:rFonts w:ascii="Arial Narrow" w:hAnsi="Arial Narrow"/>
                                  <w:b/>
                                  <w:color w:val="FFFFFF"/>
                                  <w:sz w:val="13"/>
                                </w:rPr>
                                <w:t xml:space="preserve">Volume </w:t>
                              </w:r>
                              <w:r w:rsidRPr="00E36696">
                                <w:rPr>
                                  <w:rFonts w:ascii="Arial Narrow" w:hAnsi="Arial Narrow"/>
                                  <w:b/>
                                  <w:color w:val="FFFFFF"/>
                                  <w:sz w:val="13"/>
                                </w:rPr>
                                <w:br/>
                              </w:r>
                              <w:r w:rsidRPr="00E36696">
                                <w:rPr>
                                  <w:rFonts w:ascii="Arial Narrow" w:hAnsi="Arial Narrow"/>
                                  <w:color w:val="FFFFFF"/>
                                  <w:sz w:val="13"/>
                                </w:rPr>
                                <w:t>(Subsidised scripts)</w:t>
                              </w:r>
                            </w:p>
                          </w:txbxContent>
                        </wps:txbx>
                        <wps:bodyPr rot="0" vert="horz" wrap="square" lIns="54347" tIns="27173" rIns="54347" bIns="27173" anchor="t" anchorCtr="0" upright="1">
                          <a:noAutofit/>
                        </wps:bodyPr>
                      </wps:wsp>
                      <wps:wsp>
                        <wps:cNvPr id="40" name="Text Box 19"/>
                        <wps:cNvSpPr txBox="1">
                          <a:spLocks noChangeArrowheads="1"/>
                        </wps:cNvSpPr>
                        <wps:spPr bwMode="auto">
                          <a:xfrm>
                            <a:off x="2445731" y="1592213"/>
                            <a:ext cx="636108" cy="2077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rPr>
                                  <w:rFonts w:ascii="Arial Narrow" w:hAnsi="Arial Narrow"/>
                                  <w:sz w:val="13"/>
                                </w:rPr>
                              </w:pPr>
                              <w:r w:rsidRPr="00963AEC">
                                <w:rPr>
                                  <w:rFonts w:ascii="Arial Narrow" w:hAnsi="Arial Narrow"/>
                                  <w:sz w:val="13"/>
                                </w:rPr>
                                <w:t>Price changes</w:t>
                              </w:r>
                            </w:p>
                          </w:txbxContent>
                        </wps:txbx>
                        <wps:bodyPr rot="0" vert="horz" wrap="square" lIns="54347" tIns="27173" rIns="54347" bIns="27173" anchor="t" anchorCtr="0" upright="1">
                          <a:noAutofit/>
                        </wps:bodyPr>
                      </wps:wsp>
                      <wps:wsp>
                        <wps:cNvPr id="41" name="Text Box 20"/>
                        <wps:cNvSpPr txBox="1">
                          <a:spLocks noChangeArrowheads="1"/>
                        </wps:cNvSpPr>
                        <wps:spPr bwMode="auto">
                          <a:xfrm>
                            <a:off x="2445731" y="2076817"/>
                            <a:ext cx="636108"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Copayment levels</w:t>
                              </w:r>
                            </w:p>
                          </w:txbxContent>
                        </wps:txbx>
                        <wps:bodyPr rot="0" vert="horz" wrap="square" lIns="54347" tIns="27173" rIns="54347" bIns="27173" anchor="t" anchorCtr="0" upright="1">
                          <a:noAutofit/>
                        </wps:bodyPr>
                      </wps:wsp>
                      <wps:wsp>
                        <wps:cNvPr id="42" name="Text Box 21"/>
                        <wps:cNvSpPr txBox="1">
                          <a:spLocks noChangeArrowheads="1"/>
                        </wps:cNvSpPr>
                        <wps:spPr bwMode="auto">
                          <a:xfrm>
                            <a:off x="2379930" y="2492220"/>
                            <a:ext cx="789210"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Gen/Concessional mix</w:t>
                              </w:r>
                            </w:p>
                          </w:txbxContent>
                        </wps:txbx>
                        <wps:bodyPr rot="0" vert="horz" wrap="square" lIns="54347" tIns="27173" rIns="54347" bIns="27173" anchor="t" anchorCtr="0" upright="1">
                          <a:noAutofit/>
                        </wps:bodyPr>
                      </wps:wsp>
                      <wps:wsp>
                        <wps:cNvPr id="43" name="Text Box 22"/>
                        <wps:cNvSpPr txBox="1">
                          <a:spLocks noChangeArrowheads="1"/>
                        </wps:cNvSpPr>
                        <wps:spPr bwMode="auto">
                          <a:xfrm>
                            <a:off x="2401830" y="2907524"/>
                            <a:ext cx="767310"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 xml:space="preserve">Number of </w:t>
                              </w:r>
                              <w:r>
                                <w:rPr>
                                  <w:rFonts w:ascii="Arial Narrow" w:hAnsi="Arial Narrow"/>
                                  <w:sz w:val="13"/>
                                </w:rPr>
                                <w:t>Safety Net</w:t>
                              </w:r>
                              <w:r w:rsidRPr="00963AEC">
                                <w:rPr>
                                  <w:rFonts w:ascii="Arial Narrow" w:hAnsi="Arial Narrow"/>
                                  <w:sz w:val="13"/>
                                </w:rPr>
                                <w:t xml:space="preserve"> cards issued</w:t>
                              </w:r>
                            </w:p>
                          </w:txbxContent>
                        </wps:txbx>
                        <wps:bodyPr rot="0" vert="horz" wrap="square" lIns="54347" tIns="27173" rIns="54347" bIns="27173" anchor="t" anchorCtr="0" upright="1">
                          <a:noAutofit/>
                        </wps:bodyPr>
                      </wps:wsp>
                      <wps:wsp>
                        <wps:cNvPr id="44" name="Text Box 23"/>
                        <wps:cNvSpPr txBox="1">
                          <a:spLocks noChangeArrowheads="1"/>
                        </wps:cNvSpPr>
                        <wps:spPr bwMode="auto">
                          <a:xfrm>
                            <a:off x="2401830" y="3322927"/>
                            <a:ext cx="767310"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Pharmacy remuneration</w:t>
                              </w:r>
                            </w:p>
                          </w:txbxContent>
                        </wps:txbx>
                        <wps:bodyPr rot="0" vert="horz" wrap="square" lIns="54347" tIns="27173" rIns="54347" bIns="27173" anchor="t" anchorCtr="0" upright="1">
                          <a:noAutofit/>
                        </wps:bodyPr>
                      </wps:wsp>
                      <wps:wsp>
                        <wps:cNvPr id="45" name="Text Box 24"/>
                        <wps:cNvSpPr txBox="1">
                          <a:spLocks noChangeArrowheads="1"/>
                        </wps:cNvSpPr>
                        <wps:spPr bwMode="auto">
                          <a:xfrm>
                            <a:off x="1305716" y="1246110"/>
                            <a:ext cx="526107"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PBS Reform</w:t>
                              </w:r>
                            </w:p>
                          </w:txbxContent>
                        </wps:txbx>
                        <wps:bodyPr rot="0" vert="horz" wrap="square" lIns="54347" tIns="27173" rIns="54347" bIns="27173" anchor="t" anchorCtr="0" upright="1">
                          <a:noAutofit/>
                        </wps:bodyPr>
                      </wps:wsp>
                      <wps:wsp>
                        <wps:cNvPr id="46" name="Text Box 25"/>
                        <wps:cNvSpPr txBox="1">
                          <a:spLocks noChangeArrowheads="1"/>
                        </wps:cNvSpPr>
                        <wps:spPr bwMode="auto">
                          <a:xfrm>
                            <a:off x="1218015" y="1592213"/>
                            <a:ext cx="745409"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PBPA price changes</w:t>
                              </w:r>
                            </w:p>
                          </w:txbxContent>
                        </wps:txbx>
                        <wps:bodyPr rot="0" vert="horz" wrap="square" lIns="54347" tIns="27173" rIns="54347" bIns="27173" anchor="t" anchorCtr="0" upright="1">
                          <a:noAutofit/>
                        </wps:bodyPr>
                      </wps:wsp>
                      <wps:wsp>
                        <wps:cNvPr id="47" name="Text Box 26"/>
                        <wps:cNvSpPr txBox="1">
                          <a:spLocks noChangeArrowheads="1"/>
                        </wps:cNvSpPr>
                        <wps:spPr bwMode="auto">
                          <a:xfrm>
                            <a:off x="1218015" y="1938316"/>
                            <a:ext cx="745409"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WAMTC price changes</w:t>
                              </w:r>
                            </w:p>
                          </w:txbxContent>
                        </wps:txbx>
                        <wps:bodyPr rot="0" vert="horz" wrap="square" lIns="54347" tIns="27173" rIns="54347" bIns="27173" anchor="t" anchorCtr="0" upright="1">
                          <a:noAutofit/>
                        </wps:bodyPr>
                      </wps:wsp>
                      <wps:wsp>
                        <wps:cNvPr id="48" name="Text Box 27"/>
                        <wps:cNvSpPr txBox="1">
                          <a:spLocks noChangeArrowheads="1"/>
                        </wps:cNvSpPr>
                        <wps:spPr bwMode="auto">
                          <a:xfrm>
                            <a:off x="341104" y="1246110"/>
                            <a:ext cx="635808"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Rate of generic entry</w:t>
                              </w:r>
                            </w:p>
                          </w:txbxContent>
                        </wps:txbx>
                        <wps:bodyPr rot="0" vert="horz" wrap="square" lIns="54347" tIns="27173" rIns="54347" bIns="27173" anchor="t" anchorCtr="0" upright="1">
                          <a:noAutofit/>
                        </wps:bodyPr>
                      </wps:wsp>
                      <wps:wsp>
                        <wps:cNvPr id="49" name="Text Box 28"/>
                        <wps:cNvSpPr txBox="1">
                          <a:spLocks noChangeArrowheads="1"/>
                        </wps:cNvSpPr>
                        <wps:spPr bwMode="auto">
                          <a:xfrm>
                            <a:off x="1305716" y="2907524"/>
                            <a:ext cx="920712"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rPr>
                                  <w:rFonts w:ascii="Arial Narrow" w:hAnsi="Arial Narrow"/>
                                  <w:sz w:val="13"/>
                                </w:rPr>
                              </w:pPr>
                              <w:r w:rsidRPr="00963AEC">
                                <w:rPr>
                                  <w:rFonts w:ascii="Arial Narrow" w:hAnsi="Arial Narrow"/>
                                  <w:sz w:val="13"/>
                                </w:rPr>
                                <w:t>% population covered by concession cards</w:t>
                              </w:r>
                            </w:p>
                          </w:txbxContent>
                        </wps:txbx>
                        <wps:bodyPr rot="0" vert="horz" wrap="square" lIns="54347" tIns="27173" rIns="54347" bIns="27173" anchor="t" anchorCtr="0" upright="1">
                          <a:noAutofit/>
                        </wps:bodyPr>
                      </wps:wsp>
                      <wps:wsp>
                        <wps:cNvPr id="50" name="Text Box 29"/>
                        <wps:cNvSpPr txBox="1">
                          <a:spLocks noChangeArrowheads="1"/>
                        </wps:cNvSpPr>
                        <wps:spPr bwMode="auto">
                          <a:xfrm>
                            <a:off x="231503" y="2630621"/>
                            <a:ext cx="723409" cy="2077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Unemployment</w:t>
                              </w:r>
                            </w:p>
                          </w:txbxContent>
                        </wps:txbx>
                        <wps:bodyPr rot="0" vert="horz" wrap="square" lIns="54347" tIns="27173" rIns="54347" bIns="27173" anchor="t" anchorCtr="0" upright="1">
                          <a:noAutofit/>
                        </wps:bodyPr>
                      </wps:wsp>
                      <wps:wsp>
                        <wps:cNvPr id="51" name="Text Box 30"/>
                        <wps:cNvSpPr txBox="1">
                          <a:spLocks noChangeArrowheads="1"/>
                        </wps:cNvSpPr>
                        <wps:spPr bwMode="auto">
                          <a:xfrm>
                            <a:off x="406905" y="2976724"/>
                            <a:ext cx="548007"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Ageing population</w:t>
                              </w:r>
                            </w:p>
                          </w:txbxContent>
                        </wps:txbx>
                        <wps:bodyPr rot="0" vert="horz" wrap="square" lIns="54347" tIns="27173" rIns="54347" bIns="27173" anchor="t" anchorCtr="0" upright="1">
                          <a:noAutofit/>
                        </wps:bodyPr>
                      </wps:wsp>
                      <wps:wsp>
                        <wps:cNvPr id="52" name="Text Box 31"/>
                        <wps:cNvSpPr txBox="1">
                          <a:spLocks noChangeArrowheads="1"/>
                        </wps:cNvSpPr>
                        <wps:spPr bwMode="auto">
                          <a:xfrm>
                            <a:off x="3761047" y="1730714"/>
                            <a:ext cx="855011" cy="2076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Ageing population</w:t>
                              </w:r>
                            </w:p>
                          </w:txbxContent>
                        </wps:txbx>
                        <wps:bodyPr rot="0" vert="horz" wrap="square" lIns="54347" tIns="27173" rIns="54347" bIns="27173" anchor="t" anchorCtr="0" upright="1">
                          <a:noAutofit/>
                        </wps:bodyPr>
                      </wps:wsp>
                      <wps:wsp>
                        <wps:cNvPr id="53" name="Text Box 32"/>
                        <wps:cNvSpPr txBox="1">
                          <a:spLocks noChangeArrowheads="1"/>
                        </wps:cNvSpPr>
                        <wps:spPr bwMode="auto">
                          <a:xfrm>
                            <a:off x="3804948" y="2007616"/>
                            <a:ext cx="723409"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GP prescribing patterns</w:t>
                              </w:r>
                            </w:p>
                          </w:txbxContent>
                        </wps:txbx>
                        <wps:bodyPr rot="0" vert="horz" wrap="square" lIns="54347" tIns="27173" rIns="54347" bIns="27173" anchor="t" anchorCtr="0" upright="1">
                          <a:noAutofit/>
                        </wps:bodyPr>
                      </wps:wsp>
                      <wps:wsp>
                        <wps:cNvPr id="54" name="Text Box 33"/>
                        <wps:cNvSpPr txBox="1">
                          <a:spLocks noChangeArrowheads="1"/>
                        </wps:cNvSpPr>
                        <wps:spPr bwMode="auto">
                          <a:xfrm>
                            <a:off x="3782647" y="2312919"/>
                            <a:ext cx="789610" cy="2842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Pr>
                                  <w:rFonts w:ascii="Arial Narrow" w:hAnsi="Arial Narrow"/>
                                  <w:sz w:val="13"/>
                                </w:rPr>
                                <w:t>Screening and early detection</w:t>
                              </w:r>
                            </w:p>
                          </w:txbxContent>
                        </wps:txbx>
                        <wps:bodyPr rot="0" vert="horz" wrap="square" lIns="54347" tIns="27173" rIns="54347" bIns="27173" anchor="t" anchorCtr="0" upright="1">
                          <a:noAutofit/>
                        </wps:bodyPr>
                      </wps:wsp>
                      <wps:wsp>
                        <wps:cNvPr id="55" name="Text Box 34"/>
                        <wps:cNvSpPr txBox="1">
                          <a:spLocks noChangeArrowheads="1"/>
                        </wps:cNvSpPr>
                        <wps:spPr bwMode="auto">
                          <a:xfrm>
                            <a:off x="3804948" y="2630621"/>
                            <a:ext cx="767310"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Changing PBS restrictions</w:t>
                              </w:r>
                            </w:p>
                          </w:txbxContent>
                        </wps:txbx>
                        <wps:bodyPr rot="0" vert="horz" wrap="square" lIns="54347" tIns="27173" rIns="54347" bIns="27173" anchor="t" anchorCtr="0" upright="1">
                          <a:noAutofit/>
                        </wps:bodyPr>
                      </wps:wsp>
                      <wps:wsp>
                        <wps:cNvPr id="56" name="Text Box 35"/>
                        <wps:cNvSpPr txBox="1">
                          <a:spLocks noChangeArrowheads="1"/>
                        </wps:cNvSpPr>
                        <wps:spPr bwMode="auto">
                          <a:xfrm>
                            <a:off x="3782947" y="2976724"/>
                            <a:ext cx="877011" cy="2077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Patient compliance</w:t>
                              </w:r>
                            </w:p>
                          </w:txbxContent>
                        </wps:txbx>
                        <wps:bodyPr rot="0" vert="horz" wrap="square" lIns="54347" tIns="27173" rIns="54347" bIns="27173" anchor="t" anchorCtr="0" upright="1">
                          <a:noAutofit/>
                        </wps:bodyPr>
                      </wps:wsp>
                      <wps:wsp>
                        <wps:cNvPr id="57" name="Text Box 36"/>
                        <wps:cNvSpPr txBox="1">
                          <a:spLocks noChangeArrowheads="1"/>
                        </wps:cNvSpPr>
                        <wps:spPr bwMode="auto">
                          <a:xfrm>
                            <a:off x="3782947" y="3253627"/>
                            <a:ext cx="898911" cy="415403"/>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Drugs moving from above to below the GCP (or vice versa)</w:t>
                              </w:r>
                            </w:p>
                          </w:txbxContent>
                        </wps:txbx>
                        <wps:bodyPr rot="0" vert="horz" wrap="square" lIns="54347" tIns="27173" rIns="54347" bIns="27173" anchor="t" anchorCtr="0" upright="1">
                          <a:noAutofit/>
                        </wps:bodyPr>
                      </wps:wsp>
                      <wps:wsp>
                        <wps:cNvPr id="58" name="Line 37"/>
                        <wps:cNvCnPr/>
                        <wps:spPr bwMode="auto">
                          <a:xfrm>
                            <a:off x="4199553" y="1315311"/>
                            <a:ext cx="400" cy="69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38"/>
                        <wps:cNvCnPr/>
                        <wps:spPr bwMode="auto">
                          <a:xfrm>
                            <a:off x="2774535" y="1315311"/>
                            <a:ext cx="400" cy="138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39"/>
                        <wps:cNvSpPr txBox="1">
                          <a:spLocks noChangeArrowheads="1"/>
                        </wps:cNvSpPr>
                        <wps:spPr bwMode="auto">
                          <a:xfrm>
                            <a:off x="1568820" y="2353719"/>
                            <a:ext cx="350704" cy="2077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CPI</w:t>
                              </w:r>
                            </w:p>
                          </w:txbxContent>
                        </wps:txbx>
                        <wps:bodyPr rot="0" vert="horz" wrap="square" lIns="54347" tIns="27173" rIns="54347" bIns="27173" anchor="t" anchorCtr="0" upright="1">
                          <a:noAutofit/>
                        </wps:bodyPr>
                      </wps:wsp>
                      <wps:wsp>
                        <wps:cNvPr id="61" name="Line 40"/>
                        <wps:cNvCnPr/>
                        <wps:spPr bwMode="auto">
                          <a:xfrm>
                            <a:off x="3169140" y="3046025"/>
                            <a:ext cx="241203"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41"/>
                        <wps:cNvCnPr/>
                        <wps:spPr bwMode="auto">
                          <a:xfrm flipV="1">
                            <a:off x="3410343" y="1730714"/>
                            <a:ext cx="300" cy="13153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42"/>
                        <wps:cNvCnPr/>
                        <wps:spPr bwMode="auto">
                          <a:xfrm flipH="1">
                            <a:off x="3081439" y="1730714"/>
                            <a:ext cx="328904"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43"/>
                        <wps:cNvCnPr/>
                        <wps:spPr bwMode="auto">
                          <a:xfrm flipV="1">
                            <a:off x="3410343" y="1176810"/>
                            <a:ext cx="175302" cy="553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4"/>
                        <wps:cNvCnPr/>
                        <wps:spPr bwMode="auto">
                          <a:xfrm>
                            <a:off x="3585645" y="1176810"/>
                            <a:ext cx="153502"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45"/>
                        <wps:cNvCnPr/>
                        <wps:spPr bwMode="auto">
                          <a:xfrm flipH="1">
                            <a:off x="2094926" y="3461328"/>
                            <a:ext cx="306904" cy="138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46"/>
                        <wps:cNvSpPr txBox="1">
                          <a:spLocks noChangeArrowheads="1"/>
                        </wps:cNvSpPr>
                        <wps:spPr bwMode="auto">
                          <a:xfrm>
                            <a:off x="1108414" y="3461328"/>
                            <a:ext cx="986512"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Community Pharmacy Agreements</w:t>
                              </w:r>
                            </w:p>
                          </w:txbxContent>
                        </wps:txbx>
                        <wps:bodyPr rot="0" vert="horz" wrap="square" lIns="54347" tIns="27173" rIns="54347" bIns="27173" anchor="t" anchorCtr="0" upright="1">
                          <a:noAutofit/>
                        </wps:bodyPr>
                      </wps:wsp>
                      <wps:wsp>
                        <wps:cNvPr id="68" name="Line 47"/>
                        <wps:cNvCnPr/>
                        <wps:spPr bwMode="auto">
                          <a:xfrm flipH="1">
                            <a:off x="2226428" y="2630621"/>
                            <a:ext cx="153502" cy="4154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48"/>
                        <wps:cNvCnPr/>
                        <wps:spPr bwMode="auto">
                          <a:xfrm flipH="1">
                            <a:off x="1919524" y="2215218"/>
                            <a:ext cx="526207" cy="208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49"/>
                        <wps:cNvCnPr/>
                        <wps:spPr bwMode="auto">
                          <a:xfrm flipH="1">
                            <a:off x="1963425" y="1661414"/>
                            <a:ext cx="482306" cy="4154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50"/>
                        <wps:cNvCnPr/>
                        <wps:spPr bwMode="auto">
                          <a:xfrm flipH="1">
                            <a:off x="1963425" y="1661414"/>
                            <a:ext cx="482306" cy="693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51"/>
                        <wps:cNvCnPr/>
                        <wps:spPr bwMode="auto">
                          <a:xfrm flipH="1" flipV="1">
                            <a:off x="1831823" y="1384511"/>
                            <a:ext cx="613908" cy="276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52"/>
                        <wps:cNvCnPr/>
                        <wps:spPr bwMode="auto">
                          <a:xfrm flipH="1">
                            <a:off x="976912" y="1384511"/>
                            <a:ext cx="328804"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53"/>
                        <wps:cNvCnPr/>
                        <wps:spPr bwMode="auto">
                          <a:xfrm flipH="1" flipV="1">
                            <a:off x="954912" y="2769123"/>
                            <a:ext cx="350804" cy="276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54"/>
                        <wps:cNvCnPr/>
                        <wps:spPr bwMode="auto">
                          <a:xfrm flipH="1">
                            <a:off x="954912" y="3046025"/>
                            <a:ext cx="350804" cy="69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55"/>
                        <wps:cNvSpPr txBox="1">
                          <a:spLocks noChangeArrowheads="1"/>
                        </wps:cNvSpPr>
                        <wps:spPr bwMode="auto">
                          <a:xfrm>
                            <a:off x="3782947" y="1453712"/>
                            <a:ext cx="855011" cy="2077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Disease groups</w:t>
                              </w:r>
                            </w:p>
                          </w:txbxContent>
                        </wps:txbx>
                        <wps:bodyPr rot="0" vert="horz" wrap="square" lIns="54347" tIns="27173" rIns="54347" bIns="27173" anchor="t" anchorCtr="0" upright="1">
                          <a:noAutofit/>
                        </wps:bodyPr>
                      </wps:wsp>
                      <wps:wsp>
                        <wps:cNvPr id="77" name="Line 56"/>
                        <wps:cNvCnPr/>
                        <wps:spPr bwMode="auto">
                          <a:xfrm>
                            <a:off x="4637958" y="1523012"/>
                            <a:ext cx="3508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57"/>
                        <wps:cNvSpPr txBox="1">
                          <a:spLocks noChangeArrowheads="1"/>
                        </wps:cNvSpPr>
                        <wps:spPr bwMode="auto">
                          <a:xfrm>
                            <a:off x="4988763" y="1384511"/>
                            <a:ext cx="657708"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Drugs used to treat</w:t>
                              </w:r>
                            </w:p>
                          </w:txbxContent>
                        </wps:txbx>
                        <wps:bodyPr rot="0" vert="horz" wrap="square" lIns="54347" tIns="27173" rIns="54347" bIns="27173" anchor="t" anchorCtr="0" upright="1">
                          <a:noAutofit/>
                        </wps:bodyPr>
                      </wps:wsp>
                      <wps:wsp>
                        <wps:cNvPr id="79" name="Text Box 58"/>
                        <wps:cNvSpPr txBox="1">
                          <a:spLocks noChangeArrowheads="1"/>
                        </wps:cNvSpPr>
                        <wps:spPr bwMode="auto">
                          <a:xfrm>
                            <a:off x="231503" y="698006"/>
                            <a:ext cx="1128414" cy="2077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sidRPr="00963AEC">
                                <w:rPr>
                                  <w:rFonts w:ascii="Arial Narrow" w:hAnsi="Arial Narrow"/>
                                  <w:sz w:val="13"/>
                                </w:rPr>
                                <w:t>PBAC recommendation</w:t>
                              </w:r>
                            </w:p>
                          </w:txbxContent>
                        </wps:txbx>
                        <wps:bodyPr rot="0" vert="horz" wrap="square" lIns="54347" tIns="27173" rIns="54347" bIns="27173" anchor="t" anchorCtr="0" upright="1">
                          <a:noAutofit/>
                        </wps:bodyPr>
                      </wps:wsp>
                      <wps:wsp>
                        <wps:cNvPr id="80" name="Line 59"/>
                        <wps:cNvCnPr/>
                        <wps:spPr bwMode="auto">
                          <a:xfrm flipH="1">
                            <a:off x="3498044" y="3046025"/>
                            <a:ext cx="2849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60"/>
                        <wps:cNvCnPr/>
                        <wps:spPr bwMode="auto">
                          <a:xfrm flipV="1">
                            <a:off x="3498044" y="2215218"/>
                            <a:ext cx="0" cy="8308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61"/>
                        <wps:cNvCnPr/>
                        <wps:spPr bwMode="auto">
                          <a:xfrm flipH="1">
                            <a:off x="3081439" y="2215218"/>
                            <a:ext cx="4166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62"/>
                        <wps:cNvCnPr/>
                        <wps:spPr bwMode="auto">
                          <a:xfrm>
                            <a:off x="3498044" y="3046025"/>
                            <a:ext cx="0" cy="415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63"/>
                        <wps:cNvCnPr/>
                        <wps:spPr bwMode="auto">
                          <a:xfrm>
                            <a:off x="3498044" y="3461328"/>
                            <a:ext cx="284904"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64"/>
                        <wps:cNvCnPr/>
                        <wps:spPr bwMode="auto">
                          <a:xfrm>
                            <a:off x="3410343" y="3046025"/>
                            <a:ext cx="0" cy="415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65"/>
                        <wps:cNvCnPr/>
                        <wps:spPr bwMode="auto">
                          <a:xfrm flipH="1">
                            <a:off x="3410343" y="3461328"/>
                            <a:ext cx="877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66"/>
                        <wps:cNvSpPr txBox="1">
                          <a:spLocks noChangeArrowheads="1"/>
                        </wps:cNvSpPr>
                        <wps:spPr bwMode="auto">
                          <a:xfrm>
                            <a:off x="4879561" y="2076817"/>
                            <a:ext cx="854611"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jc w:val="center"/>
                                <w:rPr>
                                  <w:rFonts w:ascii="Arial Narrow" w:hAnsi="Arial Narrow"/>
                                  <w:sz w:val="13"/>
                                </w:rPr>
                              </w:pPr>
                              <w:r>
                                <w:rPr>
                                  <w:rFonts w:ascii="Arial Narrow" w:hAnsi="Arial Narrow"/>
                                  <w:sz w:val="13"/>
                                </w:rPr>
                                <w:t xml:space="preserve">Population based/ opportunistic </w:t>
                              </w:r>
                            </w:p>
                          </w:txbxContent>
                        </wps:txbx>
                        <wps:bodyPr rot="0" vert="horz" wrap="square" lIns="54347" tIns="27173" rIns="54347" bIns="27173" anchor="t" anchorCtr="0" upright="1">
                          <a:noAutofit/>
                        </wps:bodyPr>
                      </wps:wsp>
                      <wps:wsp>
                        <wps:cNvPr id="88" name="Text Box 67"/>
                        <wps:cNvSpPr txBox="1">
                          <a:spLocks noChangeArrowheads="1"/>
                        </wps:cNvSpPr>
                        <wps:spPr bwMode="auto">
                          <a:xfrm>
                            <a:off x="4879161" y="2492220"/>
                            <a:ext cx="855011" cy="276902"/>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rPr>
                                  <w:rFonts w:ascii="Arial Narrow" w:hAnsi="Arial Narrow"/>
                                  <w:sz w:val="13"/>
                                </w:rPr>
                              </w:pPr>
                              <w:r w:rsidRPr="00963AEC">
                                <w:rPr>
                                  <w:rFonts w:ascii="Arial Narrow" w:hAnsi="Arial Narrow"/>
                                  <w:sz w:val="13"/>
                                </w:rPr>
                                <w:t>New technology/</w:t>
                              </w:r>
                              <w:r w:rsidRPr="00963AEC">
                                <w:rPr>
                                  <w:rFonts w:ascii="Arial Narrow" w:hAnsi="Arial Narrow"/>
                                  <w:sz w:val="13"/>
                                </w:rPr>
                                <w:br/>
                                <w:t>Diagnostics</w:t>
                              </w:r>
                            </w:p>
                          </w:txbxContent>
                        </wps:txbx>
                        <wps:bodyPr rot="0" vert="horz" wrap="square" lIns="54347" tIns="27173" rIns="54347" bIns="27173" anchor="t" anchorCtr="0" upright="1">
                          <a:noAutofit/>
                        </wps:bodyPr>
                      </wps:wsp>
                      <wps:wsp>
                        <wps:cNvPr id="89" name="Text Box 68"/>
                        <wps:cNvSpPr txBox="1">
                          <a:spLocks noChangeArrowheads="1"/>
                        </wps:cNvSpPr>
                        <wps:spPr bwMode="auto">
                          <a:xfrm>
                            <a:off x="4879161" y="2976724"/>
                            <a:ext cx="876911" cy="415403"/>
                          </a:xfrm>
                          <a:prstGeom prst="rect">
                            <a:avLst/>
                          </a:prstGeom>
                          <a:solidFill>
                            <a:srgbClr val="FFFFFF"/>
                          </a:solidFill>
                          <a:ln w="9525">
                            <a:solidFill>
                              <a:srgbClr val="000000"/>
                            </a:solidFill>
                            <a:miter lim="800000"/>
                            <a:headEnd/>
                            <a:tailEnd/>
                          </a:ln>
                        </wps:spPr>
                        <wps:txbx>
                          <w:txbxContent>
                            <w:p w:rsidR="006E7ADC" w:rsidRPr="00963AEC" w:rsidRDefault="006E7ADC" w:rsidP="002E776C">
                              <w:pPr>
                                <w:rPr>
                                  <w:rFonts w:ascii="Arial Narrow" w:hAnsi="Arial Narrow"/>
                                  <w:sz w:val="13"/>
                                </w:rPr>
                              </w:pPr>
                              <w:r w:rsidRPr="00963AEC">
                                <w:rPr>
                                  <w:rFonts w:ascii="Arial Narrow" w:hAnsi="Arial Narrow"/>
                                  <w:sz w:val="13"/>
                                </w:rPr>
                                <w:t>Number of medications being taken</w:t>
                              </w:r>
                            </w:p>
                          </w:txbxContent>
                        </wps:txbx>
                        <wps:bodyPr rot="0" vert="horz" wrap="square" lIns="54347" tIns="27173" rIns="54347" bIns="27173" anchor="t" anchorCtr="0" upright="1">
                          <a:noAutofit/>
                        </wps:bodyPr>
                      </wps:wsp>
                      <wps:wsp>
                        <wps:cNvPr id="90" name="Line 69"/>
                        <wps:cNvCnPr/>
                        <wps:spPr bwMode="auto">
                          <a:xfrm>
                            <a:off x="4659958" y="3046025"/>
                            <a:ext cx="219203" cy="138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70"/>
                        <wps:cNvCnPr/>
                        <wps:spPr bwMode="auto">
                          <a:xfrm flipV="1">
                            <a:off x="4572257" y="2284519"/>
                            <a:ext cx="306904" cy="1384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71"/>
                        <wps:cNvCnPr/>
                        <wps:spPr bwMode="auto">
                          <a:xfrm>
                            <a:off x="4572257" y="2422920"/>
                            <a:ext cx="306904" cy="2077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72"/>
                        <wps:cNvCnPr>
                          <a:cxnSpLocks noChangeShapeType="1"/>
                        </wps:cNvCnPr>
                        <wps:spPr bwMode="auto">
                          <a:xfrm flipV="1">
                            <a:off x="796110" y="466904"/>
                            <a:ext cx="400" cy="2311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6" o:spid="_x0000_s1026" editas="canvas" alt="Title: Figure B - Description: Linkages between drivers of PBS expenditure " style="position:absolute;margin-left:-8.25pt;margin-top:38.75pt;width:471.75pt;height:309.8pt;z-index:251657216" coordsize="59912,3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inkages between drivers of PBS expenditure " style="position:absolute;width:59912;height:39344;visibility:visible;mso-wrap-style:square">
                  <v:fill o:detectmouseclick="t"/>
                  <v:path o:connecttype="none"/>
                </v:shape>
                <v:rect id="Rectangle 8" o:spid="_x0000_s1028" style="position:absolute;left:23141;top:14537;width:9646;height:23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ykZMUA&#10;AADaAAAADwAAAGRycy9kb3ducmV2LnhtbESPQWvCQBSE74X+h+UVvBTd1FKR6ColUOglSNUWj4/s&#10;M4lm38bs06T/vlso9DjMzDfMcj24Rt2oC7VnA0+TBBRx4W3NpYH97m08BxUE2WLjmQx8U4D16v5u&#10;ian1PX/QbSulihAOKRqoRNpU61BU5DBMfEscvaPvHEqUXalth32Eu0ZPk2SmHdYcFypsKauoOG+v&#10;zsBRXr76z8310l4O2WMpeX7Kprkxo4fhdQFKaJD/8F/73Rp4ht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KRkxQAAANoAAAAPAAAAAAAAAAAAAAAAAJgCAABkcnMv&#10;ZG93bnJldi54bWxQSwUGAAAAAAQABAD1AAAAigMAAAAA&#10;">
                  <v:stroke dashstyle="dash"/>
                </v:rect>
                <v:rect id="Rectangle 9" o:spid="_x0000_s1029" style="position:absolute;left:36076;top:13845;width:12276;height:2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HfcMA&#10;AADbAAAADwAAAGRycy9kb3ducmV2LnhtbERPTWvCQBC9F/oflil4Kbqp0KLRVUqg0EuQqi0eh+yY&#10;RLOzMTua9N93C4Xe5vE+Z7keXKNu1IXas4GnSQKKuPC25tLAfvc2noEKgmyx8UwGvinAenV/t8TU&#10;+p4/6LaVUsUQDikaqETaVOtQVOQwTHxLHLmj7xxKhF2pbYd9DHeNnibJi3ZYc2yosKWsouK8vToD&#10;R3n+6j8310t7OWSPpeT5KZvmxowehtcFKKFB/sV/7ncb58/h95d4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HfcMAAADbAAAADwAAAAAAAAAAAAAAAACYAgAAZHJzL2Rv&#10;d25yZXYueG1sUEsFBgAAAAAEAAQA9QAAAIgDAAAAAA==&#10;">
                  <v:stroke dashstyle="dash"/>
                </v:rect>
                <v:shapetype id="_x0000_t202" coordsize="21600,21600" o:spt="202" path="m,l,21600r21600,l21600,xe">
                  <v:stroke joinstyle="miter"/>
                  <v:path gradientshapeok="t" o:connecttype="rect"/>
                </v:shapetype>
                <v:shape id="Text Box 10" o:spid="_x0000_s1030" type="#_x0000_t202" style="position:absolute;left:22045;width:10962;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sOkL8A&#10;AADbAAAADwAAAGRycy9kb3ducmV2LnhtbERPS4vCMBC+C/sfwizszaZ6EK1GEZeFngRfLHsbmrGt&#10;NpPSjNr99+YgePz43otV7xp1py7Ung2MkhQUceFtzaWB4+FnOAUVBNli45kM/FOA1fJjsMDM+gfv&#10;6L6XUsUQDhkaqETaTOtQVOQwJL4ljtzZdw4lwq7UtsNHDHeNHqfpRDusOTZU2NKmouK6vzkDnv4O&#10;N9zI9yg/9dvpr71IPrsY8/XZr+eghHp5i1/u3BoYx/XxS/w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Gw6QvwAAANsAAAAPAAAAAAAAAAAAAAAAAJgCAABkcnMvZG93bnJl&#10;di54bWxQSwUGAAAAAAQABAD1AAAAhAMAAAAA&#10;" fillcolor="#17365d">
                  <v:textbox inset="1.50964mm,.75481mm,1.50964mm,.75481mm">
                    <w:txbxContent>
                      <w:p w:rsidR="006E7ADC" w:rsidRPr="00963AEC" w:rsidRDefault="006E7ADC" w:rsidP="002E776C">
                        <w:pPr>
                          <w:jc w:val="center"/>
                          <w:rPr>
                            <w:rFonts w:ascii="Arial Narrow" w:hAnsi="Arial Narrow"/>
                            <w:sz w:val="18"/>
                            <w:szCs w:val="28"/>
                          </w:rPr>
                        </w:pPr>
                        <w:r w:rsidRPr="00963AEC">
                          <w:rPr>
                            <w:rFonts w:ascii="Arial Narrow" w:hAnsi="Arial Narrow"/>
                            <w:sz w:val="18"/>
                            <w:szCs w:val="28"/>
                          </w:rPr>
                          <w:t xml:space="preserve">Growth in PBS </w:t>
                        </w:r>
                        <w:r w:rsidRPr="00963AEC">
                          <w:rPr>
                            <w:rFonts w:ascii="Arial Narrow" w:hAnsi="Arial Narrow"/>
                            <w:sz w:val="18"/>
                            <w:szCs w:val="28"/>
                          </w:rPr>
                          <w:br/>
                          <w:t>$Year 1 to Year2</w:t>
                        </w:r>
                      </w:p>
                    </w:txbxContent>
                  </v:textbox>
                </v:shape>
                <v:line id="Line 11" o:spid="_x0000_s1031" style="position:absolute;flip:x;visibility:visible;mso-wrap-style:square" from="12838,1384" to="22045,2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2" o:spid="_x0000_s1032" style="position:absolute;visibility:visible;mso-wrap-style:square" from="33007,1384" to="39364,2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shape id="Text Box 13" o:spid="_x0000_s1033" type="#_x0000_t202" style="position:absolute;left:2973;top:1384;width:9869;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8BcQA&#10;AADbAAAADwAAAGRycy9kb3ducmV2LnhtbESPT2sCMRTE74LfITyht5r1b2VrFFtaEEFE68XbY/O6&#10;Wdy8bDdxXb+9EQoeh5n5DTNftrYUDdW+cKxg0E9AEGdOF5wrOP58v85A+ICssXRMCm7kYbnoduaY&#10;anflPTWHkIsIYZ+iAhNClUrpM0MWfd9VxNH7dbXFEGWdS13jNcJtKYdJMpUWC44LBiv6NJSdDxer&#10;YFKe3k7n5mPk/4aXxOy2m7X9QqVeeu3qHUSgNjzD/+21VjAaw+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fAXEAAAA2wAAAA8AAAAAAAAAAAAAAAAAmAIAAGRycy9k&#10;b3ducmV2LnhtbFBLBQYAAAAABAAEAPUAAACJAwAAAAA=&#10;" fillcolor="#92d05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b/>
                            <w:sz w:val="13"/>
                          </w:rPr>
                          <w:t>New listings</w:t>
                        </w:r>
                        <w:r w:rsidRPr="00963AEC">
                          <w:rPr>
                            <w:rFonts w:ascii="Arial Narrow" w:hAnsi="Arial Narrow"/>
                            <w:b/>
                            <w:sz w:val="13"/>
                          </w:rPr>
                          <w:br/>
                        </w:r>
                        <w:r w:rsidRPr="00963AEC">
                          <w:rPr>
                            <w:rFonts w:ascii="Arial Narrow" w:hAnsi="Arial Narrow"/>
                            <w:sz w:val="13"/>
                          </w:rPr>
                          <w:t>Over 1 yr, 2 yrs, 4 yrs</w:t>
                        </w:r>
                      </w:p>
                    </w:txbxContent>
                  </v:textbox>
                </v:shape>
                <v:shape id="Text Box 14" o:spid="_x0000_s1034" type="#_x0000_t202" style="position:absolute;left:39364;top:1038;width:7673;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UQ8QA&#10;AADbAAAADwAAAGRycy9kb3ducmV2LnhtbESPQWsCMRSE74X+h/AK3mq2LYqsRrEtBQ9e3Cp6fG6e&#10;u9HNyzaJuv77piD0OMzMN8xk1tlGXMgH41jBSz8DQVw6bbhSsP7+eh6BCBFZY+OYFNwowGz6+DDB&#10;XLsrr+hSxEokCIccFdQxtrmUoazJYui7ljh5B+ctxiR9JbXHa4LbRr5m2VBaNJwWamzpo6byVJxt&#10;ohw/V8ef0cYvB4uTN2bb7Yr9u1K9p24+BhGpi//he3uhFbwN4O9L+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nlEPEAAAA2wAAAA8AAAAAAAAAAAAAAAAAmAIAAGRycy9k&#10;b3ducmV2LnhtbFBLBQYAAAAABAAEAPUAAACJAwAAAAA=&#10;" fillcolor="#e36c0a">
                  <v:textbox inset="1.50964mm,.75481mm,1.50964mm,.75481mm">
                    <w:txbxContent>
                      <w:p w:rsidR="006E7ADC" w:rsidRPr="00963AEC" w:rsidRDefault="006E7ADC" w:rsidP="002E776C">
                        <w:pPr>
                          <w:jc w:val="center"/>
                          <w:rPr>
                            <w:rFonts w:ascii="Arial Narrow" w:hAnsi="Arial Narrow"/>
                            <w:b/>
                            <w:sz w:val="13"/>
                          </w:rPr>
                        </w:pPr>
                        <w:r w:rsidRPr="00963AEC">
                          <w:rPr>
                            <w:rFonts w:ascii="Arial Narrow" w:hAnsi="Arial Narrow"/>
                            <w:b/>
                            <w:sz w:val="13"/>
                          </w:rPr>
                          <w:t>Existing listings</w:t>
                        </w:r>
                      </w:p>
                    </w:txbxContent>
                  </v:textbox>
                </v:shape>
                <v:line id="Line 15" o:spid="_x0000_s1035" style="position:absolute;flip:x;visibility:visible;mso-wrap-style:square" from="28184,3461" to="43529,10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16" o:spid="_x0000_s1036" style="position:absolute;flip:x;visibility:visible;mso-wrap-style:square" from="41995,3461" to="43529,10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shape id="Text Box 17" o:spid="_x0000_s1037" type="#_x0000_t202" style="position:absolute;left:22484;top:10384;width:1074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I6MAA&#10;AADbAAAADwAAAGRycy9kb3ducmV2LnhtbERPy4rCMBTdC/5DuMLsNB1FkWpafFBmdj4ZZnlprm2Z&#10;5qY2Ga1/bxaCy8N5L9PO1OJGrassK/gcRSCIc6srLhScT9lwDsJ5ZI21ZVLwIAdp0u8tMdb2zge6&#10;HX0hQgi7GBWU3jexlC4vyaAb2YY4cBfbGvQBtoXULd5DuKnlOIpm0mDFoaHEhjYl5X/Hf6PgsN2P&#10;cfp72n397FxWr9Z85Wyi1MegWy1AeOr8W/xyf2sFkzA2fAk/QC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I6MAAAADbAAAADwAAAAAAAAAAAAAAAACYAgAAZHJzL2Rvd25y&#10;ZXYueG1sUEsFBgAAAAAEAAQA9QAAAIUDAAAAAA==&#10;" fillcolor="#365f91">
                  <v:textbox inset="1.50964mm,.75481mm,1.50964mm,.75481mm">
                    <w:txbxContent>
                      <w:p w:rsidR="006E7ADC" w:rsidRPr="00E36696" w:rsidRDefault="006E7ADC" w:rsidP="002E776C">
                        <w:pPr>
                          <w:jc w:val="center"/>
                          <w:rPr>
                            <w:rFonts w:ascii="Arial Narrow" w:hAnsi="Arial Narrow"/>
                            <w:color w:val="FFFFFF"/>
                            <w:sz w:val="13"/>
                          </w:rPr>
                        </w:pPr>
                        <w:r w:rsidRPr="00E36696">
                          <w:rPr>
                            <w:rFonts w:ascii="Arial Narrow" w:hAnsi="Arial Narrow"/>
                            <w:b/>
                            <w:color w:val="FFFFFF"/>
                            <w:sz w:val="13"/>
                          </w:rPr>
                          <w:t xml:space="preserve">Price </w:t>
                        </w:r>
                        <w:r w:rsidRPr="00E36696">
                          <w:rPr>
                            <w:rFonts w:ascii="Arial Narrow" w:hAnsi="Arial Narrow"/>
                            <w:b/>
                            <w:color w:val="FFFFFF"/>
                            <w:sz w:val="13"/>
                          </w:rPr>
                          <w:br/>
                        </w:r>
                        <w:r w:rsidRPr="00E36696">
                          <w:rPr>
                            <w:rFonts w:ascii="Arial Narrow" w:hAnsi="Arial Narrow"/>
                            <w:color w:val="FFFFFF"/>
                            <w:sz w:val="13"/>
                          </w:rPr>
                          <w:t>(paid by the Government)</w:t>
                        </w:r>
                      </w:p>
                    </w:txbxContent>
                  </v:textbox>
                </v:shape>
                <v:shape id="Text Box 18" o:spid="_x0000_s1038" type="#_x0000_t202" style="position:absolute;left:37391;top:10384;width:8769;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e6sQA&#10;AADbAAAADwAAAGRycy9kb3ducmV2LnhtbESPQWvCQBSE7wX/w/IEb3VjhVJT11AsgZYiNKsXb4/s&#10;axKafRuy25j8+64geBxm5htmm422FQP1vnGsYLVMQBCXzjRcKTgd88cXED4gG2wdk4KJPGS72cMW&#10;U+MuXNCgQyUihH2KCuoQulRKX9Zk0S9dRxy9H9dbDFH2lTQ9XiLctvIpSZ6lxYbjQo0d7Wsqf/Wf&#10;VfD99X52hzxsqqmYWl1YrfPPRqnFfHx7BRFoDPfwrf1hFKw3cP0Sf4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6nurEAAAA2wAAAA8AAAAAAAAAAAAAAAAAmAIAAGRycy9k&#10;b3ducmV2LnhtbFBLBQYAAAAABAAEAPUAAACJAwAAAAA=&#10;" fillcolor="#938953">
                  <v:textbox inset="1.50964mm,.75481mm,1.50964mm,.75481mm">
                    <w:txbxContent>
                      <w:p w:rsidR="006E7ADC" w:rsidRPr="00E36696" w:rsidRDefault="006E7ADC" w:rsidP="002E776C">
                        <w:pPr>
                          <w:jc w:val="center"/>
                          <w:rPr>
                            <w:rFonts w:ascii="Arial Narrow" w:hAnsi="Arial Narrow"/>
                            <w:color w:val="FFFFFF"/>
                            <w:sz w:val="13"/>
                          </w:rPr>
                        </w:pPr>
                        <w:r w:rsidRPr="00E36696">
                          <w:rPr>
                            <w:rFonts w:ascii="Arial Narrow" w:hAnsi="Arial Narrow"/>
                            <w:b/>
                            <w:color w:val="FFFFFF"/>
                            <w:sz w:val="13"/>
                          </w:rPr>
                          <w:t xml:space="preserve">Volume </w:t>
                        </w:r>
                        <w:r w:rsidRPr="00E36696">
                          <w:rPr>
                            <w:rFonts w:ascii="Arial Narrow" w:hAnsi="Arial Narrow"/>
                            <w:b/>
                            <w:color w:val="FFFFFF"/>
                            <w:sz w:val="13"/>
                          </w:rPr>
                          <w:br/>
                        </w:r>
                        <w:r w:rsidRPr="00E36696">
                          <w:rPr>
                            <w:rFonts w:ascii="Arial Narrow" w:hAnsi="Arial Narrow"/>
                            <w:color w:val="FFFFFF"/>
                            <w:sz w:val="13"/>
                          </w:rPr>
                          <w:t>(Subsidised scripts)</w:t>
                        </w:r>
                      </w:p>
                    </w:txbxContent>
                  </v:textbox>
                </v:shape>
                <v:shape id="Text Box 19" o:spid="_x0000_s1039" type="#_x0000_t202" style="position:absolute;left:24457;top:15922;width:6361;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ab8IA&#10;AADbAAAADwAAAGRycy9kb3ducmV2LnhtbERPzWqDQBC+B/oOyxR6S1ZjaIvNJhTFJpeSNvUBBneq&#10;EndW3E3Ut88eCj1+fP/b/WQ6caPBtZYVxKsIBHFldcu1gvKnWL6CcB5ZY2eZFMzkYL97WGwx1Xbk&#10;b7qdfS1CCLsUFTTe96mUrmrIoFvZnjhwv3Yw6AMcaqkHHEO46eQ6ip6lwZZDQ4M9ZQ1Vl/PVKEhe&#10;5lPxlX0ecpdcxiqe8/KjzJV6epze30B4mvy/+M991Ao2YX34En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NpvwgAAANsAAAAPAAAAAAAAAAAAAAAAAJgCAABkcnMvZG93&#10;bnJldi54bWxQSwUGAAAAAAQABAD1AAAAhwMAAAAA&#10;">
                  <v:textbox inset="1.50964mm,.75481mm,1.50964mm,.75481mm">
                    <w:txbxContent>
                      <w:p w:rsidR="006E7ADC" w:rsidRPr="00963AEC" w:rsidRDefault="006E7ADC" w:rsidP="002E776C">
                        <w:pPr>
                          <w:rPr>
                            <w:rFonts w:ascii="Arial Narrow" w:hAnsi="Arial Narrow"/>
                            <w:sz w:val="13"/>
                          </w:rPr>
                        </w:pPr>
                        <w:r w:rsidRPr="00963AEC">
                          <w:rPr>
                            <w:rFonts w:ascii="Arial Narrow" w:hAnsi="Arial Narrow"/>
                            <w:sz w:val="13"/>
                          </w:rPr>
                          <w:t>Price changes</w:t>
                        </w:r>
                      </w:p>
                    </w:txbxContent>
                  </v:textbox>
                </v:shape>
                <v:shape id="Text Box 20" o:spid="_x0000_s1040" type="#_x0000_t202" style="position:absolute;left:24457;top:20768;width:6361;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9MQA&#10;AADbAAAADwAAAGRycy9kb3ducmV2LnhtbESP3WrCQBSE7wt9h+UUvNNNqtgSXaUY/LkpWpsHOGSP&#10;STB7NmRXk7y9KxR6OczMN8xy3Zta3Kl1lWUF8SQCQZxbXXGhIPvdjj9BOI+ssbZMCgZysF69viwx&#10;0bbjH7qffSEChF2CCkrvm0RKl5dk0E1sQxy8i20N+iDbQuoWuwA3tXyPork0WHFYKLGhTUn59Xwz&#10;CqYfw3F72nzvUze9dnk8pNkuS5UavfVfCxCeev8f/msftIJZDM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If/T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Copayment levels</w:t>
                        </w:r>
                      </w:p>
                    </w:txbxContent>
                  </v:textbox>
                </v:shape>
                <v:shape id="Text Box 21" o:spid="_x0000_s1041" type="#_x0000_t202" style="position:absolute;left:23799;top:24922;width:789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hg8QA&#10;AADbAAAADwAAAGRycy9kb3ducmV2LnhtbESP3WrCQBSE7wu+w3KE3tWNWqpEVxGDPzfFvzzAIXtM&#10;gtmzIbs1ydt3hUIvh5n5hlmuO1OJJzWutKxgPIpAEGdWl5wrSG+7jzkI55E1VpZJQU8O1qvB2xJj&#10;bVu+0PPqcxEg7GJUUHhfx1K6rCCDbmRr4uDdbWPQB9nkUjfYBrip5CSKvqTBksNCgTVtC8oe1x+j&#10;YDrrT7vz9vuQuOmjzcZ9ku7TRKn3YbdZgPDU+f/wX/uoFXxO4PU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a4YP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Gen/Concessional mix</w:t>
                        </w:r>
                      </w:p>
                    </w:txbxContent>
                  </v:textbox>
                </v:shape>
                <v:shape id="Text Box 22" o:spid="_x0000_s1042" type="#_x0000_t202" style="position:absolute;left:24018;top:29075;width:7673;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ZEGMQA&#10;AADbAAAADwAAAGRycy9kb3ducmV2LnhtbESP3WrCQBSE7wt9h+UUvNONjdgSXaUY/LkpWpsHOGSP&#10;STB7NmRXk7y9KxR6OczMN8xy3Zta3Kl1lWUF00kEgji3uuJCQfa7HX+CcB5ZY22ZFAzkYL16fVli&#10;om3HP3Q/+0IECLsEFZTeN4mULi/JoJvYhjh4F9sa9EG2hdQtdgFuavkeRXNpsOKwUGJDm5Ly6/lm&#10;FMQfw3F72nzvUxdfu3w6pNkuS5UavfVfCxCeev8f/msftIJZDM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WRBj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 xml:space="preserve">Number of </w:t>
                        </w:r>
                        <w:r>
                          <w:rPr>
                            <w:rFonts w:ascii="Arial Narrow" w:hAnsi="Arial Narrow"/>
                            <w:sz w:val="13"/>
                          </w:rPr>
                          <w:t>Safety Net</w:t>
                        </w:r>
                        <w:r w:rsidRPr="00963AEC">
                          <w:rPr>
                            <w:rFonts w:ascii="Arial Narrow" w:hAnsi="Arial Narrow"/>
                            <w:sz w:val="13"/>
                          </w:rPr>
                          <w:t xml:space="preserve"> cards issued</w:t>
                        </w:r>
                      </w:p>
                    </w:txbxContent>
                  </v:textbox>
                </v:shape>
                <v:shape id="Text Box 23" o:spid="_x0000_s1043" type="#_x0000_t202" style="position:absolute;left:24018;top:33229;width:7673;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cbMQA&#10;AADbAAAADwAAAGRycy9kb3ducmV2LnhtbESP3WrCQBSE7wu+w3IE7+rGKlWiq4hB7U3xLw9wyB6T&#10;YPZsyG5N8vZuodDLYWa+YVabzlTiSY0rLSuYjCMQxJnVJecK0tv+fQHCeWSNlWVS0JODzXrwtsJY&#10;25Yv9Lz6XAQIuxgVFN7XsZQuK8igG9uaOHh32xj0QTa51A22AW4q+RFFn9JgyWGhwJp2BWWP649R&#10;MJ33p/15931M3PTRZpM+SQ9potRo2G2XIDx1/j/81/7SCmY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3Gz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Pharmacy remuneration</w:t>
                        </w:r>
                      </w:p>
                    </w:txbxContent>
                  </v:textbox>
                </v:shape>
                <v:shape id="Text Box 24" o:spid="_x0000_s1044" type="#_x0000_t202" style="position:absolute;left:13057;top:12461;width:5261;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598QA&#10;AADbAAAADwAAAGRycy9kb3ducmV2LnhtbESP3WrCQBSE7wt9h+UUvNON2qpEVykGa2/EvzzAIXua&#10;BLNnQ3ZrkrfvCkIvh5n5hlltOlOJOzWutKxgPIpAEGdWl5wrSK+74QKE88gaK8ukoCcHm/Xrywpj&#10;bVs+0/3icxEg7GJUUHhfx1K6rCCDbmRr4uD92MagD7LJpW6wDXBTyUkUzaTBksNCgTVtC8pul1+j&#10;YDrvj7vT9rBP3PTWZuM+Sb/SRKnBW/e5BOGp8//hZ/tbK3j/gMe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eff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PBS Reform</w:t>
                        </w:r>
                      </w:p>
                    </w:txbxContent>
                  </v:textbox>
                </v:shape>
                <v:shape id="Text Box 25" o:spid="_x0000_s1045" type="#_x0000_t202" style="position:absolute;left:12180;top:15922;width:7454;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HngMQA&#10;AADbAAAADwAAAGRycy9kb3ducmV2LnhtbESP3WrCQBSE7wu+w3IE7+rGKirRVcSg9qb4lwc4ZI9J&#10;MHs2ZLcmeftuodDLYWa+YdbbzlTiRY0rLSuYjCMQxJnVJecK0vvhfQnCeWSNlWVS0JOD7WbwtsZY&#10;25av9Lr5XAQIuxgVFN7XsZQuK8igG9uaOHgP2xj0QTa51A22AW4q+RFFc2mw5LBQYE37grLn7dso&#10;mC768+Gy/zolbvpss0mfpMc0UWo07HYrEJ46/x/+a39qBbM5/H4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h54D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PBPA price changes</w:t>
                        </w:r>
                      </w:p>
                    </w:txbxContent>
                  </v:textbox>
                </v:shape>
                <v:shape id="Text Box 26" o:spid="_x0000_s1046" type="#_x0000_t202" style="position:absolute;left:12180;top:19383;width:7454;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CG8UA&#10;AADbAAAADwAAAGRycy9kb3ducmV2LnhtbESP3WrCQBSE7wt9h+UUelc3/tCU6CpisPVG/Gke4JA9&#10;JsHs2ZDdmuTtXUHo5TAz3zCLVW9qcaPWVZYVjEcRCOLc6ooLBdnv9uMLhPPIGmvLpGAgB6vl68sC&#10;E207PtHt7AsRIOwSVFB63yRSurwkg25kG+LgXWxr0AfZFlK32AW4qeUkij6lwYrDQokNbUrKr+c/&#10;o2AaD4ftcbP/Sd302uXjIc2+s1Sp97d+PQfhqff/4Wd7pxXMYnh8C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UIbxQAAANsAAAAPAAAAAAAAAAAAAAAAAJgCAABkcnMv&#10;ZG93bnJldi54bWxQSwUGAAAAAAQABAD1AAAAigM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WAMTC price changes</w:t>
                        </w:r>
                      </w:p>
                    </w:txbxContent>
                  </v:textbox>
                </v:shape>
                <v:shape id="Text Box 27" o:spid="_x0000_s1047" type="#_x0000_t202" style="position:absolute;left:3411;top:12461;width:6358;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acIA&#10;AADbAAAADwAAAGRycy9kb3ducmV2LnhtbERPzWqDQBC+B/oOyxR6S1ZjaIvNJhTFJpeSNvUBBneq&#10;EndW3E3Ut88eCj1+fP/b/WQ6caPBtZYVxKsIBHFldcu1gvKnWL6CcB5ZY2eZFMzkYL97WGwx1Xbk&#10;b7qdfS1CCLsUFTTe96mUrmrIoFvZnjhwv3Yw6AMcaqkHHEO46eQ6ip6lwZZDQ4M9ZQ1Vl/PVKEhe&#10;5lPxlX0ecpdcxiqe8/KjzJV6epze30B4mvy/+M991Ao2YWz4En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8tZpwgAAANsAAAAPAAAAAAAAAAAAAAAAAJgCAABkcnMvZG93&#10;bnJldi54bWxQSwUGAAAAAAQABAD1AAAAhwM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Rate of generic entry</w:t>
                        </w:r>
                      </w:p>
                    </w:txbxContent>
                  </v:textbox>
                </v:shape>
                <v:shape id="Text Box 28" o:spid="_x0000_s1048" type="#_x0000_t202" style="position:absolute;left:13057;top:29075;width:9207;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5z8sQA&#10;AADbAAAADwAAAGRycy9kb3ducmV2LnhtbESP3WrCQBSE7wt9h+UUvNONWqpGVykGa2/EvzzAIXua&#10;BLNnQ3ZrkrfvCkIvh5n5hlltOlOJOzWutKxgPIpAEGdWl5wrSK+74RyE88gaK8ukoCcHm/Xrywpj&#10;bVs+0/3icxEg7GJUUHhfx1K6rCCDbmRr4uD92MagD7LJpW6wDXBTyUkUfUiDJYeFAmvaFpTdLr9G&#10;wXTWH3en7WGfuOmtzcZ9kn6liVKDt+5zCcJT5//Dz/a3VvC+gMe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c/LEAAAA2wAAAA8AAAAAAAAAAAAAAAAAmAIAAGRycy9k&#10;b3ducmV2LnhtbFBLBQYAAAAABAAEAPUAAACJAwAAAAA=&#10;">
                  <v:textbox inset="1.50964mm,.75481mm,1.50964mm,.75481mm">
                    <w:txbxContent>
                      <w:p w:rsidR="006E7ADC" w:rsidRPr="00963AEC" w:rsidRDefault="006E7ADC" w:rsidP="002E776C">
                        <w:pPr>
                          <w:rPr>
                            <w:rFonts w:ascii="Arial Narrow" w:hAnsi="Arial Narrow"/>
                            <w:sz w:val="13"/>
                          </w:rPr>
                        </w:pPr>
                        <w:r w:rsidRPr="00963AEC">
                          <w:rPr>
                            <w:rFonts w:ascii="Arial Narrow" w:hAnsi="Arial Narrow"/>
                            <w:sz w:val="13"/>
                          </w:rPr>
                          <w:t>% population covered by concession cards</w:t>
                        </w:r>
                      </w:p>
                    </w:txbxContent>
                  </v:textbox>
                </v:shape>
                <v:shape id="Text Box 29" o:spid="_x0000_s1049" type="#_x0000_t202" style="position:absolute;left:2315;top:26306;width:7234;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1MssIA&#10;AADbAAAADwAAAGRycy9kb3ducmV2LnhtbERPzWqDQBC+B/oOyxR6S1YjaYvNJhTFJpeSNvUBBneq&#10;EndW3E3Ut88eCj1+fP/b/WQ6caPBtZYVxKsIBHFldcu1gvKnWL6CcB5ZY2eZFMzkYL97WGwx1Xbk&#10;b7qdfS1CCLsUFTTe96mUrmrIoFvZnjhwv3Yw6AMcaqkHHEO46eQ6ip6lwZZDQ4M9ZQ1Vl/PVKEhe&#10;5lPxlX0ecpdcxiqe8/KjzJV6epze30B4mvy/+M991Ao2YX34En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UyywgAAANsAAAAPAAAAAAAAAAAAAAAAAJgCAABkcnMvZG93&#10;bnJldi54bWxQSwUGAAAAAAQABAD1AAAAhwM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Unemployment</w:t>
                        </w:r>
                      </w:p>
                    </w:txbxContent>
                  </v:textbox>
                </v:shape>
                <v:shape id="Text Box 30" o:spid="_x0000_s1050" type="#_x0000_t202" style="position:absolute;left:4069;top:29767;width:5480;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HpKcQA&#10;AADbAAAADwAAAGRycy9kb3ducmV2LnhtbESP3WrCQBSE7wt9h+UUvNNNKtoSXaUY/LkpWpsHOGSP&#10;STB7NmRXk7y9KxR6OczMN8xy3Zta3Kl1lWUF8SQCQZxbXXGhIPvdjj9BOI+ssbZMCgZysF69viwx&#10;0bbjH7qffSEChF2CCkrvm0RKl5dk0E1sQxy8i20N+iDbQuoWuwA3tXyPork0WHFYKLGhTUn59Xwz&#10;CqYfw3F72nzvUze9dnk8pNkuS5UavfVfCxCeev8f/msftIJZDM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R6Sn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Ageing population</w:t>
                        </w:r>
                      </w:p>
                    </w:txbxContent>
                  </v:textbox>
                </v:shape>
                <v:shape id="Text Box 31" o:spid="_x0000_s1051" type="#_x0000_t202" style="position:absolute;left:37610;top:17307;width:8550;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3XsQA&#10;AADbAAAADwAAAGRycy9kb3ducmV2LnhtbESP3WrCQBSE7wu+w3KE3tWNSqtEVxGDPzfFvzzAIXtM&#10;gtmzIbs1ydt3hUIvh5n5hlmuO1OJJzWutKxgPIpAEGdWl5wrSG+7jzkI55E1VpZJQU8O1qvB2xJj&#10;bVu+0PPqcxEg7GJUUHhfx1K6rCCDbmRr4uDdbWPQB9nkUjfYBrip5CSKvqTBksNCgTVtC8oe1x+j&#10;YDrrT7vz9vuQuOmjzcZ9ku7TRKn3YbdZgPDU+f/wX/uoFXxO4PU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Dd17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Ageing population</w:t>
                        </w:r>
                      </w:p>
                    </w:txbxContent>
                  </v:textbox>
                </v:shape>
                <v:shape id="Text Box 32" o:spid="_x0000_s1052" type="#_x0000_t202" style="position:absolute;left:38049;top:20076;width:7234;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SxcQA&#10;AADbAAAADwAAAGRycy9kb3ducmV2LnhtbESP3WrCQBSE7wt9h+UUvNONDdoSXaUY/LkpWpsHOGSP&#10;STB7NmRXk7y9KxR6OczMN8xy3Zta3Kl1lWUF00kEgji3uuJCQfa7HX+CcB5ZY22ZFAzkYL16fVli&#10;om3HP3Q/+0IECLsEFZTeN4mULi/JoJvYhjh4F9sa9EG2hdQtdgFuavkeRXNpsOKwUGJDm5Ly6/lm&#10;FMQfw3F72nzvUxdfu3w6pNkuS5UavfVfCxCeev8f/msftIJZDM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P0sX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GP prescribing patterns</w:t>
                        </w:r>
                      </w:p>
                    </w:txbxContent>
                  </v:textbox>
                </v:shape>
                <v:shape id="Text Box 33" o:spid="_x0000_s1053" type="#_x0000_t202" style="position:absolute;left:37826;top:23129;width:7896;height:2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scQA&#10;AADbAAAADwAAAGRycy9kb3ducmV2LnhtbESP3WrCQBSE7wt9h+UUvNON2qpEVykGa2/EvzzAIXua&#10;BLNnQ3ZrkrfvCkIvh5n5hlltOlOJOzWutKxgPIpAEGdWl5wrSK+74QKE88gaK8ukoCcHm/Xrywpj&#10;bVs+0/3icxEg7GJUUHhfx1K6rCCDbmRr4uD92MagD7LJpW6wDXBTyUkUzaTBksNCgTVtC8pul1+j&#10;YDrvj7vT9rBP3PTWZuM+Sb/SRKnBW/e5BOGp8//hZ/tbK/h4h8e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mSrH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Pr>
                            <w:rFonts w:ascii="Arial Narrow" w:hAnsi="Arial Narrow"/>
                            <w:sz w:val="13"/>
                          </w:rPr>
                          <w:t>Screening and early detection</w:t>
                        </w:r>
                      </w:p>
                    </w:txbxContent>
                  </v:textbox>
                </v:shape>
                <v:shape id="Text Box 34" o:spid="_x0000_s1054" type="#_x0000_t202" style="position:absolute;left:38049;top:26306;width:7673;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vKsQA&#10;AADbAAAADwAAAGRycy9kb3ducmV2LnhtbESP3WrCQBSE7wu+w3IE7+rGilWiq4hB7U3xLw9wyB6T&#10;YPZsyG5N8vZuodDLYWa+YVabzlTiSY0rLSuYjCMQxJnVJecK0tv+fQHCeWSNlWVS0JODzXrwtsJY&#10;25Yv9Lz6XAQIuxgVFN7XsZQuK8igG9uaOHh32xj0QTa51A22AW4q+RFFn9JgyWGhwJp2BWWP649R&#10;MJ33p/15931M3PTRZpM+SQ9potRo2G2XIDx1/j/81/7SCmYz+P0Sf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7yr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Changing PBS restrictions</w:t>
                        </w:r>
                      </w:p>
                    </w:txbxContent>
                  </v:textbox>
                </v:shape>
                <v:shape id="Text Box 35" o:spid="_x0000_s1055" type="#_x0000_t202" style="position:absolute;left:37829;top:29767;width:877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xXcQA&#10;AADbAAAADwAAAGRycy9kb3ducmV2LnhtbESP3WrCQBSE7wu+w3IE7+rGij9EVxGD2pviXx7gkD0m&#10;wezZkN2a5O27hUIvh5n5hllvO1OJFzWutKxgMo5AEGdWl5wrSO+H9yUI55E1VpZJQU8OtpvB2xpj&#10;bVu+0uvmcxEg7GJUUHhfx1K6rCCDbmxr4uA9bGPQB9nkUjfYBrip5EcUzaXBksNCgTXtC8qet2+j&#10;YLroz4fL/uuUuOmzzSZ9kh7TRKnRsNutQHjq/H/4r/2pFczm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4cV3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Patient compliance</w:t>
                        </w:r>
                      </w:p>
                    </w:txbxContent>
                  </v:textbox>
                </v:shape>
                <v:shape id="Text Box 36" o:spid="_x0000_s1056" type="#_x0000_t202" style="position:absolute;left:37829;top:32536;width:8989;height: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UxsUA&#10;AADbAAAADwAAAGRycy9kb3ducmV2LnhtbESP3WrCQBSE7wt9h+UUelc3KjYluooYbL0Rf5oHOGSP&#10;STB7NmS3Jnl7VxB6OczMN8xi1Zta3Kh1lWUF41EEgji3uuJCQfa7/fgC4TyyxtoyKRjIwWr5+rLA&#10;RNuOT3Q7+0IECLsEFZTeN4mULi/JoBvZhjh4F9sa9EG2hdQtdgFuajmJok9psOKwUGJDm5Ly6/nP&#10;KJjGw2F73Ox/Uje9dvl4SLPvLFXq/a1fz0F46v1/+NneaQWzGB5fw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NTGxQAAANsAAAAPAAAAAAAAAAAAAAAAAJgCAABkcnMv&#10;ZG93bnJldi54bWxQSwUGAAAAAAQABAD1AAAAigM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Drugs moving from above to below the GCP (or vice versa)</w:t>
                        </w:r>
                      </w:p>
                    </w:txbxContent>
                  </v:textbox>
                </v:shape>
                <v:line id="Line 37" o:spid="_x0000_s1057" style="position:absolute;visibility:visible;mso-wrap-style:square" from="41995,13153" to="41999,13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38" o:spid="_x0000_s1058" style="position:absolute;visibility:visible;mso-wrap-style:square" from="27745,13153" to="27749,14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 id="Text Box 39" o:spid="_x0000_s1059" type="#_x0000_t202" style="position:absolute;left:15688;top:23537;width:350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GD8AA&#10;AADbAAAADwAAAGRycy9kb3ducmV2LnhtbERPy4rCMBTdC/5DuII7TVVwpBplsOi4kfHRD7g0d9pi&#10;c1OaaNu/nywEl4fz3uw6U4kXNa60rGA2jUAQZ1aXnCtI74fJCoTzyBory6SgJwe77XCwwVjblq/0&#10;uvlchBB2MSoovK9jKV1WkEE3tTVx4P5sY9AH2ORSN9iGcFPJeRQtpcGSQ0OBNe0Lyh63p1Gw+Op/&#10;D5f9+Sdxi0ebzfokPaaJUuNR970G4anzH/HbfdIKlmF9+B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GGD8AAAADbAAAADwAAAAAAAAAAAAAAAACYAgAAZHJzL2Rvd25y&#10;ZXYueG1sUEsFBgAAAAAEAAQA9QAAAIUDA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CPI</w:t>
                        </w:r>
                      </w:p>
                    </w:txbxContent>
                  </v:textbox>
                </v:shape>
                <v:line id="Line 40" o:spid="_x0000_s1060" style="position:absolute;visibility:visible;mso-wrap-style:square" from="31691,30460" to="34103,30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41" o:spid="_x0000_s1061" style="position:absolute;flip:y;visibility:visible;mso-wrap-style:square" from="34103,17307" to="34106,3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42" o:spid="_x0000_s1062" style="position:absolute;flip:x;visibility:visible;mso-wrap-style:square" from="30814,17307" to="34103,17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43" o:spid="_x0000_s1063" style="position:absolute;flip:y;visibility:visible;mso-wrap-style:square" from="34103,11768" to="35856,1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44" o:spid="_x0000_s1064" style="position:absolute;visibility:visible;mso-wrap-style:square" from="35856,11768" to="37391,11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45" o:spid="_x0000_s1065" style="position:absolute;flip:x;visibility:visible;mso-wrap-style:square" from="20949,34613" to="24018,35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shape id="Text Box 46" o:spid="_x0000_s1066" type="#_x0000_t202" style="position:absolute;left:11084;top:34613;width:9865;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ee8QA&#10;AADbAAAADwAAAGRycy9kb3ducmV2LnhtbESP3YrCMBSE7xd8h3AE79ZUBZVqFLGoe7OsP32AQ3Ns&#10;i81JaaJt394sLOzlMDPfMOttZyrxosaVlhVMxhEI4szqknMF6e3wuQThPLLGyjIp6MnBdjP4WGOs&#10;bcsXel19LgKEXYwKCu/rWEqXFWTQjW1NHLy7bQz6IJtc6gbbADeVnEbRXBosOSwUWNO+oOxxfRoF&#10;s0X/czjvv0+Jmz3abNIn6TFNlBoNu90KhKfO/4f/2l9awXwBv1/CD5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YHnv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Community Pharmacy Agreements</w:t>
                        </w:r>
                      </w:p>
                    </w:txbxContent>
                  </v:textbox>
                </v:shape>
                <v:line id="Line 47" o:spid="_x0000_s1067" style="position:absolute;flip:x;visibility:visible;mso-wrap-style:square" from="22264,26306" to="23799,3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48" o:spid="_x0000_s1068" style="position:absolute;flip:x;visibility:visible;mso-wrap-style:square" from="19195,22152" to="24457,24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49" o:spid="_x0000_s1069" style="position:absolute;flip:x;visibility:visible;mso-wrap-style:square" from="19634,16614" to="24457,2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Line 50" o:spid="_x0000_s1070" style="position:absolute;flip:x;visibility:visible;mso-wrap-style:square" from="19634,16614" to="24457,1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line id="Line 51" o:spid="_x0000_s1071" style="position:absolute;flip:x y;visibility:visible;mso-wrap-style:square" from="18318,13845" to="24457,16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ldMQAAADbAAAADwAAAGRycy9kb3ducmV2LnhtbESPQWvCQBSE74X+h+UJ3pqNHtSmriJC&#10;wYMXbWmvL9lnNpp9m2TXGP+9KxR6HGbmG2a5Hmwteup85VjBJElBEBdOV1wq+P76fFuA8AFZY+2Y&#10;FNzJw3r1+rLETLsbH6g/hlJECPsMFZgQmkxKXxiy6BPXEEfv5DqLIcqulLrDW4TbWk7TdCYtVhwX&#10;DDa0NVRcjleroM+vk/PP/nDx+W/7ni9Mu923M6XGo2HzASLQEP7Df+2dVjCfwv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6V0xAAAANsAAAAPAAAAAAAAAAAA&#10;AAAAAKECAABkcnMvZG93bnJldi54bWxQSwUGAAAAAAQABAD5AAAAkgMAAAAA&#10;">
                  <v:stroke endarrow="block"/>
                </v:line>
                <v:line id="Line 52" o:spid="_x0000_s1072" style="position:absolute;flip:x;visibility:visible;mso-wrap-style:square" from="9769,13845" to="13057,13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53" o:spid="_x0000_s1073" style="position:absolute;flip:x y;visibility:visible;mso-wrap-style:square" from="9549,27691" to="13057,3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aYm8UAAADbAAAADwAAAGRycy9kb3ducmV2LnhtbESPT2vCQBTE7wW/w/KE3upGEWtTVxFB&#10;8ODFP9jrS/Y1G82+TbJrTL99tyD0OMzMb5jFqreV6Kj1pWMF41ECgjh3uuRCwfm0fZuD8AFZY+WY&#10;FPyQh9Vy8LLAVLsHH6g7hkJECPsUFZgQ6lRKnxuy6EeuJo7et2sthijbQuoWHxFuKzlJkpm0WHJc&#10;MFjTxlB+O96tgi67j6+X/eHms6/mI5ubZrNvZkq9Dvv1J4hAffgPP9s7reB9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aYm8UAAADbAAAADwAAAAAAAAAA&#10;AAAAAAChAgAAZHJzL2Rvd25yZXYueG1sUEsFBgAAAAAEAAQA+QAAAJMDAAAAAA==&#10;">
                  <v:stroke endarrow="block"/>
                </v:line>
                <v:line id="Line 54" o:spid="_x0000_s1074" style="position:absolute;flip:x;visibility:visible;mso-wrap-style:square" from="9549,30460" to="13057,3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OSsUAAADbAAAADwAAAGRycy9kb3ducmV2LnhtbESPT2vCQBDF74LfYRnBS6gbK7Y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fOSsUAAADbAAAADwAAAAAAAAAA&#10;AAAAAAChAgAAZHJzL2Rvd25yZXYueG1sUEsFBgAAAAAEAAQA+QAAAJMDAAAAAA==&#10;">
                  <v:stroke endarrow="block"/>
                </v:line>
                <v:shape id="Text Box 55" o:spid="_x0000_s1075" type="#_x0000_t202" style="position:absolute;left:37829;top:14537;width:8550;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0tPcQA&#10;AADbAAAADwAAAGRycy9kb3ducmV2LnhtbESP3YrCMBSE7xd8h3AE79ZUBZVqFLGoe7OsP32AQ3Ns&#10;i81JaaJt394sLOzlMDPfMOttZyrxosaVlhVMxhEI4szqknMF6e3wuQThPLLGyjIp6MnBdjP4WGOs&#10;bcsXel19LgKEXYwKCu/rWEqXFWTQjW1NHLy7bQz6IJtc6gbbADeVnEbRXBosOSwUWNO+oOxxfRoF&#10;s0X/czjvv0+Jmz3abNIn6TFNlBoNu90KhKfO/4f/2l9awWIOv1/CD5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NLT3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Disease groups</w:t>
                        </w:r>
                      </w:p>
                    </w:txbxContent>
                  </v:textbox>
                </v:shape>
                <v:line id="Line 56" o:spid="_x0000_s1076" style="position:absolute;visibility:visible;mso-wrap-style:square" from="46379,15230" to="49887,15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shape id="Text Box 57" o:spid="_x0000_s1077" type="#_x0000_t202" style="position:absolute;left:49887;top:13845;width:6577;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4c1MAA&#10;AADbAAAADwAAAGRycy9kb3ducmV2LnhtbERPy4rCMBTdC/5DuII7TVUYpRplsOjMRnz1Ay7NnbbY&#10;3JQm2vbvJwvB5eG8N7vOVOJFjSstK5hNIxDEmdUl5wrS+2GyAuE8ssbKMinoycFuOxxsMNa25Su9&#10;bj4XIYRdjAoK7+tYSpcVZNBNbU0cuD/bGPQBNrnUDbYh3FRyHkVf0mDJoaHAmvYFZY/b0yhYLPvz&#10;4bI//SRu8WizWZ+kxzRRajzqvtcgPHX+I367f7WCZRgbvoQf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4c1MAAAADbAAAADwAAAAAAAAAAAAAAAACYAgAAZHJzL2Rvd25y&#10;ZXYueG1sUEsFBgAAAAAEAAQA9QAAAIUDA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Drugs used to treat</w:t>
                        </w:r>
                      </w:p>
                    </w:txbxContent>
                  </v:textbox>
                </v:shape>
                <v:shape id="Text Box 58" o:spid="_x0000_s1078" type="#_x0000_t202" style="position:absolute;left:2315;top:6980;width:11284;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5T8QA&#10;AADbAAAADwAAAGRycy9kb3ducmV2LnhtbESP3WrCQBSE7wu+w3IE7+rGCv5EVxGD2pviXx7gkD0m&#10;wezZkN2a5O27hUIvh5n5hllvO1OJFzWutKxgMo5AEGdWl5wrSO+H9wUI55E1VpZJQU8OtpvB2xpj&#10;bVu+0uvmcxEg7GJUUHhfx1K6rCCDbmxr4uA9bGPQB9nkUjfYBrip5EcUzaTBksNCgTXtC8qet2+j&#10;YDrvz4fL/uuUuOmzzSZ9kh7TRKnRsNutQHjq/H/4r/2pFcyX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SuU/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sidRPr="00963AEC">
                          <w:rPr>
                            <w:rFonts w:ascii="Arial Narrow" w:hAnsi="Arial Narrow"/>
                            <w:sz w:val="13"/>
                          </w:rPr>
                          <w:t>PBAC recommendation</w:t>
                        </w:r>
                      </w:p>
                    </w:txbxContent>
                  </v:textbox>
                </v:shape>
                <v:line id="Line 59" o:spid="_x0000_s1079" style="position:absolute;flip:x;visibility:visible;mso-wrap-style:square" from="34980,30460" to="37829,3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60" o:spid="_x0000_s1080" style="position:absolute;flip:y;visibility:visible;mso-wrap-style:square" from="34980,22152" to="34980,3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Line 61" o:spid="_x0000_s1081" style="position:absolute;flip:x;visibility:visible;mso-wrap-style:square" from="30814,22152" to="34980,22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62" o:spid="_x0000_s1082" style="position:absolute;visibility:visible;mso-wrap-style:square" from="34980,30460" to="34980,34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63" o:spid="_x0000_s1083" style="position:absolute;visibility:visible;mso-wrap-style:square" from="34980,34613" to="37829,34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64" o:spid="_x0000_s1084" style="position:absolute;visibility:visible;mso-wrap-style:square" from="34103,30460" to="34103,34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65" o:spid="_x0000_s1085" style="position:absolute;flip:x;visibility:visible;mso-wrap-style:square" from="34103,34613" to="34980,34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shape id="Text Box 66" o:spid="_x0000_s1086" type="#_x0000_t202" style="position:absolute;left:48795;top:20768;width:8546;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4gcQA&#10;AADbAAAADwAAAGRycy9kb3ducmV2LnhtbESP3YrCMBSE7wXfIRzBO01VUKlGEYvr3izrTx/g0Bzb&#10;YnNSmqxt334jLOzlMDPfMNt9ZyrxosaVlhXMphEI4szqknMF6f00WYNwHlljZZkU9ORgvxsOthhr&#10;2/KVXjefiwBhF6OCwvs6ltJlBRl0U1sTB+9hG4M+yCaXusE2wE0l51G0lAZLDgsF1nQsKHvefoyC&#10;xar/Pl2OX+fELZ5tNuuT9CNNlBqPusMGhKfO/4f/2p9awXoF7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U+IHEAAAA2wAAAA8AAAAAAAAAAAAAAAAAmAIAAGRycy9k&#10;b3ducmV2LnhtbFBLBQYAAAAABAAEAPUAAACJAwAAAAA=&#10;">
                  <v:textbox inset="1.50964mm,.75481mm,1.50964mm,.75481mm">
                    <w:txbxContent>
                      <w:p w:rsidR="006E7ADC" w:rsidRPr="00963AEC" w:rsidRDefault="006E7ADC" w:rsidP="002E776C">
                        <w:pPr>
                          <w:jc w:val="center"/>
                          <w:rPr>
                            <w:rFonts w:ascii="Arial Narrow" w:hAnsi="Arial Narrow"/>
                            <w:sz w:val="13"/>
                          </w:rPr>
                        </w:pPr>
                        <w:r>
                          <w:rPr>
                            <w:rFonts w:ascii="Arial Narrow" w:hAnsi="Arial Narrow"/>
                            <w:sz w:val="13"/>
                          </w:rPr>
                          <w:t xml:space="preserve">Population based/ opportunistic </w:t>
                        </w:r>
                      </w:p>
                    </w:txbxContent>
                  </v:textbox>
                </v:shape>
                <v:shape id="Text Box 67" o:spid="_x0000_s1087" type="#_x0000_t202" style="position:absolute;left:48791;top:24922;width:8550;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ts88IA&#10;AADbAAAADwAAAGRycy9kb3ducmV2LnhtbERPzWqDQBC+F/IOyxRyq6sJtMFmE4qSpJfSxPgAgztV&#10;iTsr7ibq23cPhR4/vv/tfjKdeNDgWssKkigGQVxZ3XKtoLweXjYgnEfW2FkmBTM52O8WT1tMtR35&#10;Qo/C1yKEsEtRQeN9n0rpqoYMusj2xIH7sYNBH+BQSz3gGMJNJ1dx/CoNthwaGuwpa6i6FXejYP02&#10;fx/O2dcpd+vbWCVzXh7LXKnl8/TxDsLT5P/Ff+5PrWATxoYv4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S2zzwgAAANsAAAAPAAAAAAAAAAAAAAAAAJgCAABkcnMvZG93&#10;bnJldi54bWxQSwUGAAAAAAQABAD1AAAAhwMAAAAA&#10;">
                  <v:textbox inset="1.50964mm,.75481mm,1.50964mm,.75481mm">
                    <w:txbxContent>
                      <w:p w:rsidR="006E7ADC" w:rsidRPr="00963AEC" w:rsidRDefault="006E7ADC" w:rsidP="002E776C">
                        <w:pPr>
                          <w:rPr>
                            <w:rFonts w:ascii="Arial Narrow" w:hAnsi="Arial Narrow"/>
                            <w:sz w:val="13"/>
                          </w:rPr>
                        </w:pPr>
                        <w:r w:rsidRPr="00963AEC">
                          <w:rPr>
                            <w:rFonts w:ascii="Arial Narrow" w:hAnsi="Arial Narrow"/>
                            <w:sz w:val="13"/>
                          </w:rPr>
                          <w:t>New technology/</w:t>
                        </w:r>
                        <w:r w:rsidRPr="00963AEC">
                          <w:rPr>
                            <w:rFonts w:ascii="Arial Narrow" w:hAnsi="Arial Narrow"/>
                            <w:sz w:val="13"/>
                          </w:rPr>
                          <w:br/>
                          <w:t>Diagnostics</w:t>
                        </w:r>
                      </w:p>
                    </w:txbxContent>
                  </v:textbox>
                </v:shape>
                <v:shape id="Text Box 68" o:spid="_x0000_s1088" type="#_x0000_t202" style="position:absolute;left:48791;top:29767;width:8769;height: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JaMUA&#10;AADbAAAADwAAAGRycy9kb3ducmV2LnhtbESP3WrCQBSE7wt9h+UUelc3Ktg0uooYbL0Rf5oHOGSP&#10;STB7NmS3Jnl7VxB6OczMN8xi1Zta3Kh1lWUF41EEgji3uuJCQfa7/YhBOI+ssbZMCgZysFq+viww&#10;0bbjE93OvhABwi5BBaX3TSKly0sy6Ea2IQ7exbYGfZBtIXWLXYCbWk6iaCYNVhwWSmxoU1J+Pf8Z&#10;BdPP4bA9bvY/qZteu3w8pNl3lir1/tav5yA89f4//GzvtIL4Cx5fw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8loxQAAANsAAAAPAAAAAAAAAAAAAAAAAJgCAABkcnMv&#10;ZG93bnJldi54bWxQSwUGAAAAAAQABAD1AAAAigMAAAAA&#10;">
                  <v:textbox inset="1.50964mm,.75481mm,1.50964mm,.75481mm">
                    <w:txbxContent>
                      <w:p w:rsidR="006E7ADC" w:rsidRPr="00963AEC" w:rsidRDefault="006E7ADC" w:rsidP="002E776C">
                        <w:pPr>
                          <w:rPr>
                            <w:rFonts w:ascii="Arial Narrow" w:hAnsi="Arial Narrow"/>
                            <w:sz w:val="13"/>
                          </w:rPr>
                        </w:pPr>
                        <w:r w:rsidRPr="00963AEC">
                          <w:rPr>
                            <w:rFonts w:ascii="Arial Narrow" w:hAnsi="Arial Narrow"/>
                            <w:sz w:val="13"/>
                          </w:rPr>
                          <w:t>Number of medications being taken</w:t>
                        </w:r>
                      </w:p>
                    </w:txbxContent>
                  </v:textbox>
                </v:shape>
                <v:line id="Line 69" o:spid="_x0000_s1089" style="position:absolute;visibility:visible;mso-wrap-style:square" from="46599,30460" to="48791,31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70" o:spid="_x0000_s1090" style="position:absolute;flip:y;visibility:visible;mso-wrap-style:square" from="45722,22845" to="48791,2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71" o:spid="_x0000_s1091" style="position:absolute;visibility:visible;mso-wrap-style:square" from="45722,24229" to="48791,26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AutoShape 72" o:spid="_x0000_s1092" type="#_x0000_t32" style="position:absolute;left:7961;top:4669;width:4;height:23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uNdsIAAADbAAAADwAAAGRycy9kb3ducmV2LnhtbESPQWsCMRSE74L/ITyhN81aqe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uNdsIAAADbAAAADwAAAAAAAAAAAAAA&#10;AAChAgAAZHJzL2Rvd25yZXYueG1sUEsFBgAAAAAEAAQA+QAAAJADAAAAAA==&#10;">
                  <v:stroke endarrow="block"/>
                </v:shape>
                <w10:wrap type="square"/>
              </v:group>
            </w:pict>
          </mc:Fallback>
        </mc:AlternateContent>
      </w:r>
      <w:r w:rsidR="00B57D94">
        <w:rPr>
          <w:noProof/>
          <w:lang w:eastAsia="en-AU"/>
        </w:rPr>
        <mc:AlternateContent>
          <mc:Choice Requires="wps">
            <w:drawing>
              <wp:anchor distT="0" distB="0" distL="114300" distR="114300" simplePos="0" relativeHeight="251658240" behindDoc="0" locked="0" layoutInCell="1" allowOverlap="1" wp14:anchorId="140D41D4" wp14:editId="5BA3266C">
                <wp:simplePos x="0" y="0"/>
                <wp:positionH relativeFrom="column">
                  <wp:posOffset>430530</wp:posOffset>
                </wp:positionH>
                <wp:positionV relativeFrom="paragraph">
                  <wp:posOffset>-43815</wp:posOffset>
                </wp:positionV>
                <wp:extent cx="5527675" cy="312420"/>
                <wp:effectExtent l="0" t="0" r="0" b="0"/>
                <wp:wrapSquare wrapText="bothSides"/>
                <wp:docPr id="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7ADC" w:rsidRPr="00785562" w:rsidRDefault="006E7ADC" w:rsidP="00785562">
                            <w:pPr>
                              <w:pStyle w:val="Caption"/>
                              <w:rPr>
                                <w:rFonts w:ascii="Arial" w:hAnsi="Arial" w:cs="Arial"/>
                                <w:sz w:val="22"/>
                                <w:szCs w:val="22"/>
                              </w:rPr>
                            </w:pPr>
                            <w:bookmarkStart w:id="15" w:name="_Ref299011048"/>
                            <w:r>
                              <w:rPr>
                                <w:rFonts w:ascii="Arial" w:hAnsi="Arial" w:cs="Arial"/>
                                <w:sz w:val="22"/>
                                <w:szCs w:val="22"/>
                              </w:rPr>
                              <w:t>Figure B</w:t>
                            </w:r>
                            <w:bookmarkEnd w:id="15"/>
                            <w:r>
                              <w:rPr>
                                <w:rFonts w:ascii="Arial" w:hAnsi="Arial" w:cs="Arial"/>
                                <w:sz w:val="22"/>
                                <w:szCs w:val="22"/>
                              </w:rPr>
                              <w:t>:</w:t>
                            </w:r>
                            <w:r w:rsidRPr="00575C2B">
                              <w:t xml:space="preserve"> </w:t>
                            </w:r>
                            <w:r w:rsidRPr="00575C2B">
                              <w:rPr>
                                <w:rFonts w:ascii="Arial" w:hAnsi="Arial" w:cs="Arial"/>
                                <w:sz w:val="22"/>
                                <w:szCs w:val="22"/>
                              </w:rPr>
                              <w:t>Linkages between drivers of PBS expenditure</w:t>
                            </w:r>
                            <w:r>
                              <w:rPr>
                                <w:rFonts w:ascii="Arial" w:hAnsi="Arial" w:cs="Arial"/>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93" type="#_x0000_t202" style="position:absolute;margin-left:33.9pt;margin-top:-3.45pt;width:435.2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" stroked="f">
                <v:textbox inset="0,0,0,0">
                  <w:txbxContent>
                    <w:p w:rsidR="006E7ADC" w:rsidRPr="00785562" w:rsidRDefault="006E7ADC" w:rsidP="00785562">
                      <w:pPr>
                        <w:pStyle w:val="Caption"/>
                        <w:rPr>
                          <w:rFonts w:ascii="Arial" w:hAnsi="Arial" w:cs="Arial"/>
                          <w:sz w:val="22"/>
                          <w:szCs w:val="22"/>
                        </w:rPr>
                      </w:pPr>
                      <w:bookmarkStart w:id="16" w:name="_Ref299011048"/>
                      <w:r>
                        <w:rPr>
                          <w:rFonts w:ascii="Arial" w:hAnsi="Arial" w:cs="Arial"/>
                          <w:sz w:val="22"/>
                          <w:szCs w:val="22"/>
                        </w:rPr>
                        <w:t>Figure B</w:t>
                      </w:r>
                      <w:bookmarkEnd w:id="16"/>
                      <w:r>
                        <w:rPr>
                          <w:rFonts w:ascii="Arial" w:hAnsi="Arial" w:cs="Arial"/>
                          <w:sz w:val="22"/>
                          <w:szCs w:val="22"/>
                        </w:rPr>
                        <w:t>:</w:t>
                      </w:r>
                      <w:r w:rsidRPr="00575C2B">
                        <w:t xml:space="preserve"> </w:t>
                      </w:r>
                      <w:r w:rsidRPr="00575C2B">
                        <w:rPr>
                          <w:rFonts w:ascii="Arial" w:hAnsi="Arial" w:cs="Arial"/>
                          <w:sz w:val="22"/>
                          <w:szCs w:val="22"/>
                        </w:rPr>
                        <w:t>Linkages between drivers of PBS expenditure</w:t>
                      </w:r>
                      <w:r>
                        <w:rPr>
                          <w:rFonts w:ascii="Arial" w:hAnsi="Arial" w:cs="Arial"/>
                          <w:sz w:val="22"/>
                          <w:szCs w:val="22"/>
                        </w:rPr>
                        <w:t xml:space="preserve"> </w:t>
                      </w:r>
                    </w:p>
                  </w:txbxContent>
                </v:textbox>
                <w10:wrap type="square"/>
              </v:shape>
            </w:pict>
          </mc:Fallback>
        </mc:AlternateContent>
      </w:r>
    </w:p>
    <w:p w:rsidR="00AC62D6" w:rsidRDefault="00AC62D6">
      <w:pPr>
        <w:spacing w:after="0" w:line="240" w:lineRule="auto"/>
      </w:pPr>
    </w:p>
    <w:p w:rsidR="00AC62D6" w:rsidRDefault="00AC62D6">
      <w:pPr>
        <w:spacing w:after="0" w:line="240" w:lineRule="auto"/>
      </w:pPr>
    </w:p>
    <w:p w:rsidR="00AC62D6" w:rsidRDefault="00AC62D6">
      <w:pPr>
        <w:spacing w:after="0" w:line="240" w:lineRule="auto"/>
      </w:pPr>
      <w:r>
        <w:br w:type="page"/>
      </w:r>
    </w:p>
    <w:p w:rsidR="009B075E" w:rsidRPr="00EA132E" w:rsidRDefault="009B075E" w:rsidP="00AC62D6">
      <w:pPr>
        <w:pStyle w:val="Heading1"/>
        <w:rPr>
          <w:rFonts w:ascii="Arial" w:hAnsi="Arial" w:cs="Arial"/>
          <w:sz w:val="24"/>
          <w:szCs w:val="24"/>
        </w:rPr>
      </w:pPr>
      <w:bookmarkStart w:id="17" w:name="_Toc337033185"/>
      <w:bookmarkStart w:id="18" w:name="_Toc357174830"/>
      <w:bookmarkEnd w:id="13"/>
      <w:r w:rsidRPr="00EA132E">
        <w:rPr>
          <w:rFonts w:ascii="Arial" w:hAnsi="Arial" w:cs="Arial"/>
          <w:sz w:val="24"/>
          <w:szCs w:val="24"/>
        </w:rPr>
        <w:lastRenderedPageBreak/>
        <w:t>Price Drivers and their influence</w:t>
      </w:r>
      <w:bookmarkEnd w:id="17"/>
      <w:bookmarkEnd w:id="18"/>
    </w:p>
    <w:p w:rsidR="009B075E" w:rsidRPr="00A938B3" w:rsidRDefault="009B075E" w:rsidP="003C2D43">
      <w:pPr>
        <w:pStyle w:val="ListParagraph"/>
        <w:numPr>
          <w:ilvl w:val="0"/>
          <w:numId w:val="1"/>
        </w:numPr>
        <w:spacing w:before="120" w:after="120"/>
        <w:ind w:left="392" w:hanging="364"/>
        <w:rPr>
          <w:rFonts w:ascii="Arial" w:hAnsi="Arial" w:cs="Arial"/>
        </w:rPr>
      </w:pPr>
      <w:r w:rsidRPr="00A938B3">
        <w:rPr>
          <w:rFonts w:ascii="Arial" w:hAnsi="Arial" w:cs="Arial"/>
          <w:b/>
        </w:rPr>
        <w:t>Prices cuts/increases</w:t>
      </w:r>
      <w:r w:rsidRPr="00A938B3">
        <w:rPr>
          <w:rFonts w:ascii="Arial" w:hAnsi="Arial" w:cs="Arial"/>
        </w:rPr>
        <w:t xml:space="preserve">: Changes to the price paid by the Government for medicines on </w:t>
      </w:r>
      <w:r>
        <w:rPr>
          <w:rFonts w:ascii="Arial" w:hAnsi="Arial" w:cs="Arial"/>
        </w:rPr>
        <w:t xml:space="preserve">the </w:t>
      </w:r>
      <w:r w:rsidRPr="00A938B3">
        <w:rPr>
          <w:rFonts w:ascii="Arial" w:hAnsi="Arial" w:cs="Arial"/>
        </w:rPr>
        <w:t>PBS has a direct effect on medicines expenditure. A number of pricing policies have been introduced in the time period analysed</w:t>
      </w:r>
      <w:r>
        <w:rPr>
          <w:rFonts w:ascii="Arial" w:hAnsi="Arial" w:cs="Arial"/>
        </w:rPr>
        <w:t xml:space="preserve"> (</w:t>
      </w:r>
      <w:r w:rsidR="00664A23">
        <w:rPr>
          <w:rFonts w:ascii="Arial" w:hAnsi="Arial" w:cs="Arial"/>
        </w:rPr>
        <w:t>2006</w:t>
      </w:r>
      <w:r>
        <w:rPr>
          <w:rFonts w:ascii="Arial" w:hAnsi="Arial" w:cs="Arial"/>
        </w:rPr>
        <w:t>-2011)</w:t>
      </w:r>
      <w:r w:rsidRPr="00A938B3">
        <w:rPr>
          <w:rFonts w:ascii="Arial" w:hAnsi="Arial" w:cs="Arial"/>
        </w:rPr>
        <w:t xml:space="preserve"> and some policies were already in place.  Together these policies have </w:t>
      </w:r>
      <w:r>
        <w:rPr>
          <w:rFonts w:ascii="Arial" w:hAnsi="Arial" w:cs="Arial"/>
        </w:rPr>
        <w:t xml:space="preserve">generally </w:t>
      </w:r>
      <w:r w:rsidRPr="00A938B3">
        <w:rPr>
          <w:rFonts w:ascii="Arial" w:hAnsi="Arial" w:cs="Arial"/>
        </w:rPr>
        <w:t>worked to reduce the average price paid for affected medicines by the Government and patients.  However, overall the average price paid per script by Government has continued to increase.  Key pricing policies introduced or existing in the time period include:</w:t>
      </w:r>
    </w:p>
    <w:p w:rsidR="009B075E" w:rsidRPr="00A938B3" w:rsidRDefault="009B075E" w:rsidP="003C2D43">
      <w:pPr>
        <w:pStyle w:val="ListParagraph"/>
        <w:numPr>
          <w:ilvl w:val="1"/>
          <w:numId w:val="1"/>
        </w:numPr>
        <w:spacing w:before="120" w:after="120"/>
        <w:rPr>
          <w:rFonts w:ascii="Arial" w:hAnsi="Arial" w:cs="Arial"/>
        </w:rPr>
      </w:pPr>
      <w:r w:rsidRPr="00A938B3">
        <w:rPr>
          <w:rFonts w:ascii="Arial" w:hAnsi="Arial" w:cs="Arial"/>
        </w:rPr>
        <w:t>12.5% policy introduced in 2004-05</w:t>
      </w:r>
    </w:p>
    <w:p w:rsidR="009B075E" w:rsidRPr="00A938B3" w:rsidRDefault="009B075E" w:rsidP="003C2D43">
      <w:pPr>
        <w:pStyle w:val="ListParagraph"/>
        <w:numPr>
          <w:ilvl w:val="1"/>
          <w:numId w:val="1"/>
        </w:numPr>
        <w:spacing w:before="120" w:after="120"/>
        <w:rPr>
          <w:rFonts w:ascii="Arial" w:hAnsi="Arial" w:cs="Arial"/>
        </w:rPr>
      </w:pPr>
      <w:r w:rsidRPr="00A938B3">
        <w:rPr>
          <w:rFonts w:ascii="Arial" w:hAnsi="Arial" w:cs="Arial"/>
        </w:rPr>
        <w:t>PBS reforms introduced in 2007-08</w:t>
      </w:r>
    </w:p>
    <w:p w:rsidR="009B075E" w:rsidRPr="00A938B3" w:rsidRDefault="009B075E" w:rsidP="003C2D43">
      <w:pPr>
        <w:pStyle w:val="ListParagraph"/>
        <w:numPr>
          <w:ilvl w:val="1"/>
          <w:numId w:val="1"/>
        </w:numPr>
        <w:spacing w:before="120" w:after="120"/>
        <w:rPr>
          <w:rFonts w:ascii="Arial" w:hAnsi="Arial" w:cs="Arial"/>
        </w:rPr>
      </w:pPr>
      <w:r w:rsidRPr="00A938B3">
        <w:rPr>
          <w:rFonts w:ascii="Arial" w:hAnsi="Arial" w:cs="Arial"/>
        </w:rPr>
        <w:t>Further PBS reforms introduced in 2010-11</w:t>
      </w:r>
    </w:p>
    <w:p w:rsidR="009B075E" w:rsidRPr="00A938B3" w:rsidRDefault="009B075E" w:rsidP="003C2D43">
      <w:pPr>
        <w:pStyle w:val="ListParagraph"/>
        <w:numPr>
          <w:ilvl w:val="1"/>
          <w:numId w:val="1"/>
        </w:numPr>
        <w:spacing w:before="120" w:after="120"/>
        <w:rPr>
          <w:rFonts w:ascii="Arial" w:hAnsi="Arial" w:cs="Arial"/>
        </w:rPr>
      </w:pPr>
      <w:r w:rsidRPr="00A938B3">
        <w:rPr>
          <w:rFonts w:ascii="Arial" w:hAnsi="Arial" w:cs="Arial"/>
        </w:rPr>
        <w:t xml:space="preserve">Weighted Average Monthly Treatment Cost (WAMTC) </w:t>
      </w:r>
      <w:r>
        <w:rPr>
          <w:rFonts w:ascii="Arial" w:hAnsi="Arial" w:cs="Arial"/>
        </w:rPr>
        <w:t>(</w:t>
      </w:r>
      <w:r w:rsidRPr="00A938B3">
        <w:rPr>
          <w:rFonts w:ascii="Arial" w:hAnsi="Arial" w:cs="Arial"/>
        </w:rPr>
        <w:t>ongoing</w:t>
      </w:r>
      <w:r>
        <w:rPr>
          <w:rFonts w:ascii="Arial" w:hAnsi="Arial" w:cs="Arial"/>
        </w:rPr>
        <w:t>)</w:t>
      </w:r>
    </w:p>
    <w:p w:rsidR="009B075E" w:rsidRPr="00A938B3" w:rsidRDefault="009B075E" w:rsidP="003C2D43">
      <w:pPr>
        <w:pStyle w:val="ListParagraph"/>
        <w:numPr>
          <w:ilvl w:val="1"/>
          <w:numId w:val="1"/>
        </w:numPr>
        <w:spacing w:before="120" w:after="120"/>
        <w:rPr>
          <w:rFonts w:ascii="Arial" w:hAnsi="Arial" w:cs="Arial"/>
        </w:rPr>
      </w:pPr>
      <w:r w:rsidRPr="00A938B3">
        <w:rPr>
          <w:rFonts w:ascii="Arial" w:hAnsi="Arial" w:cs="Arial"/>
        </w:rPr>
        <w:t>Reference pricing (ongoing)</w:t>
      </w:r>
    </w:p>
    <w:p w:rsidR="009B075E" w:rsidRPr="00A938B3" w:rsidRDefault="009B075E" w:rsidP="003C2D43">
      <w:pPr>
        <w:pStyle w:val="ListParagraph"/>
        <w:numPr>
          <w:ilvl w:val="1"/>
          <w:numId w:val="1"/>
        </w:numPr>
        <w:spacing w:before="120" w:after="120"/>
        <w:rPr>
          <w:rFonts w:ascii="Arial" w:hAnsi="Arial" w:cs="Arial"/>
        </w:rPr>
      </w:pPr>
      <w:r w:rsidRPr="00A938B3">
        <w:rPr>
          <w:rFonts w:ascii="Arial" w:hAnsi="Arial" w:cs="Arial"/>
        </w:rPr>
        <w:t>PBPA price revisions (ongoing)</w:t>
      </w:r>
    </w:p>
    <w:p w:rsidR="009B075E" w:rsidRPr="00A938B3" w:rsidRDefault="009B075E" w:rsidP="003C2D43">
      <w:pPr>
        <w:spacing w:before="120" w:after="120"/>
        <w:ind w:left="378"/>
        <w:rPr>
          <w:rFonts w:ascii="Arial" w:hAnsi="Arial" w:cs="Arial"/>
        </w:rPr>
      </w:pPr>
      <w:r w:rsidRPr="00A938B3">
        <w:rPr>
          <w:rFonts w:ascii="Arial" w:hAnsi="Arial" w:cs="Arial"/>
        </w:rPr>
        <w:t xml:space="preserve">In this report, the DWG looked at the aggregate effect of price changes on overall PBS growth in the time period.  A more substantial analysis could be carried out in the next few iterations of the report (subject to AMWG approval) to separate the effect of each policy measure on the prices in any time period. </w:t>
      </w:r>
    </w:p>
    <w:p w:rsidR="009B075E" w:rsidRPr="00DC51D5" w:rsidRDefault="009B075E" w:rsidP="003C2D43">
      <w:pPr>
        <w:pStyle w:val="ListParagraph"/>
        <w:spacing w:before="120" w:after="120"/>
        <w:ind w:left="1440"/>
        <w:rPr>
          <w:rFonts w:ascii="Arial" w:hAnsi="Arial" w:cs="Arial"/>
          <w:highlight w:val="yellow"/>
        </w:rPr>
      </w:pPr>
    </w:p>
    <w:p w:rsidR="009B075E" w:rsidRDefault="009B075E" w:rsidP="003C2D43">
      <w:pPr>
        <w:pStyle w:val="ListParagraph"/>
        <w:numPr>
          <w:ilvl w:val="0"/>
          <w:numId w:val="1"/>
        </w:numPr>
        <w:spacing w:before="120" w:after="120"/>
        <w:rPr>
          <w:rFonts w:ascii="Arial" w:hAnsi="Arial" w:cs="Arial"/>
        </w:rPr>
      </w:pPr>
      <w:r w:rsidRPr="00204BDC">
        <w:rPr>
          <w:rFonts w:ascii="Arial" w:hAnsi="Arial" w:cs="Arial"/>
          <w:b/>
        </w:rPr>
        <w:t>Co-payment/Patient contribution levels</w:t>
      </w:r>
      <w:r w:rsidRPr="00204BDC">
        <w:rPr>
          <w:rFonts w:ascii="Arial" w:hAnsi="Arial" w:cs="Arial"/>
        </w:rPr>
        <w:t>: The co-payment is the amount paid by the patients towards the cost of their PBS medicines.  From 1 January 201</w:t>
      </w:r>
      <w:r>
        <w:rPr>
          <w:rFonts w:ascii="Arial" w:hAnsi="Arial" w:cs="Arial"/>
        </w:rPr>
        <w:t>2</w:t>
      </w:r>
      <w:r w:rsidRPr="00204BDC">
        <w:rPr>
          <w:rFonts w:ascii="Arial" w:hAnsi="Arial" w:cs="Arial"/>
        </w:rPr>
        <w:t>, general patients pay up to $</w:t>
      </w:r>
      <w:r>
        <w:rPr>
          <w:rFonts w:ascii="Arial" w:hAnsi="Arial" w:cs="Arial"/>
        </w:rPr>
        <w:t>35.40</w:t>
      </w:r>
      <w:r w:rsidRPr="00204BDC">
        <w:rPr>
          <w:rFonts w:ascii="Arial" w:hAnsi="Arial" w:cs="Arial"/>
        </w:rPr>
        <w:t xml:space="preserve"> for most PBS medicines or $5.</w:t>
      </w:r>
      <w:r>
        <w:rPr>
          <w:rFonts w:ascii="Arial" w:hAnsi="Arial" w:cs="Arial"/>
        </w:rPr>
        <w:t>80</w:t>
      </w:r>
      <w:r w:rsidRPr="00204BDC">
        <w:rPr>
          <w:rFonts w:ascii="Arial" w:hAnsi="Arial" w:cs="Arial"/>
        </w:rPr>
        <w:t xml:space="preserve"> if they have a concession card. The Australian Government pays the remaining cost. The amount of co-payment is adjusted on 1 January each year in line with the Consumer Price Index (CPI).  Every year as the co-payment amount is adjusted a number of medicines fall below the general co-payment.  This means that the Government expenditure on those medicines for general patients is reduced.  However, the Government continues to pay for concessional patients</w:t>
      </w:r>
      <w:r>
        <w:rPr>
          <w:rFonts w:ascii="Arial" w:hAnsi="Arial" w:cs="Arial"/>
        </w:rPr>
        <w:t>,</w:t>
      </w:r>
      <w:r w:rsidRPr="00204BDC">
        <w:rPr>
          <w:rFonts w:ascii="Arial" w:hAnsi="Arial" w:cs="Arial"/>
        </w:rPr>
        <w:t xml:space="preserve"> as the cost paid by the Government for </w:t>
      </w:r>
      <w:r>
        <w:rPr>
          <w:rFonts w:ascii="Arial" w:hAnsi="Arial" w:cs="Arial"/>
        </w:rPr>
        <w:t xml:space="preserve">almost </w:t>
      </w:r>
      <w:r w:rsidRPr="00204BDC">
        <w:rPr>
          <w:rFonts w:ascii="Arial" w:hAnsi="Arial" w:cs="Arial"/>
        </w:rPr>
        <w:t xml:space="preserve">all PBS medicines is above the concessional co-payment.  </w:t>
      </w:r>
    </w:p>
    <w:p w:rsidR="00C00E11" w:rsidRDefault="00C00E11" w:rsidP="00C00E11">
      <w:pPr>
        <w:pStyle w:val="ListParagraph"/>
        <w:spacing w:before="120" w:after="120"/>
        <w:ind w:left="360"/>
        <w:rPr>
          <w:rFonts w:ascii="Arial" w:hAnsi="Arial" w:cs="Arial"/>
        </w:rPr>
      </w:pPr>
    </w:p>
    <w:p w:rsidR="00966C87" w:rsidRDefault="00304870" w:rsidP="00C00E11">
      <w:pPr>
        <w:pStyle w:val="ListParagraph"/>
        <w:spacing w:before="120" w:after="120"/>
        <w:ind w:left="360"/>
        <w:rPr>
          <w:rFonts w:ascii="Arial" w:hAnsi="Arial" w:cs="Arial"/>
        </w:rPr>
      </w:pPr>
      <w:r w:rsidRPr="00C00E11">
        <w:rPr>
          <w:rFonts w:ascii="Arial" w:hAnsi="Arial" w:cs="Arial"/>
        </w:rPr>
        <w:t>Although not analysed in this report, t</w:t>
      </w:r>
      <w:r w:rsidR="00C00E11">
        <w:rPr>
          <w:rFonts w:ascii="Arial" w:hAnsi="Arial" w:cs="Arial"/>
        </w:rPr>
        <w:t>he Closing t</w:t>
      </w:r>
      <w:r w:rsidR="009B075E" w:rsidRPr="00C00E11">
        <w:rPr>
          <w:rFonts w:ascii="Arial" w:hAnsi="Arial" w:cs="Arial"/>
        </w:rPr>
        <w:t>he Gap – Subsidising PBS Medicine Co-Payments measure acts to reduce the co-payment paid by eligible patients.</w:t>
      </w:r>
    </w:p>
    <w:p w:rsidR="009B075E" w:rsidRPr="00204BDC" w:rsidRDefault="009B075E" w:rsidP="003C2D43">
      <w:pPr>
        <w:spacing w:before="120" w:after="120"/>
        <w:ind w:left="354"/>
        <w:rPr>
          <w:rFonts w:ascii="Arial" w:hAnsi="Arial" w:cs="Arial"/>
        </w:rPr>
      </w:pPr>
      <w:r w:rsidRPr="00A865C8">
        <w:rPr>
          <w:rFonts w:ascii="Arial" w:hAnsi="Arial" w:cs="Arial"/>
        </w:rPr>
        <w:t xml:space="preserve">In this report, the DWG looked at the trends in patient contribution at aggregate level and also by concessional status.  It is envisaged that in future reports, the DWG will also look at the impact on Government expenditure of medicines moving below the general co-payment.  </w:t>
      </w:r>
      <w:r>
        <w:rPr>
          <w:rFonts w:ascii="Arial" w:hAnsi="Arial" w:cs="Arial"/>
        </w:rPr>
        <w:t>D</w:t>
      </w:r>
      <w:r w:rsidRPr="00A865C8">
        <w:rPr>
          <w:rFonts w:ascii="Arial" w:hAnsi="Arial" w:cs="Arial"/>
        </w:rPr>
        <w:t xml:space="preserve">ata on prescriptions priced below the general co-payment will be available after </w:t>
      </w:r>
      <w:r>
        <w:rPr>
          <w:rFonts w:ascii="Arial" w:hAnsi="Arial" w:cs="Arial"/>
        </w:rPr>
        <w:t>August</w:t>
      </w:r>
      <w:r w:rsidRPr="00A865C8">
        <w:rPr>
          <w:rFonts w:ascii="Arial" w:hAnsi="Arial" w:cs="Arial"/>
        </w:rPr>
        <w:t xml:space="preserve"> 2012.</w:t>
      </w:r>
      <w:r w:rsidRPr="00204BDC">
        <w:rPr>
          <w:rFonts w:ascii="Arial" w:hAnsi="Arial" w:cs="Arial"/>
        </w:rPr>
        <w:t xml:space="preserve"> </w:t>
      </w:r>
    </w:p>
    <w:p w:rsidR="009B075E" w:rsidRPr="00DC51D5" w:rsidRDefault="009B075E" w:rsidP="003C2D43">
      <w:pPr>
        <w:spacing w:before="120" w:after="120"/>
        <w:ind w:left="354"/>
        <w:rPr>
          <w:rFonts w:ascii="Arial" w:hAnsi="Arial" w:cs="Arial"/>
          <w:highlight w:val="yellow"/>
        </w:rPr>
      </w:pPr>
      <w:r w:rsidRPr="00DC51D5">
        <w:rPr>
          <w:rFonts w:ascii="Arial" w:hAnsi="Arial" w:cs="Arial"/>
          <w:highlight w:val="yellow"/>
        </w:rPr>
        <w:t xml:space="preserve"> </w:t>
      </w:r>
    </w:p>
    <w:p w:rsidR="009B075E" w:rsidRPr="00A865C8" w:rsidRDefault="009B075E" w:rsidP="003C2D43">
      <w:pPr>
        <w:pStyle w:val="ListParagraph"/>
        <w:numPr>
          <w:ilvl w:val="0"/>
          <w:numId w:val="1"/>
        </w:numPr>
        <w:spacing w:before="120" w:after="120"/>
        <w:rPr>
          <w:rFonts w:ascii="Arial" w:hAnsi="Arial" w:cs="Arial"/>
        </w:rPr>
      </w:pPr>
      <w:r w:rsidRPr="00204BDC">
        <w:rPr>
          <w:rFonts w:ascii="Arial" w:hAnsi="Arial" w:cs="Arial"/>
          <w:b/>
        </w:rPr>
        <w:t xml:space="preserve">General/Concessional mix:  </w:t>
      </w:r>
      <w:r w:rsidRPr="00204BDC">
        <w:rPr>
          <w:rFonts w:ascii="Arial" w:hAnsi="Arial" w:cs="Arial"/>
        </w:rPr>
        <w:t>In any given year</w:t>
      </w:r>
      <w:r w:rsidR="00664A23">
        <w:rPr>
          <w:rFonts w:ascii="Arial" w:hAnsi="Arial" w:cs="Arial"/>
        </w:rPr>
        <w:t>,</w:t>
      </w:r>
      <w:r w:rsidRPr="00204BDC">
        <w:rPr>
          <w:rFonts w:ascii="Arial" w:hAnsi="Arial" w:cs="Arial"/>
        </w:rPr>
        <w:t xml:space="preserve"> a percentage of patients access medicines on the PBS using their concession cards.  </w:t>
      </w:r>
      <w:r>
        <w:rPr>
          <w:rFonts w:ascii="Arial" w:hAnsi="Arial" w:cs="Arial"/>
        </w:rPr>
        <w:t>In 2012</w:t>
      </w:r>
      <w:r w:rsidR="00664A23">
        <w:rPr>
          <w:rFonts w:ascii="Arial" w:hAnsi="Arial" w:cs="Arial"/>
        </w:rPr>
        <w:t>,</w:t>
      </w:r>
      <w:r>
        <w:rPr>
          <w:rFonts w:ascii="Arial" w:hAnsi="Arial" w:cs="Arial"/>
        </w:rPr>
        <w:t xml:space="preserve"> t</w:t>
      </w:r>
      <w:r w:rsidRPr="00204BDC">
        <w:rPr>
          <w:rFonts w:ascii="Arial" w:hAnsi="Arial" w:cs="Arial"/>
        </w:rPr>
        <w:t>hese patients pay up to $5.</w:t>
      </w:r>
      <w:r>
        <w:rPr>
          <w:rFonts w:ascii="Arial" w:hAnsi="Arial" w:cs="Arial"/>
        </w:rPr>
        <w:t>8</w:t>
      </w:r>
      <w:r w:rsidRPr="00204BDC">
        <w:rPr>
          <w:rFonts w:ascii="Arial" w:hAnsi="Arial" w:cs="Arial"/>
        </w:rPr>
        <w:t>0 per script compared to general patients who pay up to $</w:t>
      </w:r>
      <w:r>
        <w:rPr>
          <w:rFonts w:ascii="Arial" w:hAnsi="Arial" w:cs="Arial"/>
        </w:rPr>
        <w:t>35.40</w:t>
      </w:r>
      <w:r w:rsidRPr="00204BDC">
        <w:rPr>
          <w:rFonts w:ascii="Arial" w:hAnsi="Arial" w:cs="Arial"/>
        </w:rPr>
        <w:t xml:space="preserve"> per script.  With different co-payments, this mix of general and concessional patients in any given year impacts the Government</w:t>
      </w:r>
      <w:r>
        <w:rPr>
          <w:rFonts w:ascii="Arial" w:hAnsi="Arial" w:cs="Arial"/>
        </w:rPr>
        <w:t>’s</w:t>
      </w:r>
      <w:r w:rsidRPr="00204BDC">
        <w:rPr>
          <w:rFonts w:ascii="Arial" w:hAnsi="Arial" w:cs="Arial"/>
        </w:rPr>
        <w:t xml:space="preserve"> expenditure.  This mix in turn is influenced by the percentage of the Australian population covered by concession cards</w:t>
      </w:r>
      <w:r>
        <w:rPr>
          <w:rFonts w:ascii="Arial" w:hAnsi="Arial" w:cs="Arial"/>
        </w:rPr>
        <w:t>.</w:t>
      </w:r>
      <w:r w:rsidRPr="00204BDC">
        <w:rPr>
          <w:rFonts w:ascii="Arial" w:hAnsi="Arial" w:cs="Arial"/>
        </w:rPr>
        <w:t xml:space="preserve">  The percentage of population covered by concession cards </w:t>
      </w:r>
      <w:r>
        <w:rPr>
          <w:rFonts w:ascii="Arial" w:hAnsi="Arial" w:cs="Arial"/>
        </w:rPr>
        <w:t>may be</w:t>
      </w:r>
      <w:r w:rsidRPr="00204BDC">
        <w:rPr>
          <w:rFonts w:ascii="Arial" w:hAnsi="Arial" w:cs="Arial"/>
        </w:rPr>
        <w:t xml:space="preserve"> influenced by </w:t>
      </w:r>
      <w:r w:rsidRPr="00A865C8">
        <w:rPr>
          <w:rFonts w:ascii="Arial" w:hAnsi="Arial" w:cs="Arial"/>
        </w:rPr>
        <w:t>their age, income and/or their health status.</w:t>
      </w:r>
    </w:p>
    <w:p w:rsidR="009B075E" w:rsidRPr="00E77160" w:rsidRDefault="009B075E" w:rsidP="003C2D43">
      <w:pPr>
        <w:spacing w:before="120" w:after="120"/>
        <w:ind w:left="378" w:hanging="18"/>
        <w:rPr>
          <w:rFonts w:ascii="Arial" w:hAnsi="Arial" w:cs="Arial"/>
        </w:rPr>
      </w:pPr>
      <w:r w:rsidRPr="00E77160">
        <w:rPr>
          <w:rFonts w:ascii="Arial" w:hAnsi="Arial" w:cs="Arial"/>
        </w:rPr>
        <w:lastRenderedPageBreak/>
        <w:t>To be eligible for a concessional benefit on the PBS, patients need to have one of the following concession cards:</w:t>
      </w:r>
    </w:p>
    <w:p w:rsidR="009B075E" w:rsidRPr="00E77160" w:rsidRDefault="009B075E" w:rsidP="003C2D43">
      <w:pPr>
        <w:pStyle w:val="ListParagraph"/>
        <w:numPr>
          <w:ilvl w:val="1"/>
          <w:numId w:val="1"/>
        </w:numPr>
        <w:spacing w:before="120" w:after="120"/>
        <w:rPr>
          <w:rFonts w:ascii="Arial" w:hAnsi="Arial" w:cs="Arial"/>
        </w:rPr>
      </w:pPr>
      <w:r w:rsidRPr="00E77160">
        <w:rPr>
          <w:rFonts w:ascii="Arial" w:hAnsi="Arial" w:cs="Arial"/>
        </w:rPr>
        <w:t>Pensioner Concession Card;</w:t>
      </w:r>
    </w:p>
    <w:p w:rsidR="009B075E" w:rsidRPr="00E77160" w:rsidRDefault="009B075E" w:rsidP="003C2D43">
      <w:pPr>
        <w:pStyle w:val="ListParagraph"/>
        <w:numPr>
          <w:ilvl w:val="1"/>
          <w:numId w:val="1"/>
        </w:numPr>
        <w:spacing w:before="120" w:after="120"/>
        <w:rPr>
          <w:rFonts w:ascii="Arial" w:hAnsi="Arial" w:cs="Arial"/>
        </w:rPr>
      </w:pPr>
      <w:r w:rsidRPr="00E77160">
        <w:rPr>
          <w:rFonts w:ascii="Arial" w:hAnsi="Arial" w:cs="Arial"/>
        </w:rPr>
        <w:t>Commonwealth Seniors Health Card;</w:t>
      </w:r>
    </w:p>
    <w:p w:rsidR="009B075E" w:rsidRPr="00E77160" w:rsidRDefault="009B075E" w:rsidP="003C2D43">
      <w:pPr>
        <w:pStyle w:val="ListParagraph"/>
        <w:numPr>
          <w:ilvl w:val="1"/>
          <w:numId w:val="1"/>
        </w:numPr>
        <w:spacing w:before="120" w:after="120"/>
        <w:rPr>
          <w:rFonts w:ascii="Arial" w:hAnsi="Arial" w:cs="Arial"/>
        </w:rPr>
      </w:pPr>
      <w:r w:rsidRPr="00E77160">
        <w:rPr>
          <w:rFonts w:ascii="Arial" w:hAnsi="Arial" w:cs="Arial"/>
        </w:rPr>
        <w:t>Health Care Card; or</w:t>
      </w:r>
    </w:p>
    <w:p w:rsidR="009B075E" w:rsidRPr="00E77160" w:rsidRDefault="009B075E" w:rsidP="003C2D43">
      <w:pPr>
        <w:pStyle w:val="ListParagraph"/>
        <w:numPr>
          <w:ilvl w:val="1"/>
          <w:numId w:val="1"/>
        </w:numPr>
        <w:spacing w:before="120" w:after="120"/>
        <w:rPr>
          <w:rFonts w:ascii="Arial" w:hAnsi="Arial" w:cs="Arial"/>
        </w:rPr>
      </w:pPr>
      <w:r>
        <w:rPr>
          <w:rFonts w:ascii="Arial" w:hAnsi="Arial" w:cs="Arial"/>
        </w:rPr>
        <w:t>Department of Veteran’s Affairs (</w:t>
      </w:r>
      <w:r w:rsidRPr="00E77160">
        <w:rPr>
          <w:rFonts w:ascii="Arial" w:hAnsi="Arial" w:cs="Arial"/>
        </w:rPr>
        <w:t>DVA</w:t>
      </w:r>
      <w:r>
        <w:rPr>
          <w:rFonts w:ascii="Arial" w:hAnsi="Arial" w:cs="Arial"/>
        </w:rPr>
        <w:t>)</w:t>
      </w:r>
      <w:r w:rsidRPr="00E77160">
        <w:rPr>
          <w:rFonts w:ascii="Arial" w:hAnsi="Arial" w:cs="Arial"/>
        </w:rPr>
        <w:t xml:space="preserve"> White, Gold, or Orange Card.</w:t>
      </w:r>
    </w:p>
    <w:p w:rsidR="009B075E" w:rsidRPr="00E77160" w:rsidRDefault="009B075E" w:rsidP="003C2D43">
      <w:pPr>
        <w:pStyle w:val="ListParagraph"/>
        <w:spacing w:before="120" w:after="120"/>
        <w:rPr>
          <w:rFonts w:ascii="Arial" w:hAnsi="Arial" w:cs="Arial"/>
        </w:rPr>
      </w:pPr>
    </w:p>
    <w:p w:rsidR="009B075E" w:rsidRPr="00E77160" w:rsidRDefault="009B075E" w:rsidP="003C2D43">
      <w:pPr>
        <w:pStyle w:val="ListParagraph"/>
        <w:spacing w:before="120" w:after="120"/>
        <w:ind w:left="378"/>
        <w:rPr>
          <w:rFonts w:ascii="Arial" w:hAnsi="Arial" w:cs="Arial"/>
        </w:rPr>
      </w:pPr>
      <w:r>
        <w:rPr>
          <w:rFonts w:ascii="Arial" w:hAnsi="Arial" w:cs="Arial"/>
        </w:rPr>
        <w:t>DHS (incorporating the former Centrelink)</w:t>
      </w:r>
      <w:r w:rsidRPr="00E77160">
        <w:rPr>
          <w:rFonts w:ascii="Arial" w:hAnsi="Arial" w:cs="Arial"/>
        </w:rPr>
        <w:t xml:space="preserve"> is responsible for the issue and administration of the Pensioner Concession Card, the Commonwealth Seniors Health Card and Health Care Cards. DVA are responsible for White, Gold and Orange Cards. There is also a DVA Pension Card which entitles holders to PBS medicines at the concessional rate (but not RPBS medicines). General benefits apply if patients do not have any of the above cards.</w:t>
      </w:r>
    </w:p>
    <w:p w:rsidR="009B075E" w:rsidRPr="00E77160" w:rsidRDefault="009B075E" w:rsidP="003C2D43">
      <w:pPr>
        <w:pStyle w:val="ListParagraph"/>
        <w:spacing w:before="120" w:after="120"/>
        <w:ind w:left="0"/>
        <w:rPr>
          <w:rFonts w:ascii="Arial" w:hAnsi="Arial" w:cs="Arial"/>
        </w:rPr>
      </w:pPr>
    </w:p>
    <w:p w:rsidR="009B075E" w:rsidRPr="00E77160" w:rsidRDefault="009B075E" w:rsidP="003C2D43">
      <w:pPr>
        <w:pStyle w:val="ListParagraph"/>
        <w:spacing w:before="120" w:after="120"/>
        <w:ind w:left="360"/>
        <w:rPr>
          <w:rFonts w:ascii="Arial" w:hAnsi="Arial" w:cs="Arial"/>
        </w:rPr>
      </w:pPr>
      <w:r w:rsidRPr="00E77160">
        <w:rPr>
          <w:rFonts w:ascii="Arial" w:hAnsi="Arial" w:cs="Arial"/>
        </w:rPr>
        <w:t>For this report, the DWG analysed high level trends in expenditure and prescriptions across general and concessional patients and their contribution to overall PBS growth</w:t>
      </w:r>
      <w:r>
        <w:rPr>
          <w:rFonts w:ascii="Arial" w:hAnsi="Arial" w:cs="Arial"/>
        </w:rPr>
        <w:t xml:space="preserve"> in time period from 2006-2011</w:t>
      </w:r>
      <w:r w:rsidRPr="00E77160">
        <w:rPr>
          <w:rFonts w:ascii="Arial" w:hAnsi="Arial" w:cs="Arial"/>
        </w:rPr>
        <w:t>.  In future reports</w:t>
      </w:r>
      <w:r>
        <w:rPr>
          <w:rFonts w:ascii="Arial" w:hAnsi="Arial" w:cs="Arial"/>
        </w:rPr>
        <w:t>,</w:t>
      </w:r>
      <w:r w:rsidRPr="00E77160">
        <w:rPr>
          <w:rFonts w:ascii="Arial" w:hAnsi="Arial" w:cs="Arial"/>
        </w:rPr>
        <w:t xml:space="preserve"> trends in expenditure and prescription volume per patient by concessional </w:t>
      </w:r>
      <w:r>
        <w:rPr>
          <w:rFonts w:ascii="Arial" w:hAnsi="Arial" w:cs="Arial"/>
        </w:rPr>
        <w:t xml:space="preserve">and general </w:t>
      </w:r>
      <w:r w:rsidRPr="00E77160">
        <w:rPr>
          <w:rFonts w:ascii="Arial" w:hAnsi="Arial" w:cs="Arial"/>
        </w:rPr>
        <w:t>category will be examined in more detail.</w:t>
      </w:r>
    </w:p>
    <w:p w:rsidR="009B075E" w:rsidRPr="00DC51D5" w:rsidRDefault="009B075E" w:rsidP="003C2D43">
      <w:pPr>
        <w:pStyle w:val="ListParagraph"/>
        <w:spacing w:before="120" w:after="120"/>
        <w:rPr>
          <w:rFonts w:ascii="Arial" w:hAnsi="Arial" w:cs="Arial"/>
          <w:highlight w:val="yellow"/>
        </w:rPr>
      </w:pPr>
    </w:p>
    <w:p w:rsidR="009B075E" w:rsidRPr="00E77160" w:rsidRDefault="009B075E" w:rsidP="003C2D43">
      <w:pPr>
        <w:pStyle w:val="ListParagraph"/>
        <w:numPr>
          <w:ilvl w:val="0"/>
          <w:numId w:val="1"/>
        </w:numPr>
        <w:spacing w:before="120" w:after="120"/>
        <w:rPr>
          <w:rFonts w:ascii="Arial" w:hAnsi="Arial" w:cs="Arial"/>
        </w:rPr>
      </w:pPr>
      <w:r w:rsidRPr="00E77160">
        <w:rPr>
          <w:rFonts w:ascii="Arial" w:hAnsi="Arial" w:cs="Arial"/>
          <w:b/>
        </w:rPr>
        <w:t>Supply chain remuneration</w:t>
      </w:r>
      <w:r w:rsidRPr="00E77160">
        <w:rPr>
          <w:rFonts w:ascii="Arial" w:hAnsi="Arial" w:cs="Arial"/>
        </w:rPr>
        <w:t>: The PBS supply chain comprises three principal participants –manufacturers (originators and generics), wholesalers and pharmacist</w:t>
      </w:r>
      <w:r w:rsidR="00664A23">
        <w:rPr>
          <w:rFonts w:ascii="Arial" w:hAnsi="Arial" w:cs="Arial"/>
        </w:rPr>
        <w:t>s</w:t>
      </w:r>
      <w:r w:rsidRPr="00E77160">
        <w:rPr>
          <w:rFonts w:ascii="Arial" w:hAnsi="Arial" w:cs="Arial"/>
        </w:rPr>
        <w:t xml:space="preserve">.  The </w:t>
      </w:r>
      <w:r>
        <w:rPr>
          <w:rFonts w:ascii="Arial" w:hAnsi="Arial" w:cs="Arial"/>
        </w:rPr>
        <w:t>Government</w:t>
      </w:r>
      <w:r w:rsidRPr="00E77160">
        <w:rPr>
          <w:rFonts w:ascii="Arial" w:hAnsi="Arial" w:cs="Arial"/>
        </w:rPr>
        <w:t xml:space="preserve"> price is set on the basis of a formula which comprises the </w:t>
      </w:r>
      <w:r w:rsidR="006E220B">
        <w:rPr>
          <w:rFonts w:ascii="Arial" w:hAnsi="Arial" w:cs="Arial"/>
        </w:rPr>
        <w:t xml:space="preserve">agreed </w:t>
      </w:r>
      <w:r w:rsidRPr="00E77160">
        <w:rPr>
          <w:rFonts w:ascii="Arial" w:hAnsi="Arial" w:cs="Arial"/>
        </w:rPr>
        <w:t xml:space="preserve">ex-manufacturer price plus allowance for the supply of PBS medicines over and above that price.  </w:t>
      </w:r>
    </w:p>
    <w:p w:rsidR="009B075E" w:rsidRPr="00696AF9" w:rsidRDefault="009B075E" w:rsidP="003C2D43">
      <w:pPr>
        <w:spacing w:before="120" w:after="120"/>
        <w:ind w:left="360"/>
        <w:rPr>
          <w:rFonts w:ascii="Arial" w:hAnsi="Arial" w:cs="Arial"/>
        </w:rPr>
      </w:pPr>
      <w:r w:rsidRPr="00696AF9">
        <w:rPr>
          <w:rFonts w:ascii="Arial" w:hAnsi="Arial" w:cs="Arial"/>
        </w:rPr>
        <w:t xml:space="preserve">Every five years, a Community Pharmacy Agreement is negotiated and agreed between the Australian Government and the Pharmacy Guild of Australia.  The current agreement commenced on 1 July 2010.  One of the major elements of this agreement (which impacts the prices paid by the Government) is pharmacy remuneration.  This includes the dispensing fee, the pharmacy and wholesale mark-ups, the extemporaneously prepared and dangerous drug fees. The dispensing fee is generally adjusted on </w:t>
      </w:r>
      <w:r>
        <w:rPr>
          <w:rFonts w:ascii="Arial" w:hAnsi="Arial" w:cs="Arial"/>
        </w:rPr>
        <w:br/>
      </w:r>
      <w:r w:rsidRPr="00696AF9">
        <w:rPr>
          <w:rFonts w:ascii="Arial" w:hAnsi="Arial" w:cs="Arial"/>
        </w:rPr>
        <w:t xml:space="preserve">1 </w:t>
      </w:r>
      <w:r>
        <w:rPr>
          <w:rFonts w:ascii="Arial" w:hAnsi="Arial" w:cs="Arial"/>
        </w:rPr>
        <w:t>July</w:t>
      </w:r>
      <w:r w:rsidRPr="00696AF9">
        <w:rPr>
          <w:rFonts w:ascii="Arial" w:hAnsi="Arial" w:cs="Arial"/>
        </w:rPr>
        <w:t xml:space="preserve"> each year in line with the Consumer Price Index (CPI).  According to the Fifth Community Pharmacy Agreement, indexation </w:t>
      </w:r>
      <w:r w:rsidR="006E220B">
        <w:rPr>
          <w:rFonts w:ascii="Arial" w:hAnsi="Arial" w:cs="Arial"/>
        </w:rPr>
        <w:t>was</w:t>
      </w:r>
      <w:r w:rsidR="006E220B" w:rsidRPr="00696AF9">
        <w:rPr>
          <w:rFonts w:ascii="Arial" w:hAnsi="Arial" w:cs="Arial"/>
        </w:rPr>
        <w:t xml:space="preserve"> </w:t>
      </w:r>
      <w:r w:rsidRPr="00696AF9">
        <w:rPr>
          <w:rFonts w:ascii="Arial" w:hAnsi="Arial" w:cs="Arial"/>
        </w:rPr>
        <w:t xml:space="preserve">not applied to the dispensing fee in 2010-11 and 2011-12.    </w:t>
      </w:r>
    </w:p>
    <w:p w:rsidR="009B075E" w:rsidRPr="00696AF9" w:rsidRDefault="009B075E" w:rsidP="003C2D43">
      <w:pPr>
        <w:spacing w:before="120" w:after="120"/>
        <w:ind w:left="360"/>
        <w:rPr>
          <w:rFonts w:ascii="Arial" w:hAnsi="Arial" w:cs="Arial"/>
        </w:rPr>
      </w:pPr>
      <w:r w:rsidRPr="00696AF9">
        <w:rPr>
          <w:rFonts w:ascii="Arial" w:hAnsi="Arial" w:cs="Arial"/>
        </w:rPr>
        <w:t xml:space="preserve">As part of the </w:t>
      </w:r>
      <w:r>
        <w:rPr>
          <w:rFonts w:ascii="Arial" w:hAnsi="Arial" w:cs="Arial"/>
        </w:rPr>
        <w:t>F</w:t>
      </w:r>
      <w:r w:rsidRPr="00696AF9">
        <w:rPr>
          <w:rFonts w:ascii="Arial" w:hAnsi="Arial" w:cs="Arial"/>
        </w:rPr>
        <w:t xml:space="preserve">ifth Community Pharmacy Agreement, a wholesale mark up of 7.52% </w:t>
      </w:r>
      <w:r>
        <w:rPr>
          <w:rFonts w:ascii="Arial" w:hAnsi="Arial" w:cs="Arial"/>
        </w:rPr>
        <w:t>is</w:t>
      </w:r>
      <w:r w:rsidRPr="00696AF9">
        <w:rPr>
          <w:rFonts w:ascii="Arial" w:hAnsi="Arial" w:cs="Arial"/>
        </w:rPr>
        <w:t xml:space="preserve"> applied on ex-manufacturer price of most medicines. This approximates a 7.0% wholesale margin when taking into account the flat $69.94 wholesale mark up applied to high cost medicines</w:t>
      </w:r>
      <w:r>
        <w:rPr>
          <w:rStyle w:val="FootnoteReference"/>
        </w:rPr>
        <w:footnoteReference w:id="13"/>
      </w:r>
      <w:r w:rsidRPr="00696AF9">
        <w:rPr>
          <w:rFonts w:ascii="Arial" w:hAnsi="Arial" w:cs="Arial"/>
        </w:rPr>
        <w:t>. In this report, the DWG analysed trends in supply chain remuneration and their overall contribution to growth in PBS expenditure in the time period from 2006-2011.  In future reports</w:t>
      </w:r>
      <w:r w:rsidR="00664A23">
        <w:rPr>
          <w:rFonts w:ascii="Arial" w:hAnsi="Arial" w:cs="Arial"/>
        </w:rPr>
        <w:t>,</w:t>
      </w:r>
      <w:r w:rsidRPr="00696AF9">
        <w:rPr>
          <w:rFonts w:ascii="Arial" w:hAnsi="Arial" w:cs="Arial"/>
        </w:rPr>
        <w:t xml:space="preserve"> the DWG could undertake analysis to separate the impact of pharmacy and supply chain participants when decomposing PBS expenditure by calculating </w:t>
      </w:r>
      <w:r>
        <w:rPr>
          <w:rFonts w:ascii="Arial" w:hAnsi="Arial" w:cs="Arial"/>
        </w:rPr>
        <w:t>Government</w:t>
      </w:r>
      <w:r w:rsidRPr="00696AF9">
        <w:rPr>
          <w:rFonts w:ascii="Arial" w:hAnsi="Arial" w:cs="Arial"/>
        </w:rPr>
        <w:t xml:space="preserve"> expenditure at derived ex-manufacturer prices. </w:t>
      </w:r>
    </w:p>
    <w:p w:rsidR="009B075E" w:rsidRPr="00696AF9" w:rsidRDefault="009B075E" w:rsidP="003C2D43">
      <w:pPr>
        <w:pStyle w:val="Heading1"/>
        <w:rPr>
          <w:rFonts w:ascii="Arial" w:hAnsi="Arial" w:cs="Arial"/>
        </w:rPr>
      </w:pPr>
    </w:p>
    <w:p w:rsidR="009B075E" w:rsidRPr="00EA132E" w:rsidRDefault="009B075E" w:rsidP="00F14913">
      <w:pPr>
        <w:pStyle w:val="Heading1"/>
        <w:rPr>
          <w:rFonts w:ascii="Arial" w:hAnsi="Arial" w:cs="Arial"/>
          <w:sz w:val="24"/>
          <w:szCs w:val="24"/>
        </w:rPr>
      </w:pPr>
      <w:bookmarkStart w:id="19" w:name="_Toc337033186"/>
      <w:bookmarkStart w:id="20" w:name="_Toc357174831"/>
      <w:r w:rsidRPr="00EA132E">
        <w:rPr>
          <w:rFonts w:ascii="Arial" w:hAnsi="Arial" w:cs="Arial"/>
          <w:sz w:val="24"/>
          <w:szCs w:val="24"/>
        </w:rPr>
        <w:t>Volume Drivers and their influence</w:t>
      </w:r>
      <w:bookmarkEnd w:id="19"/>
      <w:bookmarkEnd w:id="20"/>
    </w:p>
    <w:p w:rsidR="009B075E" w:rsidRPr="00BD6557" w:rsidRDefault="009B075E" w:rsidP="003C2D43">
      <w:pPr>
        <w:pStyle w:val="ListParagraph"/>
        <w:numPr>
          <w:ilvl w:val="0"/>
          <w:numId w:val="1"/>
        </w:numPr>
        <w:spacing w:before="120" w:after="120"/>
        <w:ind w:left="440" w:hanging="440"/>
        <w:rPr>
          <w:rFonts w:ascii="Arial" w:hAnsi="Arial" w:cs="Arial"/>
        </w:rPr>
      </w:pPr>
      <w:r w:rsidRPr="00BD6557">
        <w:rPr>
          <w:rFonts w:ascii="Arial" w:hAnsi="Arial" w:cs="Arial"/>
          <w:b/>
        </w:rPr>
        <w:t>Disease prevalence</w:t>
      </w:r>
      <w:r w:rsidRPr="00BD6557">
        <w:rPr>
          <w:rFonts w:ascii="Arial" w:hAnsi="Arial" w:cs="Arial"/>
        </w:rPr>
        <w:t xml:space="preserve">: The results of the 2007-08 National Health Survey indicate a high prevalence of chronic diseases among Australians, including cancer (2% of the population), diabetes (4%), asthma (10%), long-term mental or behavioural conditions (11%), arthritis (15%), and conditions of the circulatory system e.g. high blood pressure (16%).  The ageing of </w:t>
      </w:r>
      <w:r>
        <w:rPr>
          <w:rFonts w:ascii="Arial" w:hAnsi="Arial" w:cs="Arial"/>
        </w:rPr>
        <w:t xml:space="preserve">the </w:t>
      </w:r>
      <w:r w:rsidRPr="00BD6557">
        <w:rPr>
          <w:rFonts w:ascii="Arial" w:hAnsi="Arial" w:cs="Arial"/>
        </w:rPr>
        <w:t>Australian population has played a key role in the rise in the prevalence of chronic disease. In the 2007-08 National Health Survey nearly all people aged 65 years and over reported having at least one long-term condition, and more than 80 per cent of people in this age group reported having three or more long-term conditions (co-morbidity)</w:t>
      </w:r>
      <w:r w:rsidRPr="00BD6557">
        <w:rPr>
          <w:rStyle w:val="FootnoteReference"/>
        </w:rPr>
        <w:footnoteReference w:id="14"/>
      </w:r>
      <w:r w:rsidRPr="00BD6557">
        <w:rPr>
          <w:rFonts w:ascii="Arial" w:hAnsi="Arial" w:cs="Arial"/>
        </w:rPr>
        <w:t xml:space="preserve">.  </w:t>
      </w:r>
    </w:p>
    <w:p w:rsidR="009B075E" w:rsidRPr="00A75762" w:rsidRDefault="009B075E" w:rsidP="003C2D43">
      <w:pPr>
        <w:spacing w:before="120" w:after="120"/>
        <w:ind w:left="360"/>
        <w:rPr>
          <w:rFonts w:ascii="Arial" w:hAnsi="Arial" w:cs="Arial"/>
        </w:rPr>
      </w:pPr>
      <w:r w:rsidRPr="00BD6557">
        <w:rPr>
          <w:rFonts w:ascii="Arial" w:hAnsi="Arial" w:cs="Arial"/>
        </w:rPr>
        <w:t xml:space="preserve">Disease prevalence has a profound effect on both the type and quantity of medicines consumed by the patients.  Depending on the type of illness – chronic or acute, the type and volume of medicines consumed could vary.   This variation in turn affects the expenditure on medicines in a particular time period.  The DWG looked at the </w:t>
      </w:r>
      <w:r w:rsidRPr="00A75762">
        <w:rPr>
          <w:rFonts w:ascii="Arial" w:hAnsi="Arial" w:cs="Arial"/>
        </w:rPr>
        <w:t xml:space="preserve">consumption of a subset of medicines that are generally used to treat/control chronic illnesses e.g. </w:t>
      </w:r>
      <w:r>
        <w:rPr>
          <w:rFonts w:ascii="Arial" w:hAnsi="Arial" w:cs="Arial"/>
        </w:rPr>
        <w:t>c</w:t>
      </w:r>
      <w:r w:rsidRPr="00A75762">
        <w:rPr>
          <w:rFonts w:ascii="Arial" w:hAnsi="Arial" w:cs="Arial"/>
        </w:rPr>
        <w:t xml:space="preserve">ancer and cardiovascular diseases.  In this report, the DWG analysed the trends in disease burden and PBS expenditure on medicines to treat key (chronic) disease groups.  </w:t>
      </w:r>
    </w:p>
    <w:p w:rsidR="009B075E" w:rsidRPr="00A75762" w:rsidRDefault="009B075E" w:rsidP="007356D4">
      <w:pPr>
        <w:pStyle w:val="ListParagraph"/>
        <w:numPr>
          <w:ilvl w:val="0"/>
          <w:numId w:val="1"/>
        </w:numPr>
        <w:spacing w:before="120" w:after="120"/>
        <w:ind w:left="440" w:hanging="440"/>
        <w:rPr>
          <w:rFonts w:ascii="Arial" w:hAnsi="Arial" w:cs="Arial"/>
        </w:rPr>
      </w:pPr>
      <w:r w:rsidRPr="00A75762">
        <w:rPr>
          <w:rFonts w:ascii="Arial" w:hAnsi="Arial" w:cs="Arial"/>
          <w:b/>
        </w:rPr>
        <w:t>Ageing population</w:t>
      </w:r>
      <w:r w:rsidRPr="00A75762">
        <w:rPr>
          <w:rFonts w:ascii="Arial" w:hAnsi="Arial" w:cs="Arial"/>
        </w:rPr>
        <w:t xml:space="preserve">: Most aspects of health status vary with age, with health issues usually increasing over the life stages.  According to the </w:t>
      </w:r>
      <w:r w:rsidR="006E220B">
        <w:rPr>
          <w:rFonts w:ascii="Arial" w:hAnsi="Arial" w:cs="Arial"/>
        </w:rPr>
        <w:t xml:space="preserve">most </w:t>
      </w:r>
      <w:r w:rsidRPr="00A75762">
        <w:rPr>
          <w:rFonts w:ascii="Arial" w:hAnsi="Arial" w:cs="Arial"/>
        </w:rPr>
        <w:t>recent National Health Survey, the proportion of people aged 65 and over who rated their health as only ‘fair’ or ‘poor’ was 31%</w:t>
      </w:r>
      <w:r>
        <w:rPr>
          <w:rFonts w:ascii="Arial" w:hAnsi="Arial" w:cs="Arial"/>
        </w:rPr>
        <w:t>.  T</w:t>
      </w:r>
      <w:r w:rsidRPr="00A75762">
        <w:rPr>
          <w:rFonts w:ascii="Arial" w:hAnsi="Arial" w:cs="Arial"/>
        </w:rPr>
        <w:t>his compares with 7% and 13% for people aged 15 years and over and 15-24 years olds respectively.  As the population ages, more people are likely to develop health conditions that require some medication to control</w:t>
      </w:r>
      <w:r>
        <w:rPr>
          <w:rFonts w:ascii="Arial" w:hAnsi="Arial" w:cs="Arial"/>
        </w:rPr>
        <w:t xml:space="preserve"> and </w:t>
      </w:r>
      <w:r w:rsidRPr="00A75762">
        <w:rPr>
          <w:rFonts w:ascii="Arial" w:hAnsi="Arial" w:cs="Arial"/>
        </w:rPr>
        <w:t xml:space="preserve">treat </w:t>
      </w:r>
      <w:r>
        <w:rPr>
          <w:rFonts w:ascii="Arial" w:hAnsi="Arial" w:cs="Arial"/>
        </w:rPr>
        <w:t>them</w:t>
      </w:r>
      <w:r w:rsidRPr="00A75762">
        <w:rPr>
          <w:rFonts w:ascii="Arial" w:hAnsi="Arial" w:cs="Arial"/>
        </w:rPr>
        <w:t>.  In this report, the DWG looked at the trends in PBS expenditure by age groups to identify key demographics that contribute most to the PBS expenditure and examined the inter-linkages between the age of PBS patients and their concessional status.</w:t>
      </w:r>
    </w:p>
    <w:p w:rsidR="009B075E" w:rsidRPr="00A75762" w:rsidRDefault="009B075E" w:rsidP="003C2D43">
      <w:pPr>
        <w:pStyle w:val="Heading1"/>
        <w:rPr>
          <w:rFonts w:ascii="Arial" w:hAnsi="Arial" w:cs="Arial"/>
          <w:sz w:val="24"/>
          <w:szCs w:val="24"/>
        </w:rPr>
      </w:pPr>
      <w:bookmarkStart w:id="21" w:name="_Toc337033187"/>
      <w:bookmarkStart w:id="22" w:name="_Toc357174832"/>
      <w:r w:rsidRPr="00A75762">
        <w:rPr>
          <w:rFonts w:ascii="Arial" w:hAnsi="Arial" w:cs="Arial"/>
          <w:sz w:val="24"/>
          <w:szCs w:val="24"/>
        </w:rPr>
        <w:t>Price &amp; Volume Drivers and their influence</w:t>
      </w:r>
      <w:bookmarkEnd w:id="21"/>
      <w:bookmarkEnd w:id="22"/>
    </w:p>
    <w:p w:rsidR="009B075E" w:rsidRPr="00A75762" w:rsidRDefault="009B075E" w:rsidP="007356D4">
      <w:pPr>
        <w:pStyle w:val="ListParagraph"/>
        <w:numPr>
          <w:ilvl w:val="0"/>
          <w:numId w:val="1"/>
        </w:numPr>
        <w:spacing w:before="120" w:after="120"/>
        <w:ind w:left="440" w:hanging="440"/>
        <w:rPr>
          <w:rFonts w:ascii="Arial" w:hAnsi="Arial" w:cs="Arial"/>
          <w:color w:val="000000"/>
        </w:rPr>
      </w:pPr>
      <w:r w:rsidRPr="00A75762">
        <w:rPr>
          <w:rFonts w:ascii="Arial" w:hAnsi="Arial" w:cs="Arial"/>
          <w:b/>
          <w:color w:val="000000"/>
        </w:rPr>
        <w:t xml:space="preserve">New Listings and Delisted PBS products: </w:t>
      </w:r>
      <w:r w:rsidRPr="00A75762">
        <w:rPr>
          <w:rFonts w:ascii="Arial" w:hAnsi="Arial" w:cs="Arial"/>
          <w:color w:val="000000"/>
        </w:rPr>
        <w:t>every year a number of new</w:t>
      </w:r>
      <w:r w:rsidRPr="00A75762">
        <w:rPr>
          <w:rFonts w:ascii="Arial" w:hAnsi="Arial" w:cs="Arial"/>
          <w:b/>
          <w:color w:val="000000"/>
        </w:rPr>
        <w:t xml:space="preserve"> </w:t>
      </w:r>
      <w:r w:rsidRPr="00A75762">
        <w:rPr>
          <w:rFonts w:ascii="Arial" w:hAnsi="Arial" w:cs="Arial"/>
          <w:color w:val="000000"/>
        </w:rPr>
        <w:t>medicines are listed on the PBS.  These medicines affect both the average price paid by the Government and the volume of medicines dispensed/consumed impact</w:t>
      </w:r>
      <w:r>
        <w:rPr>
          <w:rFonts w:ascii="Arial" w:hAnsi="Arial" w:cs="Arial"/>
          <w:color w:val="000000"/>
        </w:rPr>
        <w:t>ing</w:t>
      </w:r>
      <w:r w:rsidRPr="00A75762">
        <w:rPr>
          <w:rFonts w:ascii="Arial" w:hAnsi="Arial" w:cs="Arial"/>
          <w:color w:val="000000"/>
        </w:rPr>
        <w:t xml:space="preserve"> overall PBS expenditure.  Similarly, a number of PBS medicines which are older and not widely used get </w:t>
      </w:r>
      <w:r>
        <w:rPr>
          <w:rFonts w:ascii="Arial" w:hAnsi="Arial" w:cs="Arial"/>
          <w:color w:val="000000"/>
        </w:rPr>
        <w:t>delisted</w:t>
      </w:r>
      <w:r w:rsidRPr="00A75762">
        <w:rPr>
          <w:rFonts w:ascii="Arial" w:hAnsi="Arial" w:cs="Arial"/>
          <w:color w:val="000000"/>
        </w:rPr>
        <w:t xml:space="preserve"> from the PBS each year.  These delisted medicines also impact the overall PBS expenditure, albeit </w:t>
      </w:r>
      <w:r w:rsidRPr="007356D4">
        <w:rPr>
          <w:rFonts w:ascii="Arial" w:hAnsi="Arial" w:cs="Arial"/>
        </w:rPr>
        <w:t>negatively</w:t>
      </w:r>
      <w:r w:rsidRPr="00A75762">
        <w:rPr>
          <w:rFonts w:ascii="Arial" w:hAnsi="Arial" w:cs="Arial"/>
          <w:color w:val="000000"/>
        </w:rPr>
        <w:t xml:space="preserve">.  For this report, the DWG examined the contribution of new listings (in their first year of listing) and delisted medicines (in their last year of listing) at an aggregate level to overall PBS growth in the time period.   </w:t>
      </w:r>
    </w:p>
    <w:p w:rsidR="009B075E" w:rsidRDefault="009B075E" w:rsidP="00A75762">
      <w:pPr>
        <w:pStyle w:val="ListParagraph"/>
        <w:spacing w:before="240"/>
        <w:ind w:left="330" w:hanging="330"/>
        <w:rPr>
          <w:rFonts w:ascii="Arial" w:hAnsi="Arial" w:cs="Arial"/>
          <w:color w:val="000000"/>
        </w:rPr>
      </w:pPr>
      <w:r w:rsidRPr="00A75762">
        <w:rPr>
          <w:rFonts w:ascii="Arial" w:hAnsi="Arial" w:cs="Arial"/>
          <w:color w:val="000000"/>
        </w:rPr>
        <w:t xml:space="preserve">   </w:t>
      </w:r>
    </w:p>
    <w:p w:rsidR="009B075E" w:rsidRPr="00A75762" w:rsidRDefault="009B075E" w:rsidP="007356D4">
      <w:pPr>
        <w:pStyle w:val="ListParagraph"/>
        <w:numPr>
          <w:ilvl w:val="0"/>
          <w:numId w:val="1"/>
        </w:numPr>
        <w:spacing w:before="120" w:after="120"/>
        <w:ind w:left="440" w:hanging="440"/>
        <w:rPr>
          <w:rFonts w:ascii="Arial" w:hAnsi="Arial" w:cs="Arial"/>
          <w:color w:val="000000"/>
        </w:rPr>
      </w:pPr>
      <w:r w:rsidRPr="00A75762">
        <w:rPr>
          <w:rFonts w:ascii="Arial" w:hAnsi="Arial" w:cs="Arial"/>
          <w:b/>
          <w:color w:val="000000"/>
        </w:rPr>
        <w:t xml:space="preserve">Concessional cardholders: </w:t>
      </w:r>
      <w:r w:rsidRPr="00A75762">
        <w:rPr>
          <w:rFonts w:ascii="Arial" w:hAnsi="Arial" w:cs="Arial"/>
          <w:color w:val="000000"/>
        </w:rPr>
        <w:t xml:space="preserve">The number of concessional cardholders can impact both the price paid by the Government and the volume of PBS subsidised medicines </w:t>
      </w:r>
      <w:r>
        <w:rPr>
          <w:rFonts w:ascii="Arial" w:hAnsi="Arial" w:cs="Arial"/>
          <w:color w:val="000000"/>
        </w:rPr>
        <w:t xml:space="preserve">dispensed </w:t>
      </w:r>
      <w:r w:rsidRPr="00A75762">
        <w:rPr>
          <w:rFonts w:ascii="Arial" w:hAnsi="Arial" w:cs="Arial"/>
          <w:color w:val="000000"/>
        </w:rPr>
        <w:t xml:space="preserve">in a time period.  This is the case when a formerly non-concessional patient </w:t>
      </w:r>
      <w:r w:rsidRPr="00A75762">
        <w:rPr>
          <w:rFonts w:ascii="Arial" w:hAnsi="Arial" w:cs="Arial"/>
          <w:color w:val="000000"/>
        </w:rPr>
        <w:lastRenderedPageBreak/>
        <w:t>becomes eligible for extra subsidy upon gaining a concession card and when a formerly concessional patient loses eligibility and becomes a general patient.  In the former case, the difference in the general co-payment (currently $35.40) and concessional co-payment (currently $5.80) is paid by the Government, driving up the Government expenditure on PBS. In the latter case, the difference between the general and concessional co-payments is paid by the patient, reducing Government expenditure on the PBS. Similarly, additional volume and therefore expenditure relating to those medicines that are below the general co-payment threshold gets added to the Government</w:t>
      </w:r>
      <w:r w:rsidRPr="00A75762">
        <w:rPr>
          <w:rFonts w:ascii="Arial" w:hAnsi="Arial" w:cs="Arial"/>
          <w:b/>
          <w:color w:val="000000"/>
        </w:rPr>
        <w:t xml:space="preserve"> </w:t>
      </w:r>
      <w:r w:rsidRPr="00A75762">
        <w:rPr>
          <w:rFonts w:ascii="Arial" w:hAnsi="Arial" w:cs="Arial"/>
          <w:color w:val="000000"/>
        </w:rPr>
        <w:t xml:space="preserve">expenditure when a former non-concessional patient uses a concession card.  </w:t>
      </w:r>
      <w:r w:rsidRPr="00A75762">
        <w:rPr>
          <w:rFonts w:ascii="Arial" w:hAnsi="Arial" w:cs="Arial"/>
        </w:rPr>
        <w:t xml:space="preserve">In this report, the DWG examined the trends in concession cards issued in the time period.  </w:t>
      </w:r>
      <w:r w:rsidRPr="00A75762">
        <w:rPr>
          <w:rFonts w:ascii="Arial" w:hAnsi="Arial" w:cs="Arial"/>
          <w:color w:val="1F497D"/>
        </w:rPr>
        <w:br w:type="page"/>
      </w:r>
    </w:p>
    <w:p w:rsidR="009B075E" w:rsidRPr="00DC51D5" w:rsidRDefault="009B075E" w:rsidP="00A04219">
      <w:pPr>
        <w:pStyle w:val="Heading1"/>
        <w:rPr>
          <w:rFonts w:ascii="Arial" w:hAnsi="Arial" w:cs="Arial"/>
          <w:sz w:val="24"/>
          <w:szCs w:val="24"/>
        </w:rPr>
      </w:pPr>
      <w:bookmarkStart w:id="23" w:name="_Toc337033188"/>
      <w:bookmarkStart w:id="24" w:name="_Toc357174833"/>
      <w:r w:rsidRPr="00DC51D5">
        <w:rPr>
          <w:rFonts w:ascii="Arial" w:hAnsi="Arial" w:cs="Arial"/>
          <w:sz w:val="24"/>
          <w:szCs w:val="24"/>
        </w:rPr>
        <w:lastRenderedPageBreak/>
        <w:t>PBS expenditure – an overview</w:t>
      </w:r>
      <w:r>
        <w:rPr>
          <w:rFonts w:ascii="Arial" w:hAnsi="Arial" w:cs="Arial"/>
          <w:sz w:val="24"/>
          <w:szCs w:val="24"/>
        </w:rPr>
        <w:t xml:space="preserve"> (2004-2011)</w:t>
      </w:r>
      <w:bookmarkEnd w:id="23"/>
      <w:bookmarkEnd w:id="24"/>
    </w:p>
    <w:p w:rsidR="009B075E" w:rsidRPr="00DC51D5" w:rsidRDefault="009B075E" w:rsidP="00180E9A">
      <w:pPr>
        <w:spacing w:before="120" w:after="120"/>
        <w:rPr>
          <w:rFonts w:ascii="Arial" w:hAnsi="Arial" w:cs="Arial"/>
        </w:rPr>
      </w:pPr>
      <w:r w:rsidRPr="00DC51D5">
        <w:rPr>
          <w:rFonts w:ascii="Arial" w:hAnsi="Arial" w:cs="Arial"/>
        </w:rPr>
        <w:t>(reference Appendix 2:</w:t>
      </w:r>
      <w:r w:rsidR="00855AAF">
        <w:rPr>
          <w:rFonts w:ascii="Arial" w:hAnsi="Arial" w:cs="Arial"/>
        </w:rPr>
        <w:fldChar w:fldCharType="begin"/>
      </w:r>
      <w:r>
        <w:rPr>
          <w:rFonts w:ascii="Arial" w:hAnsi="Arial" w:cs="Arial"/>
        </w:rPr>
        <w:instrText xml:space="preserve"> REF _Ref318375908 \h </w:instrText>
      </w:r>
      <w:r w:rsidR="00855AAF">
        <w:rPr>
          <w:rFonts w:ascii="Arial" w:hAnsi="Arial" w:cs="Arial"/>
        </w:rPr>
      </w:r>
      <w:r w:rsidR="00855AAF">
        <w:rPr>
          <w:rFonts w:ascii="Arial" w:hAnsi="Arial" w:cs="Arial"/>
        </w:rPr>
        <w:fldChar w:fldCharType="separate"/>
      </w:r>
      <w:r w:rsidR="00584343" w:rsidRPr="00BE1265">
        <w:rPr>
          <w:rFonts w:ascii="Arial" w:hAnsi="Arial" w:cs="Arial"/>
        </w:rPr>
        <w:t xml:space="preserve">Table </w:t>
      </w:r>
      <w:r w:rsidR="00584343">
        <w:rPr>
          <w:rFonts w:ascii="Arial" w:hAnsi="Arial" w:cs="Arial"/>
          <w:noProof/>
        </w:rPr>
        <w:t>5</w:t>
      </w:r>
      <w:r w:rsidR="00855AAF">
        <w:rPr>
          <w:rFonts w:ascii="Arial" w:hAnsi="Arial" w:cs="Arial"/>
        </w:rPr>
        <w:fldChar w:fldCharType="end"/>
      </w:r>
      <w:r>
        <w:t xml:space="preserve"> and </w:t>
      </w:r>
      <w:r w:rsidR="00855AAF">
        <w:fldChar w:fldCharType="begin"/>
      </w:r>
      <w:r>
        <w:instrText xml:space="preserve"> REF _Ref301528735 \h </w:instrText>
      </w:r>
      <w:r w:rsidR="00855AAF">
        <w:fldChar w:fldCharType="separate"/>
      </w:r>
      <w:r w:rsidR="00584343" w:rsidRPr="00146CFA">
        <w:rPr>
          <w:rFonts w:ascii="Arial" w:hAnsi="Arial" w:cs="Arial"/>
        </w:rPr>
        <w:t xml:space="preserve">Table </w:t>
      </w:r>
      <w:r w:rsidR="00584343">
        <w:rPr>
          <w:rFonts w:ascii="Arial" w:hAnsi="Arial" w:cs="Arial"/>
          <w:noProof/>
        </w:rPr>
        <w:t>6</w:t>
      </w:r>
      <w:r w:rsidR="00855AAF">
        <w:fldChar w:fldCharType="end"/>
      </w:r>
      <w:r w:rsidRPr="00DC51D5">
        <w:rPr>
          <w:rFonts w:ascii="Arial" w:hAnsi="Arial" w:cs="Arial"/>
        </w:rPr>
        <w:t>)</w:t>
      </w:r>
    </w:p>
    <w:p w:rsidR="009B075E" w:rsidRPr="00DC51D5" w:rsidRDefault="009B075E" w:rsidP="00180E9A">
      <w:pPr>
        <w:spacing w:before="120" w:after="120"/>
        <w:rPr>
          <w:rFonts w:ascii="Arial" w:hAnsi="Arial" w:cs="Arial"/>
        </w:rPr>
      </w:pPr>
      <w:r w:rsidRPr="00DC51D5">
        <w:rPr>
          <w:rFonts w:ascii="Arial" w:hAnsi="Arial" w:cs="Arial"/>
        </w:rPr>
        <w:t>Since 2004</w:t>
      </w:r>
      <w:r>
        <w:rPr>
          <w:rFonts w:ascii="Arial" w:hAnsi="Arial" w:cs="Arial"/>
        </w:rPr>
        <w:t>-05</w:t>
      </w:r>
      <w:r w:rsidRPr="00DC51D5">
        <w:rPr>
          <w:rFonts w:ascii="Arial" w:hAnsi="Arial" w:cs="Arial"/>
        </w:rPr>
        <w:t xml:space="preserve">, </w:t>
      </w:r>
      <w:r>
        <w:rPr>
          <w:rFonts w:ascii="Arial" w:hAnsi="Arial" w:cs="Arial"/>
        </w:rPr>
        <w:t xml:space="preserve">Government expenditure on </w:t>
      </w:r>
      <w:r w:rsidR="00E117E6">
        <w:rPr>
          <w:rFonts w:ascii="Arial" w:hAnsi="Arial" w:cs="Arial"/>
        </w:rPr>
        <w:t xml:space="preserve">PBS </w:t>
      </w:r>
      <w:r>
        <w:rPr>
          <w:rFonts w:ascii="Arial" w:hAnsi="Arial" w:cs="Arial"/>
        </w:rPr>
        <w:t>b</w:t>
      </w:r>
      <w:r w:rsidRPr="00DC51D5">
        <w:rPr>
          <w:rFonts w:ascii="Arial" w:hAnsi="Arial" w:cs="Arial"/>
        </w:rPr>
        <w:t xml:space="preserve">enefits </w:t>
      </w:r>
      <w:r>
        <w:rPr>
          <w:rFonts w:ascii="Arial" w:hAnsi="Arial" w:cs="Arial"/>
        </w:rPr>
        <w:t>paid pharmaceuticals</w:t>
      </w:r>
      <w:r w:rsidR="00E117E6">
        <w:rPr>
          <w:rStyle w:val="FootnoteReference"/>
        </w:rPr>
        <w:footnoteReference w:id="15"/>
      </w:r>
      <w:r>
        <w:rPr>
          <w:rFonts w:ascii="Arial" w:hAnsi="Arial" w:cs="Arial"/>
        </w:rPr>
        <w:t xml:space="preserve"> has risen by $2.9 billion dollars to $8.9 billion in 2010-11.  This equates to a compound annual growth rate (CAGR) of </w:t>
      </w:r>
      <w:r w:rsidR="00EC4972">
        <w:rPr>
          <w:rFonts w:ascii="Arial" w:hAnsi="Arial" w:cs="Arial"/>
        </w:rPr>
        <w:t>around</w:t>
      </w:r>
      <w:r>
        <w:rPr>
          <w:rFonts w:ascii="Arial" w:hAnsi="Arial" w:cs="Arial"/>
        </w:rPr>
        <w:t xml:space="preserve"> seven percent (6.7%).  Throughout the time period (2004-05 to 2010-2011), </w:t>
      </w:r>
      <w:r w:rsidRPr="00DC51D5">
        <w:rPr>
          <w:rFonts w:ascii="Arial" w:hAnsi="Arial" w:cs="Arial"/>
        </w:rPr>
        <w:t xml:space="preserve">expenditure on </w:t>
      </w:r>
      <w:r>
        <w:rPr>
          <w:rFonts w:ascii="Arial" w:hAnsi="Arial" w:cs="Arial"/>
        </w:rPr>
        <w:t xml:space="preserve">the </w:t>
      </w:r>
      <w:r w:rsidRPr="00DC51D5">
        <w:rPr>
          <w:rFonts w:ascii="Arial" w:hAnsi="Arial" w:cs="Arial"/>
        </w:rPr>
        <w:t xml:space="preserve">concessional and general categories </w:t>
      </w:r>
      <w:r>
        <w:rPr>
          <w:rFonts w:ascii="Arial" w:hAnsi="Arial" w:cs="Arial"/>
        </w:rPr>
        <w:t>made</w:t>
      </w:r>
      <w:r w:rsidRPr="00DC51D5">
        <w:rPr>
          <w:rFonts w:ascii="Arial" w:hAnsi="Arial" w:cs="Arial"/>
        </w:rPr>
        <w:t xml:space="preserve"> up </w:t>
      </w:r>
      <w:r>
        <w:rPr>
          <w:rFonts w:ascii="Arial" w:hAnsi="Arial" w:cs="Arial"/>
        </w:rPr>
        <w:t xml:space="preserve">the </w:t>
      </w:r>
      <w:r w:rsidRPr="00DC51D5">
        <w:rPr>
          <w:rFonts w:ascii="Arial" w:hAnsi="Arial" w:cs="Arial"/>
        </w:rPr>
        <w:t xml:space="preserve">vast majority of expenditure </w:t>
      </w:r>
      <w:r>
        <w:rPr>
          <w:rFonts w:ascii="Arial" w:hAnsi="Arial" w:cs="Arial"/>
        </w:rPr>
        <w:t>(84%-</w:t>
      </w:r>
      <w:r w:rsidR="006E220B">
        <w:rPr>
          <w:rFonts w:ascii="Arial" w:hAnsi="Arial" w:cs="Arial"/>
        </w:rPr>
        <w:t>89</w:t>
      </w:r>
      <w:r>
        <w:rPr>
          <w:rFonts w:ascii="Arial" w:hAnsi="Arial" w:cs="Arial"/>
        </w:rPr>
        <w:t>%)</w:t>
      </w:r>
      <w:r w:rsidRPr="00DC51D5">
        <w:rPr>
          <w:rFonts w:ascii="Arial" w:hAnsi="Arial" w:cs="Arial"/>
        </w:rPr>
        <w:t xml:space="preserve">.  </w:t>
      </w:r>
      <w:r>
        <w:rPr>
          <w:rFonts w:ascii="Arial" w:hAnsi="Arial" w:cs="Arial"/>
        </w:rPr>
        <w:t xml:space="preserve">Also, during this time period, </w:t>
      </w:r>
      <w:r w:rsidRPr="00DC51D5">
        <w:rPr>
          <w:rFonts w:ascii="Arial" w:hAnsi="Arial" w:cs="Arial"/>
        </w:rPr>
        <w:t>the Highly Specialised Drugs</w:t>
      </w:r>
      <w:r w:rsidR="00FA7A59">
        <w:rPr>
          <w:rStyle w:val="FootnoteReference"/>
        </w:rPr>
        <w:footnoteReference w:id="16"/>
      </w:r>
      <w:r>
        <w:rPr>
          <w:rFonts w:ascii="Arial" w:hAnsi="Arial" w:cs="Arial"/>
        </w:rPr>
        <w:t xml:space="preserve"> (HSD)</w:t>
      </w:r>
      <w:r w:rsidRPr="00DC51D5">
        <w:rPr>
          <w:rFonts w:ascii="Arial" w:hAnsi="Arial" w:cs="Arial"/>
        </w:rPr>
        <w:t xml:space="preserve"> </w:t>
      </w:r>
      <w:r w:rsidR="00FA7A59">
        <w:rPr>
          <w:rFonts w:ascii="Arial" w:hAnsi="Arial" w:cs="Arial"/>
        </w:rPr>
        <w:t>P</w:t>
      </w:r>
      <w:r w:rsidR="00FA7A59" w:rsidRPr="00DC51D5">
        <w:rPr>
          <w:rFonts w:ascii="Arial" w:hAnsi="Arial" w:cs="Arial"/>
        </w:rPr>
        <w:t xml:space="preserve">rogram </w:t>
      </w:r>
      <w:r>
        <w:rPr>
          <w:rFonts w:ascii="Arial" w:hAnsi="Arial" w:cs="Arial"/>
        </w:rPr>
        <w:t>continued to rise as a percentage of total Government expenditure on the PBS, from around</w:t>
      </w:r>
      <w:r w:rsidR="00EC4972">
        <w:rPr>
          <w:rFonts w:ascii="Arial" w:hAnsi="Arial" w:cs="Arial"/>
        </w:rPr>
        <w:t xml:space="preserve"> 8%</w:t>
      </w:r>
      <w:r>
        <w:rPr>
          <w:rFonts w:ascii="Arial" w:hAnsi="Arial" w:cs="Arial"/>
        </w:rPr>
        <w:t xml:space="preserve"> to 11% </w:t>
      </w:r>
      <w:r w:rsidRPr="00DC51D5">
        <w:rPr>
          <w:rFonts w:ascii="Arial" w:hAnsi="Arial" w:cs="Arial"/>
        </w:rPr>
        <w:t xml:space="preserve">(see </w:t>
      </w:r>
      <w:r w:rsidR="00154097">
        <w:fldChar w:fldCharType="begin"/>
      </w:r>
      <w:r w:rsidR="00154097">
        <w:instrText xml:space="preserve"> REF _Ref301278532 \h  \* MERGEFORMAT </w:instrText>
      </w:r>
      <w:r w:rsidR="00154097">
        <w:fldChar w:fldCharType="separate"/>
      </w:r>
      <w:r w:rsidR="00584343" w:rsidRPr="00DC51D5">
        <w:rPr>
          <w:rFonts w:ascii="Arial" w:hAnsi="Arial" w:cs="Arial"/>
        </w:rPr>
        <w:t xml:space="preserve">Figure </w:t>
      </w:r>
      <w:r w:rsidR="00584343">
        <w:rPr>
          <w:rFonts w:ascii="Arial" w:hAnsi="Arial" w:cs="Arial"/>
        </w:rPr>
        <w:t>1</w:t>
      </w:r>
      <w:r w:rsidR="00154097">
        <w:fldChar w:fldCharType="end"/>
      </w:r>
      <w:r w:rsidRPr="00DC51D5">
        <w:rPr>
          <w:rFonts w:ascii="Arial" w:hAnsi="Arial" w:cs="Arial"/>
        </w:rPr>
        <w:t xml:space="preserve">).  </w:t>
      </w:r>
    </w:p>
    <w:tbl>
      <w:tblPr>
        <w:tblW w:w="0" w:type="auto"/>
        <w:jc w:val="center"/>
        <w:tblLook w:val="0000" w:firstRow="0" w:lastRow="0" w:firstColumn="0" w:lastColumn="0" w:noHBand="0" w:noVBand="0"/>
        <w:tblCaption w:val="Figure 1"/>
        <w:tblDescription w:val="Pharmaceutical Benefits expenditure on accrual accounting basis, &#10;by category of expenditure"/>
      </w:tblPr>
      <w:tblGrid>
        <w:gridCol w:w="8530"/>
      </w:tblGrid>
      <w:tr w:rsidR="009B075E" w:rsidRPr="00DC51D5" w:rsidTr="006A6EA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DC51D5" w:rsidRDefault="009B075E" w:rsidP="00B826AE">
            <w:pPr>
              <w:pStyle w:val="Caption"/>
              <w:keepNext w:val="0"/>
              <w:rPr>
                <w:rFonts w:ascii="Arial" w:hAnsi="Arial" w:cs="Arial"/>
                <w:sz w:val="22"/>
                <w:szCs w:val="22"/>
              </w:rPr>
            </w:pPr>
            <w:bookmarkStart w:id="25" w:name="_Ref301278532"/>
            <w:r w:rsidRPr="00DC51D5">
              <w:rPr>
                <w:rFonts w:ascii="Arial" w:hAnsi="Arial" w:cs="Arial"/>
                <w:sz w:val="22"/>
                <w:szCs w:val="22"/>
              </w:rPr>
              <w:t xml:space="preserve">Figure </w:t>
            </w:r>
            <w:r w:rsidR="00855AAF" w:rsidRPr="00DC51D5">
              <w:rPr>
                <w:rFonts w:ascii="Arial" w:hAnsi="Arial" w:cs="Arial"/>
                <w:sz w:val="22"/>
                <w:szCs w:val="22"/>
              </w:rPr>
              <w:fldChar w:fldCharType="begin"/>
            </w:r>
            <w:r w:rsidRPr="00DC51D5">
              <w:rPr>
                <w:rFonts w:ascii="Arial" w:hAnsi="Arial" w:cs="Arial"/>
                <w:sz w:val="22"/>
                <w:szCs w:val="22"/>
              </w:rPr>
              <w:instrText xml:space="preserve"> SEQ Figure \* ARABIC </w:instrText>
            </w:r>
            <w:r w:rsidR="00855AAF" w:rsidRPr="00DC51D5">
              <w:rPr>
                <w:rFonts w:ascii="Arial" w:hAnsi="Arial" w:cs="Arial"/>
                <w:sz w:val="22"/>
                <w:szCs w:val="22"/>
              </w:rPr>
              <w:fldChar w:fldCharType="separate"/>
            </w:r>
            <w:r w:rsidR="00584343">
              <w:rPr>
                <w:rFonts w:ascii="Arial" w:hAnsi="Arial" w:cs="Arial"/>
                <w:noProof/>
                <w:sz w:val="22"/>
                <w:szCs w:val="22"/>
              </w:rPr>
              <w:t>1</w:t>
            </w:r>
            <w:r w:rsidR="00855AAF" w:rsidRPr="00DC51D5">
              <w:rPr>
                <w:rFonts w:ascii="Arial" w:hAnsi="Arial" w:cs="Arial"/>
                <w:sz w:val="22"/>
                <w:szCs w:val="22"/>
              </w:rPr>
              <w:fldChar w:fldCharType="end"/>
            </w:r>
            <w:bookmarkEnd w:id="25"/>
            <w:r w:rsidRPr="00DC51D5">
              <w:rPr>
                <w:rFonts w:ascii="Arial" w:hAnsi="Arial" w:cs="Arial"/>
                <w:sz w:val="22"/>
                <w:szCs w:val="22"/>
              </w:rPr>
              <w:t xml:space="preserve">: Pharmaceutical Benefits expenditure on accrual accounting basis, </w:t>
            </w:r>
            <w:r w:rsidRPr="00DC51D5">
              <w:rPr>
                <w:rFonts w:ascii="Arial" w:hAnsi="Arial" w:cs="Arial"/>
                <w:sz w:val="22"/>
                <w:szCs w:val="22"/>
              </w:rPr>
              <w:br/>
              <w:t>by category of expenditure</w:t>
            </w:r>
          </w:p>
        </w:tc>
      </w:tr>
      <w:tr w:rsidR="009B075E" w:rsidRPr="00DC51D5" w:rsidTr="006A6EAA">
        <w:trPr>
          <w:trHeight w:val="4755"/>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DC51D5" w:rsidRDefault="005E0A95" w:rsidP="00B826AE">
            <w:pPr>
              <w:tabs>
                <w:tab w:val="left" w:pos="4708"/>
              </w:tabs>
              <w:jc w:val="center"/>
              <w:rPr>
                <w:rFonts w:ascii="Arial" w:hAnsi="Arial" w:cs="Arial"/>
                <w:b/>
                <w:bCs/>
              </w:rPr>
            </w:pPr>
            <w:r>
              <w:rPr>
                <w:rFonts w:ascii="Arial" w:hAnsi="Arial" w:cs="Arial"/>
                <w:b/>
                <w:noProof/>
                <w:lang w:eastAsia="en-AU"/>
              </w:rPr>
              <w:drawing>
                <wp:inline distT="0" distB="0" distL="0" distR="0" wp14:anchorId="788BB873" wp14:editId="23300D17">
                  <wp:extent cx="5279390" cy="3329940"/>
                  <wp:effectExtent l="0" t="0" r="0" b="3810"/>
                  <wp:docPr id="1" name="Picture 1" descr="Pharmaceutical Benefits expenditure on accrual accounting basis, &#10;by category of expendi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l="670" t="5154" r="5760"/>
                          <a:stretch>
                            <a:fillRect/>
                          </a:stretch>
                        </pic:blipFill>
                        <pic:spPr bwMode="auto">
                          <a:xfrm>
                            <a:off x="0" y="0"/>
                            <a:ext cx="5279390" cy="3329940"/>
                          </a:xfrm>
                          <a:prstGeom prst="rect">
                            <a:avLst/>
                          </a:prstGeom>
                          <a:noFill/>
                          <a:ln w="9525">
                            <a:noFill/>
                            <a:miter lim="800000"/>
                            <a:headEnd/>
                            <a:tailEnd/>
                          </a:ln>
                        </pic:spPr>
                      </pic:pic>
                    </a:graphicData>
                  </a:graphic>
                </wp:inline>
              </w:drawing>
            </w:r>
          </w:p>
        </w:tc>
      </w:tr>
    </w:tbl>
    <w:p w:rsidR="009B075E" w:rsidRPr="00DC51D5" w:rsidRDefault="009B075E" w:rsidP="00EC4972">
      <w:pPr>
        <w:spacing w:before="120" w:after="120"/>
        <w:rPr>
          <w:rFonts w:ascii="Arial" w:hAnsi="Arial" w:cs="Arial"/>
          <w:sz w:val="16"/>
          <w:szCs w:val="16"/>
        </w:rPr>
      </w:pPr>
      <w:r w:rsidRPr="00DC51D5">
        <w:rPr>
          <w:rFonts w:ascii="Arial" w:hAnsi="Arial" w:cs="Arial"/>
          <w:sz w:val="16"/>
          <w:szCs w:val="16"/>
        </w:rPr>
        <w:t>Source: DoHA Expenditure and Prescriptions reports</w:t>
      </w:r>
      <w:r>
        <w:rPr>
          <w:rFonts w:ascii="Arial" w:hAnsi="Arial" w:cs="Arial"/>
          <w:sz w:val="16"/>
          <w:szCs w:val="16"/>
        </w:rPr>
        <w:t xml:space="preserve"> between June 2005 and June 2011</w:t>
      </w:r>
      <w:r w:rsidRPr="00DC51D5">
        <w:rPr>
          <w:rFonts w:ascii="Arial" w:hAnsi="Arial" w:cs="Arial"/>
          <w:sz w:val="16"/>
          <w:szCs w:val="16"/>
        </w:rPr>
        <w:t xml:space="preserve">, Table 1(a)  </w:t>
      </w:r>
    </w:p>
    <w:p w:rsidR="00EC4972" w:rsidRDefault="009B075E" w:rsidP="00BD7C84">
      <w:pPr>
        <w:spacing w:before="120" w:after="120"/>
        <w:rPr>
          <w:rFonts w:ascii="Arial" w:hAnsi="Arial" w:cs="Arial"/>
        </w:rPr>
      </w:pPr>
      <w:r w:rsidRPr="00381D01">
        <w:rPr>
          <w:rFonts w:ascii="Arial" w:hAnsi="Arial" w:cs="Arial"/>
        </w:rPr>
        <w:t>In terms of contribution to overall growth in P</w:t>
      </w:r>
      <w:r>
        <w:rPr>
          <w:rFonts w:ascii="Arial" w:hAnsi="Arial" w:cs="Arial"/>
        </w:rPr>
        <w:t>BS</w:t>
      </w:r>
      <w:r w:rsidRPr="00381D01">
        <w:rPr>
          <w:rFonts w:ascii="Arial" w:hAnsi="Arial" w:cs="Arial"/>
        </w:rPr>
        <w:t xml:space="preserve"> expenditure, the contribution by each category varies across the time period (see Figure 2). </w:t>
      </w:r>
      <w:r w:rsidRPr="00493427">
        <w:rPr>
          <w:rFonts w:ascii="Arial" w:hAnsi="Arial" w:cs="Arial"/>
        </w:rPr>
        <w:t xml:space="preserve">Before 2007-08, the majority of growth in </w:t>
      </w:r>
      <w:r>
        <w:rPr>
          <w:rFonts w:ascii="Arial" w:hAnsi="Arial" w:cs="Arial"/>
        </w:rPr>
        <w:t>p</w:t>
      </w:r>
      <w:r w:rsidRPr="00493427">
        <w:rPr>
          <w:rFonts w:ascii="Arial" w:hAnsi="Arial" w:cs="Arial"/>
        </w:rPr>
        <w:t xml:space="preserve">harmaceutical benefits expenditure was contributed by </w:t>
      </w:r>
      <w:r w:rsidR="006E220B">
        <w:rPr>
          <w:rFonts w:ascii="Arial" w:hAnsi="Arial" w:cs="Arial"/>
        </w:rPr>
        <w:t>c</w:t>
      </w:r>
      <w:r w:rsidR="006E220B" w:rsidRPr="00493427">
        <w:rPr>
          <w:rFonts w:ascii="Arial" w:hAnsi="Arial" w:cs="Arial"/>
        </w:rPr>
        <w:t xml:space="preserve">oncessional </w:t>
      </w:r>
      <w:r w:rsidRPr="00493427">
        <w:rPr>
          <w:rFonts w:ascii="Arial" w:hAnsi="Arial" w:cs="Arial"/>
        </w:rPr>
        <w:t>(</w:t>
      </w:r>
      <w:r w:rsidR="006E220B">
        <w:rPr>
          <w:rFonts w:ascii="Arial" w:hAnsi="Arial" w:cs="Arial"/>
        </w:rPr>
        <w:t xml:space="preserve">around </w:t>
      </w:r>
      <w:r w:rsidR="006E220B" w:rsidRPr="00493427">
        <w:rPr>
          <w:rFonts w:ascii="Arial" w:hAnsi="Arial" w:cs="Arial"/>
        </w:rPr>
        <w:t>4</w:t>
      </w:r>
      <w:r w:rsidR="006E220B">
        <w:rPr>
          <w:rFonts w:ascii="Arial" w:hAnsi="Arial" w:cs="Arial"/>
        </w:rPr>
        <w:t>5</w:t>
      </w:r>
      <w:r w:rsidRPr="00493427">
        <w:rPr>
          <w:rFonts w:ascii="Arial" w:hAnsi="Arial" w:cs="Arial"/>
        </w:rPr>
        <w:t xml:space="preserve">%) or </w:t>
      </w:r>
      <w:r w:rsidR="00C41812">
        <w:rPr>
          <w:rFonts w:ascii="Arial" w:hAnsi="Arial" w:cs="Arial"/>
        </w:rPr>
        <w:t>HSDs</w:t>
      </w:r>
      <w:r w:rsidRPr="00493427">
        <w:rPr>
          <w:rFonts w:ascii="Arial" w:hAnsi="Arial" w:cs="Arial"/>
        </w:rPr>
        <w:t xml:space="preserve"> (</w:t>
      </w:r>
      <w:r w:rsidR="006E220B">
        <w:rPr>
          <w:rFonts w:ascii="Arial" w:hAnsi="Arial" w:cs="Arial"/>
        </w:rPr>
        <w:t xml:space="preserve">around </w:t>
      </w:r>
      <w:r w:rsidRPr="00493427">
        <w:rPr>
          <w:rFonts w:ascii="Arial" w:hAnsi="Arial" w:cs="Arial"/>
        </w:rPr>
        <w:t xml:space="preserve">40%).  Section 100 drugs also contributed up to 25% to the growth </w:t>
      </w:r>
      <w:r w:rsidR="006E220B">
        <w:rPr>
          <w:rFonts w:ascii="Arial" w:hAnsi="Arial" w:cs="Arial"/>
        </w:rPr>
        <w:t>over</w:t>
      </w:r>
      <w:r w:rsidR="006E220B" w:rsidRPr="00493427">
        <w:rPr>
          <w:rFonts w:ascii="Arial" w:hAnsi="Arial" w:cs="Arial"/>
        </w:rPr>
        <w:t xml:space="preserve"> </w:t>
      </w:r>
      <w:r w:rsidRPr="00493427">
        <w:rPr>
          <w:rFonts w:ascii="Arial" w:hAnsi="Arial" w:cs="Arial"/>
        </w:rPr>
        <w:t xml:space="preserve">the </w:t>
      </w:r>
      <w:r w:rsidR="006E220B">
        <w:rPr>
          <w:rFonts w:ascii="Arial" w:hAnsi="Arial" w:cs="Arial"/>
        </w:rPr>
        <w:t xml:space="preserve">same </w:t>
      </w:r>
      <w:r w:rsidRPr="00493427">
        <w:rPr>
          <w:rFonts w:ascii="Arial" w:hAnsi="Arial" w:cs="Arial"/>
        </w:rPr>
        <w:t xml:space="preserve">time period.  The high relative contribution of HSDs and S100 expenditure to overall growth over this period may be explained by the co-pay increase above inflation in </w:t>
      </w:r>
      <w:r w:rsidR="00E117E6">
        <w:rPr>
          <w:rFonts w:ascii="Arial" w:hAnsi="Arial" w:cs="Arial"/>
        </w:rPr>
        <w:br/>
      </w:r>
      <w:r w:rsidRPr="00493427">
        <w:rPr>
          <w:rFonts w:ascii="Arial" w:hAnsi="Arial" w:cs="Arial"/>
        </w:rPr>
        <w:t xml:space="preserve">January 2005.  These co-pay increases </w:t>
      </w:r>
      <w:r>
        <w:rPr>
          <w:rFonts w:ascii="Arial" w:hAnsi="Arial" w:cs="Arial"/>
        </w:rPr>
        <w:t xml:space="preserve">had a negative effect on government expenditure on medicines in the </w:t>
      </w:r>
      <w:r w:rsidRPr="00493427">
        <w:rPr>
          <w:rFonts w:ascii="Arial" w:hAnsi="Arial" w:cs="Arial"/>
        </w:rPr>
        <w:t xml:space="preserve">general and concessional </w:t>
      </w:r>
      <w:r>
        <w:rPr>
          <w:rFonts w:ascii="Arial" w:hAnsi="Arial" w:cs="Arial"/>
        </w:rPr>
        <w:t xml:space="preserve">categories </w:t>
      </w:r>
      <w:r w:rsidRPr="00493427">
        <w:rPr>
          <w:rFonts w:ascii="Arial" w:hAnsi="Arial" w:cs="Arial"/>
        </w:rPr>
        <w:t xml:space="preserve">while HSDs and S100 drugs </w:t>
      </w:r>
      <w:r>
        <w:rPr>
          <w:rFonts w:ascii="Arial" w:hAnsi="Arial" w:cs="Arial"/>
        </w:rPr>
        <w:t xml:space="preserve">were largely </w:t>
      </w:r>
      <w:r w:rsidRPr="00493427">
        <w:rPr>
          <w:rFonts w:ascii="Arial" w:hAnsi="Arial" w:cs="Arial"/>
        </w:rPr>
        <w:t>unaffected.</w:t>
      </w:r>
      <w:r>
        <w:rPr>
          <w:rFonts w:ascii="Arial" w:hAnsi="Arial" w:cs="Arial"/>
        </w:rPr>
        <w:t xml:space="preserve"> </w:t>
      </w:r>
    </w:p>
    <w:p w:rsidR="009B075E" w:rsidRDefault="009B075E" w:rsidP="007356D4">
      <w:pPr>
        <w:spacing w:before="120" w:after="120"/>
        <w:rPr>
          <w:rFonts w:ascii="Arial" w:hAnsi="Arial" w:cs="Arial"/>
          <w:bCs/>
        </w:rPr>
      </w:pPr>
      <w:r>
        <w:rPr>
          <w:rFonts w:ascii="Arial" w:hAnsi="Arial" w:cs="Arial"/>
        </w:rPr>
        <w:t xml:space="preserve">The HSD and S100 categories also consist of innovative medicines which are used to treat serious and complex specialist clinical conditions; conditions which are generally </w:t>
      </w:r>
      <w:r w:rsidR="00E117E6">
        <w:rPr>
          <w:rFonts w:ascii="Arial" w:hAnsi="Arial" w:cs="Arial"/>
        </w:rPr>
        <w:t xml:space="preserve">unresponsive </w:t>
      </w:r>
      <w:r>
        <w:rPr>
          <w:rFonts w:ascii="Arial" w:hAnsi="Arial" w:cs="Arial"/>
        </w:rPr>
        <w:t xml:space="preserve">to older medicines. </w:t>
      </w:r>
      <w:r w:rsidR="00855AAF" w:rsidRPr="00CE014A">
        <w:rPr>
          <w:rFonts w:ascii="Arial" w:hAnsi="Arial" w:cs="Arial"/>
        </w:rPr>
        <w:t>It is envisaged that the increas</w:t>
      </w:r>
      <w:r w:rsidR="006E220B" w:rsidRPr="00CE014A">
        <w:rPr>
          <w:rFonts w:ascii="Arial" w:hAnsi="Arial" w:cs="Arial"/>
        </w:rPr>
        <w:t>ing</w:t>
      </w:r>
      <w:r w:rsidR="00855AAF" w:rsidRPr="00CE014A">
        <w:rPr>
          <w:rFonts w:ascii="Arial" w:hAnsi="Arial" w:cs="Arial"/>
        </w:rPr>
        <w:t xml:space="preserve"> contribution of HSD and </w:t>
      </w:r>
      <w:r w:rsidR="00855AAF" w:rsidRPr="00CE014A">
        <w:rPr>
          <w:rFonts w:ascii="Arial" w:hAnsi="Arial" w:cs="Arial"/>
        </w:rPr>
        <w:lastRenderedPageBreak/>
        <w:t xml:space="preserve">other S100 medicines to PBS growth </w:t>
      </w:r>
      <w:r w:rsidR="006E220B" w:rsidRPr="00CE014A">
        <w:rPr>
          <w:rFonts w:ascii="Arial" w:hAnsi="Arial" w:cs="Arial"/>
        </w:rPr>
        <w:t xml:space="preserve">in recent years </w:t>
      </w:r>
      <w:r w:rsidR="00855AAF" w:rsidRPr="00CE014A">
        <w:rPr>
          <w:rFonts w:ascii="Arial" w:hAnsi="Arial" w:cs="Arial"/>
        </w:rPr>
        <w:t>will be investigated further by DWG in subsequent reports.</w:t>
      </w:r>
    </w:p>
    <w:p w:rsidR="009B075E" w:rsidRPr="004A382A" w:rsidRDefault="009B075E">
      <w:pPr>
        <w:pStyle w:val="Caption"/>
        <w:jc w:val="left"/>
        <w:rPr>
          <w:rFonts w:ascii="Arial" w:hAnsi="Arial" w:cs="Arial"/>
          <w:b w:val="0"/>
          <w:sz w:val="22"/>
          <w:szCs w:val="22"/>
        </w:rPr>
      </w:pPr>
      <w:r>
        <w:rPr>
          <w:rFonts w:ascii="Arial" w:hAnsi="Arial" w:cs="Arial"/>
          <w:b w:val="0"/>
          <w:sz w:val="22"/>
          <w:szCs w:val="22"/>
        </w:rPr>
        <w:t>As shown i</w:t>
      </w:r>
      <w:r w:rsidR="0051063F">
        <w:rPr>
          <w:rFonts w:ascii="Arial" w:hAnsi="Arial" w:cs="Arial"/>
          <w:b w:val="0"/>
          <w:sz w:val="22"/>
          <w:szCs w:val="22"/>
        </w:rPr>
        <w:t xml:space="preserve">n </w:t>
      </w:r>
      <w:r w:rsidR="0051063F" w:rsidRPr="00BE3CD5">
        <w:rPr>
          <w:rFonts w:ascii="Arial" w:hAnsi="Arial" w:cs="Arial"/>
          <w:b w:val="0"/>
          <w:sz w:val="22"/>
          <w:szCs w:val="22"/>
        </w:rPr>
        <w:fldChar w:fldCharType="begin"/>
      </w:r>
      <w:r w:rsidR="0051063F" w:rsidRPr="0051063F">
        <w:rPr>
          <w:rFonts w:ascii="Arial" w:hAnsi="Arial" w:cs="Arial"/>
          <w:b w:val="0"/>
          <w:sz w:val="22"/>
          <w:szCs w:val="22"/>
        </w:rPr>
        <w:instrText xml:space="preserve"> REF _Ref338340194 \h </w:instrText>
      </w:r>
      <w:r w:rsidR="0051063F" w:rsidRPr="007356D4">
        <w:rPr>
          <w:rFonts w:ascii="Arial" w:hAnsi="Arial" w:cs="Arial"/>
          <w:b w:val="0"/>
          <w:sz w:val="22"/>
          <w:szCs w:val="22"/>
        </w:rPr>
        <w:instrText xml:space="preserve"> \* MERGEFORMAT </w:instrText>
      </w:r>
      <w:r w:rsidR="0051063F" w:rsidRPr="00BE3CD5">
        <w:rPr>
          <w:rFonts w:ascii="Arial" w:hAnsi="Arial" w:cs="Arial"/>
          <w:b w:val="0"/>
          <w:sz w:val="22"/>
          <w:szCs w:val="22"/>
        </w:rPr>
      </w:r>
      <w:r w:rsidR="0051063F" w:rsidRPr="00BE3CD5">
        <w:rPr>
          <w:rFonts w:ascii="Arial" w:hAnsi="Arial" w:cs="Arial"/>
          <w:b w:val="0"/>
          <w:sz w:val="22"/>
          <w:szCs w:val="22"/>
        </w:rPr>
        <w:fldChar w:fldCharType="separate"/>
      </w:r>
      <w:r w:rsidR="00584343" w:rsidRPr="00584343">
        <w:rPr>
          <w:rFonts w:ascii="Arial" w:hAnsi="Arial" w:cs="Arial"/>
          <w:b w:val="0"/>
          <w:sz w:val="22"/>
          <w:szCs w:val="22"/>
        </w:rPr>
        <w:t xml:space="preserve">Table </w:t>
      </w:r>
      <w:r w:rsidR="00584343" w:rsidRPr="00584343">
        <w:rPr>
          <w:rFonts w:ascii="Arial" w:hAnsi="Arial" w:cs="Arial"/>
          <w:b w:val="0"/>
          <w:noProof/>
          <w:sz w:val="22"/>
          <w:szCs w:val="22"/>
        </w:rPr>
        <w:t>1</w:t>
      </w:r>
      <w:r w:rsidR="0051063F" w:rsidRPr="00BE3CD5">
        <w:rPr>
          <w:rFonts w:ascii="Arial" w:hAnsi="Arial" w:cs="Arial"/>
          <w:b w:val="0"/>
          <w:sz w:val="22"/>
          <w:szCs w:val="22"/>
        </w:rPr>
        <w:fldChar w:fldCharType="end"/>
      </w:r>
      <w:r w:rsidRPr="00965900">
        <w:rPr>
          <w:rFonts w:ascii="Arial" w:hAnsi="Arial" w:cs="Arial"/>
          <w:b w:val="0"/>
          <w:sz w:val="22"/>
          <w:szCs w:val="22"/>
        </w:rPr>
        <w:t>,</w:t>
      </w:r>
      <w:r>
        <w:rPr>
          <w:rFonts w:ascii="Arial" w:hAnsi="Arial" w:cs="Arial"/>
          <w:b w:val="0"/>
          <w:sz w:val="22"/>
          <w:szCs w:val="22"/>
        </w:rPr>
        <w:t xml:space="preserve"> PBS growth in the analysis period has been varied – from 2.7% in 2005-06 to 9.4% in 2007-08 before falling to 5.7% in 2010-11. </w:t>
      </w:r>
      <w:r w:rsidRPr="00AE72AA">
        <w:rPr>
          <w:rFonts w:ascii="Arial" w:hAnsi="Arial" w:cs="Arial"/>
          <w:b w:val="0"/>
          <w:sz w:val="22"/>
          <w:szCs w:val="22"/>
        </w:rPr>
        <w:t xml:space="preserve"> </w:t>
      </w:r>
      <w:bookmarkStart w:id="26" w:name="_Ref318379867"/>
      <w:r w:rsidRPr="005D7F99">
        <w:rPr>
          <w:rFonts w:ascii="Arial" w:hAnsi="Arial" w:cs="Arial"/>
          <w:b w:val="0"/>
          <w:sz w:val="22"/>
          <w:szCs w:val="22"/>
        </w:rPr>
        <w:t xml:space="preserve">  </w:t>
      </w:r>
    </w:p>
    <w:p w:rsidR="00B44FAE" w:rsidRDefault="00B44FAE" w:rsidP="00AE72AA">
      <w:pPr>
        <w:pStyle w:val="Caption"/>
        <w:jc w:val="left"/>
        <w:rPr>
          <w:rFonts w:ascii="Arial" w:hAnsi="Arial" w:cs="Arial"/>
          <w:sz w:val="22"/>
          <w:szCs w:val="22"/>
        </w:rPr>
      </w:pPr>
      <w:bookmarkStart w:id="27" w:name="_Ref318466557"/>
    </w:p>
    <w:p w:rsidR="009B075E" w:rsidRPr="00AE72AA" w:rsidRDefault="009B075E" w:rsidP="00AE72AA">
      <w:pPr>
        <w:pStyle w:val="Caption"/>
        <w:jc w:val="left"/>
        <w:rPr>
          <w:rFonts w:ascii="Arial" w:hAnsi="Arial" w:cs="Arial"/>
          <w:sz w:val="22"/>
          <w:szCs w:val="22"/>
        </w:rPr>
      </w:pPr>
      <w:bookmarkStart w:id="28" w:name="_Ref338340194"/>
      <w:bookmarkStart w:id="29" w:name="_Ref338340021"/>
      <w:r w:rsidRPr="00AE72AA">
        <w:rPr>
          <w:rFonts w:ascii="Arial" w:hAnsi="Arial" w:cs="Arial"/>
          <w:sz w:val="22"/>
          <w:szCs w:val="22"/>
        </w:rPr>
        <w:t xml:space="preserve">Table </w:t>
      </w:r>
      <w:r w:rsidR="00855AAF" w:rsidRPr="00AE72AA">
        <w:rPr>
          <w:rFonts w:ascii="Arial" w:hAnsi="Arial" w:cs="Arial"/>
          <w:sz w:val="22"/>
          <w:szCs w:val="22"/>
        </w:rPr>
        <w:fldChar w:fldCharType="begin"/>
      </w:r>
      <w:r w:rsidRPr="00AE72AA">
        <w:rPr>
          <w:rFonts w:ascii="Arial" w:hAnsi="Arial" w:cs="Arial"/>
          <w:sz w:val="22"/>
          <w:szCs w:val="22"/>
        </w:rPr>
        <w:instrText xml:space="preserve"> SEQ Table \* ARABIC </w:instrText>
      </w:r>
      <w:r w:rsidR="00855AAF" w:rsidRPr="00AE72AA">
        <w:rPr>
          <w:rFonts w:ascii="Arial" w:hAnsi="Arial" w:cs="Arial"/>
          <w:sz w:val="22"/>
          <w:szCs w:val="22"/>
        </w:rPr>
        <w:fldChar w:fldCharType="separate"/>
      </w:r>
      <w:r w:rsidR="00584343">
        <w:rPr>
          <w:rFonts w:ascii="Arial" w:hAnsi="Arial" w:cs="Arial"/>
          <w:noProof/>
          <w:sz w:val="22"/>
          <w:szCs w:val="22"/>
        </w:rPr>
        <w:t>1</w:t>
      </w:r>
      <w:r w:rsidR="00855AAF" w:rsidRPr="00AE72AA">
        <w:rPr>
          <w:rFonts w:ascii="Arial" w:hAnsi="Arial" w:cs="Arial"/>
          <w:sz w:val="22"/>
          <w:szCs w:val="22"/>
        </w:rPr>
        <w:fldChar w:fldCharType="end"/>
      </w:r>
      <w:bookmarkEnd w:id="26"/>
      <w:bookmarkEnd w:id="27"/>
      <w:bookmarkEnd w:id="28"/>
      <w:r w:rsidRPr="00AE72AA">
        <w:rPr>
          <w:rFonts w:ascii="Arial" w:hAnsi="Arial" w:cs="Arial"/>
          <w:sz w:val="22"/>
          <w:szCs w:val="22"/>
        </w:rPr>
        <w:t>:</w:t>
      </w:r>
      <w:r>
        <w:rPr>
          <w:rFonts w:ascii="Arial" w:hAnsi="Arial" w:cs="Arial"/>
          <w:sz w:val="22"/>
          <w:szCs w:val="22"/>
        </w:rPr>
        <w:t xml:space="preserve"> </w:t>
      </w:r>
      <w:r w:rsidRPr="00AE72AA">
        <w:rPr>
          <w:rFonts w:ascii="Arial" w:hAnsi="Arial" w:cs="Arial"/>
          <w:sz w:val="22"/>
          <w:szCs w:val="22"/>
        </w:rPr>
        <w:t>PBS growth (</w:t>
      </w:r>
      <w:r w:rsidR="00B8752A">
        <w:rPr>
          <w:rFonts w:ascii="Arial" w:hAnsi="Arial" w:cs="Arial"/>
          <w:sz w:val="22"/>
          <w:szCs w:val="22"/>
        </w:rPr>
        <w:t xml:space="preserve">accrual expenditure, </w:t>
      </w:r>
      <w:r w:rsidRPr="00AE72AA">
        <w:rPr>
          <w:rFonts w:ascii="Arial" w:hAnsi="Arial" w:cs="Arial"/>
          <w:sz w:val="22"/>
          <w:szCs w:val="22"/>
        </w:rPr>
        <w:t>2005-2011)</w:t>
      </w:r>
      <w:bookmarkEnd w:id="29"/>
    </w:p>
    <w:tbl>
      <w:tblPr>
        <w:tblW w:w="5000" w:type="pct"/>
        <w:tblLook w:val="00A0" w:firstRow="1" w:lastRow="0" w:firstColumn="1" w:lastColumn="0" w:noHBand="0" w:noVBand="0"/>
        <w:tblCaption w:val="Table 1"/>
        <w:tblDescription w:val="PBS growth (accrual expenditure, 2005-2011)"/>
      </w:tblPr>
      <w:tblGrid>
        <w:gridCol w:w="2796"/>
        <w:gridCol w:w="1074"/>
        <w:gridCol w:w="1074"/>
        <w:gridCol w:w="1074"/>
        <w:gridCol w:w="1074"/>
        <w:gridCol w:w="1076"/>
        <w:gridCol w:w="1074"/>
      </w:tblGrid>
      <w:tr w:rsidR="009B075E" w:rsidRPr="002D74F2" w:rsidTr="00EE22BC">
        <w:trPr>
          <w:trHeight w:val="255"/>
        </w:trPr>
        <w:tc>
          <w:tcPr>
            <w:tcW w:w="1513" w:type="pct"/>
            <w:tcBorders>
              <w:top w:val="single" w:sz="8" w:space="0" w:color="auto"/>
              <w:left w:val="single" w:sz="8" w:space="0" w:color="auto"/>
              <w:bottom w:val="nil"/>
              <w:right w:val="single" w:sz="8" w:space="0" w:color="auto"/>
            </w:tcBorders>
            <w:noWrap/>
            <w:vAlign w:val="bottom"/>
          </w:tcPr>
          <w:p w:rsidR="009B075E" w:rsidRPr="002D74F2" w:rsidRDefault="009B075E" w:rsidP="00EE22BC">
            <w:pPr>
              <w:spacing w:after="0" w:line="240" w:lineRule="auto"/>
              <w:rPr>
                <w:rFonts w:ascii="Arial" w:hAnsi="Arial" w:cs="Arial"/>
                <w:sz w:val="20"/>
                <w:szCs w:val="20"/>
                <w:lang w:eastAsia="en-AU"/>
              </w:rPr>
            </w:pPr>
            <w:r w:rsidRPr="002D74F2">
              <w:rPr>
                <w:rFonts w:ascii="Arial" w:hAnsi="Arial" w:cs="Arial"/>
                <w:sz w:val="20"/>
                <w:szCs w:val="20"/>
                <w:lang w:eastAsia="en-AU"/>
              </w:rPr>
              <w:t> </w:t>
            </w:r>
          </w:p>
        </w:tc>
        <w:tc>
          <w:tcPr>
            <w:tcW w:w="581" w:type="pct"/>
            <w:tcBorders>
              <w:top w:val="single" w:sz="8" w:space="0" w:color="auto"/>
              <w:left w:val="nil"/>
              <w:bottom w:val="single" w:sz="4" w:space="0" w:color="auto"/>
              <w:right w:val="single" w:sz="4" w:space="0" w:color="auto"/>
            </w:tcBorders>
            <w:noWrap/>
            <w:vAlign w:val="center"/>
          </w:tcPr>
          <w:p w:rsidR="009B075E" w:rsidRPr="002D74F2" w:rsidRDefault="009B075E" w:rsidP="00EE22BC">
            <w:pPr>
              <w:spacing w:after="0" w:line="240" w:lineRule="auto"/>
              <w:jc w:val="center"/>
              <w:rPr>
                <w:rFonts w:ascii="Arial" w:hAnsi="Arial" w:cs="Arial"/>
                <w:b/>
                <w:sz w:val="20"/>
                <w:szCs w:val="20"/>
                <w:lang w:eastAsia="en-AU"/>
              </w:rPr>
            </w:pPr>
            <w:r w:rsidRPr="002D74F2">
              <w:rPr>
                <w:rFonts w:ascii="Arial" w:hAnsi="Arial" w:cs="Arial"/>
                <w:b/>
                <w:sz w:val="20"/>
                <w:szCs w:val="20"/>
                <w:lang w:eastAsia="en-AU"/>
              </w:rPr>
              <w:t>2005-06</w:t>
            </w:r>
          </w:p>
        </w:tc>
        <w:tc>
          <w:tcPr>
            <w:tcW w:w="581" w:type="pct"/>
            <w:tcBorders>
              <w:top w:val="single" w:sz="8" w:space="0" w:color="auto"/>
              <w:left w:val="nil"/>
              <w:bottom w:val="single" w:sz="4" w:space="0" w:color="auto"/>
              <w:right w:val="single" w:sz="4" w:space="0" w:color="auto"/>
            </w:tcBorders>
            <w:noWrap/>
            <w:vAlign w:val="center"/>
          </w:tcPr>
          <w:p w:rsidR="009B075E" w:rsidRPr="002D74F2" w:rsidRDefault="009B075E" w:rsidP="00EE22BC">
            <w:pPr>
              <w:spacing w:after="0" w:line="240" w:lineRule="auto"/>
              <w:jc w:val="center"/>
              <w:rPr>
                <w:rFonts w:ascii="Arial" w:hAnsi="Arial" w:cs="Arial"/>
                <w:b/>
                <w:sz w:val="20"/>
                <w:szCs w:val="20"/>
                <w:lang w:eastAsia="en-AU"/>
              </w:rPr>
            </w:pPr>
            <w:r w:rsidRPr="002D74F2">
              <w:rPr>
                <w:rFonts w:ascii="Arial" w:hAnsi="Arial" w:cs="Arial"/>
                <w:b/>
                <w:sz w:val="20"/>
                <w:szCs w:val="20"/>
                <w:lang w:eastAsia="en-AU"/>
              </w:rPr>
              <w:t>2006-07</w:t>
            </w:r>
          </w:p>
        </w:tc>
        <w:tc>
          <w:tcPr>
            <w:tcW w:w="581" w:type="pct"/>
            <w:tcBorders>
              <w:top w:val="single" w:sz="8" w:space="0" w:color="auto"/>
              <w:left w:val="nil"/>
              <w:bottom w:val="single" w:sz="4" w:space="0" w:color="auto"/>
              <w:right w:val="single" w:sz="4" w:space="0" w:color="auto"/>
            </w:tcBorders>
            <w:noWrap/>
            <w:vAlign w:val="center"/>
          </w:tcPr>
          <w:p w:rsidR="009B075E" w:rsidRPr="002D74F2" w:rsidRDefault="009B075E" w:rsidP="00EE22BC">
            <w:pPr>
              <w:spacing w:after="0" w:line="240" w:lineRule="auto"/>
              <w:jc w:val="center"/>
              <w:rPr>
                <w:rFonts w:ascii="Arial" w:hAnsi="Arial" w:cs="Arial"/>
                <w:b/>
                <w:sz w:val="20"/>
                <w:szCs w:val="20"/>
                <w:lang w:eastAsia="en-AU"/>
              </w:rPr>
            </w:pPr>
            <w:r w:rsidRPr="002D74F2">
              <w:rPr>
                <w:rFonts w:ascii="Arial" w:hAnsi="Arial" w:cs="Arial"/>
                <w:b/>
                <w:sz w:val="20"/>
                <w:szCs w:val="20"/>
                <w:lang w:eastAsia="en-AU"/>
              </w:rPr>
              <w:t>2007-08</w:t>
            </w:r>
          </w:p>
        </w:tc>
        <w:tc>
          <w:tcPr>
            <w:tcW w:w="581" w:type="pct"/>
            <w:tcBorders>
              <w:top w:val="single" w:sz="8" w:space="0" w:color="auto"/>
              <w:left w:val="nil"/>
              <w:bottom w:val="single" w:sz="4" w:space="0" w:color="auto"/>
              <w:right w:val="single" w:sz="4" w:space="0" w:color="auto"/>
            </w:tcBorders>
            <w:noWrap/>
            <w:vAlign w:val="center"/>
          </w:tcPr>
          <w:p w:rsidR="009B075E" w:rsidRPr="002D74F2" w:rsidRDefault="009B075E" w:rsidP="00EE22BC">
            <w:pPr>
              <w:spacing w:after="0" w:line="240" w:lineRule="auto"/>
              <w:jc w:val="center"/>
              <w:rPr>
                <w:rFonts w:ascii="Arial" w:hAnsi="Arial" w:cs="Arial"/>
                <w:b/>
                <w:sz w:val="20"/>
                <w:szCs w:val="20"/>
                <w:lang w:eastAsia="en-AU"/>
              </w:rPr>
            </w:pPr>
            <w:r w:rsidRPr="002D74F2">
              <w:rPr>
                <w:rFonts w:ascii="Arial" w:hAnsi="Arial" w:cs="Arial"/>
                <w:b/>
                <w:sz w:val="20"/>
                <w:szCs w:val="20"/>
                <w:lang w:eastAsia="en-AU"/>
              </w:rPr>
              <w:t>2008-09</w:t>
            </w:r>
          </w:p>
        </w:tc>
        <w:tc>
          <w:tcPr>
            <w:tcW w:w="582" w:type="pct"/>
            <w:tcBorders>
              <w:top w:val="single" w:sz="8" w:space="0" w:color="auto"/>
              <w:left w:val="nil"/>
              <w:bottom w:val="single" w:sz="4" w:space="0" w:color="auto"/>
              <w:right w:val="single" w:sz="4" w:space="0" w:color="auto"/>
            </w:tcBorders>
            <w:noWrap/>
            <w:vAlign w:val="center"/>
          </w:tcPr>
          <w:p w:rsidR="009B075E" w:rsidRPr="002D74F2" w:rsidRDefault="009B075E" w:rsidP="00EE22BC">
            <w:pPr>
              <w:spacing w:after="0" w:line="240" w:lineRule="auto"/>
              <w:jc w:val="center"/>
              <w:rPr>
                <w:rFonts w:ascii="Arial" w:hAnsi="Arial" w:cs="Arial"/>
                <w:b/>
                <w:sz w:val="20"/>
                <w:szCs w:val="20"/>
                <w:lang w:eastAsia="en-AU"/>
              </w:rPr>
            </w:pPr>
            <w:r w:rsidRPr="002D74F2">
              <w:rPr>
                <w:rFonts w:ascii="Arial" w:hAnsi="Arial" w:cs="Arial"/>
                <w:b/>
                <w:sz w:val="20"/>
                <w:szCs w:val="20"/>
                <w:lang w:eastAsia="en-AU"/>
              </w:rPr>
              <w:t>2009-10</w:t>
            </w:r>
          </w:p>
        </w:tc>
        <w:tc>
          <w:tcPr>
            <w:tcW w:w="581" w:type="pct"/>
            <w:tcBorders>
              <w:top w:val="single" w:sz="8" w:space="0" w:color="auto"/>
              <w:left w:val="nil"/>
              <w:bottom w:val="single" w:sz="4" w:space="0" w:color="auto"/>
              <w:right w:val="single" w:sz="8" w:space="0" w:color="auto"/>
            </w:tcBorders>
            <w:noWrap/>
            <w:vAlign w:val="center"/>
          </w:tcPr>
          <w:p w:rsidR="009B075E" w:rsidRPr="002D74F2" w:rsidRDefault="009B075E" w:rsidP="00EE22BC">
            <w:pPr>
              <w:spacing w:after="0" w:line="240" w:lineRule="auto"/>
              <w:jc w:val="center"/>
              <w:rPr>
                <w:rFonts w:ascii="Arial" w:hAnsi="Arial" w:cs="Arial"/>
                <w:b/>
                <w:sz w:val="20"/>
                <w:szCs w:val="20"/>
                <w:lang w:eastAsia="en-AU"/>
              </w:rPr>
            </w:pPr>
            <w:r w:rsidRPr="002D74F2">
              <w:rPr>
                <w:rFonts w:ascii="Arial" w:hAnsi="Arial" w:cs="Arial"/>
                <w:b/>
                <w:sz w:val="20"/>
                <w:szCs w:val="20"/>
                <w:lang w:eastAsia="en-AU"/>
              </w:rPr>
              <w:t>2010-11</w:t>
            </w:r>
          </w:p>
        </w:tc>
      </w:tr>
      <w:tr w:rsidR="009B075E" w:rsidRPr="002D74F2" w:rsidTr="00EE22BC">
        <w:trPr>
          <w:trHeight w:val="270"/>
        </w:trPr>
        <w:tc>
          <w:tcPr>
            <w:tcW w:w="1513" w:type="pct"/>
            <w:tcBorders>
              <w:top w:val="nil"/>
              <w:left w:val="single" w:sz="8" w:space="0" w:color="auto"/>
              <w:bottom w:val="single" w:sz="8" w:space="0" w:color="auto"/>
              <w:right w:val="single" w:sz="8" w:space="0" w:color="auto"/>
            </w:tcBorders>
            <w:noWrap/>
            <w:vAlign w:val="bottom"/>
          </w:tcPr>
          <w:p w:rsidR="009B075E" w:rsidRPr="002D74F2" w:rsidRDefault="009B075E" w:rsidP="00EE22BC">
            <w:pPr>
              <w:spacing w:after="0" w:line="240" w:lineRule="auto"/>
              <w:rPr>
                <w:rFonts w:ascii="Arial" w:hAnsi="Arial" w:cs="Arial"/>
                <w:sz w:val="20"/>
                <w:szCs w:val="20"/>
                <w:lang w:eastAsia="en-AU"/>
              </w:rPr>
            </w:pPr>
            <w:r w:rsidRPr="002D74F2">
              <w:rPr>
                <w:rFonts w:ascii="Arial" w:hAnsi="Arial" w:cs="Arial"/>
                <w:sz w:val="20"/>
                <w:szCs w:val="20"/>
                <w:lang w:eastAsia="en-AU"/>
              </w:rPr>
              <w:t>PBS expenditure (growth, %)</w:t>
            </w:r>
          </w:p>
        </w:tc>
        <w:tc>
          <w:tcPr>
            <w:tcW w:w="581" w:type="pct"/>
            <w:tcBorders>
              <w:top w:val="nil"/>
              <w:left w:val="nil"/>
              <w:bottom w:val="single" w:sz="8" w:space="0" w:color="auto"/>
              <w:right w:val="single" w:sz="4" w:space="0" w:color="auto"/>
            </w:tcBorders>
            <w:noWrap/>
            <w:vAlign w:val="center"/>
          </w:tcPr>
          <w:p w:rsidR="009B075E" w:rsidRPr="002D74F2" w:rsidRDefault="009B075E" w:rsidP="00EE22BC">
            <w:pPr>
              <w:spacing w:after="0" w:line="240" w:lineRule="auto"/>
              <w:jc w:val="center"/>
              <w:rPr>
                <w:rFonts w:ascii="Arial" w:hAnsi="Arial" w:cs="Arial"/>
                <w:sz w:val="20"/>
                <w:szCs w:val="20"/>
                <w:lang w:eastAsia="en-AU"/>
              </w:rPr>
            </w:pPr>
            <w:r w:rsidRPr="002D74F2">
              <w:rPr>
                <w:rFonts w:ascii="Arial" w:hAnsi="Arial" w:cs="Arial"/>
                <w:sz w:val="20"/>
                <w:szCs w:val="20"/>
                <w:lang w:eastAsia="en-AU"/>
              </w:rPr>
              <w:t>2.7%</w:t>
            </w:r>
          </w:p>
        </w:tc>
        <w:tc>
          <w:tcPr>
            <w:tcW w:w="581" w:type="pct"/>
            <w:tcBorders>
              <w:top w:val="nil"/>
              <w:left w:val="nil"/>
              <w:bottom w:val="single" w:sz="8" w:space="0" w:color="auto"/>
              <w:right w:val="single" w:sz="4" w:space="0" w:color="auto"/>
            </w:tcBorders>
            <w:noWrap/>
            <w:vAlign w:val="center"/>
          </w:tcPr>
          <w:p w:rsidR="009B075E" w:rsidRPr="002D74F2" w:rsidRDefault="009B075E" w:rsidP="00EE22BC">
            <w:pPr>
              <w:spacing w:after="0" w:line="240" w:lineRule="auto"/>
              <w:jc w:val="center"/>
              <w:rPr>
                <w:rFonts w:ascii="Arial" w:hAnsi="Arial" w:cs="Arial"/>
                <w:sz w:val="20"/>
                <w:szCs w:val="20"/>
                <w:lang w:eastAsia="en-AU"/>
              </w:rPr>
            </w:pPr>
            <w:r w:rsidRPr="002D74F2">
              <w:rPr>
                <w:rFonts w:ascii="Arial" w:hAnsi="Arial" w:cs="Arial"/>
                <w:sz w:val="20"/>
                <w:szCs w:val="20"/>
                <w:lang w:eastAsia="en-AU"/>
              </w:rPr>
              <w:t>4.3%</w:t>
            </w:r>
          </w:p>
        </w:tc>
        <w:tc>
          <w:tcPr>
            <w:tcW w:w="581" w:type="pct"/>
            <w:tcBorders>
              <w:top w:val="nil"/>
              <w:left w:val="nil"/>
              <w:bottom w:val="single" w:sz="8" w:space="0" w:color="auto"/>
              <w:right w:val="single" w:sz="4" w:space="0" w:color="auto"/>
            </w:tcBorders>
            <w:noWrap/>
            <w:vAlign w:val="center"/>
          </w:tcPr>
          <w:p w:rsidR="009B075E" w:rsidRPr="002D74F2" w:rsidRDefault="009B075E" w:rsidP="00EE22BC">
            <w:pPr>
              <w:spacing w:after="0" w:line="240" w:lineRule="auto"/>
              <w:jc w:val="center"/>
              <w:rPr>
                <w:rFonts w:ascii="Arial" w:hAnsi="Arial" w:cs="Arial"/>
                <w:sz w:val="20"/>
                <w:szCs w:val="20"/>
                <w:lang w:eastAsia="en-AU"/>
              </w:rPr>
            </w:pPr>
            <w:r w:rsidRPr="002D74F2">
              <w:rPr>
                <w:rFonts w:ascii="Arial" w:hAnsi="Arial" w:cs="Arial"/>
                <w:sz w:val="20"/>
                <w:szCs w:val="20"/>
                <w:lang w:eastAsia="en-AU"/>
              </w:rPr>
              <w:t>9.4%</w:t>
            </w:r>
          </w:p>
        </w:tc>
        <w:tc>
          <w:tcPr>
            <w:tcW w:w="581" w:type="pct"/>
            <w:tcBorders>
              <w:top w:val="nil"/>
              <w:left w:val="nil"/>
              <w:bottom w:val="single" w:sz="8" w:space="0" w:color="auto"/>
              <w:right w:val="single" w:sz="4" w:space="0" w:color="auto"/>
            </w:tcBorders>
            <w:noWrap/>
            <w:vAlign w:val="center"/>
          </w:tcPr>
          <w:p w:rsidR="009B075E" w:rsidRPr="002D74F2" w:rsidRDefault="009B075E" w:rsidP="00EE22BC">
            <w:pPr>
              <w:spacing w:after="0" w:line="240" w:lineRule="auto"/>
              <w:jc w:val="center"/>
              <w:rPr>
                <w:rFonts w:ascii="Arial" w:hAnsi="Arial" w:cs="Arial"/>
                <w:sz w:val="20"/>
                <w:szCs w:val="20"/>
                <w:lang w:eastAsia="en-AU"/>
              </w:rPr>
            </w:pPr>
            <w:r w:rsidRPr="002D74F2">
              <w:rPr>
                <w:rFonts w:ascii="Arial" w:hAnsi="Arial" w:cs="Arial"/>
                <w:sz w:val="20"/>
                <w:szCs w:val="20"/>
                <w:lang w:eastAsia="en-AU"/>
              </w:rPr>
              <w:t>9.2%</w:t>
            </w:r>
          </w:p>
        </w:tc>
        <w:tc>
          <w:tcPr>
            <w:tcW w:w="582" w:type="pct"/>
            <w:tcBorders>
              <w:top w:val="nil"/>
              <w:left w:val="nil"/>
              <w:bottom w:val="single" w:sz="8" w:space="0" w:color="auto"/>
              <w:right w:val="single" w:sz="4" w:space="0" w:color="auto"/>
            </w:tcBorders>
            <w:noWrap/>
            <w:vAlign w:val="center"/>
          </w:tcPr>
          <w:p w:rsidR="009B075E" w:rsidRPr="002D74F2" w:rsidRDefault="009B075E" w:rsidP="00EE22BC">
            <w:pPr>
              <w:spacing w:after="0" w:line="240" w:lineRule="auto"/>
              <w:jc w:val="center"/>
              <w:rPr>
                <w:rFonts w:ascii="Arial" w:hAnsi="Arial" w:cs="Arial"/>
                <w:sz w:val="20"/>
                <w:szCs w:val="20"/>
                <w:lang w:eastAsia="en-AU"/>
              </w:rPr>
            </w:pPr>
            <w:r w:rsidRPr="002D74F2">
              <w:rPr>
                <w:rFonts w:ascii="Arial" w:hAnsi="Arial" w:cs="Arial"/>
                <w:sz w:val="20"/>
                <w:szCs w:val="20"/>
                <w:lang w:eastAsia="en-AU"/>
              </w:rPr>
              <w:t>9.3%</w:t>
            </w:r>
          </w:p>
        </w:tc>
        <w:tc>
          <w:tcPr>
            <w:tcW w:w="581" w:type="pct"/>
            <w:tcBorders>
              <w:top w:val="nil"/>
              <w:left w:val="nil"/>
              <w:bottom w:val="single" w:sz="8" w:space="0" w:color="auto"/>
              <w:right w:val="single" w:sz="8" w:space="0" w:color="auto"/>
            </w:tcBorders>
            <w:noWrap/>
            <w:vAlign w:val="center"/>
          </w:tcPr>
          <w:p w:rsidR="009B075E" w:rsidRPr="002D74F2" w:rsidRDefault="009B075E" w:rsidP="00EE22BC">
            <w:pPr>
              <w:spacing w:after="0" w:line="240" w:lineRule="auto"/>
              <w:jc w:val="center"/>
              <w:rPr>
                <w:rFonts w:ascii="Arial" w:hAnsi="Arial" w:cs="Arial"/>
                <w:sz w:val="20"/>
                <w:szCs w:val="20"/>
                <w:lang w:eastAsia="en-AU"/>
              </w:rPr>
            </w:pPr>
            <w:r w:rsidRPr="002D74F2">
              <w:rPr>
                <w:rFonts w:ascii="Arial" w:hAnsi="Arial" w:cs="Arial"/>
                <w:sz w:val="20"/>
                <w:szCs w:val="20"/>
                <w:lang w:eastAsia="en-AU"/>
              </w:rPr>
              <w:t>5.7%</w:t>
            </w:r>
          </w:p>
        </w:tc>
      </w:tr>
    </w:tbl>
    <w:p w:rsidR="009B075E" w:rsidRPr="00493427" w:rsidRDefault="009B075E" w:rsidP="00AE72AA">
      <w:pPr>
        <w:spacing w:before="120" w:after="120"/>
        <w:rPr>
          <w:rFonts w:ascii="Arial" w:hAnsi="Arial" w:cs="Arial"/>
          <w:sz w:val="16"/>
          <w:szCs w:val="16"/>
        </w:rPr>
      </w:pPr>
      <w:r w:rsidRPr="00493427">
        <w:rPr>
          <w:rFonts w:ascii="Arial" w:hAnsi="Arial" w:cs="Arial"/>
          <w:sz w:val="16"/>
          <w:szCs w:val="16"/>
        </w:rPr>
        <w:t>Source: Based on data from DoHA Expenditure and Prescriptions reports</w:t>
      </w:r>
      <w:r>
        <w:rPr>
          <w:rFonts w:ascii="Arial" w:hAnsi="Arial" w:cs="Arial"/>
          <w:sz w:val="16"/>
          <w:szCs w:val="16"/>
        </w:rPr>
        <w:t xml:space="preserve"> between June 2005 and June 2011</w:t>
      </w:r>
      <w:r w:rsidRPr="00493427">
        <w:rPr>
          <w:rFonts w:ascii="Arial" w:hAnsi="Arial" w:cs="Arial"/>
          <w:sz w:val="16"/>
          <w:szCs w:val="16"/>
        </w:rPr>
        <w:t>, Table 1(a)</w:t>
      </w:r>
    </w:p>
    <w:p w:rsidR="007356D4" w:rsidRDefault="007356D4" w:rsidP="005D7F99">
      <w:pPr>
        <w:pStyle w:val="Caption"/>
        <w:jc w:val="left"/>
        <w:rPr>
          <w:rFonts w:ascii="Arial" w:hAnsi="Arial" w:cs="Arial"/>
          <w:b w:val="0"/>
          <w:sz w:val="22"/>
          <w:szCs w:val="22"/>
        </w:rPr>
      </w:pPr>
    </w:p>
    <w:p w:rsidR="009B075E" w:rsidRDefault="009B075E" w:rsidP="007356D4">
      <w:pPr>
        <w:pStyle w:val="Caption"/>
        <w:spacing w:after="0"/>
        <w:jc w:val="left"/>
        <w:rPr>
          <w:rFonts w:ascii="Arial" w:hAnsi="Arial" w:cs="Arial"/>
          <w:b w:val="0"/>
          <w:sz w:val="22"/>
          <w:szCs w:val="22"/>
        </w:rPr>
      </w:pPr>
      <w:r w:rsidRPr="005D7F99">
        <w:rPr>
          <w:rFonts w:ascii="Arial" w:hAnsi="Arial" w:cs="Arial"/>
          <w:b w:val="0"/>
          <w:sz w:val="22"/>
          <w:szCs w:val="22"/>
        </w:rPr>
        <w:t>In terms of contribution to overall growth in the time period analysed (2004-2011), the DWG found variations across the time period.</w:t>
      </w:r>
      <w:r>
        <w:rPr>
          <w:rFonts w:ascii="Arial" w:hAnsi="Arial" w:cs="Arial"/>
          <w:b w:val="0"/>
          <w:sz w:val="22"/>
          <w:szCs w:val="22"/>
        </w:rPr>
        <w:t xml:space="preserve">  </w:t>
      </w:r>
      <w:r w:rsidR="00EC7001">
        <w:rPr>
          <w:rFonts w:ascii="Arial" w:hAnsi="Arial" w:cs="Arial"/>
          <w:b w:val="0"/>
          <w:sz w:val="22"/>
          <w:szCs w:val="22"/>
        </w:rPr>
        <w:t xml:space="preserve">For instance, in 2007-08, </w:t>
      </w:r>
      <w:r w:rsidR="006E220B">
        <w:rPr>
          <w:rFonts w:ascii="Arial" w:hAnsi="Arial" w:cs="Arial"/>
          <w:b w:val="0"/>
          <w:sz w:val="22"/>
          <w:szCs w:val="22"/>
        </w:rPr>
        <w:t xml:space="preserve">concessional </w:t>
      </w:r>
      <w:r w:rsidR="00EC7001">
        <w:rPr>
          <w:rFonts w:ascii="Arial" w:hAnsi="Arial" w:cs="Arial"/>
          <w:b w:val="0"/>
          <w:sz w:val="22"/>
          <w:szCs w:val="22"/>
        </w:rPr>
        <w:t xml:space="preserve">patients contributed over three-fifths of all the growth (61%) in PBS expenditure while </w:t>
      </w:r>
      <w:r w:rsidR="006E220B">
        <w:rPr>
          <w:rFonts w:ascii="Arial" w:hAnsi="Arial" w:cs="Arial"/>
          <w:b w:val="0"/>
          <w:sz w:val="22"/>
          <w:szCs w:val="22"/>
        </w:rPr>
        <w:t xml:space="preserve">general </w:t>
      </w:r>
      <w:r w:rsidR="00EC7001">
        <w:rPr>
          <w:rFonts w:ascii="Arial" w:hAnsi="Arial" w:cs="Arial"/>
          <w:b w:val="0"/>
          <w:sz w:val="22"/>
          <w:szCs w:val="22"/>
        </w:rPr>
        <w:t xml:space="preserve">patients contributed nearly one third of all the growth (32%).  Between 2007-08 and 2009-10, the contribution of </w:t>
      </w:r>
      <w:r w:rsidR="006E220B">
        <w:rPr>
          <w:rFonts w:ascii="Arial" w:hAnsi="Arial" w:cs="Arial"/>
          <w:b w:val="0"/>
          <w:sz w:val="22"/>
          <w:szCs w:val="22"/>
        </w:rPr>
        <w:t xml:space="preserve">concessional </w:t>
      </w:r>
      <w:r w:rsidR="00EC7001">
        <w:rPr>
          <w:rFonts w:ascii="Arial" w:hAnsi="Arial" w:cs="Arial"/>
          <w:b w:val="0"/>
          <w:sz w:val="22"/>
          <w:szCs w:val="22"/>
        </w:rPr>
        <w:t xml:space="preserve">remained fairly stable (around 60%), while the contribution of </w:t>
      </w:r>
      <w:r w:rsidR="006E220B">
        <w:rPr>
          <w:rFonts w:ascii="Arial" w:hAnsi="Arial" w:cs="Arial"/>
          <w:b w:val="0"/>
          <w:sz w:val="22"/>
          <w:szCs w:val="22"/>
        </w:rPr>
        <w:t xml:space="preserve">general </w:t>
      </w:r>
      <w:r w:rsidR="00EC7001">
        <w:rPr>
          <w:rFonts w:ascii="Arial" w:hAnsi="Arial" w:cs="Arial"/>
          <w:b w:val="0"/>
          <w:sz w:val="22"/>
          <w:szCs w:val="22"/>
        </w:rPr>
        <w:t xml:space="preserve">almost halved to 17%.  The contribution of the HSD program in this time period increased significantly to 15% (up from 4% in 2007-08).  In 2010-11 the contribution of </w:t>
      </w:r>
      <w:r w:rsidR="006E220B">
        <w:rPr>
          <w:rFonts w:ascii="Arial" w:hAnsi="Arial" w:cs="Arial"/>
          <w:b w:val="0"/>
          <w:sz w:val="22"/>
          <w:szCs w:val="22"/>
        </w:rPr>
        <w:t xml:space="preserve">general </w:t>
      </w:r>
      <w:r w:rsidR="00EC7001">
        <w:rPr>
          <w:rFonts w:ascii="Arial" w:hAnsi="Arial" w:cs="Arial"/>
          <w:b w:val="0"/>
          <w:sz w:val="22"/>
          <w:szCs w:val="22"/>
        </w:rPr>
        <w:t>patients to PBS growth remained unchanged at 17%, while the contribution of concessional patients dropped to 48% (from 62% in 2009-10) and the contribution of HSDs increased sharply from 15% to 33%.</w:t>
      </w:r>
      <w:r w:rsidRPr="005D7F99">
        <w:rPr>
          <w:rFonts w:ascii="Arial" w:hAnsi="Arial" w:cs="Arial"/>
          <w:b w:val="0"/>
          <w:sz w:val="22"/>
          <w:szCs w:val="22"/>
        </w:rPr>
        <w:t xml:space="preserve">  </w:t>
      </w:r>
    </w:p>
    <w:p w:rsidR="007356D4" w:rsidRPr="007356D4" w:rsidRDefault="007356D4" w:rsidP="007356D4"/>
    <w:tbl>
      <w:tblPr>
        <w:tblW w:w="9174" w:type="dxa"/>
        <w:jc w:val="center"/>
        <w:tblLook w:val="0000" w:firstRow="0" w:lastRow="0" w:firstColumn="0" w:lastColumn="0" w:noHBand="0" w:noVBand="0"/>
        <w:tblCaption w:val="Figure 2"/>
        <w:tblDescription w:val="Contribution to Pharmaceutical Benefits expenditure growth, by category of expenditure"/>
      </w:tblPr>
      <w:tblGrid>
        <w:gridCol w:w="9174"/>
      </w:tblGrid>
      <w:tr w:rsidR="009B075E" w:rsidRPr="00493427" w:rsidTr="00C8147F">
        <w:trPr>
          <w:jc w:val="center"/>
        </w:trPr>
        <w:tc>
          <w:tcPr>
            <w:tcW w:w="9174" w:type="dxa"/>
            <w:tcBorders>
              <w:top w:val="single" w:sz="4" w:space="0" w:color="auto"/>
              <w:left w:val="single" w:sz="4" w:space="0" w:color="auto"/>
              <w:bottom w:val="single" w:sz="4" w:space="0" w:color="auto"/>
              <w:right w:val="single" w:sz="4" w:space="0" w:color="auto"/>
            </w:tcBorders>
            <w:vAlign w:val="center"/>
          </w:tcPr>
          <w:p w:rsidR="009B075E" w:rsidRPr="00493427" w:rsidRDefault="009B075E" w:rsidP="00B826AE">
            <w:pPr>
              <w:pStyle w:val="Caption"/>
              <w:keepNext w:val="0"/>
              <w:rPr>
                <w:rFonts w:ascii="Arial" w:hAnsi="Arial" w:cs="Arial"/>
                <w:sz w:val="22"/>
                <w:szCs w:val="22"/>
              </w:rPr>
            </w:pPr>
            <w:r w:rsidRPr="00493427">
              <w:rPr>
                <w:rFonts w:ascii="Arial" w:hAnsi="Arial" w:cs="Arial"/>
                <w:sz w:val="22"/>
                <w:szCs w:val="22"/>
              </w:rPr>
              <w:t xml:space="preserve">Figure </w:t>
            </w:r>
            <w:r w:rsidR="00855AAF" w:rsidRPr="00493427">
              <w:rPr>
                <w:rFonts w:ascii="Arial" w:hAnsi="Arial" w:cs="Arial"/>
                <w:sz w:val="22"/>
                <w:szCs w:val="22"/>
              </w:rPr>
              <w:fldChar w:fldCharType="begin"/>
            </w:r>
            <w:r w:rsidRPr="00493427">
              <w:rPr>
                <w:rFonts w:ascii="Arial" w:hAnsi="Arial" w:cs="Arial"/>
                <w:sz w:val="22"/>
                <w:szCs w:val="22"/>
              </w:rPr>
              <w:instrText xml:space="preserve"> SEQ Figure \* ARABIC </w:instrText>
            </w:r>
            <w:r w:rsidR="00855AAF" w:rsidRPr="00493427">
              <w:rPr>
                <w:rFonts w:ascii="Arial" w:hAnsi="Arial" w:cs="Arial"/>
                <w:sz w:val="22"/>
                <w:szCs w:val="22"/>
              </w:rPr>
              <w:fldChar w:fldCharType="separate"/>
            </w:r>
            <w:r w:rsidR="00584343">
              <w:rPr>
                <w:rFonts w:ascii="Arial" w:hAnsi="Arial" w:cs="Arial"/>
                <w:noProof/>
                <w:sz w:val="22"/>
                <w:szCs w:val="22"/>
              </w:rPr>
              <w:t>2</w:t>
            </w:r>
            <w:r w:rsidR="00855AAF" w:rsidRPr="00493427">
              <w:rPr>
                <w:rFonts w:ascii="Arial" w:hAnsi="Arial" w:cs="Arial"/>
                <w:sz w:val="22"/>
                <w:szCs w:val="22"/>
              </w:rPr>
              <w:fldChar w:fldCharType="end"/>
            </w:r>
            <w:r w:rsidRPr="00493427">
              <w:rPr>
                <w:rFonts w:ascii="Arial" w:hAnsi="Arial" w:cs="Arial"/>
                <w:sz w:val="22"/>
                <w:szCs w:val="22"/>
              </w:rPr>
              <w:t xml:space="preserve">: Contribution to Pharmaceutical Benefits expenditure growth, </w:t>
            </w:r>
            <w:r w:rsidRPr="00493427">
              <w:rPr>
                <w:rFonts w:ascii="Arial" w:hAnsi="Arial" w:cs="Arial"/>
                <w:sz w:val="22"/>
                <w:szCs w:val="22"/>
              </w:rPr>
              <w:br/>
              <w:t>by category of expenditure</w:t>
            </w:r>
          </w:p>
        </w:tc>
      </w:tr>
      <w:tr w:rsidR="009B075E" w:rsidRPr="00493427" w:rsidTr="00C8147F">
        <w:trPr>
          <w:trHeight w:val="4755"/>
          <w:jc w:val="center"/>
        </w:trPr>
        <w:tc>
          <w:tcPr>
            <w:tcW w:w="9174" w:type="dxa"/>
            <w:tcBorders>
              <w:top w:val="single" w:sz="4" w:space="0" w:color="auto"/>
              <w:left w:val="single" w:sz="4" w:space="0" w:color="auto"/>
              <w:bottom w:val="single" w:sz="4" w:space="0" w:color="auto"/>
              <w:right w:val="single" w:sz="4" w:space="0" w:color="auto"/>
            </w:tcBorders>
            <w:vAlign w:val="center"/>
          </w:tcPr>
          <w:p w:rsidR="009B075E" w:rsidRPr="00493427" w:rsidRDefault="005E0A95" w:rsidP="00B826AE">
            <w:pPr>
              <w:tabs>
                <w:tab w:val="left" w:pos="4708"/>
              </w:tabs>
              <w:jc w:val="center"/>
              <w:rPr>
                <w:rFonts w:ascii="Arial" w:hAnsi="Arial" w:cs="Arial"/>
                <w:b/>
                <w:bCs/>
              </w:rPr>
            </w:pPr>
            <w:r>
              <w:rPr>
                <w:rFonts w:ascii="Arial" w:hAnsi="Arial" w:cs="Arial"/>
                <w:b/>
                <w:noProof/>
                <w:lang w:eastAsia="en-AU"/>
              </w:rPr>
              <w:drawing>
                <wp:inline distT="0" distB="0" distL="0" distR="0" wp14:anchorId="2DC6DF81" wp14:editId="41792B1C">
                  <wp:extent cx="5520690" cy="3079750"/>
                  <wp:effectExtent l="0" t="0" r="3810" b="6350"/>
                  <wp:docPr id="2" name="Picture 2" descr="Contribution to Pharmaceutical Benefits expenditure growth, by category of expendi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t="5095" r="2106" b="6618"/>
                          <a:stretch>
                            <a:fillRect/>
                          </a:stretch>
                        </pic:blipFill>
                        <pic:spPr bwMode="auto">
                          <a:xfrm>
                            <a:off x="0" y="0"/>
                            <a:ext cx="5520690" cy="3079750"/>
                          </a:xfrm>
                          <a:prstGeom prst="rect">
                            <a:avLst/>
                          </a:prstGeom>
                          <a:noFill/>
                          <a:ln w="9525">
                            <a:noFill/>
                            <a:miter lim="800000"/>
                            <a:headEnd/>
                            <a:tailEnd/>
                          </a:ln>
                        </pic:spPr>
                      </pic:pic>
                    </a:graphicData>
                  </a:graphic>
                </wp:inline>
              </w:drawing>
            </w:r>
          </w:p>
        </w:tc>
      </w:tr>
    </w:tbl>
    <w:p w:rsidR="009B075E" w:rsidRDefault="009B075E">
      <w:pPr>
        <w:spacing w:before="120" w:after="120"/>
        <w:ind w:firstLine="220"/>
        <w:rPr>
          <w:rFonts w:ascii="Arial" w:hAnsi="Arial" w:cs="Arial"/>
          <w:sz w:val="16"/>
          <w:szCs w:val="16"/>
        </w:rPr>
      </w:pPr>
      <w:r w:rsidRPr="00493427">
        <w:rPr>
          <w:rFonts w:ascii="Arial" w:hAnsi="Arial" w:cs="Arial"/>
          <w:sz w:val="16"/>
          <w:szCs w:val="16"/>
        </w:rPr>
        <w:t>Source: Based on data from DoHA Expenditure and Prescriptions reports</w:t>
      </w:r>
      <w:r>
        <w:rPr>
          <w:rFonts w:ascii="Arial" w:hAnsi="Arial" w:cs="Arial"/>
          <w:sz w:val="16"/>
          <w:szCs w:val="16"/>
        </w:rPr>
        <w:t xml:space="preserve"> between June 2005 and June 2011</w:t>
      </w:r>
      <w:r w:rsidRPr="00493427">
        <w:rPr>
          <w:rFonts w:ascii="Arial" w:hAnsi="Arial" w:cs="Arial"/>
          <w:sz w:val="16"/>
          <w:szCs w:val="16"/>
        </w:rPr>
        <w:t>, Table 1(a)</w:t>
      </w:r>
    </w:p>
    <w:p w:rsidR="007356D4" w:rsidRPr="00493427" w:rsidRDefault="007356D4">
      <w:pPr>
        <w:spacing w:before="120" w:after="120"/>
        <w:ind w:firstLine="220"/>
        <w:rPr>
          <w:rFonts w:ascii="Arial" w:hAnsi="Arial" w:cs="Arial"/>
          <w:sz w:val="16"/>
          <w:szCs w:val="16"/>
        </w:rPr>
      </w:pPr>
    </w:p>
    <w:p w:rsidR="009B075E" w:rsidRDefault="009B075E" w:rsidP="007356D4">
      <w:pPr>
        <w:spacing w:before="120" w:after="120"/>
        <w:rPr>
          <w:rFonts w:ascii="Arial" w:hAnsi="Arial" w:cs="Arial"/>
          <w:b/>
          <w:bCs/>
          <w:color w:val="365F91"/>
          <w:sz w:val="24"/>
          <w:szCs w:val="24"/>
          <w:highlight w:val="yellow"/>
        </w:rPr>
      </w:pPr>
      <w:r w:rsidRPr="00C53F33">
        <w:rPr>
          <w:rFonts w:ascii="Arial" w:hAnsi="Arial" w:cs="Arial"/>
        </w:rPr>
        <w:t xml:space="preserve">The HSD program’s contribution to overall growth in Government expenditure on the PBS has continued to grow </w:t>
      </w:r>
      <w:r>
        <w:rPr>
          <w:rFonts w:ascii="Arial" w:hAnsi="Arial" w:cs="Arial"/>
        </w:rPr>
        <w:t>over the period (2007</w:t>
      </w:r>
      <w:r w:rsidRPr="00C53F33">
        <w:rPr>
          <w:rFonts w:ascii="Arial" w:hAnsi="Arial" w:cs="Arial"/>
        </w:rPr>
        <w:t xml:space="preserve">-2011).  In 2010-11, the HSD program cost the Australian Government upwards of $1 billion.   In </w:t>
      </w:r>
      <w:r>
        <w:rPr>
          <w:rFonts w:ascii="Arial" w:hAnsi="Arial" w:cs="Arial"/>
        </w:rPr>
        <w:t>view of its growing contribution to PBS expenditure and growth</w:t>
      </w:r>
      <w:r w:rsidRPr="00C53F33">
        <w:rPr>
          <w:rFonts w:ascii="Arial" w:hAnsi="Arial" w:cs="Arial"/>
        </w:rPr>
        <w:t>, the DWG have examined trends in</w:t>
      </w:r>
      <w:r>
        <w:rPr>
          <w:rFonts w:ascii="Arial" w:hAnsi="Arial" w:cs="Arial"/>
        </w:rPr>
        <w:t xml:space="preserve"> </w:t>
      </w:r>
      <w:r w:rsidRPr="00C53F33">
        <w:rPr>
          <w:rFonts w:ascii="Arial" w:hAnsi="Arial" w:cs="Arial"/>
        </w:rPr>
        <w:t xml:space="preserve">HSD expenditure in this report.   </w:t>
      </w:r>
    </w:p>
    <w:p w:rsidR="009B075E" w:rsidRDefault="009B075E" w:rsidP="00992AE5">
      <w:pPr>
        <w:pStyle w:val="Heading1"/>
        <w:rPr>
          <w:rFonts w:ascii="Arial" w:hAnsi="Arial" w:cs="Arial"/>
          <w:sz w:val="24"/>
          <w:szCs w:val="24"/>
        </w:rPr>
      </w:pPr>
    </w:p>
    <w:p w:rsidR="003A33E3" w:rsidRPr="00A75762" w:rsidRDefault="003A33E3" w:rsidP="003A33E3">
      <w:pPr>
        <w:pStyle w:val="Heading1"/>
        <w:rPr>
          <w:rFonts w:ascii="Arial" w:hAnsi="Arial" w:cs="Arial"/>
          <w:sz w:val="24"/>
          <w:szCs w:val="24"/>
        </w:rPr>
      </w:pPr>
      <w:bookmarkStart w:id="30" w:name="_Toc337033189"/>
      <w:bookmarkStart w:id="31" w:name="_Toc357174834"/>
      <w:r w:rsidRPr="00A75762">
        <w:rPr>
          <w:rFonts w:ascii="Arial" w:hAnsi="Arial" w:cs="Arial"/>
          <w:sz w:val="24"/>
          <w:szCs w:val="24"/>
        </w:rPr>
        <w:t>Key drivers of growth and their influence on PBS expenditure</w:t>
      </w:r>
      <w:bookmarkEnd w:id="30"/>
      <w:bookmarkEnd w:id="31"/>
    </w:p>
    <w:p w:rsidR="003A33E3" w:rsidRPr="00A75762" w:rsidRDefault="003A33E3" w:rsidP="003A33E3">
      <w:pPr>
        <w:spacing w:before="120" w:after="120"/>
        <w:rPr>
          <w:rFonts w:ascii="Arial" w:hAnsi="Arial" w:cs="Arial"/>
        </w:rPr>
      </w:pPr>
      <w:r w:rsidRPr="00A75762">
        <w:rPr>
          <w:rFonts w:ascii="Arial" w:hAnsi="Arial" w:cs="Arial"/>
        </w:rPr>
        <w:t>(Reference Appendix 2:</w:t>
      </w:r>
      <w:r>
        <w:rPr>
          <w:rFonts w:ascii="Arial" w:hAnsi="Arial" w:cs="Arial"/>
        </w:rPr>
        <w:t xml:space="preserve"> </w:t>
      </w:r>
      <w:r w:rsidR="00855AAF">
        <w:rPr>
          <w:rFonts w:ascii="Arial" w:hAnsi="Arial" w:cs="Arial"/>
        </w:rPr>
        <w:fldChar w:fldCharType="begin"/>
      </w:r>
      <w:r>
        <w:rPr>
          <w:rFonts w:ascii="Arial" w:hAnsi="Arial" w:cs="Arial"/>
        </w:rPr>
        <w:instrText xml:space="preserve"> REF _Ref318375937 \h </w:instrText>
      </w:r>
      <w:r w:rsidR="00855AAF">
        <w:rPr>
          <w:rFonts w:ascii="Arial" w:hAnsi="Arial" w:cs="Arial"/>
        </w:rPr>
      </w:r>
      <w:r w:rsidR="00855AAF">
        <w:rPr>
          <w:rFonts w:ascii="Arial" w:hAnsi="Arial" w:cs="Arial"/>
        </w:rPr>
        <w:fldChar w:fldCharType="separate"/>
      </w:r>
      <w:r w:rsidR="00584343" w:rsidRPr="00706DC1">
        <w:rPr>
          <w:rFonts w:ascii="Arial" w:hAnsi="Arial" w:cs="Arial"/>
        </w:rPr>
        <w:t xml:space="preserve">Table </w:t>
      </w:r>
      <w:r w:rsidR="00584343">
        <w:rPr>
          <w:rFonts w:ascii="Arial" w:hAnsi="Arial" w:cs="Arial"/>
          <w:noProof/>
        </w:rPr>
        <w:t>7</w:t>
      </w:r>
      <w:r w:rsidR="00855AAF">
        <w:rPr>
          <w:rFonts w:ascii="Arial" w:hAnsi="Arial" w:cs="Arial"/>
        </w:rPr>
        <w:fldChar w:fldCharType="end"/>
      </w:r>
      <w:r>
        <w:rPr>
          <w:rFonts w:ascii="Arial" w:hAnsi="Arial" w:cs="Arial"/>
        </w:rPr>
        <w:t xml:space="preserve"> and </w:t>
      </w:r>
      <w:r w:rsidR="00D37E6C">
        <w:rPr>
          <w:rFonts w:ascii="Arial" w:hAnsi="Arial" w:cs="Arial"/>
        </w:rPr>
        <w:t>Table 8</w:t>
      </w:r>
      <w:r w:rsidRPr="00A75762">
        <w:rPr>
          <w:rFonts w:ascii="Arial" w:hAnsi="Arial" w:cs="Arial"/>
        </w:rPr>
        <w:t>)</w:t>
      </w:r>
    </w:p>
    <w:p w:rsidR="003A33E3" w:rsidRPr="00A75762" w:rsidRDefault="003A33E3" w:rsidP="003A33E3">
      <w:pPr>
        <w:spacing w:before="120" w:after="120"/>
        <w:rPr>
          <w:rFonts w:ascii="Arial" w:hAnsi="Arial" w:cs="Arial"/>
        </w:rPr>
      </w:pPr>
      <w:r w:rsidRPr="00A75762">
        <w:rPr>
          <w:rFonts w:ascii="Arial" w:hAnsi="Arial" w:cs="Arial"/>
        </w:rPr>
        <w:t xml:space="preserve">The following section looks at the decomposition of PBS expenditure by key drivers such as </w:t>
      </w:r>
      <w:r>
        <w:rPr>
          <w:rFonts w:ascii="Arial" w:hAnsi="Arial" w:cs="Arial"/>
        </w:rPr>
        <w:t xml:space="preserve">net </w:t>
      </w:r>
      <w:r w:rsidRPr="00A75762">
        <w:rPr>
          <w:rFonts w:ascii="Arial" w:hAnsi="Arial" w:cs="Arial"/>
        </w:rPr>
        <w:t>new listings</w:t>
      </w:r>
      <w:r>
        <w:rPr>
          <w:rStyle w:val="FootnoteReference"/>
        </w:rPr>
        <w:footnoteReference w:id="17"/>
      </w:r>
      <w:r w:rsidRPr="00A75762">
        <w:rPr>
          <w:rFonts w:ascii="Arial" w:hAnsi="Arial" w:cs="Arial"/>
        </w:rPr>
        <w:t xml:space="preserve"> (</w:t>
      </w:r>
      <w:r>
        <w:rPr>
          <w:rFonts w:ascii="Arial" w:hAnsi="Arial" w:cs="Arial"/>
        </w:rPr>
        <w:t>both i</w:t>
      </w:r>
      <w:r w:rsidRPr="00A75762">
        <w:rPr>
          <w:rFonts w:ascii="Arial" w:hAnsi="Arial" w:cs="Arial"/>
        </w:rPr>
        <w:t>n their first year of listing</w:t>
      </w:r>
      <w:r>
        <w:rPr>
          <w:rFonts w:ascii="Arial" w:hAnsi="Arial" w:cs="Arial"/>
        </w:rPr>
        <w:t xml:space="preserve"> and over four years</w:t>
      </w:r>
      <w:r w:rsidRPr="00A75762">
        <w:rPr>
          <w:rFonts w:ascii="Arial" w:hAnsi="Arial" w:cs="Arial"/>
        </w:rPr>
        <w:t>), the change in prices of existing or already lis</w:t>
      </w:r>
      <w:r>
        <w:rPr>
          <w:rFonts w:ascii="Arial" w:hAnsi="Arial" w:cs="Arial"/>
        </w:rPr>
        <w:t xml:space="preserve">ted medicines </w:t>
      </w:r>
      <w:r w:rsidRPr="00A75762">
        <w:rPr>
          <w:rFonts w:ascii="Arial" w:hAnsi="Arial" w:cs="Arial"/>
        </w:rPr>
        <w:t xml:space="preserve">and the change in the </w:t>
      </w:r>
      <w:r w:rsidR="006E220B">
        <w:rPr>
          <w:rFonts w:ascii="Arial" w:hAnsi="Arial" w:cs="Arial"/>
        </w:rPr>
        <w:t>volume</w:t>
      </w:r>
      <w:r w:rsidRPr="00A75762">
        <w:rPr>
          <w:rFonts w:ascii="Arial" w:hAnsi="Arial" w:cs="Arial"/>
        </w:rPr>
        <w:t xml:space="preserve"> of existing medicines. </w:t>
      </w:r>
    </w:p>
    <w:p w:rsidR="003A33E3" w:rsidRPr="00A75762" w:rsidRDefault="003A33E3" w:rsidP="003A33E3">
      <w:pPr>
        <w:rPr>
          <w:rFonts w:ascii="Arial" w:hAnsi="Arial" w:cs="Arial"/>
        </w:rPr>
      </w:pPr>
      <w:r w:rsidRPr="00A75762">
        <w:rPr>
          <w:rFonts w:ascii="Arial" w:hAnsi="Arial" w:cs="Arial"/>
        </w:rPr>
        <w:t>The general methodology used here is based on the methodology used by Sweeny (200</w:t>
      </w:r>
      <w:r w:rsidR="005C1AE3">
        <w:rPr>
          <w:rFonts w:ascii="Arial" w:hAnsi="Arial" w:cs="Arial"/>
        </w:rPr>
        <w:t>2</w:t>
      </w:r>
      <w:r w:rsidRPr="00A75762">
        <w:rPr>
          <w:rFonts w:ascii="Arial" w:hAnsi="Arial" w:cs="Arial"/>
        </w:rPr>
        <w:t>)</w:t>
      </w:r>
      <w:r w:rsidR="00154097">
        <w:rPr>
          <w:rStyle w:val="FootnoteReference"/>
        </w:rPr>
        <w:footnoteReference w:id="18"/>
      </w:r>
      <w:r w:rsidRPr="00A75762">
        <w:rPr>
          <w:rFonts w:ascii="Arial" w:hAnsi="Arial" w:cs="Arial"/>
        </w:rPr>
        <w:t xml:space="preserve"> to decompose PBS expenditure growth in the effects of net new drugs (first year of listing), demand and prices.</w:t>
      </w:r>
    </w:p>
    <w:p w:rsidR="003A33E3" w:rsidRPr="00A75762" w:rsidRDefault="003A33E3" w:rsidP="003A33E3">
      <w:pPr>
        <w:rPr>
          <w:rFonts w:ascii="Arial" w:hAnsi="Arial" w:cs="Arial"/>
        </w:rPr>
      </w:pPr>
      <w:r w:rsidRPr="00A75762">
        <w:rPr>
          <w:rFonts w:ascii="Arial" w:hAnsi="Arial" w:cs="Arial"/>
        </w:rPr>
        <w:t>For each PBS item listed in each year, scripts and expenditure were extracted.  Net new listings were calculated as expenditure due to PBS items that were listed in the current year, but not listed in the previous year, minus expenditure on PBS items that were listed in the previous year, but not in the current year.</w:t>
      </w:r>
    </w:p>
    <w:p w:rsidR="003A33E3" w:rsidRPr="00A75762" w:rsidRDefault="003A33E3" w:rsidP="003A33E3">
      <w:pPr>
        <w:rPr>
          <w:rFonts w:ascii="Arial" w:hAnsi="Arial" w:cs="Arial"/>
        </w:rPr>
      </w:pPr>
      <w:r w:rsidRPr="00A75762">
        <w:rPr>
          <w:rFonts w:ascii="Arial" w:hAnsi="Arial" w:cs="Arial"/>
        </w:rPr>
        <w:t xml:space="preserve">For all PBS items that were listed in both years (continuing items), expenditure in the current year is calculated using constant </w:t>
      </w:r>
      <w:r w:rsidR="006E220B">
        <w:rPr>
          <w:rFonts w:ascii="Arial" w:hAnsi="Arial" w:cs="Arial"/>
        </w:rPr>
        <w:t>average cost to Government</w:t>
      </w:r>
      <w:r w:rsidRPr="00A75762">
        <w:rPr>
          <w:rFonts w:ascii="Arial" w:hAnsi="Arial" w:cs="Arial"/>
        </w:rPr>
        <w:t xml:space="preserve"> (those </w:t>
      </w:r>
      <w:r w:rsidR="006E220B">
        <w:rPr>
          <w:rFonts w:ascii="Arial" w:hAnsi="Arial" w:cs="Arial"/>
        </w:rPr>
        <w:t xml:space="preserve">costs </w:t>
      </w:r>
      <w:r w:rsidRPr="00A75762">
        <w:rPr>
          <w:rFonts w:ascii="Arial" w:hAnsi="Arial" w:cs="Arial"/>
        </w:rPr>
        <w:t>that applied in the previous year</w:t>
      </w:r>
      <w:r w:rsidR="006E220B">
        <w:rPr>
          <w:rFonts w:ascii="Arial" w:hAnsi="Arial" w:cs="Arial"/>
        </w:rPr>
        <w:t>; in this analysis constant average price to Government is used as a proxy for constant prices</w:t>
      </w:r>
      <w:r w:rsidRPr="00A75762">
        <w:rPr>
          <w:rFonts w:ascii="Arial" w:hAnsi="Arial" w:cs="Arial"/>
        </w:rPr>
        <w:t xml:space="preserve">).  The difference between the current year’s expenditure in constant prices and the previous year’s expenditure is considered the effect of changes in volume (or demand).  </w:t>
      </w:r>
      <w:r w:rsidR="006E220B">
        <w:rPr>
          <w:rFonts w:ascii="Arial" w:hAnsi="Arial" w:cs="Arial"/>
        </w:rPr>
        <w:t>T</w:t>
      </w:r>
      <w:r w:rsidRPr="00A75762">
        <w:rPr>
          <w:rFonts w:ascii="Arial" w:hAnsi="Arial" w:cs="Arial"/>
        </w:rPr>
        <w:t>he</w:t>
      </w:r>
      <w:r>
        <w:rPr>
          <w:rFonts w:ascii="Arial" w:hAnsi="Arial" w:cs="Arial"/>
        </w:rPr>
        <w:t xml:space="preserve"> </w:t>
      </w:r>
      <w:r w:rsidR="006E220B">
        <w:rPr>
          <w:rFonts w:ascii="Arial" w:hAnsi="Arial" w:cs="Arial"/>
        </w:rPr>
        <w:t xml:space="preserve">effect due to changes in </w:t>
      </w:r>
      <w:r>
        <w:rPr>
          <w:rFonts w:ascii="Arial" w:hAnsi="Arial" w:cs="Arial"/>
        </w:rPr>
        <w:t xml:space="preserve">price </w:t>
      </w:r>
      <w:r w:rsidRPr="00A75762">
        <w:rPr>
          <w:rFonts w:ascii="Arial" w:hAnsi="Arial" w:cs="Arial"/>
        </w:rPr>
        <w:t>is calculated as the difference between the total change in expenditure minus the effect due to volume.</w:t>
      </w:r>
    </w:p>
    <w:p w:rsidR="003A33E3" w:rsidRDefault="003A33E3" w:rsidP="003A33E3">
      <w:pPr>
        <w:rPr>
          <w:rFonts w:ascii="Arial" w:hAnsi="Arial" w:cs="Arial"/>
        </w:rPr>
      </w:pPr>
      <w:r w:rsidRPr="00A75762">
        <w:rPr>
          <w:rFonts w:ascii="Arial" w:hAnsi="Arial" w:cs="Arial"/>
        </w:rPr>
        <w:t xml:space="preserve">There are a number of caveats with the methodology, such as how trends to use more or less expensive drugs to treat the same condition are handled and whether chain linked indexes would </w:t>
      </w:r>
      <w:r w:rsidRPr="004B01D4">
        <w:rPr>
          <w:rFonts w:ascii="Arial" w:hAnsi="Arial" w:cs="Arial"/>
        </w:rPr>
        <w:t>be a better way of examining this decomposition. </w:t>
      </w:r>
    </w:p>
    <w:p w:rsidR="003A33E3" w:rsidRPr="00A75762" w:rsidRDefault="003A33E3" w:rsidP="003A33E3">
      <w:pPr>
        <w:rPr>
          <w:rFonts w:ascii="Arial" w:hAnsi="Arial" w:cs="Arial"/>
        </w:rPr>
      </w:pPr>
      <w:r w:rsidRPr="00A75762">
        <w:rPr>
          <w:rFonts w:ascii="Arial" w:hAnsi="Arial" w:cs="Arial"/>
        </w:rPr>
        <w:t xml:space="preserve"> </w:t>
      </w:r>
    </w:p>
    <w:p w:rsidR="003A33E3" w:rsidRDefault="003A33E3" w:rsidP="003A33E3">
      <w:pPr>
        <w:rPr>
          <w:rFonts w:ascii="Arial" w:hAnsi="Arial" w:cs="Arial"/>
        </w:rPr>
      </w:pPr>
      <w:r>
        <w:rPr>
          <w:rFonts w:ascii="Arial" w:hAnsi="Arial" w:cs="Arial"/>
        </w:rPr>
        <w:br w:type="page"/>
      </w:r>
    </w:p>
    <w:p w:rsidR="003A33E3" w:rsidRDefault="003A33E3" w:rsidP="003A33E3">
      <w:pPr>
        <w:rPr>
          <w:rFonts w:ascii="Arial" w:hAnsi="Arial" w:cs="Arial"/>
        </w:rPr>
      </w:pPr>
    </w:p>
    <w:p w:rsidR="003A33E3" w:rsidRDefault="003A33E3" w:rsidP="003A33E3">
      <w:pPr>
        <w:spacing w:before="120" w:after="120"/>
        <w:rPr>
          <w:rFonts w:ascii="Arial" w:hAnsi="Arial" w:cs="Arial"/>
        </w:rPr>
      </w:pPr>
      <w:r w:rsidRPr="00A75762">
        <w:rPr>
          <w:rFonts w:ascii="Arial" w:hAnsi="Arial" w:cs="Arial"/>
        </w:rPr>
        <w:t>A</w:t>
      </w:r>
      <w:r>
        <w:rPr>
          <w:rFonts w:ascii="Arial" w:hAnsi="Arial" w:cs="Arial"/>
        </w:rPr>
        <w:t>s shown in</w:t>
      </w:r>
      <w:r w:rsidR="00FD71EC">
        <w:rPr>
          <w:rFonts w:ascii="Arial" w:hAnsi="Arial" w:cs="Arial"/>
        </w:rPr>
        <w:t xml:space="preserve"> </w:t>
      </w:r>
      <w:r w:rsidR="00855AAF">
        <w:rPr>
          <w:rFonts w:ascii="Arial" w:hAnsi="Arial" w:cs="Arial"/>
        </w:rPr>
        <w:fldChar w:fldCharType="begin"/>
      </w:r>
      <w:r w:rsidR="00FD71EC">
        <w:rPr>
          <w:rFonts w:ascii="Arial" w:hAnsi="Arial" w:cs="Arial"/>
        </w:rPr>
        <w:instrText xml:space="preserve"> REF _Ref337537216 \h </w:instrText>
      </w:r>
      <w:r w:rsidR="00855AAF">
        <w:rPr>
          <w:rFonts w:ascii="Arial" w:hAnsi="Arial" w:cs="Arial"/>
        </w:rPr>
      </w:r>
      <w:r w:rsidR="00855AAF">
        <w:rPr>
          <w:rFonts w:ascii="Arial" w:hAnsi="Arial" w:cs="Arial"/>
        </w:rPr>
        <w:fldChar w:fldCharType="separate"/>
      </w:r>
      <w:r w:rsidR="00584343" w:rsidRPr="00A75762">
        <w:rPr>
          <w:rFonts w:ascii="Arial" w:hAnsi="Arial" w:cs="Arial"/>
          <w:sz w:val="20"/>
        </w:rPr>
        <w:t xml:space="preserve">Figure </w:t>
      </w:r>
      <w:r w:rsidR="00584343">
        <w:rPr>
          <w:rFonts w:ascii="Arial" w:hAnsi="Arial" w:cs="Arial"/>
          <w:noProof/>
          <w:sz w:val="20"/>
        </w:rPr>
        <w:t>3</w:t>
      </w:r>
      <w:r w:rsidR="00855AAF">
        <w:rPr>
          <w:rFonts w:ascii="Arial" w:hAnsi="Arial" w:cs="Arial"/>
        </w:rPr>
        <w:fldChar w:fldCharType="end"/>
      </w:r>
      <w:r>
        <w:rPr>
          <w:rFonts w:ascii="Arial" w:hAnsi="Arial" w:cs="Arial"/>
        </w:rPr>
        <w:t>, a</w:t>
      </w:r>
      <w:r w:rsidRPr="00A75762">
        <w:rPr>
          <w:rFonts w:ascii="Arial" w:hAnsi="Arial" w:cs="Arial"/>
        </w:rPr>
        <w:t xml:space="preserve">t a high level, </w:t>
      </w:r>
      <w:r>
        <w:rPr>
          <w:rFonts w:ascii="Arial" w:hAnsi="Arial" w:cs="Arial"/>
        </w:rPr>
        <w:t xml:space="preserve">the impact of change in volume of existing medicines is the key contributor </w:t>
      </w:r>
      <w:r w:rsidRPr="00A75762">
        <w:rPr>
          <w:rFonts w:ascii="Arial" w:hAnsi="Arial" w:cs="Arial"/>
        </w:rPr>
        <w:t>to</w:t>
      </w:r>
      <w:r>
        <w:rPr>
          <w:rFonts w:ascii="Arial" w:hAnsi="Arial" w:cs="Arial"/>
        </w:rPr>
        <w:t xml:space="preserve"> overall increase in PBS expenditure.  T</w:t>
      </w:r>
      <w:r w:rsidRPr="00A75762">
        <w:rPr>
          <w:rFonts w:ascii="Arial" w:hAnsi="Arial" w:cs="Arial"/>
        </w:rPr>
        <w:t xml:space="preserve">he analysis </w:t>
      </w:r>
      <w:r>
        <w:rPr>
          <w:rFonts w:ascii="Arial" w:hAnsi="Arial" w:cs="Arial"/>
        </w:rPr>
        <w:t xml:space="preserve">also </w:t>
      </w:r>
      <w:r w:rsidRPr="00A75762">
        <w:rPr>
          <w:rFonts w:ascii="Arial" w:hAnsi="Arial" w:cs="Arial"/>
        </w:rPr>
        <w:t>shows that change</w:t>
      </w:r>
      <w:r>
        <w:rPr>
          <w:rFonts w:ascii="Arial" w:hAnsi="Arial" w:cs="Arial"/>
        </w:rPr>
        <w:t>s</w:t>
      </w:r>
      <w:r w:rsidRPr="00A75762">
        <w:rPr>
          <w:rFonts w:ascii="Arial" w:hAnsi="Arial" w:cs="Arial"/>
        </w:rPr>
        <w:t xml:space="preserve"> in the price paid for existing medicines on the PBS in the time period have actually worked to</w:t>
      </w:r>
      <w:r w:rsidRPr="00A75762">
        <w:rPr>
          <w:rFonts w:ascii="Arial" w:hAnsi="Arial" w:cs="Arial"/>
          <w:i/>
        </w:rPr>
        <w:t xml:space="preserve"> </w:t>
      </w:r>
      <w:r w:rsidRPr="00A75762">
        <w:rPr>
          <w:rFonts w:ascii="Arial" w:hAnsi="Arial" w:cs="Arial"/>
        </w:rPr>
        <w:t xml:space="preserve">offset additional expenditure due to </w:t>
      </w:r>
      <w:r>
        <w:rPr>
          <w:rFonts w:ascii="Arial" w:hAnsi="Arial" w:cs="Arial"/>
        </w:rPr>
        <w:t xml:space="preserve">net </w:t>
      </w:r>
      <w:r w:rsidRPr="00A75762">
        <w:rPr>
          <w:rFonts w:ascii="Arial" w:hAnsi="Arial" w:cs="Arial"/>
        </w:rPr>
        <w:t xml:space="preserve">new listings when considering the effect of new listings </w:t>
      </w:r>
      <w:r>
        <w:rPr>
          <w:rFonts w:ascii="Arial" w:hAnsi="Arial" w:cs="Arial"/>
        </w:rPr>
        <w:t xml:space="preserve">at least </w:t>
      </w:r>
      <w:r w:rsidRPr="00A75762">
        <w:rPr>
          <w:rFonts w:ascii="Arial" w:hAnsi="Arial" w:cs="Arial"/>
        </w:rPr>
        <w:t xml:space="preserve">in their first year on the PBS. </w:t>
      </w:r>
    </w:p>
    <w:p w:rsidR="003A33E3" w:rsidRDefault="003A33E3" w:rsidP="003A33E3">
      <w:pPr>
        <w:spacing w:before="120" w:after="120"/>
        <w:rPr>
          <w:rFonts w:ascii="Arial" w:hAnsi="Arial" w:cs="Arial"/>
        </w:rPr>
      </w:pPr>
      <w:r w:rsidRPr="00A75762">
        <w:rPr>
          <w:rFonts w:ascii="Arial" w:hAnsi="Arial" w:cs="Arial"/>
        </w:rPr>
        <w:t xml:space="preserve">The high negative contribution of average price change in 2005-06 and 2006-07 </w:t>
      </w:r>
      <w:r w:rsidR="00FA7A59">
        <w:rPr>
          <w:rFonts w:ascii="Arial" w:hAnsi="Arial" w:cs="Arial"/>
        </w:rPr>
        <w:t>is closely</w:t>
      </w:r>
      <w:r w:rsidRPr="00A75762">
        <w:rPr>
          <w:rFonts w:ascii="Arial" w:hAnsi="Arial" w:cs="Arial"/>
        </w:rPr>
        <w:t xml:space="preserve"> related to the </w:t>
      </w:r>
      <w:r w:rsidR="00B0110D">
        <w:rPr>
          <w:rFonts w:ascii="Arial" w:hAnsi="Arial" w:cs="Arial"/>
        </w:rPr>
        <w:t xml:space="preserve">PBS </w:t>
      </w:r>
      <w:r w:rsidRPr="00A75762">
        <w:rPr>
          <w:rFonts w:ascii="Arial" w:hAnsi="Arial" w:cs="Arial"/>
        </w:rPr>
        <w:t xml:space="preserve">co-pay </w:t>
      </w:r>
      <w:r w:rsidR="00012916">
        <w:rPr>
          <w:rFonts w:ascii="Arial" w:hAnsi="Arial" w:cs="Arial"/>
        </w:rPr>
        <w:t xml:space="preserve">and </w:t>
      </w:r>
      <w:r w:rsidR="00B0110D">
        <w:rPr>
          <w:rFonts w:ascii="Arial" w:hAnsi="Arial" w:cs="Arial"/>
        </w:rPr>
        <w:t>S</w:t>
      </w:r>
      <w:r w:rsidR="00012916">
        <w:rPr>
          <w:rFonts w:ascii="Arial" w:hAnsi="Arial" w:cs="Arial"/>
        </w:rPr>
        <w:t xml:space="preserve">afety </w:t>
      </w:r>
      <w:r w:rsidR="00B0110D">
        <w:rPr>
          <w:rFonts w:ascii="Arial" w:hAnsi="Arial" w:cs="Arial"/>
        </w:rPr>
        <w:t>N</w:t>
      </w:r>
      <w:r w:rsidR="00012916">
        <w:rPr>
          <w:rFonts w:ascii="Arial" w:hAnsi="Arial" w:cs="Arial"/>
        </w:rPr>
        <w:t xml:space="preserve">et threshold </w:t>
      </w:r>
      <w:r w:rsidRPr="00A75762">
        <w:rPr>
          <w:rFonts w:ascii="Arial" w:hAnsi="Arial" w:cs="Arial"/>
        </w:rPr>
        <w:t>increase</w:t>
      </w:r>
      <w:r w:rsidR="00012916">
        <w:rPr>
          <w:rFonts w:ascii="Arial" w:hAnsi="Arial" w:cs="Arial"/>
        </w:rPr>
        <w:t>s</w:t>
      </w:r>
      <w:r w:rsidRPr="00A75762">
        <w:rPr>
          <w:rFonts w:ascii="Arial" w:hAnsi="Arial" w:cs="Arial"/>
        </w:rPr>
        <w:t xml:space="preserve"> from 1 January 2005</w:t>
      </w:r>
      <w:r w:rsidR="00012916">
        <w:rPr>
          <w:rFonts w:ascii="Arial" w:hAnsi="Arial" w:cs="Arial"/>
        </w:rPr>
        <w:t>,</w:t>
      </w:r>
      <w:r w:rsidRPr="00A75762">
        <w:rPr>
          <w:rFonts w:ascii="Arial" w:hAnsi="Arial" w:cs="Arial"/>
        </w:rPr>
        <w:t xml:space="preserve"> the introduction of 12.5% </w:t>
      </w:r>
      <w:r w:rsidR="00B0110D">
        <w:rPr>
          <w:rFonts w:ascii="Arial" w:hAnsi="Arial" w:cs="Arial"/>
        </w:rPr>
        <w:t xml:space="preserve">price reduction </w:t>
      </w:r>
      <w:r w:rsidRPr="00A75762">
        <w:rPr>
          <w:rFonts w:ascii="Arial" w:hAnsi="Arial" w:cs="Arial"/>
        </w:rPr>
        <w:t xml:space="preserve">policy from 1 </w:t>
      </w:r>
      <w:r w:rsidR="00354081">
        <w:rPr>
          <w:rFonts w:ascii="Arial" w:hAnsi="Arial" w:cs="Arial"/>
        </w:rPr>
        <w:t>August</w:t>
      </w:r>
      <w:r w:rsidR="00354081" w:rsidRPr="00A75762">
        <w:rPr>
          <w:rFonts w:ascii="Arial" w:hAnsi="Arial" w:cs="Arial"/>
        </w:rPr>
        <w:t xml:space="preserve"> </w:t>
      </w:r>
      <w:r w:rsidRPr="00A75762">
        <w:rPr>
          <w:rFonts w:ascii="Arial" w:hAnsi="Arial" w:cs="Arial"/>
        </w:rPr>
        <w:t>2005</w:t>
      </w:r>
      <w:r w:rsidR="00012916">
        <w:rPr>
          <w:rFonts w:ascii="Arial" w:hAnsi="Arial" w:cs="Arial"/>
        </w:rPr>
        <w:t xml:space="preserve"> and the introduction of the Safety Net 20 Day Rule from 1 January 2006</w:t>
      </w:r>
      <w:r w:rsidR="00B0110D">
        <w:rPr>
          <w:rFonts w:ascii="Arial" w:hAnsi="Arial" w:cs="Arial"/>
        </w:rPr>
        <w:t xml:space="preserve"> (see below for a detailed description of each of these measures)</w:t>
      </w:r>
      <w:r w:rsidRPr="00A75762">
        <w:rPr>
          <w:rFonts w:ascii="Arial" w:hAnsi="Arial" w:cs="Arial"/>
        </w:rPr>
        <w:t xml:space="preserve">.  </w:t>
      </w:r>
      <w:r w:rsidR="00B0110D" w:rsidRPr="00A75762">
        <w:rPr>
          <w:rFonts w:ascii="Arial" w:hAnsi="Arial" w:cs="Arial"/>
        </w:rPr>
        <w:t>Th</w:t>
      </w:r>
      <w:r w:rsidR="00B0110D">
        <w:rPr>
          <w:rFonts w:ascii="Arial" w:hAnsi="Arial" w:cs="Arial"/>
        </w:rPr>
        <w:t>e combination of these measures</w:t>
      </w:r>
      <w:r w:rsidR="00B0110D" w:rsidRPr="00A75762">
        <w:rPr>
          <w:rFonts w:ascii="Arial" w:hAnsi="Arial" w:cs="Arial"/>
        </w:rPr>
        <w:t xml:space="preserve"> </w:t>
      </w:r>
      <w:r w:rsidRPr="00A75762">
        <w:rPr>
          <w:rFonts w:ascii="Arial" w:hAnsi="Arial" w:cs="Arial"/>
        </w:rPr>
        <w:t>would have the effect of reducing the average price paid by the Government for existing PBS medicines</w:t>
      </w:r>
      <w:r w:rsidR="00FA7A59">
        <w:rPr>
          <w:rFonts w:ascii="Arial" w:hAnsi="Arial" w:cs="Arial"/>
        </w:rPr>
        <w:t>, magnifying the negative effect of price change</w:t>
      </w:r>
      <w:r w:rsidR="00B0110D">
        <w:rPr>
          <w:rFonts w:ascii="Arial" w:hAnsi="Arial" w:cs="Arial"/>
        </w:rPr>
        <w:t xml:space="preserve">, and the positive effect of volume change </w:t>
      </w:r>
      <w:r w:rsidR="00354081">
        <w:rPr>
          <w:rFonts w:ascii="Arial" w:hAnsi="Arial" w:cs="Arial"/>
        </w:rPr>
        <w:t>over a three year time period</w:t>
      </w:r>
      <w:r w:rsidR="00B0110D">
        <w:rPr>
          <w:rFonts w:ascii="Arial" w:hAnsi="Arial" w:cs="Arial"/>
        </w:rPr>
        <w:t xml:space="preserve"> between 2004-05 and 2006-07</w:t>
      </w:r>
      <w:r w:rsidRPr="00A75762">
        <w:rPr>
          <w:rFonts w:ascii="Arial" w:hAnsi="Arial" w:cs="Arial"/>
        </w:rPr>
        <w:t>.</w:t>
      </w:r>
    </w:p>
    <w:p w:rsidR="00012916" w:rsidRDefault="008257B1" w:rsidP="003A33E3">
      <w:pPr>
        <w:spacing w:before="120" w:after="120"/>
        <w:rPr>
          <w:rFonts w:ascii="Arial" w:hAnsi="Arial" w:cs="Arial"/>
        </w:rPr>
      </w:pPr>
      <w:r>
        <w:rPr>
          <w:rFonts w:ascii="Arial" w:hAnsi="Arial" w:cs="Arial"/>
        </w:rPr>
        <w:t xml:space="preserve">In the four years to 2003-04, PBS growth averaged around 13% per annum.  </w:t>
      </w:r>
      <w:r w:rsidR="00012916">
        <w:rPr>
          <w:rFonts w:ascii="Arial" w:hAnsi="Arial" w:cs="Arial"/>
        </w:rPr>
        <w:t xml:space="preserve">From </w:t>
      </w:r>
      <w:r>
        <w:rPr>
          <w:rFonts w:ascii="Arial" w:hAnsi="Arial" w:cs="Arial"/>
        </w:rPr>
        <w:br/>
      </w:r>
      <w:r w:rsidR="00012916">
        <w:rPr>
          <w:rFonts w:ascii="Arial" w:hAnsi="Arial" w:cs="Arial"/>
        </w:rPr>
        <w:t>1 January 2005, the PBS co-payment for concessional patients rose from $</w:t>
      </w:r>
      <w:r w:rsidR="00332203">
        <w:rPr>
          <w:rFonts w:ascii="Arial" w:hAnsi="Arial" w:cs="Arial"/>
        </w:rPr>
        <w:t>3.80</w:t>
      </w:r>
      <w:r w:rsidR="00012916">
        <w:rPr>
          <w:rFonts w:ascii="Arial" w:hAnsi="Arial" w:cs="Arial"/>
        </w:rPr>
        <w:t xml:space="preserve"> to $</w:t>
      </w:r>
      <w:r w:rsidR="00332203">
        <w:rPr>
          <w:rFonts w:ascii="Arial" w:hAnsi="Arial" w:cs="Arial"/>
        </w:rPr>
        <w:t>4.60</w:t>
      </w:r>
      <w:r w:rsidR="00012916">
        <w:rPr>
          <w:rFonts w:ascii="Arial" w:hAnsi="Arial" w:cs="Arial"/>
        </w:rPr>
        <w:t>, an increase of $</w:t>
      </w:r>
      <w:r w:rsidR="00332203">
        <w:rPr>
          <w:rFonts w:ascii="Arial" w:hAnsi="Arial" w:cs="Arial"/>
        </w:rPr>
        <w:t>0.80</w:t>
      </w:r>
      <w:r w:rsidR="00012916">
        <w:rPr>
          <w:rFonts w:ascii="Arial" w:hAnsi="Arial" w:cs="Arial"/>
        </w:rPr>
        <w:t xml:space="preserve"> or </w:t>
      </w:r>
      <w:r w:rsidR="00332203">
        <w:rPr>
          <w:rFonts w:ascii="Arial" w:hAnsi="Arial" w:cs="Arial"/>
        </w:rPr>
        <w:t>21</w:t>
      </w:r>
      <w:r w:rsidR="00012916">
        <w:rPr>
          <w:rFonts w:ascii="Arial" w:hAnsi="Arial" w:cs="Arial"/>
        </w:rPr>
        <w:t>%.  For general patients the co-payment rose from $</w:t>
      </w:r>
      <w:r w:rsidR="00332203">
        <w:rPr>
          <w:rFonts w:ascii="Arial" w:hAnsi="Arial" w:cs="Arial"/>
        </w:rPr>
        <w:t>23.70</w:t>
      </w:r>
      <w:r w:rsidR="00012916">
        <w:rPr>
          <w:rFonts w:ascii="Arial" w:hAnsi="Arial" w:cs="Arial"/>
        </w:rPr>
        <w:t xml:space="preserve"> to $</w:t>
      </w:r>
      <w:r w:rsidR="00332203">
        <w:rPr>
          <w:rFonts w:ascii="Arial" w:hAnsi="Arial" w:cs="Arial"/>
        </w:rPr>
        <w:t>28.60, an</w:t>
      </w:r>
      <w:r w:rsidR="00012916">
        <w:rPr>
          <w:rFonts w:ascii="Arial" w:hAnsi="Arial" w:cs="Arial"/>
        </w:rPr>
        <w:t xml:space="preserve"> increase of $</w:t>
      </w:r>
      <w:r w:rsidR="00332203">
        <w:rPr>
          <w:rFonts w:ascii="Arial" w:hAnsi="Arial" w:cs="Arial"/>
        </w:rPr>
        <w:t>4.90</w:t>
      </w:r>
      <w:r w:rsidR="00012916">
        <w:rPr>
          <w:rFonts w:ascii="Arial" w:hAnsi="Arial" w:cs="Arial"/>
        </w:rPr>
        <w:t xml:space="preserve"> or </w:t>
      </w:r>
      <w:r w:rsidR="00332203">
        <w:rPr>
          <w:rFonts w:ascii="Arial" w:hAnsi="Arial" w:cs="Arial"/>
        </w:rPr>
        <w:t>21</w:t>
      </w:r>
      <w:r w:rsidR="00012916">
        <w:rPr>
          <w:rFonts w:ascii="Arial" w:hAnsi="Arial" w:cs="Arial"/>
        </w:rPr>
        <w:t xml:space="preserve">%.  Before this time (and after) patient co-payments were indexed each year by CPI, </w:t>
      </w:r>
      <w:r w:rsidR="00332203">
        <w:rPr>
          <w:rFonts w:ascii="Arial" w:hAnsi="Arial" w:cs="Arial"/>
        </w:rPr>
        <w:t xml:space="preserve">then </w:t>
      </w:r>
      <w:r w:rsidR="00012916">
        <w:rPr>
          <w:rFonts w:ascii="Arial" w:hAnsi="Arial" w:cs="Arial"/>
        </w:rPr>
        <w:t xml:space="preserve">rounded to the nearest 10 cents.  This was a </w:t>
      </w:r>
      <w:r>
        <w:rPr>
          <w:rFonts w:ascii="Arial" w:hAnsi="Arial" w:cs="Arial"/>
        </w:rPr>
        <w:t>substantial</w:t>
      </w:r>
      <w:r w:rsidR="00012916">
        <w:rPr>
          <w:rFonts w:ascii="Arial" w:hAnsi="Arial" w:cs="Arial"/>
        </w:rPr>
        <w:t xml:space="preserve"> saving measure for government and resulted in a significant reduction in the average cost </w:t>
      </w:r>
      <w:r>
        <w:rPr>
          <w:rFonts w:ascii="Arial" w:hAnsi="Arial" w:cs="Arial"/>
        </w:rPr>
        <w:t xml:space="preserve">to government </w:t>
      </w:r>
      <w:r w:rsidR="00012916">
        <w:rPr>
          <w:rFonts w:ascii="Arial" w:hAnsi="Arial" w:cs="Arial"/>
        </w:rPr>
        <w:t>per prescription for PBS medicines.</w:t>
      </w:r>
    </w:p>
    <w:p w:rsidR="00012916" w:rsidRDefault="00012916" w:rsidP="003A33E3">
      <w:pPr>
        <w:spacing w:before="120" w:after="120"/>
        <w:rPr>
          <w:rFonts w:ascii="Arial" w:hAnsi="Arial" w:cs="Arial"/>
        </w:rPr>
      </w:pPr>
      <w:r>
        <w:rPr>
          <w:rFonts w:ascii="Arial" w:hAnsi="Arial" w:cs="Arial"/>
        </w:rPr>
        <w:t xml:space="preserve">Also from 1 January 2005, the PBS </w:t>
      </w:r>
      <w:r w:rsidR="00B0110D">
        <w:rPr>
          <w:rFonts w:ascii="Arial" w:hAnsi="Arial" w:cs="Arial"/>
        </w:rPr>
        <w:t>S</w:t>
      </w:r>
      <w:r>
        <w:rPr>
          <w:rFonts w:ascii="Arial" w:hAnsi="Arial" w:cs="Arial"/>
        </w:rPr>
        <w:t xml:space="preserve">afety </w:t>
      </w:r>
      <w:r w:rsidR="00B0110D">
        <w:rPr>
          <w:rFonts w:ascii="Arial" w:hAnsi="Arial" w:cs="Arial"/>
        </w:rPr>
        <w:t>N</w:t>
      </w:r>
      <w:r>
        <w:rPr>
          <w:rFonts w:ascii="Arial" w:hAnsi="Arial" w:cs="Arial"/>
        </w:rPr>
        <w:t xml:space="preserve">et </w:t>
      </w:r>
      <w:r w:rsidR="00E42775">
        <w:rPr>
          <w:rFonts w:ascii="Arial" w:hAnsi="Arial" w:cs="Arial"/>
        </w:rPr>
        <w:t xml:space="preserve">thresholds </w:t>
      </w:r>
      <w:r>
        <w:rPr>
          <w:rFonts w:ascii="Arial" w:hAnsi="Arial" w:cs="Arial"/>
        </w:rPr>
        <w:t>increased</w:t>
      </w:r>
      <w:r w:rsidR="00E42775">
        <w:rPr>
          <w:rFonts w:ascii="Arial" w:hAnsi="Arial" w:cs="Arial"/>
        </w:rPr>
        <w:t xml:space="preserve"> (for concessional patients it increased by $41.60 or 21% and for general patient it increased by $148.10 or 20%).  In addition to this, e</w:t>
      </w:r>
      <w:r w:rsidR="00E42775" w:rsidRPr="007356D4">
        <w:rPr>
          <w:rFonts w:ascii="Arial" w:hAnsi="Arial" w:cs="Arial"/>
        </w:rPr>
        <w:t>ach year from 2006 to 2009, the PBS Safety Net thresholds increased by an amount equal to two patient contributions, in addition to the usual annual Consumer Price Index (CPI) adjustment.</w:t>
      </w:r>
      <w:r w:rsidR="00E42775">
        <w:rPr>
          <w:rFonts w:ascii="Arial" w:hAnsi="Arial" w:cs="Arial"/>
        </w:rPr>
        <w:t xml:space="preserve">  The effect of these measures would have been to increase the amount of time it would take patients their respective Safety Nets, thereby reducing the average cost to government for PBS prescriptions over the course of a year.   </w:t>
      </w:r>
    </w:p>
    <w:p w:rsidR="002F598B" w:rsidRDefault="00354081" w:rsidP="00354081">
      <w:pPr>
        <w:spacing w:before="120" w:after="120"/>
        <w:rPr>
          <w:rFonts w:ascii="Arial" w:hAnsi="Arial" w:cs="Arial"/>
        </w:rPr>
      </w:pPr>
      <w:r>
        <w:rPr>
          <w:rFonts w:ascii="Arial" w:hAnsi="Arial" w:cs="Arial"/>
        </w:rPr>
        <w:t>In addition, f</w:t>
      </w:r>
      <w:r w:rsidRPr="00354081">
        <w:rPr>
          <w:rFonts w:ascii="Arial" w:hAnsi="Arial" w:cs="Arial"/>
        </w:rPr>
        <w:t>rom 1 Au</w:t>
      </w:r>
      <w:r w:rsidRPr="007356D4">
        <w:rPr>
          <w:rFonts w:ascii="Arial" w:hAnsi="Arial" w:cs="Arial"/>
        </w:rPr>
        <w:t xml:space="preserve">gust 2005 it became mandatory </w:t>
      </w:r>
      <w:r>
        <w:rPr>
          <w:rFonts w:ascii="Arial" w:hAnsi="Arial" w:cs="Arial"/>
        </w:rPr>
        <w:t>that when</w:t>
      </w:r>
      <w:r w:rsidRPr="007356D4">
        <w:rPr>
          <w:rFonts w:ascii="Arial" w:hAnsi="Arial" w:cs="Arial"/>
        </w:rPr>
        <w:t xml:space="preserve"> the first new brand of a PBS medicine </w:t>
      </w:r>
      <w:r>
        <w:rPr>
          <w:rFonts w:ascii="Arial" w:hAnsi="Arial" w:cs="Arial"/>
        </w:rPr>
        <w:t>was</w:t>
      </w:r>
      <w:r w:rsidRPr="007356D4">
        <w:rPr>
          <w:rFonts w:ascii="Arial" w:hAnsi="Arial" w:cs="Arial"/>
        </w:rPr>
        <w:t xml:space="preserve"> included on the PBS, a price reduction of at</w:t>
      </w:r>
      <w:r>
        <w:rPr>
          <w:rFonts w:ascii="Arial" w:hAnsi="Arial" w:cs="Arial"/>
        </w:rPr>
        <w:t xml:space="preserve"> </w:t>
      </w:r>
      <w:r w:rsidRPr="007356D4">
        <w:rPr>
          <w:rFonts w:ascii="Arial" w:hAnsi="Arial" w:cs="Arial"/>
        </w:rPr>
        <w:t xml:space="preserve">least 12.5% </w:t>
      </w:r>
      <w:r>
        <w:rPr>
          <w:rFonts w:ascii="Arial" w:hAnsi="Arial" w:cs="Arial"/>
        </w:rPr>
        <w:t>had to</w:t>
      </w:r>
      <w:r w:rsidRPr="007356D4">
        <w:rPr>
          <w:rFonts w:ascii="Arial" w:hAnsi="Arial" w:cs="Arial"/>
        </w:rPr>
        <w:t xml:space="preserve"> be offered.</w:t>
      </w:r>
      <w:r>
        <w:rPr>
          <w:rFonts w:ascii="Arial" w:hAnsi="Arial" w:cs="Arial"/>
        </w:rPr>
        <w:t xml:space="preserve">  This again would have had the effect of reducing the average price paid by government for PBS listed medicines.</w:t>
      </w:r>
    </w:p>
    <w:p w:rsidR="008D000A" w:rsidRDefault="008D000A" w:rsidP="00354081">
      <w:pPr>
        <w:spacing w:before="120" w:after="120"/>
        <w:rPr>
          <w:rFonts w:ascii="Arial" w:hAnsi="Arial" w:cs="Arial"/>
        </w:rPr>
      </w:pPr>
      <w:r>
        <w:rPr>
          <w:rFonts w:ascii="Arial" w:hAnsi="Arial" w:cs="Arial"/>
        </w:rPr>
        <w:t>Finally, from 1 January 2006, the Safety Net 20 Rule was introduced.  This</w:t>
      </w:r>
      <w:r w:rsidRPr="000A57BB">
        <w:rPr>
          <w:rFonts w:ascii="Arial" w:hAnsi="Arial" w:cs="Arial"/>
        </w:rPr>
        <w:t xml:space="preserve"> rule mean</w:t>
      </w:r>
      <w:r>
        <w:rPr>
          <w:rFonts w:ascii="Arial" w:hAnsi="Arial" w:cs="Arial"/>
        </w:rPr>
        <w:t>t</w:t>
      </w:r>
      <w:r w:rsidRPr="000A57BB">
        <w:rPr>
          <w:rFonts w:ascii="Arial" w:hAnsi="Arial" w:cs="Arial"/>
        </w:rPr>
        <w:t xml:space="preserve"> that for certain PBS medicines a repeat supply of the same medicine within 20 days fall</w:t>
      </w:r>
      <w:r>
        <w:rPr>
          <w:rFonts w:ascii="Arial" w:hAnsi="Arial" w:cs="Arial"/>
        </w:rPr>
        <w:t>s</w:t>
      </w:r>
      <w:r w:rsidRPr="000A57BB">
        <w:rPr>
          <w:rFonts w:ascii="Arial" w:hAnsi="Arial" w:cs="Arial"/>
        </w:rPr>
        <w:t xml:space="preserve"> outside the </w:t>
      </w:r>
      <w:r>
        <w:rPr>
          <w:rFonts w:ascii="Arial" w:hAnsi="Arial" w:cs="Arial"/>
        </w:rPr>
        <w:t>s</w:t>
      </w:r>
      <w:r w:rsidRPr="000A57BB">
        <w:rPr>
          <w:rFonts w:ascii="Arial" w:hAnsi="Arial" w:cs="Arial"/>
        </w:rPr>
        <w:t xml:space="preserve">afety </w:t>
      </w:r>
      <w:r>
        <w:rPr>
          <w:rFonts w:ascii="Arial" w:hAnsi="Arial" w:cs="Arial"/>
        </w:rPr>
        <w:t>n</w:t>
      </w:r>
      <w:r w:rsidRPr="000A57BB">
        <w:rPr>
          <w:rFonts w:ascii="Arial" w:hAnsi="Arial" w:cs="Arial"/>
        </w:rPr>
        <w:t>et. This mean</w:t>
      </w:r>
      <w:r>
        <w:rPr>
          <w:rFonts w:ascii="Arial" w:hAnsi="Arial" w:cs="Arial"/>
        </w:rPr>
        <w:t>t</w:t>
      </w:r>
      <w:r w:rsidRPr="00B0110D">
        <w:rPr>
          <w:rFonts w:ascii="Arial" w:hAnsi="Arial" w:cs="Arial"/>
        </w:rPr>
        <w:t xml:space="preserve"> that</w:t>
      </w:r>
      <w:r>
        <w:rPr>
          <w:rFonts w:ascii="Arial" w:hAnsi="Arial" w:cs="Arial"/>
        </w:rPr>
        <w:t xml:space="preserve"> (1) </w:t>
      </w:r>
      <w:r w:rsidRPr="000A57BB">
        <w:rPr>
          <w:rFonts w:ascii="Arial" w:hAnsi="Arial" w:cs="Arial"/>
        </w:rPr>
        <w:t xml:space="preserve">the cost </w:t>
      </w:r>
      <w:r>
        <w:rPr>
          <w:rFonts w:ascii="Arial" w:hAnsi="Arial" w:cs="Arial"/>
        </w:rPr>
        <w:t xml:space="preserve">of the supply would </w:t>
      </w:r>
      <w:r w:rsidRPr="000A57BB">
        <w:rPr>
          <w:rFonts w:ascii="Arial" w:hAnsi="Arial" w:cs="Arial"/>
        </w:rPr>
        <w:t xml:space="preserve">not count towards </w:t>
      </w:r>
      <w:r>
        <w:rPr>
          <w:rFonts w:ascii="Arial" w:hAnsi="Arial" w:cs="Arial"/>
        </w:rPr>
        <w:t xml:space="preserve">a person’s </w:t>
      </w:r>
      <w:r w:rsidRPr="00B0110D">
        <w:rPr>
          <w:rFonts w:ascii="Arial" w:hAnsi="Arial" w:cs="Arial"/>
        </w:rPr>
        <w:t>Safety Net threshold</w:t>
      </w:r>
      <w:r>
        <w:rPr>
          <w:rFonts w:ascii="Arial" w:hAnsi="Arial" w:cs="Arial"/>
        </w:rPr>
        <w:t xml:space="preserve">; and (2) </w:t>
      </w:r>
      <w:r w:rsidRPr="000A57BB">
        <w:rPr>
          <w:rFonts w:ascii="Arial" w:hAnsi="Arial" w:cs="Arial"/>
        </w:rPr>
        <w:t>if the Safety Net threshold ha</w:t>
      </w:r>
      <w:r>
        <w:rPr>
          <w:rFonts w:ascii="Arial" w:hAnsi="Arial" w:cs="Arial"/>
        </w:rPr>
        <w:t>d</w:t>
      </w:r>
      <w:r w:rsidRPr="000A57BB">
        <w:rPr>
          <w:rFonts w:ascii="Arial" w:hAnsi="Arial" w:cs="Arial"/>
        </w:rPr>
        <w:t xml:space="preserve"> been reached, the charge </w:t>
      </w:r>
      <w:r>
        <w:rPr>
          <w:rFonts w:ascii="Arial" w:hAnsi="Arial" w:cs="Arial"/>
        </w:rPr>
        <w:t xml:space="preserve">would be a patients </w:t>
      </w:r>
      <w:r w:rsidRPr="000A57BB">
        <w:rPr>
          <w:rFonts w:ascii="Arial" w:hAnsi="Arial" w:cs="Arial"/>
        </w:rPr>
        <w:t>usual PBS contribution – not the reduced Safety Net amount.</w:t>
      </w:r>
      <w:r>
        <w:rPr>
          <w:rFonts w:ascii="Arial" w:hAnsi="Arial" w:cs="Arial"/>
        </w:rPr>
        <w:t xml:space="preserve">  This had the effect of reducing general and concessional safety net expenditure in 2005-06 and particularly in 2006-07, again reducing the average price paid by government for PBS listed medicines.</w:t>
      </w:r>
    </w:p>
    <w:p w:rsidR="00D16F76" w:rsidRDefault="00D16F76" w:rsidP="003A33E3">
      <w:pPr>
        <w:spacing w:before="120" w:after="120"/>
        <w:rPr>
          <w:rFonts w:ascii="Arial" w:hAnsi="Arial" w:cs="Arial"/>
        </w:rPr>
      </w:pPr>
      <w:r>
        <w:rPr>
          <w:rFonts w:ascii="Arial" w:hAnsi="Arial" w:cs="Arial"/>
        </w:rPr>
        <w:t>The large change in PBS growth between 2006-07 ($86 million) and 2007-08 ($569 million) was largely demand driven.  In 2006-07 PBS prescriptions increased by only 0.1%, whereas in 2007-08 prescriptions increased by 1.6%.</w:t>
      </w:r>
    </w:p>
    <w:p w:rsidR="002F598B" w:rsidRDefault="002F598B" w:rsidP="003A33E3">
      <w:pPr>
        <w:spacing w:before="120" w:after="120"/>
        <w:rPr>
          <w:rFonts w:ascii="Arial" w:hAnsi="Arial" w:cs="Arial"/>
        </w:rPr>
      </w:pPr>
    </w:p>
    <w:p w:rsidR="002F598B" w:rsidRDefault="002F598B" w:rsidP="003A33E3">
      <w:pPr>
        <w:spacing w:before="120" w:after="120"/>
        <w:rPr>
          <w:rFonts w:ascii="Arial" w:hAnsi="Arial" w:cs="Arial"/>
        </w:rPr>
      </w:pPr>
    </w:p>
    <w:tbl>
      <w:tblPr>
        <w:tblW w:w="0" w:type="auto"/>
        <w:jc w:val="center"/>
        <w:tblLook w:val="0000" w:firstRow="0" w:lastRow="0" w:firstColumn="0" w:lastColumn="0" w:noHBand="0" w:noVBand="0"/>
        <w:tblCaption w:val="Figure 3"/>
        <w:tblDescription w:val="Key drivers and their % contribution to change in PBS expenditure - One year analysis"/>
      </w:tblPr>
      <w:tblGrid>
        <w:gridCol w:w="8556"/>
      </w:tblGrid>
      <w:tr w:rsidR="003A33E3" w:rsidRPr="00A75762" w:rsidTr="00411B09">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A33E3" w:rsidRPr="00A75762" w:rsidRDefault="003A33E3" w:rsidP="00B171AB">
            <w:pPr>
              <w:pStyle w:val="Caption"/>
              <w:keepNext w:val="0"/>
              <w:rPr>
                <w:rFonts w:ascii="Arial" w:hAnsi="Arial" w:cs="Arial"/>
                <w:sz w:val="20"/>
              </w:rPr>
            </w:pPr>
            <w:bookmarkStart w:id="32" w:name="_Ref337537216"/>
            <w:r w:rsidRPr="00A75762">
              <w:rPr>
                <w:rFonts w:ascii="Arial" w:hAnsi="Arial" w:cs="Arial"/>
                <w:sz w:val="20"/>
              </w:rPr>
              <w:lastRenderedPageBreak/>
              <w:t xml:space="preserve">Figure </w:t>
            </w:r>
            <w:r w:rsidR="00855AAF" w:rsidRPr="00A75762">
              <w:rPr>
                <w:rFonts w:ascii="Arial" w:hAnsi="Arial" w:cs="Arial"/>
                <w:sz w:val="20"/>
              </w:rPr>
              <w:fldChar w:fldCharType="begin"/>
            </w:r>
            <w:r w:rsidRPr="00A75762">
              <w:rPr>
                <w:rFonts w:ascii="Arial" w:hAnsi="Arial" w:cs="Arial"/>
                <w:sz w:val="20"/>
              </w:rPr>
              <w:instrText xml:space="preserve"> SEQ Figure \* ARABIC </w:instrText>
            </w:r>
            <w:r w:rsidR="00855AAF" w:rsidRPr="00A75762">
              <w:rPr>
                <w:rFonts w:ascii="Arial" w:hAnsi="Arial" w:cs="Arial"/>
                <w:sz w:val="20"/>
              </w:rPr>
              <w:fldChar w:fldCharType="separate"/>
            </w:r>
            <w:r w:rsidR="00584343">
              <w:rPr>
                <w:rFonts w:ascii="Arial" w:hAnsi="Arial" w:cs="Arial"/>
                <w:noProof/>
                <w:sz w:val="20"/>
              </w:rPr>
              <w:t>3</w:t>
            </w:r>
            <w:r w:rsidR="00855AAF" w:rsidRPr="00A75762">
              <w:rPr>
                <w:rFonts w:ascii="Arial" w:hAnsi="Arial" w:cs="Arial"/>
                <w:sz w:val="20"/>
              </w:rPr>
              <w:fldChar w:fldCharType="end"/>
            </w:r>
            <w:bookmarkEnd w:id="32"/>
            <w:r w:rsidRPr="00A75762">
              <w:rPr>
                <w:rFonts w:ascii="Arial" w:hAnsi="Arial" w:cs="Arial"/>
                <w:sz w:val="20"/>
              </w:rPr>
              <w:t xml:space="preserve">: Key </w:t>
            </w:r>
            <w:r w:rsidR="00B171AB">
              <w:rPr>
                <w:rFonts w:ascii="Arial" w:hAnsi="Arial" w:cs="Arial"/>
                <w:sz w:val="20"/>
              </w:rPr>
              <w:t>d</w:t>
            </w:r>
            <w:r w:rsidRPr="00A75762">
              <w:rPr>
                <w:rFonts w:ascii="Arial" w:hAnsi="Arial" w:cs="Arial"/>
                <w:sz w:val="20"/>
              </w:rPr>
              <w:t>river</w:t>
            </w:r>
            <w:r w:rsidR="00B171AB">
              <w:rPr>
                <w:rFonts w:ascii="Arial" w:hAnsi="Arial" w:cs="Arial"/>
                <w:sz w:val="20"/>
              </w:rPr>
              <w:t>s</w:t>
            </w:r>
            <w:r w:rsidRPr="00A75762">
              <w:rPr>
                <w:rFonts w:ascii="Arial" w:hAnsi="Arial" w:cs="Arial"/>
                <w:sz w:val="20"/>
              </w:rPr>
              <w:t xml:space="preserve"> and their </w:t>
            </w:r>
            <w:r w:rsidR="00B171AB">
              <w:rPr>
                <w:rFonts w:ascii="Arial" w:hAnsi="Arial" w:cs="Arial"/>
                <w:sz w:val="20"/>
              </w:rPr>
              <w:t xml:space="preserve">% </w:t>
            </w:r>
            <w:r w:rsidRPr="00A75762">
              <w:rPr>
                <w:rFonts w:ascii="Arial" w:hAnsi="Arial" w:cs="Arial"/>
                <w:sz w:val="20"/>
              </w:rPr>
              <w:t xml:space="preserve">contribution to </w:t>
            </w:r>
            <w:r w:rsidR="00B171AB">
              <w:rPr>
                <w:rFonts w:ascii="Arial" w:hAnsi="Arial" w:cs="Arial"/>
                <w:sz w:val="20"/>
              </w:rPr>
              <w:t xml:space="preserve">change in </w:t>
            </w:r>
            <w:r w:rsidRPr="00A75762">
              <w:rPr>
                <w:rFonts w:ascii="Arial" w:hAnsi="Arial" w:cs="Arial"/>
                <w:sz w:val="20"/>
              </w:rPr>
              <w:t xml:space="preserve">PBS </w:t>
            </w:r>
            <w:r w:rsidR="00B171AB">
              <w:rPr>
                <w:rFonts w:ascii="Arial" w:hAnsi="Arial" w:cs="Arial"/>
                <w:sz w:val="20"/>
              </w:rPr>
              <w:t>expenditure</w:t>
            </w:r>
            <w:r w:rsidRPr="00A75762">
              <w:rPr>
                <w:rStyle w:val="FootnoteReference"/>
                <w:rFonts w:ascii="Arial" w:eastAsia="Calibri" w:hAnsi="Arial" w:cs="Arial"/>
                <w:sz w:val="20"/>
              </w:rPr>
              <w:footnoteReference w:id="19"/>
            </w:r>
            <w:r w:rsidRPr="00A75762">
              <w:rPr>
                <w:rFonts w:ascii="Arial" w:hAnsi="Arial" w:cs="Arial"/>
                <w:sz w:val="20"/>
              </w:rPr>
              <w:t xml:space="preserve"> </w:t>
            </w:r>
            <w:r w:rsidR="00B171AB">
              <w:rPr>
                <w:rFonts w:ascii="Arial" w:hAnsi="Arial" w:cs="Arial"/>
                <w:sz w:val="20"/>
              </w:rPr>
              <w:br/>
              <w:t>O</w:t>
            </w:r>
            <w:r w:rsidR="0086374E">
              <w:rPr>
                <w:rFonts w:ascii="Arial" w:hAnsi="Arial" w:cs="Arial"/>
                <w:sz w:val="20"/>
              </w:rPr>
              <w:t>ne year analysis</w:t>
            </w:r>
          </w:p>
        </w:tc>
      </w:tr>
      <w:tr w:rsidR="003A33E3" w:rsidRPr="00DC51D5" w:rsidTr="00411B09">
        <w:trPr>
          <w:trHeight w:val="5611"/>
          <w:jc w:val="center"/>
        </w:trPr>
        <w:tc>
          <w:tcPr>
            <w:tcW w:w="0" w:type="auto"/>
            <w:tcBorders>
              <w:top w:val="single" w:sz="4" w:space="0" w:color="auto"/>
              <w:left w:val="single" w:sz="4" w:space="0" w:color="auto"/>
              <w:bottom w:val="single" w:sz="4" w:space="0" w:color="auto"/>
              <w:right w:val="single" w:sz="4" w:space="0" w:color="auto"/>
            </w:tcBorders>
            <w:vAlign w:val="center"/>
          </w:tcPr>
          <w:p w:rsidR="003A33E3" w:rsidRPr="00A75762" w:rsidRDefault="00D43353" w:rsidP="00D37E6C">
            <w:pPr>
              <w:tabs>
                <w:tab w:val="left" w:pos="4708"/>
              </w:tabs>
              <w:jc w:val="center"/>
              <w:rPr>
                <w:rFonts w:ascii="Arial" w:hAnsi="Arial" w:cs="Arial"/>
                <w:b/>
                <w:bCs/>
              </w:rPr>
            </w:pPr>
            <w:r>
              <w:rPr>
                <w:rFonts w:ascii="Arial" w:hAnsi="Arial" w:cs="Arial"/>
                <w:b/>
                <w:bCs/>
                <w:noProof/>
                <w:lang w:eastAsia="en-AU"/>
              </w:rPr>
              <w:drawing>
                <wp:inline distT="0" distB="0" distL="0" distR="0" wp14:anchorId="2F531B4E" wp14:editId="224B3CEE">
                  <wp:extent cx="5289236" cy="3600000"/>
                  <wp:effectExtent l="0" t="0" r="6985" b="635"/>
                  <wp:docPr id="31" name="Picture 2" descr="Key drivers and their % contribution to change in PBS expenditure  &#10;One year analysis&#10;"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5289236" cy="3600000"/>
                          </a:xfrm>
                          <a:prstGeom prst="rect">
                            <a:avLst/>
                          </a:prstGeom>
                          <a:noFill/>
                          <a:ln w="9525">
                            <a:noFill/>
                            <a:miter lim="800000"/>
                            <a:headEnd/>
                            <a:tailEnd/>
                          </a:ln>
                        </pic:spPr>
                      </pic:pic>
                    </a:graphicData>
                  </a:graphic>
                </wp:inline>
              </w:drawing>
            </w:r>
          </w:p>
        </w:tc>
      </w:tr>
    </w:tbl>
    <w:p w:rsidR="00B0110D" w:rsidRDefault="00B0110D" w:rsidP="003A33E3">
      <w:pPr>
        <w:spacing w:before="120" w:after="120"/>
        <w:rPr>
          <w:rFonts w:ascii="Arial" w:hAnsi="Arial" w:cs="Arial"/>
        </w:rPr>
      </w:pPr>
    </w:p>
    <w:p w:rsidR="003A33E3" w:rsidRDefault="0006212F" w:rsidP="003A33E3">
      <w:pPr>
        <w:spacing w:before="120" w:after="120"/>
        <w:rPr>
          <w:rFonts w:ascii="Arial" w:hAnsi="Arial" w:cs="Arial"/>
        </w:rPr>
      </w:pPr>
      <w:r>
        <w:rPr>
          <w:rFonts w:ascii="Arial" w:hAnsi="Arial" w:cs="Arial"/>
        </w:rPr>
        <w:t>N</w:t>
      </w:r>
      <w:r w:rsidR="003A33E3" w:rsidRPr="00A75762">
        <w:rPr>
          <w:rFonts w:ascii="Arial" w:hAnsi="Arial" w:cs="Arial"/>
        </w:rPr>
        <w:t xml:space="preserve">ew listings </w:t>
      </w:r>
      <w:r>
        <w:rPr>
          <w:rFonts w:ascii="Arial" w:hAnsi="Arial" w:cs="Arial"/>
        </w:rPr>
        <w:t>account for, on average,</w:t>
      </w:r>
      <w:r w:rsidR="003A33E3" w:rsidRPr="00A75762">
        <w:rPr>
          <w:rFonts w:ascii="Arial" w:hAnsi="Arial" w:cs="Arial"/>
        </w:rPr>
        <w:t xml:space="preserve"> </w:t>
      </w:r>
      <w:r>
        <w:rPr>
          <w:rFonts w:ascii="Arial" w:hAnsi="Arial" w:cs="Arial"/>
        </w:rPr>
        <w:t>around 10% of</w:t>
      </w:r>
      <w:r w:rsidR="003A33E3" w:rsidRPr="00A75762">
        <w:rPr>
          <w:rFonts w:ascii="Arial" w:hAnsi="Arial" w:cs="Arial"/>
        </w:rPr>
        <w:t xml:space="preserve"> PBS expenditure</w:t>
      </w:r>
      <w:r>
        <w:rPr>
          <w:rFonts w:ascii="Arial" w:hAnsi="Arial" w:cs="Arial"/>
        </w:rPr>
        <w:t xml:space="preserve"> growth</w:t>
      </w:r>
      <w:r w:rsidR="003A33E3" w:rsidRPr="00A75762">
        <w:rPr>
          <w:rFonts w:ascii="Arial" w:hAnsi="Arial" w:cs="Arial"/>
        </w:rPr>
        <w:t xml:space="preserve"> in their first year of listing.  With exceptions, on average it takes a number of years for a medicine to reach its typical annual PBS cost</w:t>
      </w:r>
      <w:r w:rsidR="003A33E3" w:rsidRPr="00A75762">
        <w:rPr>
          <w:rStyle w:val="FootnoteReference"/>
          <w:rFonts w:ascii="Arial" w:hAnsi="Arial" w:cs="Arial"/>
        </w:rPr>
        <w:footnoteReference w:id="20"/>
      </w:r>
      <w:r w:rsidR="003A33E3" w:rsidRPr="00A75762">
        <w:rPr>
          <w:rFonts w:ascii="Arial" w:hAnsi="Arial" w:cs="Arial"/>
        </w:rPr>
        <w:t>.  Also, new listings usually displace</w:t>
      </w:r>
      <w:r w:rsidR="003A33E3">
        <w:rPr>
          <w:rFonts w:ascii="Arial" w:hAnsi="Arial" w:cs="Arial"/>
        </w:rPr>
        <w:t xml:space="preserve"> or </w:t>
      </w:r>
      <w:r w:rsidR="003A33E3" w:rsidRPr="00A75762">
        <w:rPr>
          <w:rFonts w:ascii="Arial" w:hAnsi="Arial" w:cs="Arial"/>
        </w:rPr>
        <w:t xml:space="preserve">replace expenditure on some existing medicines.  </w:t>
      </w:r>
      <w:r w:rsidR="003A33E3">
        <w:rPr>
          <w:rFonts w:ascii="Arial" w:hAnsi="Arial" w:cs="Arial"/>
        </w:rPr>
        <w:t xml:space="preserve">To gauge the impact of new listings over time and its corresponding impact on the PBS, DWG extended the one year analysis to four years.    </w:t>
      </w:r>
    </w:p>
    <w:p w:rsidR="008C57DF" w:rsidRDefault="00B171AB" w:rsidP="003A33E3">
      <w:pPr>
        <w:rPr>
          <w:rFonts w:ascii="Arial" w:hAnsi="Arial" w:cs="Arial"/>
        </w:rPr>
      </w:pPr>
      <w:r>
        <w:rPr>
          <w:rFonts w:ascii="Arial" w:hAnsi="Arial" w:cs="Arial"/>
        </w:rPr>
        <w:t xml:space="preserve">To achieve this DWG identified the new </w:t>
      </w:r>
      <w:r w:rsidR="008619DE">
        <w:rPr>
          <w:rFonts w:ascii="Arial" w:hAnsi="Arial" w:cs="Arial"/>
        </w:rPr>
        <w:t xml:space="preserve">(first time) </w:t>
      </w:r>
      <w:r>
        <w:rPr>
          <w:rFonts w:ascii="Arial" w:hAnsi="Arial" w:cs="Arial"/>
        </w:rPr>
        <w:t>listings in the time period 2001-2011 and</w:t>
      </w:r>
      <w:r w:rsidR="008619DE">
        <w:rPr>
          <w:rFonts w:ascii="Arial" w:hAnsi="Arial" w:cs="Arial"/>
        </w:rPr>
        <w:t xml:space="preserve"> separated their expenditure from the existing medicines and added it to the expenditure attributable to new listings in each year.  </w:t>
      </w:r>
      <w:r>
        <w:rPr>
          <w:rFonts w:ascii="Arial" w:hAnsi="Arial" w:cs="Arial"/>
        </w:rPr>
        <w:t xml:space="preserve"> </w:t>
      </w:r>
    </w:p>
    <w:p w:rsidR="003A33E3" w:rsidRDefault="0006212F" w:rsidP="003A33E3">
      <w:pPr>
        <w:rPr>
          <w:rFonts w:ascii="Arial" w:hAnsi="Arial" w:cs="Arial"/>
        </w:rPr>
      </w:pPr>
      <w:r>
        <w:rPr>
          <w:rFonts w:ascii="Arial" w:hAnsi="Arial" w:cs="Arial"/>
        </w:rPr>
        <w:t>T</w:t>
      </w:r>
      <w:r w:rsidR="003A33E3">
        <w:rPr>
          <w:rFonts w:ascii="Arial" w:hAnsi="Arial" w:cs="Arial"/>
        </w:rPr>
        <w:t xml:space="preserve">he impact of change in volume of existing medicines </w:t>
      </w:r>
      <w:r>
        <w:rPr>
          <w:rFonts w:ascii="Arial" w:hAnsi="Arial" w:cs="Arial"/>
        </w:rPr>
        <w:t xml:space="preserve">from the one year analysis (Figure 3) can be seen to be accounted for, to an extent, by </w:t>
      </w:r>
      <w:r w:rsidR="003A33E3">
        <w:rPr>
          <w:rFonts w:ascii="Arial" w:hAnsi="Arial" w:cs="Arial"/>
        </w:rPr>
        <w:t xml:space="preserve">new medicines listed in the last four years.  </w:t>
      </w:r>
      <w:r>
        <w:rPr>
          <w:rFonts w:ascii="Arial" w:hAnsi="Arial" w:cs="Arial"/>
        </w:rPr>
        <w:t>Over the long term</w:t>
      </w:r>
      <w:r w:rsidR="00DF0F57">
        <w:rPr>
          <w:rFonts w:ascii="Arial" w:hAnsi="Arial" w:cs="Arial"/>
        </w:rPr>
        <w:t>, the change in volume of exist</w:t>
      </w:r>
      <w:r w:rsidR="00FD71EC">
        <w:rPr>
          <w:rFonts w:ascii="Arial" w:hAnsi="Arial" w:cs="Arial"/>
        </w:rPr>
        <w:t>ing medicines</w:t>
      </w:r>
      <w:r>
        <w:rPr>
          <w:rFonts w:ascii="Arial" w:hAnsi="Arial" w:cs="Arial"/>
        </w:rPr>
        <w:t>, combined with the effect of medicines listed over the last four years</w:t>
      </w:r>
      <w:r w:rsidR="00FD71EC">
        <w:rPr>
          <w:rFonts w:ascii="Arial" w:hAnsi="Arial" w:cs="Arial"/>
        </w:rPr>
        <w:t xml:space="preserve"> </w:t>
      </w:r>
      <w:r>
        <w:rPr>
          <w:rFonts w:ascii="Arial" w:hAnsi="Arial" w:cs="Arial"/>
        </w:rPr>
        <w:t>are</w:t>
      </w:r>
      <w:r w:rsidR="00FD71EC">
        <w:rPr>
          <w:rFonts w:ascii="Arial" w:hAnsi="Arial" w:cs="Arial"/>
        </w:rPr>
        <w:t xml:space="preserve"> </w:t>
      </w:r>
      <w:r>
        <w:rPr>
          <w:rFonts w:ascii="Arial" w:hAnsi="Arial" w:cs="Arial"/>
        </w:rPr>
        <w:t xml:space="preserve">the </w:t>
      </w:r>
      <w:r w:rsidR="00FD71EC">
        <w:rPr>
          <w:rFonts w:ascii="Arial" w:hAnsi="Arial" w:cs="Arial"/>
        </w:rPr>
        <w:t>significant driver</w:t>
      </w:r>
      <w:r>
        <w:rPr>
          <w:rFonts w:ascii="Arial" w:hAnsi="Arial" w:cs="Arial"/>
        </w:rPr>
        <w:t>s</w:t>
      </w:r>
      <w:r w:rsidR="00DF0F57">
        <w:rPr>
          <w:rFonts w:ascii="Arial" w:hAnsi="Arial" w:cs="Arial"/>
        </w:rPr>
        <w:t xml:space="preserve"> of growth. </w:t>
      </w:r>
      <w:r w:rsidR="003A33E3">
        <w:rPr>
          <w:rFonts w:ascii="Arial" w:hAnsi="Arial" w:cs="Arial"/>
        </w:rPr>
        <w:t xml:space="preserve">The analysis also confirms that even after including the impact of net new listings, the impact of change in prices </w:t>
      </w:r>
      <w:r>
        <w:rPr>
          <w:rFonts w:ascii="Arial" w:hAnsi="Arial" w:cs="Arial"/>
        </w:rPr>
        <w:t xml:space="preserve">(as approximated by changes in the average cost to Government) </w:t>
      </w:r>
      <w:r w:rsidR="003A33E3">
        <w:rPr>
          <w:rFonts w:ascii="Arial" w:hAnsi="Arial" w:cs="Arial"/>
        </w:rPr>
        <w:t xml:space="preserve">of existing medicines continues to have a significant dampening effect on PBS expenditure growth. </w:t>
      </w:r>
    </w:p>
    <w:p w:rsidR="00FF7483" w:rsidRDefault="00FF7483" w:rsidP="003A33E3">
      <w:pPr>
        <w:rPr>
          <w:rFonts w:ascii="Arial" w:hAnsi="Arial" w:cs="Arial"/>
        </w:rPr>
      </w:pPr>
    </w:p>
    <w:tbl>
      <w:tblPr>
        <w:tblW w:w="0" w:type="auto"/>
        <w:jc w:val="center"/>
        <w:tblLook w:val="0000" w:firstRow="0" w:lastRow="0" w:firstColumn="0" w:lastColumn="0" w:noHBand="0" w:noVBand="0"/>
        <w:tblCaption w:val="Figure 4"/>
        <w:tblDescription w:val="Key drivers and their % contribution to change in PBS expenditure - Four year analysis"/>
      </w:tblPr>
      <w:tblGrid>
        <w:gridCol w:w="8556"/>
      </w:tblGrid>
      <w:tr w:rsidR="003A33E3" w:rsidRPr="00A75762" w:rsidTr="00FF7483">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A33E3" w:rsidRPr="00A75762" w:rsidRDefault="003A33E3" w:rsidP="00B171AB">
            <w:pPr>
              <w:pStyle w:val="Caption"/>
              <w:keepNext w:val="0"/>
              <w:rPr>
                <w:rFonts w:ascii="Arial" w:hAnsi="Arial" w:cs="Arial"/>
                <w:sz w:val="20"/>
              </w:rPr>
            </w:pPr>
            <w:bookmarkStart w:id="33" w:name="_Ref337023113"/>
            <w:r w:rsidRPr="00A75762">
              <w:rPr>
                <w:rFonts w:ascii="Arial" w:hAnsi="Arial" w:cs="Arial"/>
                <w:sz w:val="20"/>
              </w:rPr>
              <w:lastRenderedPageBreak/>
              <w:t xml:space="preserve">Figure </w:t>
            </w:r>
            <w:r w:rsidR="00855AAF" w:rsidRPr="00A75762">
              <w:rPr>
                <w:rFonts w:ascii="Arial" w:hAnsi="Arial" w:cs="Arial"/>
                <w:sz w:val="20"/>
              </w:rPr>
              <w:fldChar w:fldCharType="begin"/>
            </w:r>
            <w:r w:rsidRPr="00A75762">
              <w:rPr>
                <w:rFonts w:ascii="Arial" w:hAnsi="Arial" w:cs="Arial"/>
                <w:sz w:val="20"/>
              </w:rPr>
              <w:instrText xml:space="preserve"> SEQ Figure \* ARABIC </w:instrText>
            </w:r>
            <w:r w:rsidR="00855AAF" w:rsidRPr="00A75762">
              <w:rPr>
                <w:rFonts w:ascii="Arial" w:hAnsi="Arial" w:cs="Arial"/>
                <w:sz w:val="20"/>
              </w:rPr>
              <w:fldChar w:fldCharType="separate"/>
            </w:r>
            <w:r w:rsidR="00584343">
              <w:rPr>
                <w:rFonts w:ascii="Arial" w:hAnsi="Arial" w:cs="Arial"/>
                <w:noProof/>
                <w:sz w:val="20"/>
              </w:rPr>
              <w:t>4</w:t>
            </w:r>
            <w:r w:rsidR="00855AAF" w:rsidRPr="00A75762">
              <w:rPr>
                <w:rFonts w:ascii="Arial" w:hAnsi="Arial" w:cs="Arial"/>
                <w:sz w:val="20"/>
              </w:rPr>
              <w:fldChar w:fldCharType="end"/>
            </w:r>
            <w:bookmarkEnd w:id="33"/>
            <w:r w:rsidRPr="00A75762">
              <w:rPr>
                <w:rFonts w:ascii="Arial" w:hAnsi="Arial" w:cs="Arial"/>
                <w:sz w:val="20"/>
              </w:rPr>
              <w:t xml:space="preserve">: Key </w:t>
            </w:r>
            <w:r w:rsidR="00B171AB">
              <w:rPr>
                <w:rFonts w:ascii="Arial" w:hAnsi="Arial" w:cs="Arial"/>
                <w:sz w:val="20"/>
              </w:rPr>
              <w:t>d</w:t>
            </w:r>
            <w:r w:rsidRPr="00A75762">
              <w:rPr>
                <w:rFonts w:ascii="Arial" w:hAnsi="Arial" w:cs="Arial"/>
                <w:sz w:val="20"/>
              </w:rPr>
              <w:t>river</w:t>
            </w:r>
            <w:r w:rsidR="00B171AB">
              <w:rPr>
                <w:rFonts w:ascii="Arial" w:hAnsi="Arial" w:cs="Arial"/>
                <w:sz w:val="20"/>
              </w:rPr>
              <w:t>s</w:t>
            </w:r>
            <w:r w:rsidRPr="00A75762">
              <w:rPr>
                <w:rFonts w:ascii="Arial" w:hAnsi="Arial" w:cs="Arial"/>
                <w:sz w:val="20"/>
              </w:rPr>
              <w:t xml:space="preserve"> and their </w:t>
            </w:r>
            <w:r w:rsidR="00B171AB">
              <w:rPr>
                <w:rFonts w:ascii="Arial" w:hAnsi="Arial" w:cs="Arial"/>
                <w:sz w:val="20"/>
              </w:rPr>
              <w:t xml:space="preserve">% </w:t>
            </w:r>
            <w:r w:rsidRPr="00A75762">
              <w:rPr>
                <w:rFonts w:ascii="Arial" w:hAnsi="Arial" w:cs="Arial"/>
                <w:sz w:val="20"/>
              </w:rPr>
              <w:t xml:space="preserve">contribution to </w:t>
            </w:r>
            <w:r w:rsidR="00B171AB">
              <w:rPr>
                <w:rFonts w:ascii="Arial" w:hAnsi="Arial" w:cs="Arial"/>
                <w:sz w:val="20"/>
              </w:rPr>
              <w:t xml:space="preserve">change in </w:t>
            </w:r>
            <w:r w:rsidRPr="00A75762">
              <w:rPr>
                <w:rFonts w:ascii="Arial" w:hAnsi="Arial" w:cs="Arial"/>
                <w:sz w:val="20"/>
              </w:rPr>
              <w:t xml:space="preserve">PBS </w:t>
            </w:r>
            <w:r w:rsidR="00B171AB">
              <w:rPr>
                <w:rFonts w:ascii="Arial" w:hAnsi="Arial" w:cs="Arial"/>
                <w:sz w:val="20"/>
              </w:rPr>
              <w:t>expenditure</w:t>
            </w:r>
            <w:r w:rsidRPr="00A75762">
              <w:rPr>
                <w:rStyle w:val="FootnoteReference"/>
                <w:rFonts w:ascii="Arial" w:eastAsia="Calibri" w:hAnsi="Arial" w:cs="Arial"/>
                <w:sz w:val="20"/>
              </w:rPr>
              <w:footnoteReference w:id="21"/>
            </w:r>
            <w:r w:rsidRPr="00A75762">
              <w:rPr>
                <w:rFonts w:ascii="Arial" w:hAnsi="Arial" w:cs="Arial"/>
                <w:sz w:val="20"/>
              </w:rPr>
              <w:t xml:space="preserve"> </w:t>
            </w:r>
            <w:r w:rsidR="0086374E">
              <w:rPr>
                <w:rFonts w:ascii="Arial" w:hAnsi="Arial" w:cs="Arial"/>
                <w:sz w:val="20"/>
              </w:rPr>
              <w:t xml:space="preserve"> </w:t>
            </w:r>
            <w:r w:rsidR="00B171AB">
              <w:rPr>
                <w:rFonts w:ascii="Arial" w:hAnsi="Arial" w:cs="Arial"/>
                <w:sz w:val="20"/>
              </w:rPr>
              <w:br/>
              <w:t>F</w:t>
            </w:r>
            <w:r w:rsidR="0086374E">
              <w:rPr>
                <w:rFonts w:ascii="Arial" w:hAnsi="Arial" w:cs="Arial"/>
                <w:sz w:val="20"/>
              </w:rPr>
              <w:t>our year analysis</w:t>
            </w:r>
          </w:p>
        </w:tc>
      </w:tr>
      <w:tr w:rsidR="003A33E3" w:rsidRPr="00DC51D5" w:rsidTr="00FF7483">
        <w:trPr>
          <w:trHeight w:val="4755"/>
          <w:jc w:val="center"/>
        </w:trPr>
        <w:tc>
          <w:tcPr>
            <w:tcW w:w="0" w:type="auto"/>
            <w:tcBorders>
              <w:top w:val="single" w:sz="4" w:space="0" w:color="auto"/>
              <w:left w:val="single" w:sz="4" w:space="0" w:color="auto"/>
              <w:bottom w:val="single" w:sz="4" w:space="0" w:color="auto"/>
              <w:right w:val="single" w:sz="4" w:space="0" w:color="auto"/>
            </w:tcBorders>
            <w:vAlign w:val="center"/>
          </w:tcPr>
          <w:p w:rsidR="003A33E3" w:rsidRPr="00A75762" w:rsidRDefault="00D43353" w:rsidP="00D37E6C">
            <w:pPr>
              <w:tabs>
                <w:tab w:val="left" w:pos="4708"/>
              </w:tabs>
              <w:jc w:val="center"/>
              <w:rPr>
                <w:rFonts w:ascii="Arial" w:hAnsi="Arial" w:cs="Arial"/>
                <w:b/>
                <w:bCs/>
              </w:rPr>
            </w:pPr>
            <w:r>
              <w:rPr>
                <w:rFonts w:ascii="Arial" w:hAnsi="Arial" w:cs="Arial"/>
                <w:b/>
                <w:bCs/>
                <w:noProof/>
                <w:lang w:eastAsia="en-AU"/>
              </w:rPr>
              <w:drawing>
                <wp:inline distT="0" distB="0" distL="0" distR="0" wp14:anchorId="62A84B8B" wp14:editId="6D66F38D">
                  <wp:extent cx="5289236" cy="3600000"/>
                  <wp:effectExtent l="0" t="0" r="6985" b="635"/>
                  <wp:docPr id="33" name="Picture 4" descr="Key drivers and their % contribution to change in PBS expenditure   &#10;- Four year analysis&#10;"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5289236" cy="3600000"/>
                          </a:xfrm>
                          <a:prstGeom prst="rect">
                            <a:avLst/>
                          </a:prstGeom>
                          <a:noFill/>
                          <a:ln w="9525">
                            <a:noFill/>
                            <a:miter lim="800000"/>
                            <a:headEnd/>
                            <a:tailEnd/>
                          </a:ln>
                        </pic:spPr>
                      </pic:pic>
                    </a:graphicData>
                  </a:graphic>
                </wp:inline>
              </w:drawing>
            </w:r>
          </w:p>
        </w:tc>
      </w:tr>
    </w:tbl>
    <w:p w:rsidR="003A33E3" w:rsidRDefault="003A33E3" w:rsidP="003A33E3"/>
    <w:p w:rsidR="00A30088" w:rsidRDefault="002C014C" w:rsidP="00A30088">
      <w:pPr>
        <w:spacing w:before="120" w:after="120"/>
        <w:rPr>
          <w:rFonts w:ascii="Arial" w:hAnsi="Arial" w:cs="Arial"/>
        </w:rPr>
      </w:pPr>
      <w:r w:rsidRPr="002C014C">
        <w:rPr>
          <w:rFonts w:ascii="Arial" w:hAnsi="Arial" w:cs="Arial"/>
        </w:rPr>
        <w:t xml:space="preserve">The effect of Expanded and Accelerated Price Disclosure </w:t>
      </w:r>
      <w:r>
        <w:rPr>
          <w:rFonts w:ascii="Arial" w:hAnsi="Arial" w:cs="Arial"/>
        </w:rPr>
        <w:t xml:space="preserve">(EAPD) </w:t>
      </w:r>
      <w:r w:rsidRPr="002C014C">
        <w:rPr>
          <w:rFonts w:ascii="Arial" w:hAnsi="Arial" w:cs="Arial"/>
        </w:rPr>
        <w:t>is not evident in the above analysis as the first main round price reductions occurred on 1 April 2012</w:t>
      </w:r>
      <w:r w:rsidR="009938C5">
        <w:rPr>
          <w:rFonts w:ascii="Arial" w:hAnsi="Arial" w:cs="Arial"/>
        </w:rPr>
        <w:t>.  H</w:t>
      </w:r>
      <w:r w:rsidRPr="002C014C">
        <w:rPr>
          <w:rFonts w:ascii="Arial" w:hAnsi="Arial" w:cs="Arial"/>
        </w:rPr>
        <w:t xml:space="preserve">owever the price effect of associated measures 2% F2A and 5% F2T price reductions from </w:t>
      </w:r>
      <w:r>
        <w:rPr>
          <w:rFonts w:ascii="Arial" w:hAnsi="Arial" w:cs="Arial"/>
        </w:rPr>
        <w:br/>
      </w:r>
      <w:r w:rsidRPr="002C014C">
        <w:rPr>
          <w:rFonts w:ascii="Arial" w:hAnsi="Arial" w:cs="Arial"/>
        </w:rPr>
        <w:t xml:space="preserve">1 February 2011 </w:t>
      </w:r>
      <w:r>
        <w:rPr>
          <w:rFonts w:ascii="Arial" w:hAnsi="Arial" w:cs="Arial"/>
        </w:rPr>
        <w:t>is</w:t>
      </w:r>
      <w:r w:rsidRPr="002C014C">
        <w:rPr>
          <w:rFonts w:ascii="Arial" w:hAnsi="Arial" w:cs="Arial"/>
        </w:rPr>
        <w:t xml:space="preserve"> evident in </w:t>
      </w:r>
      <w:r>
        <w:rPr>
          <w:rFonts w:ascii="Arial" w:hAnsi="Arial" w:cs="Arial"/>
        </w:rPr>
        <w:t>2010-11</w:t>
      </w:r>
      <w:r w:rsidRPr="002C014C">
        <w:rPr>
          <w:rFonts w:ascii="Arial" w:hAnsi="Arial" w:cs="Arial"/>
        </w:rPr>
        <w:t>.</w:t>
      </w:r>
      <w:r>
        <w:rPr>
          <w:rFonts w:ascii="Arial" w:hAnsi="Arial" w:cs="Arial"/>
        </w:rPr>
        <w:t xml:space="preserve">  It is anticipated that the impact of EAPD will be seen when this analysis is extended to include data from 2011-12 and 2012-13.</w:t>
      </w:r>
    </w:p>
    <w:p w:rsidR="00A30088" w:rsidRDefault="00A30088" w:rsidP="00A30088">
      <w:pPr>
        <w:spacing w:before="120" w:after="120"/>
        <w:rPr>
          <w:rFonts w:ascii="Arial" w:hAnsi="Arial" w:cs="Arial"/>
        </w:rPr>
      </w:pPr>
    </w:p>
    <w:p w:rsidR="00A74246" w:rsidRDefault="000D416D" w:rsidP="00A30088">
      <w:pPr>
        <w:spacing w:before="120" w:after="120"/>
        <w:rPr>
          <w:rFonts w:ascii="Arial" w:hAnsi="Arial" w:cs="Arial"/>
        </w:rPr>
      </w:pPr>
      <w:r w:rsidRPr="007356D4">
        <w:rPr>
          <w:rFonts w:ascii="Arial" w:hAnsi="Arial" w:cs="Arial"/>
        </w:rPr>
        <w:t>Additionally, as noted earlier within the caveats, the current analysis does not include the impact of price changes of existing medicines on PBS expenditure in the subsequent years.  It is acknowledged that further analysis needs to be undertaken to address this issue.  This ex-post quantification of price revisions poses methodological challenges and sensitivities.  Work will continue towards developing an agreed methodology to examine reasonable ways of integrating this into the current analysis.</w:t>
      </w:r>
    </w:p>
    <w:p w:rsidR="00A74246" w:rsidRPr="004F3C25" w:rsidRDefault="00A74246" w:rsidP="00A74246">
      <w:pPr>
        <w:pStyle w:val="Heading1"/>
        <w:rPr>
          <w:rFonts w:ascii="Arial" w:hAnsi="Arial" w:cs="Arial"/>
          <w:sz w:val="24"/>
          <w:szCs w:val="24"/>
        </w:rPr>
      </w:pPr>
      <w:r>
        <w:rPr>
          <w:rFonts w:ascii="Arial" w:hAnsi="Arial" w:cs="Arial"/>
          <w:b w:val="0"/>
          <w:bCs w:val="0"/>
        </w:rPr>
        <w:br w:type="page"/>
      </w:r>
      <w:bookmarkStart w:id="34" w:name="_Toc357174835"/>
      <w:r>
        <w:rPr>
          <w:rFonts w:ascii="Arial" w:hAnsi="Arial" w:cs="Arial"/>
          <w:sz w:val="24"/>
          <w:szCs w:val="24"/>
        </w:rPr>
        <w:lastRenderedPageBreak/>
        <w:t>Trends in disease prevalence and PBS expenditure</w:t>
      </w:r>
      <w:bookmarkEnd w:id="34"/>
    </w:p>
    <w:p w:rsidR="009B075E" w:rsidRPr="003F577D" w:rsidRDefault="00A74246" w:rsidP="00E324E9">
      <w:pPr>
        <w:spacing w:before="120" w:after="120"/>
        <w:rPr>
          <w:rFonts w:ascii="Arial" w:hAnsi="Arial" w:cs="Arial"/>
        </w:rPr>
      </w:pPr>
      <w:r w:rsidRPr="003F577D">
        <w:rPr>
          <w:rFonts w:ascii="Arial" w:hAnsi="Arial" w:cs="Arial"/>
        </w:rPr>
        <w:t xml:space="preserve"> </w:t>
      </w:r>
      <w:r w:rsidR="009B075E" w:rsidRPr="003F577D">
        <w:rPr>
          <w:rFonts w:ascii="Arial" w:hAnsi="Arial" w:cs="Arial"/>
        </w:rPr>
        <w:t>(reference Appendix 2:</w:t>
      </w:r>
      <w:r w:rsidR="009B075E">
        <w:rPr>
          <w:rFonts w:ascii="Arial" w:hAnsi="Arial" w:cs="Arial"/>
        </w:rPr>
        <w:t xml:space="preserve"> </w:t>
      </w:r>
      <w:r w:rsidR="00855AAF">
        <w:rPr>
          <w:rFonts w:ascii="Arial" w:hAnsi="Arial" w:cs="Arial"/>
        </w:rPr>
        <w:fldChar w:fldCharType="begin"/>
      </w:r>
      <w:r w:rsidR="009B075E">
        <w:rPr>
          <w:rFonts w:ascii="Arial" w:hAnsi="Arial" w:cs="Arial"/>
        </w:rPr>
        <w:instrText xml:space="preserve"> REF _Ref318375963 \h </w:instrText>
      </w:r>
      <w:r w:rsidR="00855AAF">
        <w:rPr>
          <w:rFonts w:ascii="Arial" w:hAnsi="Arial" w:cs="Arial"/>
        </w:rPr>
      </w:r>
      <w:r w:rsidR="00855AAF">
        <w:rPr>
          <w:rFonts w:ascii="Arial" w:hAnsi="Arial" w:cs="Arial"/>
        </w:rPr>
        <w:fldChar w:fldCharType="separate"/>
      </w:r>
      <w:r w:rsidR="00584343" w:rsidRPr="00410F0D">
        <w:rPr>
          <w:rFonts w:ascii="Arial" w:hAnsi="Arial" w:cs="Arial"/>
        </w:rPr>
        <w:t xml:space="preserve">Table </w:t>
      </w:r>
      <w:r w:rsidR="00584343">
        <w:rPr>
          <w:rFonts w:ascii="Arial" w:hAnsi="Arial" w:cs="Arial"/>
          <w:noProof/>
        </w:rPr>
        <w:t>9</w:t>
      </w:r>
      <w:r w:rsidR="00855AAF">
        <w:rPr>
          <w:rFonts w:ascii="Arial" w:hAnsi="Arial" w:cs="Arial"/>
        </w:rPr>
        <w:fldChar w:fldCharType="end"/>
      </w:r>
      <w:r w:rsidR="009B075E" w:rsidRPr="003F577D">
        <w:rPr>
          <w:rFonts w:ascii="Arial" w:hAnsi="Arial" w:cs="Arial"/>
        </w:rPr>
        <w:t>)</w:t>
      </w:r>
    </w:p>
    <w:p w:rsidR="009B075E" w:rsidRPr="003F577D" w:rsidRDefault="009B075E" w:rsidP="00E324E9">
      <w:pPr>
        <w:spacing w:before="120" w:after="120"/>
        <w:rPr>
          <w:rFonts w:ascii="Arial" w:hAnsi="Arial" w:cs="Arial"/>
        </w:rPr>
      </w:pPr>
      <w:r w:rsidRPr="003F577D">
        <w:rPr>
          <w:rFonts w:ascii="Arial" w:hAnsi="Arial" w:cs="Arial"/>
        </w:rPr>
        <w:t>According to the Australian Institute</w:t>
      </w:r>
      <w:r>
        <w:rPr>
          <w:rFonts w:ascii="Arial" w:hAnsi="Arial" w:cs="Arial"/>
        </w:rPr>
        <w:t xml:space="preserve"> of</w:t>
      </w:r>
      <w:r w:rsidRPr="003F577D">
        <w:rPr>
          <w:rFonts w:ascii="Arial" w:hAnsi="Arial" w:cs="Arial"/>
        </w:rPr>
        <w:t xml:space="preserve"> Health and Welfare</w:t>
      </w:r>
      <w:r>
        <w:rPr>
          <w:rFonts w:ascii="Arial" w:hAnsi="Arial" w:cs="Arial"/>
        </w:rPr>
        <w:t xml:space="preserve"> (AIHW)</w:t>
      </w:r>
      <w:r w:rsidRPr="003F577D">
        <w:rPr>
          <w:rFonts w:ascii="Arial" w:hAnsi="Arial" w:cs="Arial"/>
        </w:rPr>
        <w:t xml:space="preserve">, “chronic diseases are a leading cause of death and disability in Australia.  Chronic diseases are also associated with high use of health care services, contributing to major funding pressures in Australian health care that are expected to rise over coming decades as prevalence increases. The increased prevalence of chronic disease has been attributed to a range of causes including the ageing of our population and lifestyle factors such as smoking, physical inactivity and excess alcohol intake”. </w:t>
      </w:r>
    </w:p>
    <w:p w:rsidR="009B075E" w:rsidRPr="003F577D" w:rsidRDefault="009B075E" w:rsidP="00E324E9">
      <w:pPr>
        <w:rPr>
          <w:rFonts w:ascii="Arial" w:hAnsi="Arial" w:cs="Arial"/>
        </w:rPr>
      </w:pPr>
      <w:r w:rsidRPr="003F577D">
        <w:rPr>
          <w:rFonts w:ascii="Arial" w:hAnsi="Arial" w:cs="Arial"/>
        </w:rPr>
        <w:t>The DWG looked at the disease burden</w:t>
      </w:r>
      <w:r w:rsidR="001C77CF">
        <w:rPr>
          <w:rStyle w:val="FootnoteReference"/>
        </w:rPr>
        <w:footnoteReference w:id="22"/>
      </w:r>
      <w:r w:rsidRPr="003F577D">
        <w:rPr>
          <w:rFonts w:ascii="Arial" w:hAnsi="Arial" w:cs="Arial"/>
        </w:rPr>
        <w:t xml:space="preserve"> by broad cause groups as reported by the </w:t>
      </w:r>
      <w:r>
        <w:rPr>
          <w:rFonts w:ascii="Arial" w:hAnsi="Arial" w:cs="Arial"/>
        </w:rPr>
        <w:t>AIHW</w:t>
      </w:r>
      <w:r w:rsidRPr="003F577D">
        <w:rPr>
          <w:rFonts w:ascii="Arial" w:hAnsi="Arial" w:cs="Arial"/>
        </w:rPr>
        <w:t xml:space="preserve">.  As shown in </w:t>
      </w:r>
      <w:r w:rsidR="00154097">
        <w:fldChar w:fldCharType="begin"/>
      </w:r>
      <w:r w:rsidR="00154097">
        <w:instrText xml:space="preserve"> REF _Ref298141605 \h  \* MERGEFORMAT </w:instrText>
      </w:r>
      <w:r w:rsidR="00154097">
        <w:fldChar w:fldCharType="separate"/>
      </w:r>
      <w:r w:rsidR="00584343" w:rsidRPr="003F577D">
        <w:rPr>
          <w:rFonts w:ascii="Arial" w:hAnsi="Arial" w:cs="Arial"/>
        </w:rPr>
        <w:t xml:space="preserve">Figure </w:t>
      </w:r>
      <w:r w:rsidR="00584343">
        <w:rPr>
          <w:rFonts w:ascii="Arial" w:hAnsi="Arial" w:cs="Arial"/>
        </w:rPr>
        <w:t>5</w:t>
      </w:r>
      <w:r w:rsidR="00154097">
        <w:fldChar w:fldCharType="end"/>
      </w:r>
      <w:r w:rsidRPr="003F577D">
        <w:rPr>
          <w:rFonts w:ascii="Arial" w:hAnsi="Arial" w:cs="Arial"/>
        </w:rPr>
        <w:t>, cancers, cardiovascular diseases and mental disorders contributed to almost half (48%) of the projected disease burden in 2010</w:t>
      </w:r>
      <w:r w:rsidRPr="003F577D">
        <w:rPr>
          <w:rStyle w:val="FootnoteReference"/>
          <w:rFonts w:ascii="Arial" w:hAnsi="Arial" w:cs="Arial"/>
        </w:rPr>
        <w:footnoteReference w:id="23"/>
      </w:r>
      <w:r w:rsidRPr="003F577D">
        <w:rPr>
          <w:rFonts w:ascii="Arial" w:hAnsi="Arial" w:cs="Arial"/>
        </w:rPr>
        <w:t>.  Although as a p</w:t>
      </w:r>
      <w:r>
        <w:rPr>
          <w:rFonts w:ascii="Arial" w:hAnsi="Arial" w:cs="Arial"/>
        </w:rPr>
        <w:t>roportion of all diseases the</w:t>
      </w:r>
      <w:r w:rsidRPr="003F577D">
        <w:rPr>
          <w:rFonts w:ascii="Arial" w:hAnsi="Arial" w:cs="Arial"/>
        </w:rPr>
        <w:t xml:space="preserve"> co</w:t>
      </w:r>
      <w:r>
        <w:rPr>
          <w:rFonts w:ascii="Arial" w:hAnsi="Arial" w:cs="Arial"/>
        </w:rPr>
        <w:t xml:space="preserve">ntribution of these diseases is projected to fall, for now </w:t>
      </w:r>
      <w:r w:rsidRPr="003F577D">
        <w:rPr>
          <w:rFonts w:ascii="Arial" w:hAnsi="Arial" w:cs="Arial"/>
        </w:rPr>
        <w:t xml:space="preserve">they continue to be major causes of death and disability in Australia. It is no surprise that a significant proportion of PBS expenditure continues to be on medicines to treat or manage these diseases.  </w:t>
      </w:r>
    </w:p>
    <w:tbl>
      <w:tblPr>
        <w:tblW w:w="3486" w:type="dxa"/>
        <w:jc w:val="center"/>
        <w:tblLook w:val="0000" w:firstRow="0" w:lastRow="0" w:firstColumn="0" w:lastColumn="0" w:noHBand="0" w:noVBand="0"/>
        <w:tblCaption w:val="Figure 5"/>
        <w:tblDescription w:val="Proportion of disease burden, by broad cause groups, 2010 vs 2003"/>
      </w:tblPr>
      <w:tblGrid>
        <w:gridCol w:w="7728"/>
      </w:tblGrid>
      <w:tr w:rsidR="009B075E" w:rsidRPr="003F577D" w:rsidTr="00A47836">
        <w:trPr>
          <w:jc w:val="center"/>
        </w:trPr>
        <w:tc>
          <w:tcPr>
            <w:tcW w:w="3486" w:type="dxa"/>
            <w:tcBorders>
              <w:top w:val="single" w:sz="4" w:space="0" w:color="auto"/>
              <w:left w:val="single" w:sz="4" w:space="0" w:color="auto"/>
              <w:bottom w:val="single" w:sz="4" w:space="0" w:color="auto"/>
              <w:right w:val="single" w:sz="4" w:space="0" w:color="auto"/>
            </w:tcBorders>
            <w:vAlign w:val="center"/>
          </w:tcPr>
          <w:p w:rsidR="009B075E" w:rsidRPr="003F577D" w:rsidRDefault="009B075E" w:rsidP="00ED4172">
            <w:pPr>
              <w:pStyle w:val="Caption"/>
              <w:rPr>
                <w:rFonts w:ascii="Arial" w:hAnsi="Arial" w:cs="Arial"/>
                <w:sz w:val="22"/>
                <w:szCs w:val="22"/>
              </w:rPr>
            </w:pPr>
            <w:bookmarkStart w:id="35" w:name="_Ref298141605"/>
            <w:r w:rsidRPr="003F577D">
              <w:rPr>
                <w:rFonts w:ascii="Arial" w:hAnsi="Arial" w:cs="Arial"/>
                <w:sz w:val="22"/>
                <w:szCs w:val="22"/>
              </w:rPr>
              <w:t xml:space="preserve">Figure </w:t>
            </w:r>
            <w:r w:rsidR="00855AAF" w:rsidRPr="003F577D">
              <w:rPr>
                <w:rFonts w:ascii="Arial" w:hAnsi="Arial" w:cs="Arial"/>
                <w:sz w:val="22"/>
                <w:szCs w:val="22"/>
              </w:rPr>
              <w:fldChar w:fldCharType="begin"/>
            </w:r>
            <w:r w:rsidRPr="003F577D">
              <w:rPr>
                <w:rFonts w:ascii="Arial" w:hAnsi="Arial" w:cs="Arial"/>
                <w:sz w:val="22"/>
                <w:szCs w:val="22"/>
              </w:rPr>
              <w:instrText xml:space="preserve"> SEQ Figure \* ARABIC </w:instrText>
            </w:r>
            <w:r w:rsidR="00855AAF" w:rsidRPr="003F577D">
              <w:rPr>
                <w:rFonts w:ascii="Arial" w:hAnsi="Arial" w:cs="Arial"/>
                <w:sz w:val="22"/>
                <w:szCs w:val="22"/>
              </w:rPr>
              <w:fldChar w:fldCharType="separate"/>
            </w:r>
            <w:r w:rsidR="00584343">
              <w:rPr>
                <w:rFonts w:ascii="Arial" w:hAnsi="Arial" w:cs="Arial"/>
                <w:noProof/>
                <w:sz w:val="22"/>
                <w:szCs w:val="22"/>
              </w:rPr>
              <w:t>5</w:t>
            </w:r>
            <w:r w:rsidR="00855AAF" w:rsidRPr="003F577D">
              <w:rPr>
                <w:rFonts w:ascii="Arial" w:hAnsi="Arial" w:cs="Arial"/>
                <w:sz w:val="22"/>
                <w:szCs w:val="22"/>
              </w:rPr>
              <w:fldChar w:fldCharType="end"/>
            </w:r>
            <w:bookmarkEnd w:id="35"/>
            <w:r w:rsidRPr="003F577D">
              <w:rPr>
                <w:rFonts w:ascii="Arial" w:hAnsi="Arial" w:cs="Arial"/>
                <w:sz w:val="22"/>
                <w:szCs w:val="22"/>
              </w:rPr>
              <w:t xml:space="preserve">: Proportion of disease burden, by broad cause groups, </w:t>
            </w:r>
            <w:r w:rsidRPr="003F577D">
              <w:rPr>
                <w:rFonts w:ascii="Arial" w:hAnsi="Arial" w:cs="Arial"/>
                <w:sz w:val="22"/>
                <w:szCs w:val="22"/>
              </w:rPr>
              <w:br/>
              <w:t>2010 vs 2003</w:t>
            </w:r>
            <w:r w:rsidRPr="003F577D">
              <w:rPr>
                <w:rStyle w:val="FootnoteReference"/>
                <w:rFonts w:ascii="Arial" w:hAnsi="Arial" w:cs="Arial"/>
                <w:sz w:val="22"/>
                <w:szCs w:val="22"/>
              </w:rPr>
              <w:footnoteReference w:id="24"/>
            </w:r>
          </w:p>
        </w:tc>
      </w:tr>
      <w:tr w:rsidR="009B075E" w:rsidRPr="003F577D" w:rsidTr="00A47836">
        <w:trPr>
          <w:trHeight w:val="4433"/>
          <w:jc w:val="center"/>
        </w:trPr>
        <w:tc>
          <w:tcPr>
            <w:tcW w:w="3486" w:type="dxa"/>
            <w:tcBorders>
              <w:top w:val="single" w:sz="4" w:space="0" w:color="auto"/>
              <w:left w:val="single" w:sz="4" w:space="0" w:color="auto"/>
              <w:bottom w:val="single" w:sz="4" w:space="0" w:color="auto"/>
              <w:right w:val="single" w:sz="4" w:space="0" w:color="auto"/>
            </w:tcBorders>
            <w:vAlign w:val="center"/>
          </w:tcPr>
          <w:p w:rsidR="009B075E" w:rsidRPr="003F577D" w:rsidRDefault="005E0A95" w:rsidP="00ED4172">
            <w:pPr>
              <w:tabs>
                <w:tab w:val="left" w:pos="4708"/>
              </w:tabs>
              <w:jc w:val="center"/>
              <w:rPr>
                <w:rFonts w:ascii="Arial" w:hAnsi="Arial" w:cs="Arial"/>
                <w:b/>
                <w:bCs/>
              </w:rPr>
            </w:pPr>
            <w:r>
              <w:rPr>
                <w:rFonts w:ascii="Arial" w:hAnsi="Arial" w:cs="Arial"/>
                <w:b/>
                <w:noProof/>
                <w:lang w:eastAsia="en-AU"/>
              </w:rPr>
              <w:drawing>
                <wp:inline distT="0" distB="0" distL="0" distR="0" wp14:anchorId="6DB724C6" wp14:editId="260ABCB0">
                  <wp:extent cx="4770120" cy="2665730"/>
                  <wp:effectExtent l="0" t="0" r="0" b="1270"/>
                  <wp:docPr id="4" name="Picture 6" descr="Proportion of disease burden, by broad cause groups, &#10;2010 vs 2003 &#10;"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t="3722" b="6973"/>
                          <a:stretch>
                            <a:fillRect/>
                          </a:stretch>
                        </pic:blipFill>
                        <pic:spPr bwMode="auto">
                          <a:xfrm>
                            <a:off x="0" y="0"/>
                            <a:ext cx="4770120" cy="2665730"/>
                          </a:xfrm>
                          <a:prstGeom prst="rect">
                            <a:avLst/>
                          </a:prstGeom>
                          <a:noFill/>
                          <a:ln w="9525">
                            <a:noFill/>
                            <a:miter lim="800000"/>
                            <a:headEnd/>
                            <a:tailEnd/>
                          </a:ln>
                        </pic:spPr>
                      </pic:pic>
                    </a:graphicData>
                  </a:graphic>
                </wp:inline>
              </w:drawing>
            </w:r>
          </w:p>
        </w:tc>
      </w:tr>
    </w:tbl>
    <w:p w:rsidR="009B075E" w:rsidRPr="003F577D" w:rsidRDefault="009B075E" w:rsidP="00E324E9">
      <w:pPr>
        <w:rPr>
          <w:rFonts w:ascii="Arial" w:hAnsi="Arial" w:cs="Arial"/>
        </w:rPr>
      </w:pPr>
    </w:p>
    <w:p w:rsidR="009B075E" w:rsidRPr="00083F54" w:rsidRDefault="009B075E" w:rsidP="00472697">
      <w:pPr>
        <w:spacing w:before="120" w:after="120"/>
        <w:rPr>
          <w:rFonts w:ascii="Arial" w:hAnsi="Arial" w:cs="Arial"/>
        </w:rPr>
      </w:pPr>
      <w:r w:rsidRPr="00083F54">
        <w:rPr>
          <w:rFonts w:ascii="Arial" w:hAnsi="Arial" w:cs="Arial"/>
        </w:rPr>
        <w:t xml:space="preserve">As shown in </w:t>
      </w:r>
      <w:r w:rsidR="00154097">
        <w:fldChar w:fldCharType="begin"/>
      </w:r>
      <w:r w:rsidR="00154097">
        <w:instrText xml:space="preserve"> REF _Ref301280696 \h  \* MERGEFORMAT </w:instrText>
      </w:r>
      <w:r w:rsidR="00154097">
        <w:fldChar w:fldCharType="separate"/>
      </w:r>
      <w:r w:rsidR="00584343" w:rsidRPr="00083F54">
        <w:rPr>
          <w:rFonts w:ascii="Arial" w:hAnsi="Arial" w:cs="Arial"/>
        </w:rPr>
        <w:t xml:space="preserve">Figure </w:t>
      </w:r>
      <w:r w:rsidR="00584343">
        <w:rPr>
          <w:rFonts w:ascii="Arial" w:hAnsi="Arial" w:cs="Arial"/>
        </w:rPr>
        <w:t>6</w:t>
      </w:r>
      <w:r w:rsidR="00154097">
        <w:fldChar w:fldCharType="end"/>
      </w:r>
      <w:r w:rsidRPr="00083F54">
        <w:rPr>
          <w:rFonts w:ascii="Arial" w:hAnsi="Arial" w:cs="Arial"/>
        </w:rPr>
        <w:t xml:space="preserve">, a significant proportion of all PBS </w:t>
      </w:r>
      <w:r>
        <w:rPr>
          <w:rFonts w:ascii="Arial" w:hAnsi="Arial" w:cs="Arial"/>
        </w:rPr>
        <w:t>S85</w:t>
      </w:r>
      <w:r w:rsidRPr="00083F54">
        <w:rPr>
          <w:rFonts w:ascii="Arial" w:hAnsi="Arial" w:cs="Arial"/>
        </w:rPr>
        <w:t xml:space="preserve"> Government expenditure is on medicines used to treat either cardiovascular diseases (31%</w:t>
      </w:r>
      <w:r w:rsidR="00A23292">
        <w:rPr>
          <w:rFonts w:ascii="Arial" w:hAnsi="Arial" w:cs="Arial"/>
        </w:rPr>
        <w:t xml:space="preserve"> in 2005-06 reducing to 28% in 2010-11</w:t>
      </w:r>
      <w:r w:rsidRPr="00083F54">
        <w:rPr>
          <w:rFonts w:ascii="Arial" w:hAnsi="Arial" w:cs="Arial"/>
        </w:rPr>
        <w:t xml:space="preserve">) or Nervous system conditions (18%). </w:t>
      </w:r>
      <w:r w:rsidR="00A23292">
        <w:rPr>
          <w:rFonts w:ascii="Arial" w:hAnsi="Arial" w:cs="Arial"/>
        </w:rPr>
        <w:t xml:space="preserve">Around </w:t>
      </w:r>
      <w:r>
        <w:rPr>
          <w:rFonts w:ascii="Arial" w:hAnsi="Arial" w:cs="Arial"/>
        </w:rPr>
        <w:t xml:space="preserve">one quarter </w:t>
      </w:r>
      <w:r w:rsidRPr="00083F54">
        <w:rPr>
          <w:rFonts w:ascii="Arial" w:hAnsi="Arial" w:cs="Arial"/>
        </w:rPr>
        <w:t>of the expenditure was either on anti-cancer medication</w:t>
      </w:r>
      <w:r w:rsidR="00A23292">
        <w:rPr>
          <w:rFonts w:ascii="Arial" w:hAnsi="Arial" w:cs="Arial"/>
        </w:rPr>
        <w:t>s</w:t>
      </w:r>
      <w:r w:rsidRPr="00083F54">
        <w:rPr>
          <w:rFonts w:ascii="Arial" w:hAnsi="Arial" w:cs="Arial"/>
        </w:rPr>
        <w:t xml:space="preserve"> (10%</w:t>
      </w:r>
      <w:r w:rsidR="00A23292" w:rsidRPr="00A23292">
        <w:rPr>
          <w:rFonts w:ascii="Arial" w:hAnsi="Arial" w:cs="Arial"/>
        </w:rPr>
        <w:t xml:space="preserve"> </w:t>
      </w:r>
      <w:r w:rsidR="00A23292">
        <w:rPr>
          <w:rFonts w:ascii="Arial" w:hAnsi="Arial" w:cs="Arial"/>
        </w:rPr>
        <w:t xml:space="preserve">in 2005-06 increasing to </w:t>
      </w:r>
      <w:r w:rsidRPr="00083F54">
        <w:rPr>
          <w:rFonts w:ascii="Arial" w:hAnsi="Arial" w:cs="Arial"/>
        </w:rPr>
        <w:t>15%</w:t>
      </w:r>
      <w:r w:rsidR="00A23292">
        <w:rPr>
          <w:rFonts w:ascii="Arial" w:hAnsi="Arial" w:cs="Arial"/>
        </w:rPr>
        <w:t xml:space="preserve"> in 2010-11</w:t>
      </w:r>
      <w:r w:rsidRPr="00083F54">
        <w:rPr>
          <w:rFonts w:ascii="Arial" w:hAnsi="Arial" w:cs="Arial"/>
        </w:rPr>
        <w:t>) or drugs used to treat condition of the alimentary tract and metabolism (15%</w:t>
      </w:r>
      <w:r w:rsidR="00A23292" w:rsidRPr="00A23292">
        <w:rPr>
          <w:rFonts w:ascii="Arial" w:hAnsi="Arial" w:cs="Arial"/>
        </w:rPr>
        <w:t xml:space="preserve"> </w:t>
      </w:r>
      <w:r w:rsidR="00A23292">
        <w:rPr>
          <w:rFonts w:ascii="Arial" w:hAnsi="Arial" w:cs="Arial"/>
        </w:rPr>
        <w:t>in 2005-06 reducing to 13% in 2010-11</w:t>
      </w:r>
      <w:r w:rsidRPr="00083F54">
        <w:rPr>
          <w:rFonts w:ascii="Arial" w:hAnsi="Arial" w:cs="Arial"/>
        </w:rPr>
        <w:t xml:space="preserve">) such as diabetes. </w:t>
      </w:r>
    </w:p>
    <w:tbl>
      <w:tblPr>
        <w:tblW w:w="0" w:type="auto"/>
        <w:jc w:val="center"/>
        <w:tblLook w:val="0000" w:firstRow="0" w:lastRow="0" w:firstColumn="0" w:lastColumn="0" w:noHBand="0" w:noVBand="0"/>
        <w:tblCaption w:val="Figure 6"/>
        <w:tblDescription w:val="Trends in PBS section 85 expenditure, by ATC level 1"/>
      </w:tblPr>
      <w:tblGrid>
        <w:gridCol w:w="8774"/>
      </w:tblGrid>
      <w:tr w:rsidR="009B075E" w:rsidRPr="00DC51D5" w:rsidTr="00C42A9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083F54" w:rsidRDefault="009B075E" w:rsidP="00B826AE">
            <w:pPr>
              <w:pStyle w:val="Caption"/>
              <w:rPr>
                <w:rFonts w:ascii="Arial" w:hAnsi="Arial" w:cs="Arial"/>
              </w:rPr>
            </w:pPr>
            <w:bookmarkStart w:id="36" w:name="_Ref301280696"/>
            <w:r w:rsidRPr="00083F54">
              <w:rPr>
                <w:rFonts w:ascii="Arial" w:hAnsi="Arial" w:cs="Arial"/>
                <w:sz w:val="22"/>
                <w:szCs w:val="22"/>
              </w:rPr>
              <w:lastRenderedPageBreak/>
              <w:t xml:space="preserve">Figure </w:t>
            </w:r>
            <w:r w:rsidR="00855AAF" w:rsidRPr="00083F54">
              <w:rPr>
                <w:rFonts w:ascii="Arial" w:hAnsi="Arial" w:cs="Arial"/>
                <w:sz w:val="22"/>
                <w:szCs w:val="22"/>
              </w:rPr>
              <w:fldChar w:fldCharType="begin"/>
            </w:r>
            <w:r w:rsidRPr="00083F54">
              <w:rPr>
                <w:rFonts w:ascii="Arial" w:hAnsi="Arial" w:cs="Arial"/>
                <w:sz w:val="22"/>
                <w:szCs w:val="22"/>
              </w:rPr>
              <w:instrText xml:space="preserve"> SEQ Figure \* ARABIC </w:instrText>
            </w:r>
            <w:r w:rsidR="00855AAF" w:rsidRPr="00083F54">
              <w:rPr>
                <w:rFonts w:ascii="Arial" w:hAnsi="Arial" w:cs="Arial"/>
                <w:sz w:val="22"/>
                <w:szCs w:val="22"/>
              </w:rPr>
              <w:fldChar w:fldCharType="separate"/>
            </w:r>
            <w:r w:rsidR="00584343">
              <w:rPr>
                <w:rFonts w:ascii="Arial" w:hAnsi="Arial" w:cs="Arial"/>
                <w:noProof/>
                <w:sz w:val="22"/>
                <w:szCs w:val="22"/>
              </w:rPr>
              <w:t>6</w:t>
            </w:r>
            <w:r w:rsidR="00855AAF" w:rsidRPr="00083F54">
              <w:rPr>
                <w:rFonts w:ascii="Arial" w:hAnsi="Arial" w:cs="Arial"/>
                <w:sz w:val="22"/>
                <w:szCs w:val="22"/>
              </w:rPr>
              <w:fldChar w:fldCharType="end"/>
            </w:r>
            <w:bookmarkEnd w:id="36"/>
            <w:r w:rsidRPr="00083F54">
              <w:rPr>
                <w:rFonts w:ascii="Arial" w:hAnsi="Arial" w:cs="Arial"/>
                <w:sz w:val="22"/>
                <w:szCs w:val="22"/>
              </w:rPr>
              <w:t>: Trends in PBS section 85 expenditure, by ATC level 1</w:t>
            </w:r>
          </w:p>
        </w:tc>
      </w:tr>
      <w:tr w:rsidR="009B075E" w:rsidRPr="00DC51D5" w:rsidTr="00C42A96">
        <w:trPr>
          <w:trHeight w:val="4433"/>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DC51D5" w:rsidRDefault="005E0A95" w:rsidP="00B826AE">
            <w:pPr>
              <w:tabs>
                <w:tab w:val="left" w:pos="4708"/>
              </w:tabs>
              <w:jc w:val="center"/>
              <w:rPr>
                <w:rFonts w:ascii="Arial" w:hAnsi="Arial" w:cs="Arial"/>
                <w:b/>
                <w:bCs/>
                <w:highlight w:val="yellow"/>
              </w:rPr>
            </w:pPr>
            <w:r>
              <w:rPr>
                <w:rFonts w:ascii="Arial" w:hAnsi="Arial" w:cs="Arial"/>
                <w:b/>
                <w:noProof/>
                <w:lang w:eastAsia="en-AU"/>
              </w:rPr>
              <w:drawing>
                <wp:inline distT="0" distB="0" distL="0" distR="0" wp14:anchorId="092CA14E" wp14:editId="1034E204">
                  <wp:extent cx="5434330" cy="3484880"/>
                  <wp:effectExtent l="0" t="0" r="0" b="1270"/>
                  <wp:docPr id="5" name="Picture 4" descr="Trends in PBS section 85 expenditure, by ATC level 1"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5434330" cy="3484880"/>
                          </a:xfrm>
                          <a:prstGeom prst="rect">
                            <a:avLst/>
                          </a:prstGeom>
                          <a:noFill/>
                          <a:ln w="9525">
                            <a:noFill/>
                            <a:miter lim="800000"/>
                            <a:headEnd/>
                            <a:tailEnd/>
                          </a:ln>
                        </pic:spPr>
                      </pic:pic>
                    </a:graphicData>
                  </a:graphic>
                </wp:inline>
              </w:drawing>
            </w:r>
          </w:p>
        </w:tc>
      </w:tr>
    </w:tbl>
    <w:p w:rsidR="00235F65" w:rsidRDefault="00235F65" w:rsidP="00A75762">
      <w:pPr>
        <w:spacing w:before="120" w:after="120"/>
        <w:rPr>
          <w:rFonts w:ascii="Arial" w:hAnsi="Arial" w:cs="Arial"/>
        </w:rPr>
      </w:pPr>
      <w:bookmarkStart w:id="37" w:name="_Ref318146137"/>
    </w:p>
    <w:p w:rsidR="009B075E" w:rsidRPr="007356D4" w:rsidRDefault="009B075E" w:rsidP="007356D4">
      <w:pPr>
        <w:spacing w:after="0"/>
        <w:rPr>
          <w:rFonts w:ascii="Arial" w:eastAsia="Times New Roman" w:hAnsi="Arial" w:cs="Arial"/>
          <w:b/>
          <w:bCs/>
        </w:rPr>
      </w:pPr>
      <w:r w:rsidRPr="00516273">
        <w:rPr>
          <w:rFonts w:ascii="Arial" w:hAnsi="Arial" w:cs="Arial"/>
        </w:rPr>
        <w:t xml:space="preserve">In terms of contribution to PBS growth, there were variations across the time period analysed.  However, medicines to treat cancers, cardiovascular diseases, illnesses of sensory organs </w:t>
      </w:r>
      <w:r>
        <w:rPr>
          <w:rFonts w:ascii="Arial" w:hAnsi="Arial" w:cs="Arial"/>
        </w:rPr>
        <w:t xml:space="preserve">(including ophthalmologic conditions) </w:t>
      </w:r>
      <w:r w:rsidRPr="00516273">
        <w:rPr>
          <w:rFonts w:ascii="Arial" w:hAnsi="Arial" w:cs="Arial"/>
        </w:rPr>
        <w:t>and nervous system drugs contributed most to the growth in the time period (see</w:t>
      </w:r>
      <w:r w:rsidR="006718E8">
        <w:rPr>
          <w:rFonts w:ascii="Arial" w:hAnsi="Arial" w:cs="Arial"/>
        </w:rPr>
        <w:t xml:space="preserve"> </w:t>
      </w:r>
      <w:r w:rsidR="006718E8">
        <w:rPr>
          <w:rFonts w:ascii="Arial" w:hAnsi="Arial" w:cs="Arial"/>
        </w:rPr>
        <w:fldChar w:fldCharType="begin"/>
      </w:r>
      <w:r w:rsidR="006718E8">
        <w:rPr>
          <w:rFonts w:ascii="Arial" w:hAnsi="Arial" w:cs="Arial"/>
        </w:rPr>
        <w:instrText xml:space="preserve"> REF _Ref339454684 \h </w:instrText>
      </w:r>
      <w:r w:rsidR="006718E8">
        <w:rPr>
          <w:rFonts w:ascii="Arial" w:hAnsi="Arial" w:cs="Arial"/>
        </w:rPr>
      </w:r>
      <w:r w:rsidR="006718E8">
        <w:rPr>
          <w:rFonts w:ascii="Arial" w:hAnsi="Arial" w:cs="Arial"/>
        </w:rPr>
        <w:fldChar w:fldCharType="separate"/>
      </w:r>
      <w:r w:rsidR="00584343" w:rsidRPr="005F1639">
        <w:rPr>
          <w:rFonts w:ascii="Arial" w:hAnsi="Arial" w:cs="Arial"/>
        </w:rPr>
        <w:t xml:space="preserve">Table </w:t>
      </w:r>
      <w:r w:rsidR="00584343">
        <w:rPr>
          <w:rFonts w:ascii="Arial" w:hAnsi="Arial" w:cs="Arial"/>
          <w:noProof/>
        </w:rPr>
        <w:t>2</w:t>
      </w:r>
      <w:r w:rsidR="006718E8">
        <w:rPr>
          <w:rFonts w:ascii="Arial" w:hAnsi="Arial" w:cs="Arial"/>
        </w:rPr>
        <w:fldChar w:fldCharType="end"/>
      </w:r>
      <w:r w:rsidRPr="00516273">
        <w:rPr>
          <w:rFonts w:ascii="Arial" w:hAnsi="Arial" w:cs="Arial"/>
        </w:rPr>
        <w:t xml:space="preserve">).  </w:t>
      </w:r>
    </w:p>
    <w:p w:rsidR="00D52012" w:rsidRPr="00516273" w:rsidRDefault="00D52012" w:rsidP="007356D4">
      <w:pPr>
        <w:spacing w:before="240" w:after="120"/>
        <w:rPr>
          <w:rFonts w:ascii="Arial" w:hAnsi="Arial" w:cs="Arial"/>
        </w:rPr>
      </w:pPr>
      <w:r>
        <w:rPr>
          <w:rFonts w:ascii="Arial" w:hAnsi="Arial" w:cs="Arial"/>
        </w:rPr>
        <w:t xml:space="preserve">Of particular note is the impact of </w:t>
      </w:r>
      <w:r w:rsidRPr="007356D4">
        <w:rPr>
          <w:rFonts w:ascii="Arial" w:hAnsi="Arial" w:cs="Arial"/>
        </w:rPr>
        <w:t>Antineoplastic and immunomodulating agents</w:t>
      </w:r>
      <w:r>
        <w:rPr>
          <w:rFonts w:ascii="Arial" w:hAnsi="Arial" w:cs="Arial"/>
        </w:rPr>
        <w:t xml:space="preserve"> </w:t>
      </w:r>
      <w:r w:rsidR="00A37906">
        <w:rPr>
          <w:rFonts w:ascii="Arial" w:hAnsi="Arial" w:cs="Arial"/>
        </w:rPr>
        <w:t>on</w:t>
      </w:r>
      <w:r>
        <w:rPr>
          <w:rFonts w:ascii="Arial" w:hAnsi="Arial" w:cs="Arial"/>
        </w:rPr>
        <w:t xml:space="preserve"> PBS growth in 2006-07.  This was due to a combination of low overall growth in the year </w:t>
      </w:r>
      <w:r w:rsidR="00642328">
        <w:rPr>
          <w:rFonts w:ascii="Arial" w:hAnsi="Arial" w:cs="Arial"/>
        </w:rPr>
        <w:br/>
      </w:r>
      <w:r>
        <w:rPr>
          <w:rFonts w:ascii="Arial" w:hAnsi="Arial" w:cs="Arial"/>
        </w:rPr>
        <w:t>($82 million across all of PBS S85</w:t>
      </w:r>
      <w:r w:rsidR="008D2D1A">
        <w:rPr>
          <w:rFonts w:ascii="Arial" w:hAnsi="Arial" w:cs="Arial"/>
        </w:rPr>
        <w:t>, due in large part to savings measures implemented in 2005 and 2006 – see previous section</w:t>
      </w:r>
      <w:r>
        <w:rPr>
          <w:rFonts w:ascii="Arial" w:hAnsi="Arial" w:cs="Arial"/>
        </w:rPr>
        <w:t xml:space="preserve">) and strong growth in a number of </w:t>
      </w:r>
      <w:r w:rsidR="008D2D1A">
        <w:rPr>
          <w:rFonts w:ascii="Arial" w:hAnsi="Arial" w:cs="Arial"/>
        </w:rPr>
        <w:t xml:space="preserve">high cost </w:t>
      </w:r>
      <w:r>
        <w:rPr>
          <w:rFonts w:ascii="Arial" w:hAnsi="Arial" w:cs="Arial"/>
        </w:rPr>
        <w:t xml:space="preserve">cancer related medicines: </w:t>
      </w:r>
      <w:r w:rsidR="008D2D1A">
        <w:rPr>
          <w:rFonts w:ascii="Arial" w:hAnsi="Arial" w:cs="Arial"/>
        </w:rPr>
        <w:t xml:space="preserve">etanercept ($19.4 million), adalimumab ($12.5 million), </w:t>
      </w:r>
      <w:r w:rsidR="00235F65">
        <w:rPr>
          <w:rFonts w:ascii="Arial" w:hAnsi="Arial" w:cs="Arial"/>
        </w:rPr>
        <w:t>anatrazole</w:t>
      </w:r>
      <w:r w:rsidR="008D2D1A">
        <w:rPr>
          <w:rFonts w:ascii="Arial" w:hAnsi="Arial" w:cs="Arial"/>
        </w:rPr>
        <w:t xml:space="preserve"> ($7.9 million) and rituximab ($7.8 million).</w:t>
      </w:r>
    </w:p>
    <w:p w:rsidR="00235F65" w:rsidRDefault="00235F65">
      <w:pPr>
        <w:spacing w:after="0" w:line="240" w:lineRule="auto"/>
        <w:rPr>
          <w:rFonts w:ascii="Arial" w:eastAsia="Times New Roman" w:hAnsi="Arial" w:cs="Arial"/>
          <w:b/>
          <w:bCs/>
        </w:rPr>
      </w:pPr>
      <w:bookmarkStart w:id="38" w:name="_Ref318375889"/>
      <w:r>
        <w:rPr>
          <w:rFonts w:ascii="Arial" w:hAnsi="Arial" w:cs="Arial"/>
        </w:rPr>
        <w:br w:type="page"/>
      </w:r>
    </w:p>
    <w:p w:rsidR="009B075E" w:rsidRPr="005F1639" w:rsidRDefault="009B075E" w:rsidP="005F1639">
      <w:pPr>
        <w:pStyle w:val="Caption"/>
        <w:rPr>
          <w:rFonts w:ascii="Arial" w:hAnsi="Arial" w:cs="Arial"/>
          <w:sz w:val="22"/>
          <w:szCs w:val="22"/>
        </w:rPr>
      </w:pPr>
      <w:bookmarkStart w:id="39" w:name="_Ref339454684"/>
      <w:r w:rsidRPr="005F1639">
        <w:rPr>
          <w:rFonts w:ascii="Arial" w:hAnsi="Arial" w:cs="Arial"/>
          <w:sz w:val="22"/>
          <w:szCs w:val="22"/>
        </w:rPr>
        <w:lastRenderedPageBreak/>
        <w:t xml:space="preserve">Table </w:t>
      </w:r>
      <w:r w:rsidR="00855AAF">
        <w:rPr>
          <w:rFonts w:ascii="Arial" w:hAnsi="Arial" w:cs="Arial"/>
          <w:sz w:val="22"/>
          <w:szCs w:val="22"/>
        </w:rPr>
        <w:fldChar w:fldCharType="begin"/>
      </w:r>
      <w:r>
        <w:rPr>
          <w:rFonts w:ascii="Arial" w:hAnsi="Arial" w:cs="Arial"/>
          <w:sz w:val="22"/>
          <w:szCs w:val="22"/>
        </w:rPr>
        <w:instrText xml:space="preserve"> SEQ Table \* ARABIC </w:instrText>
      </w:r>
      <w:r w:rsidR="00855AAF">
        <w:rPr>
          <w:rFonts w:ascii="Arial" w:hAnsi="Arial" w:cs="Arial"/>
          <w:sz w:val="22"/>
          <w:szCs w:val="22"/>
        </w:rPr>
        <w:fldChar w:fldCharType="separate"/>
      </w:r>
      <w:r w:rsidR="00584343">
        <w:rPr>
          <w:rFonts w:ascii="Arial" w:hAnsi="Arial" w:cs="Arial"/>
          <w:noProof/>
          <w:sz w:val="22"/>
          <w:szCs w:val="22"/>
        </w:rPr>
        <w:t>2</w:t>
      </w:r>
      <w:r w:rsidR="00855AAF">
        <w:rPr>
          <w:rFonts w:ascii="Arial" w:hAnsi="Arial" w:cs="Arial"/>
          <w:sz w:val="22"/>
          <w:szCs w:val="22"/>
        </w:rPr>
        <w:fldChar w:fldCharType="end"/>
      </w:r>
      <w:bookmarkEnd w:id="37"/>
      <w:bookmarkEnd w:id="38"/>
      <w:bookmarkEnd w:id="39"/>
      <w:r w:rsidRPr="005F1639">
        <w:rPr>
          <w:rFonts w:ascii="Arial" w:hAnsi="Arial" w:cs="Arial"/>
          <w:sz w:val="22"/>
          <w:szCs w:val="22"/>
        </w:rPr>
        <w:t xml:space="preserve">: </w:t>
      </w:r>
      <w:r w:rsidRPr="00BE5198">
        <w:rPr>
          <w:rFonts w:ascii="Arial" w:hAnsi="Arial" w:cs="Arial"/>
          <w:sz w:val="22"/>
          <w:szCs w:val="22"/>
        </w:rPr>
        <w:t xml:space="preserve">Contribution to total growth in Government expenditure on </w:t>
      </w:r>
      <w:r>
        <w:rPr>
          <w:rFonts w:ascii="Arial" w:hAnsi="Arial" w:cs="Arial"/>
          <w:sz w:val="22"/>
          <w:szCs w:val="22"/>
        </w:rPr>
        <w:t>S85</w:t>
      </w:r>
      <w:r w:rsidRPr="00BE5198">
        <w:rPr>
          <w:rFonts w:ascii="Arial" w:hAnsi="Arial" w:cs="Arial"/>
          <w:sz w:val="22"/>
          <w:szCs w:val="22"/>
        </w:rPr>
        <w:t xml:space="preserve"> drugs</w:t>
      </w:r>
      <w:r w:rsidRPr="00083F54">
        <w:rPr>
          <w:rFonts w:ascii="Arial" w:hAnsi="Arial" w:cs="Arial"/>
          <w:sz w:val="22"/>
          <w:szCs w:val="22"/>
        </w:rPr>
        <w:t xml:space="preserve">, </w:t>
      </w:r>
      <w:r>
        <w:rPr>
          <w:rFonts w:ascii="Arial" w:hAnsi="Arial" w:cs="Arial"/>
          <w:sz w:val="22"/>
          <w:szCs w:val="22"/>
        </w:rPr>
        <w:br/>
      </w:r>
      <w:r w:rsidRPr="00083F54">
        <w:rPr>
          <w:rFonts w:ascii="Arial" w:hAnsi="Arial" w:cs="Arial"/>
          <w:sz w:val="22"/>
          <w:szCs w:val="22"/>
        </w:rPr>
        <w:t xml:space="preserve">by ATC level </w:t>
      </w:r>
    </w:p>
    <w:tbl>
      <w:tblPr>
        <w:tblW w:w="5000" w:type="pct"/>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Caption w:val="Table 2"/>
        <w:tblDescription w:val="Contribution to total growth in Government expenditure on S85 drugs, by ATC level"/>
      </w:tblPr>
      <w:tblGrid>
        <w:gridCol w:w="4844"/>
        <w:gridCol w:w="879"/>
        <w:gridCol w:w="880"/>
        <w:gridCol w:w="880"/>
        <w:gridCol w:w="880"/>
        <w:gridCol w:w="879"/>
      </w:tblGrid>
      <w:tr w:rsidR="009B075E" w:rsidRPr="00EA6E63" w:rsidTr="0040541B">
        <w:trPr>
          <w:trHeight w:val="330"/>
          <w:tblHeader/>
        </w:trPr>
        <w:tc>
          <w:tcPr>
            <w:tcW w:w="2621" w:type="pct"/>
            <w:tcBorders>
              <w:top w:val="single" w:sz="8" w:space="0" w:color="4F81BD"/>
            </w:tcBorders>
            <w:shd w:val="clear" w:color="auto" w:fill="4F81BD"/>
            <w:noWrap/>
          </w:tcPr>
          <w:p w:rsidR="009B075E" w:rsidRPr="0040541B" w:rsidRDefault="009B075E" w:rsidP="0040541B">
            <w:pPr>
              <w:spacing w:after="0" w:line="240" w:lineRule="auto"/>
              <w:jc w:val="center"/>
              <w:rPr>
                <w:rFonts w:ascii="Arial Narrow" w:hAnsi="Arial Narrow" w:cs="Calibri"/>
                <w:b/>
                <w:bCs/>
                <w:color w:val="FFFFFF"/>
                <w:lang w:eastAsia="en-AU"/>
              </w:rPr>
            </w:pPr>
          </w:p>
        </w:tc>
        <w:tc>
          <w:tcPr>
            <w:tcW w:w="476" w:type="pct"/>
            <w:tcBorders>
              <w:top w:val="single" w:sz="8" w:space="0" w:color="4F81BD"/>
            </w:tcBorders>
            <w:shd w:val="clear" w:color="auto" w:fill="4F81BD"/>
            <w:noWrap/>
          </w:tcPr>
          <w:p w:rsidR="009B075E" w:rsidRPr="0040541B" w:rsidRDefault="009B075E" w:rsidP="0040541B">
            <w:pPr>
              <w:spacing w:after="0" w:line="240" w:lineRule="auto"/>
              <w:jc w:val="center"/>
              <w:rPr>
                <w:rFonts w:ascii="Arial Narrow" w:hAnsi="Arial Narrow" w:cs="Calibri"/>
                <w:b/>
                <w:bCs/>
                <w:color w:val="FFFFFF"/>
                <w:lang w:eastAsia="en-AU"/>
              </w:rPr>
            </w:pPr>
            <w:r w:rsidRPr="0040541B">
              <w:rPr>
                <w:rFonts w:ascii="Arial Narrow" w:hAnsi="Arial Narrow" w:cs="Calibri"/>
                <w:b/>
                <w:bCs/>
                <w:color w:val="FFFFFF"/>
                <w:lang w:eastAsia="en-AU"/>
              </w:rPr>
              <w:t>2006-07</w:t>
            </w:r>
          </w:p>
        </w:tc>
        <w:tc>
          <w:tcPr>
            <w:tcW w:w="476" w:type="pct"/>
            <w:tcBorders>
              <w:top w:val="single" w:sz="8" w:space="0" w:color="4F81BD"/>
            </w:tcBorders>
            <w:shd w:val="clear" w:color="auto" w:fill="4F81BD"/>
            <w:noWrap/>
          </w:tcPr>
          <w:p w:rsidR="009B075E" w:rsidRPr="0040541B" w:rsidRDefault="009B075E" w:rsidP="0040541B">
            <w:pPr>
              <w:spacing w:after="0" w:line="240" w:lineRule="auto"/>
              <w:jc w:val="center"/>
              <w:rPr>
                <w:rFonts w:ascii="Arial Narrow" w:hAnsi="Arial Narrow" w:cs="Calibri"/>
                <w:b/>
                <w:bCs/>
                <w:color w:val="FFFFFF"/>
                <w:lang w:eastAsia="en-AU"/>
              </w:rPr>
            </w:pPr>
            <w:r w:rsidRPr="0040541B">
              <w:rPr>
                <w:rFonts w:ascii="Arial Narrow" w:hAnsi="Arial Narrow" w:cs="Calibri"/>
                <w:b/>
                <w:bCs/>
                <w:color w:val="FFFFFF"/>
                <w:lang w:eastAsia="en-AU"/>
              </w:rPr>
              <w:t>2007-08</w:t>
            </w:r>
          </w:p>
        </w:tc>
        <w:tc>
          <w:tcPr>
            <w:tcW w:w="476" w:type="pct"/>
            <w:tcBorders>
              <w:top w:val="single" w:sz="8" w:space="0" w:color="4F81BD"/>
            </w:tcBorders>
            <w:shd w:val="clear" w:color="auto" w:fill="4F81BD"/>
            <w:noWrap/>
          </w:tcPr>
          <w:p w:rsidR="009B075E" w:rsidRPr="0040541B" w:rsidRDefault="009B075E" w:rsidP="0040541B">
            <w:pPr>
              <w:spacing w:after="0" w:line="240" w:lineRule="auto"/>
              <w:jc w:val="center"/>
              <w:rPr>
                <w:rFonts w:ascii="Arial Narrow" w:hAnsi="Arial Narrow" w:cs="Calibri"/>
                <w:b/>
                <w:bCs/>
                <w:color w:val="FFFFFF"/>
                <w:lang w:eastAsia="en-AU"/>
              </w:rPr>
            </w:pPr>
            <w:r w:rsidRPr="0040541B">
              <w:rPr>
                <w:rFonts w:ascii="Arial Narrow" w:hAnsi="Arial Narrow" w:cs="Calibri"/>
                <w:b/>
                <w:bCs/>
                <w:color w:val="FFFFFF"/>
                <w:lang w:eastAsia="en-AU"/>
              </w:rPr>
              <w:t>2008-09</w:t>
            </w:r>
          </w:p>
        </w:tc>
        <w:tc>
          <w:tcPr>
            <w:tcW w:w="476" w:type="pct"/>
            <w:tcBorders>
              <w:top w:val="single" w:sz="8" w:space="0" w:color="4F81BD"/>
            </w:tcBorders>
            <w:shd w:val="clear" w:color="auto" w:fill="4F81BD"/>
            <w:noWrap/>
          </w:tcPr>
          <w:p w:rsidR="009B075E" w:rsidRPr="0040541B" w:rsidRDefault="009B075E" w:rsidP="0040541B">
            <w:pPr>
              <w:spacing w:after="0" w:line="240" w:lineRule="auto"/>
              <w:jc w:val="center"/>
              <w:rPr>
                <w:rFonts w:ascii="Arial Narrow" w:hAnsi="Arial Narrow" w:cs="Calibri"/>
                <w:b/>
                <w:bCs/>
                <w:color w:val="FFFFFF"/>
                <w:lang w:eastAsia="en-AU"/>
              </w:rPr>
            </w:pPr>
            <w:r w:rsidRPr="0040541B">
              <w:rPr>
                <w:rFonts w:ascii="Arial Narrow" w:hAnsi="Arial Narrow" w:cs="Calibri"/>
                <w:b/>
                <w:bCs/>
                <w:color w:val="FFFFFF"/>
                <w:lang w:eastAsia="en-AU"/>
              </w:rPr>
              <w:t>2009-10</w:t>
            </w:r>
          </w:p>
        </w:tc>
        <w:tc>
          <w:tcPr>
            <w:tcW w:w="476" w:type="pct"/>
            <w:tcBorders>
              <w:top w:val="single" w:sz="8" w:space="0" w:color="4F81BD"/>
            </w:tcBorders>
            <w:shd w:val="clear" w:color="auto" w:fill="4F81BD"/>
            <w:noWrap/>
          </w:tcPr>
          <w:p w:rsidR="009B075E" w:rsidRPr="0040541B" w:rsidRDefault="009B075E" w:rsidP="0040541B">
            <w:pPr>
              <w:spacing w:after="0" w:line="240" w:lineRule="auto"/>
              <w:jc w:val="center"/>
              <w:rPr>
                <w:rFonts w:ascii="Arial Narrow" w:hAnsi="Arial Narrow" w:cs="Calibri"/>
                <w:b/>
                <w:bCs/>
                <w:color w:val="FFFFFF"/>
                <w:lang w:eastAsia="en-AU"/>
              </w:rPr>
            </w:pPr>
            <w:r w:rsidRPr="0040541B">
              <w:rPr>
                <w:rFonts w:ascii="Arial Narrow" w:hAnsi="Arial Narrow" w:cs="Calibri"/>
                <w:b/>
                <w:bCs/>
                <w:color w:val="FFFFFF"/>
                <w:lang w:eastAsia="en-AU"/>
              </w:rPr>
              <w:t>2010-11</w:t>
            </w:r>
          </w:p>
        </w:tc>
      </w:tr>
      <w:tr w:rsidR="009B075E" w:rsidRPr="00EA6E63" w:rsidTr="0040541B">
        <w:trPr>
          <w:trHeight w:val="330"/>
        </w:trPr>
        <w:tc>
          <w:tcPr>
            <w:tcW w:w="2621" w:type="pct"/>
            <w:tcBorders>
              <w:top w:val="single" w:sz="8" w:space="0" w:color="4F81BD"/>
              <w:bottom w:val="single" w:sz="8" w:space="0" w:color="4F81BD"/>
            </w:tcBorders>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Antineoplastic and immunomodulating agents </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86.4%</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29.8%</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30.3%</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30.4%</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35.8%</w:t>
            </w:r>
          </w:p>
        </w:tc>
      </w:tr>
      <w:tr w:rsidR="009B075E" w:rsidRPr="00EA6E63" w:rsidTr="0040541B">
        <w:trPr>
          <w:trHeight w:val="330"/>
        </w:trPr>
        <w:tc>
          <w:tcPr>
            <w:tcW w:w="2621" w:type="pct"/>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Nervous system </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49.8%</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17.1%</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18.8%</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14.7%</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24.8%</w:t>
            </w:r>
          </w:p>
        </w:tc>
      </w:tr>
      <w:tr w:rsidR="009B075E" w:rsidRPr="00EA6E63" w:rsidTr="0040541B">
        <w:trPr>
          <w:trHeight w:val="330"/>
        </w:trPr>
        <w:tc>
          <w:tcPr>
            <w:tcW w:w="2621" w:type="pct"/>
            <w:tcBorders>
              <w:top w:val="single" w:sz="8" w:space="0" w:color="4F81BD"/>
              <w:bottom w:val="single" w:sz="8" w:space="0" w:color="4F81BD"/>
            </w:tcBorders>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Sensory organs </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6.6%</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15.4%</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11.1%</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16.7%</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19.7%</w:t>
            </w:r>
          </w:p>
        </w:tc>
      </w:tr>
      <w:tr w:rsidR="009B075E" w:rsidRPr="00EA6E63" w:rsidTr="0040541B">
        <w:trPr>
          <w:trHeight w:val="330"/>
        </w:trPr>
        <w:tc>
          <w:tcPr>
            <w:tcW w:w="2621" w:type="pct"/>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Cardiovascular system </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36.9%</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14.4%</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17.1%</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22.9%</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12.8%</w:t>
            </w:r>
          </w:p>
        </w:tc>
      </w:tr>
      <w:tr w:rsidR="009B075E" w:rsidRPr="00EA6E63" w:rsidTr="0040541B">
        <w:trPr>
          <w:trHeight w:val="330"/>
        </w:trPr>
        <w:tc>
          <w:tcPr>
            <w:tcW w:w="2621" w:type="pct"/>
            <w:tcBorders>
              <w:top w:val="single" w:sz="8" w:space="0" w:color="4F81BD"/>
              <w:bottom w:val="single" w:sz="8" w:space="0" w:color="4F81BD"/>
            </w:tcBorders>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Respiratory system </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-14.5%</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3.7%</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2.8%</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2.2%</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5.8%</w:t>
            </w:r>
          </w:p>
        </w:tc>
      </w:tr>
      <w:tr w:rsidR="009B075E" w:rsidRPr="00EA6E63" w:rsidTr="0040541B">
        <w:trPr>
          <w:trHeight w:val="330"/>
        </w:trPr>
        <w:tc>
          <w:tcPr>
            <w:tcW w:w="2621" w:type="pct"/>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Antiinfectives for systemic use </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-23.8%</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1.7%</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1.3%</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1.0%</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3.8%</w:t>
            </w:r>
          </w:p>
        </w:tc>
      </w:tr>
      <w:tr w:rsidR="009B075E" w:rsidRPr="00EA6E63" w:rsidTr="0040541B">
        <w:trPr>
          <w:trHeight w:val="330"/>
        </w:trPr>
        <w:tc>
          <w:tcPr>
            <w:tcW w:w="2621" w:type="pct"/>
            <w:tcBorders>
              <w:top w:val="single" w:sz="8" w:space="0" w:color="4F81BD"/>
              <w:bottom w:val="single" w:sz="8" w:space="0" w:color="4F81BD"/>
            </w:tcBorders>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Systemic hormonal preparations, excl. sex hormones </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3.7%</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0.4%</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1.1%</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1.1%</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1.5%</w:t>
            </w:r>
          </w:p>
        </w:tc>
      </w:tr>
      <w:tr w:rsidR="009B075E" w:rsidRPr="00EA6E63" w:rsidTr="0040541B">
        <w:trPr>
          <w:trHeight w:val="330"/>
        </w:trPr>
        <w:tc>
          <w:tcPr>
            <w:tcW w:w="2621" w:type="pct"/>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Genito urinary system and sex hormones </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-2.7%</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0.5%</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0.8%</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-0.7%</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0.9%</w:t>
            </w:r>
          </w:p>
        </w:tc>
      </w:tr>
      <w:tr w:rsidR="009B075E" w:rsidRPr="00EA6E63" w:rsidTr="0040541B">
        <w:trPr>
          <w:trHeight w:val="330"/>
        </w:trPr>
        <w:tc>
          <w:tcPr>
            <w:tcW w:w="2621" w:type="pct"/>
            <w:tcBorders>
              <w:top w:val="single" w:sz="8" w:space="0" w:color="4F81BD"/>
              <w:bottom w:val="single" w:sz="8" w:space="0" w:color="4F81BD"/>
            </w:tcBorders>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Dermatologicals </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-1.4%</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1.1%</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1.3%</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0.8%</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0.6%</w:t>
            </w:r>
          </w:p>
        </w:tc>
      </w:tr>
      <w:tr w:rsidR="009B075E" w:rsidRPr="00EA6E63" w:rsidTr="0040541B">
        <w:trPr>
          <w:trHeight w:val="330"/>
        </w:trPr>
        <w:tc>
          <w:tcPr>
            <w:tcW w:w="2621" w:type="pct"/>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Antiparasitic products, insecticides and repellents </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-1.0%</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0.0%</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0.0%</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0.0%</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0.0%</w:t>
            </w:r>
          </w:p>
        </w:tc>
      </w:tr>
      <w:tr w:rsidR="009B075E" w:rsidRPr="00EA6E63" w:rsidTr="0040541B">
        <w:trPr>
          <w:trHeight w:val="330"/>
        </w:trPr>
        <w:tc>
          <w:tcPr>
            <w:tcW w:w="2621" w:type="pct"/>
            <w:tcBorders>
              <w:top w:val="single" w:sz="8" w:space="0" w:color="4F81BD"/>
              <w:bottom w:val="single" w:sz="8" w:space="0" w:color="4F81BD"/>
            </w:tcBorders>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Alimentary tract and metabolism </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-48.1%</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12.5%</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9.7%</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7.9%</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-0.9%</w:t>
            </w:r>
          </w:p>
        </w:tc>
      </w:tr>
      <w:tr w:rsidR="009B075E" w:rsidRPr="00EA6E63" w:rsidTr="0040541B">
        <w:trPr>
          <w:trHeight w:val="330"/>
        </w:trPr>
        <w:tc>
          <w:tcPr>
            <w:tcW w:w="2621" w:type="pct"/>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Blood and blood forming organs </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16.7%</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5.4%</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4.7%</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2.6%</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-2.8%</w:t>
            </w:r>
          </w:p>
        </w:tc>
      </w:tr>
      <w:tr w:rsidR="009B075E" w:rsidRPr="00EA6E63" w:rsidTr="0040541B">
        <w:trPr>
          <w:trHeight w:val="330"/>
        </w:trPr>
        <w:tc>
          <w:tcPr>
            <w:tcW w:w="2621" w:type="pct"/>
            <w:tcBorders>
              <w:top w:val="single" w:sz="8" w:space="0" w:color="4F81BD"/>
              <w:bottom w:val="single" w:sz="8" w:space="0" w:color="4F81BD"/>
            </w:tcBorders>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Musculo-skeletal system </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-8.5%</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-2.9%</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-0.2%</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-0.3%</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-2.9%</w:t>
            </w:r>
          </w:p>
        </w:tc>
      </w:tr>
      <w:tr w:rsidR="009B075E" w:rsidRPr="00EA6E63" w:rsidTr="0040541B">
        <w:trPr>
          <w:trHeight w:val="345"/>
        </w:trPr>
        <w:tc>
          <w:tcPr>
            <w:tcW w:w="2621" w:type="pct"/>
            <w:noWrap/>
          </w:tcPr>
          <w:p w:rsidR="009B075E" w:rsidRPr="0040541B" w:rsidRDefault="009B075E" w:rsidP="0040541B">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 xml:space="preserve">Various </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-0.1%</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0.9%</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1.2%</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0.7%</w:t>
            </w:r>
          </w:p>
        </w:tc>
        <w:tc>
          <w:tcPr>
            <w:tcW w:w="476" w:type="pct"/>
            <w:noWrap/>
          </w:tcPr>
          <w:p w:rsidR="009B075E" w:rsidRPr="0040541B" w:rsidRDefault="009B075E" w:rsidP="0040541B">
            <w:pPr>
              <w:spacing w:after="0" w:line="240" w:lineRule="auto"/>
              <w:jc w:val="center"/>
              <w:rPr>
                <w:rFonts w:ascii="Arial Narrow" w:hAnsi="Arial Narrow" w:cs="Calibri"/>
                <w:color w:val="000000"/>
                <w:sz w:val="24"/>
                <w:szCs w:val="24"/>
                <w:lang w:eastAsia="en-AU"/>
              </w:rPr>
            </w:pPr>
            <w:r w:rsidRPr="0040541B">
              <w:rPr>
                <w:rFonts w:ascii="Arial Narrow" w:hAnsi="Arial Narrow" w:cs="Calibri"/>
                <w:color w:val="000000"/>
                <w:sz w:val="24"/>
                <w:szCs w:val="24"/>
                <w:lang w:eastAsia="en-AU"/>
              </w:rPr>
              <w:t>0.8%</w:t>
            </w:r>
          </w:p>
        </w:tc>
      </w:tr>
      <w:tr w:rsidR="009B075E" w:rsidRPr="00EA6E63" w:rsidTr="0040541B">
        <w:trPr>
          <w:trHeight w:val="345"/>
        </w:trPr>
        <w:tc>
          <w:tcPr>
            <w:tcW w:w="2621" w:type="pct"/>
            <w:tcBorders>
              <w:top w:val="single" w:sz="8" w:space="0" w:color="4F81BD"/>
              <w:bottom w:val="single" w:sz="8" w:space="0" w:color="4F81BD"/>
            </w:tcBorders>
            <w:noWrap/>
          </w:tcPr>
          <w:p w:rsidR="009B075E" w:rsidRPr="0040541B" w:rsidRDefault="009B075E" w:rsidP="007356D4">
            <w:pPr>
              <w:spacing w:after="0" w:line="240" w:lineRule="auto"/>
              <w:rPr>
                <w:rFonts w:ascii="Arial Narrow" w:hAnsi="Arial Narrow" w:cs="Calibri"/>
                <w:b/>
                <w:bCs/>
                <w:color w:val="000000"/>
                <w:sz w:val="24"/>
                <w:szCs w:val="24"/>
                <w:lang w:eastAsia="en-AU"/>
              </w:rPr>
            </w:pPr>
            <w:r w:rsidRPr="0040541B">
              <w:rPr>
                <w:rFonts w:ascii="Arial Narrow" w:hAnsi="Arial Narrow" w:cs="Calibri"/>
                <w:bCs/>
                <w:color w:val="000000"/>
                <w:sz w:val="24"/>
                <w:szCs w:val="24"/>
                <w:lang w:eastAsia="en-AU"/>
              </w:rPr>
              <w:t>Total</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lang w:eastAsia="en-AU"/>
              </w:rPr>
            </w:pPr>
            <w:r w:rsidRPr="0040541B">
              <w:rPr>
                <w:rFonts w:ascii="Arial Narrow" w:hAnsi="Arial Narrow" w:cs="Calibri"/>
                <w:color w:val="000000"/>
                <w:lang w:eastAsia="en-AU"/>
              </w:rPr>
              <w:t>100.0%</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lang w:eastAsia="en-AU"/>
              </w:rPr>
            </w:pPr>
            <w:r w:rsidRPr="0040541B">
              <w:rPr>
                <w:rFonts w:ascii="Arial Narrow" w:hAnsi="Arial Narrow" w:cs="Calibri"/>
                <w:color w:val="000000"/>
                <w:lang w:eastAsia="en-AU"/>
              </w:rPr>
              <w:t>100.0%</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lang w:eastAsia="en-AU"/>
              </w:rPr>
            </w:pPr>
            <w:r w:rsidRPr="0040541B">
              <w:rPr>
                <w:rFonts w:ascii="Arial Narrow" w:hAnsi="Arial Narrow" w:cs="Calibri"/>
                <w:color w:val="000000"/>
                <w:lang w:eastAsia="en-AU"/>
              </w:rPr>
              <w:t>100.0%</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lang w:eastAsia="en-AU"/>
              </w:rPr>
            </w:pPr>
            <w:r w:rsidRPr="0040541B">
              <w:rPr>
                <w:rFonts w:ascii="Arial Narrow" w:hAnsi="Arial Narrow" w:cs="Calibri"/>
                <w:color w:val="000000"/>
                <w:lang w:eastAsia="en-AU"/>
              </w:rPr>
              <w:t>100.0%</w:t>
            </w:r>
          </w:p>
        </w:tc>
        <w:tc>
          <w:tcPr>
            <w:tcW w:w="476" w:type="pct"/>
            <w:tcBorders>
              <w:top w:val="single" w:sz="8" w:space="0" w:color="4F81BD"/>
              <w:bottom w:val="single" w:sz="8" w:space="0" w:color="4F81BD"/>
            </w:tcBorders>
            <w:noWrap/>
          </w:tcPr>
          <w:p w:rsidR="009B075E" w:rsidRPr="0040541B" w:rsidRDefault="009B075E" w:rsidP="0040541B">
            <w:pPr>
              <w:spacing w:after="0" w:line="240" w:lineRule="auto"/>
              <w:jc w:val="center"/>
              <w:rPr>
                <w:rFonts w:ascii="Arial Narrow" w:hAnsi="Arial Narrow" w:cs="Calibri"/>
                <w:color w:val="000000"/>
                <w:lang w:eastAsia="en-AU"/>
              </w:rPr>
            </w:pPr>
            <w:r w:rsidRPr="0040541B">
              <w:rPr>
                <w:rFonts w:ascii="Arial Narrow" w:hAnsi="Arial Narrow" w:cs="Calibri"/>
                <w:color w:val="000000"/>
                <w:lang w:eastAsia="en-AU"/>
              </w:rPr>
              <w:t>100.0%</w:t>
            </w:r>
          </w:p>
        </w:tc>
      </w:tr>
    </w:tbl>
    <w:p w:rsidR="009B075E" w:rsidRDefault="009B075E" w:rsidP="00837E29">
      <w:pPr>
        <w:spacing w:after="0" w:line="240" w:lineRule="auto"/>
        <w:rPr>
          <w:rFonts w:ascii="Arial" w:hAnsi="Arial" w:cs="Arial"/>
          <w:b/>
        </w:rPr>
      </w:pPr>
    </w:p>
    <w:p w:rsidR="009B075E" w:rsidRDefault="009B075E" w:rsidP="00837E29">
      <w:pPr>
        <w:spacing w:after="0" w:line="240" w:lineRule="auto"/>
        <w:rPr>
          <w:rFonts w:ascii="Arial" w:hAnsi="Arial" w:cs="Arial"/>
          <w:b/>
        </w:rPr>
      </w:pPr>
    </w:p>
    <w:p w:rsidR="00235F65" w:rsidRDefault="00235F65">
      <w:pPr>
        <w:spacing w:after="0" w:line="240" w:lineRule="auto"/>
        <w:rPr>
          <w:rFonts w:ascii="Arial" w:eastAsia="Times New Roman" w:hAnsi="Arial" w:cs="Arial"/>
          <w:b/>
          <w:bCs/>
          <w:color w:val="365F91"/>
          <w:sz w:val="24"/>
          <w:szCs w:val="24"/>
        </w:rPr>
      </w:pPr>
      <w:bookmarkStart w:id="40" w:name="_Toc337033191"/>
      <w:r>
        <w:rPr>
          <w:rFonts w:ascii="Arial" w:hAnsi="Arial" w:cs="Arial"/>
          <w:sz w:val="24"/>
          <w:szCs w:val="24"/>
        </w:rPr>
        <w:br w:type="page"/>
      </w:r>
    </w:p>
    <w:p w:rsidR="009B075E" w:rsidRPr="004F3C25" w:rsidRDefault="009B075E" w:rsidP="004F3C25">
      <w:pPr>
        <w:pStyle w:val="Heading1"/>
        <w:rPr>
          <w:rFonts w:ascii="Arial" w:hAnsi="Arial" w:cs="Arial"/>
          <w:sz w:val="24"/>
          <w:szCs w:val="24"/>
        </w:rPr>
      </w:pPr>
      <w:bookmarkStart w:id="41" w:name="_Toc357174836"/>
      <w:r w:rsidRPr="004F3C25">
        <w:rPr>
          <w:rFonts w:ascii="Arial" w:hAnsi="Arial" w:cs="Arial"/>
          <w:sz w:val="24"/>
          <w:szCs w:val="24"/>
        </w:rPr>
        <w:lastRenderedPageBreak/>
        <w:t xml:space="preserve">PBS and </w:t>
      </w:r>
      <w:r>
        <w:rPr>
          <w:rFonts w:ascii="Arial" w:hAnsi="Arial" w:cs="Arial"/>
          <w:sz w:val="24"/>
          <w:szCs w:val="24"/>
        </w:rPr>
        <w:t xml:space="preserve">the </w:t>
      </w:r>
      <w:r w:rsidRPr="004F3C25">
        <w:rPr>
          <w:rFonts w:ascii="Arial" w:hAnsi="Arial" w:cs="Arial"/>
          <w:sz w:val="24"/>
          <w:szCs w:val="24"/>
        </w:rPr>
        <w:t>Australian population</w:t>
      </w:r>
      <w:bookmarkEnd w:id="40"/>
      <w:bookmarkEnd w:id="41"/>
    </w:p>
    <w:p w:rsidR="009B075E" w:rsidRPr="007356D4" w:rsidRDefault="009B075E">
      <w:pPr>
        <w:spacing w:before="120" w:after="120"/>
      </w:pPr>
      <w:r w:rsidRPr="00560E9F">
        <w:rPr>
          <w:rFonts w:ascii="Arial" w:hAnsi="Arial" w:cs="Arial"/>
        </w:rPr>
        <w:t xml:space="preserve">(reference Appendix 2: </w:t>
      </w:r>
      <w:r w:rsidR="00154097">
        <w:fldChar w:fldCharType="begin"/>
      </w:r>
      <w:r w:rsidR="00154097">
        <w:instrText xml:space="preserve"> REF _Ref318376277 \h  \* MERGEFORMAT </w:instrText>
      </w:r>
      <w:r w:rsidR="00154097">
        <w:fldChar w:fldCharType="separate"/>
      </w:r>
      <w:r w:rsidR="00584343" w:rsidRPr="00584343">
        <w:rPr>
          <w:rFonts w:ascii="Arial" w:hAnsi="Arial" w:cs="Arial"/>
        </w:rPr>
        <w:t>Table 10</w:t>
      </w:r>
      <w:r w:rsidR="00154097">
        <w:fldChar w:fldCharType="end"/>
      </w:r>
      <w:r w:rsidRPr="00560E9F">
        <w:rPr>
          <w:rFonts w:ascii="Arial" w:hAnsi="Arial" w:cs="Arial"/>
        </w:rPr>
        <w:t xml:space="preserve">, </w:t>
      </w:r>
      <w:r w:rsidR="00154097">
        <w:fldChar w:fldCharType="begin"/>
      </w:r>
      <w:r w:rsidR="00154097">
        <w:instrText xml:space="preserve"> REF _Ref318377231 \h  \* MERGEFORMAT </w:instrText>
      </w:r>
      <w:r w:rsidR="00154097">
        <w:fldChar w:fldCharType="separate"/>
      </w:r>
      <w:r w:rsidR="00584343" w:rsidRPr="00584343">
        <w:rPr>
          <w:rFonts w:ascii="Arial" w:hAnsi="Arial" w:cs="Arial"/>
        </w:rPr>
        <w:t xml:space="preserve">Table </w:t>
      </w:r>
      <w:r w:rsidR="00584343" w:rsidRPr="00584343">
        <w:rPr>
          <w:rFonts w:ascii="Arial" w:hAnsi="Arial" w:cs="Arial"/>
          <w:noProof/>
        </w:rPr>
        <w:t>11</w:t>
      </w:r>
      <w:r w:rsidR="00154097">
        <w:fldChar w:fldCharType="end"/>
      </w:r>
      <w:r w:rsidRPr="00560E9F">
        <w:rPr>
          <w:rFonts w:ascii="Arial" w:hAnsi="Arial" w:cs="Arial"/>
        </w:rPr>
        <w:t xml:space="preserve"> and</w:t>
      </w:r>
      <w:r w:rsidR="0051063F">
        <w:t xml:space="preserve"> </w:t>
      </w:r>
      <w:r w:rsidR="0051063F" w:rsidRPr="00BE3CD5">
        <w:fldChar w:fldCharType="begin"/>
      </w:r>
      <w:r w:rsidR="0051063F" w:rsidRPr="0051063F">
        <w:instrText xml:space="preserve"> REF _Ref338340301 \h </w:instrText>
      </w:r>
      <w:r w:rsidR="0051063F" w:rsidRPr="007356D4">
        <w:instrText xml:space="preserve"> \* MERGEFORMAT </w:instrText>
      </w:r>
      <w:r w:rsidR="0051063F" w:rsidRPr="00BE3CD5">
        <w:fldChar w:fldCharType="separate"/>
      </w:r>
      <w:r w:rsidR="00584343" w:rsidRPr="00584343">
        <w:rPr>
          <w:rFonts w:ascii="Arial" w:hAnsi="Arial" w:cs="Arial"/>
        </w:rPr>
        <w:t xml:space="preserve">Table </w:t>
      </w:r>
      <w:r w:rsidR="00584343" w:rsidRPr="00584343">
        <w:rPr>
          <w:rFonts w:ascii="Arial" w:hAnsi="Arial" w:cs="Arial"/>
          <w:noProof/>
        </w:rPr>
        <w:t>12</w:t>
      </w:r>
      <w:r w:rsidR="0051063F" w:rsidRPr="00BE3CD5">
        <w:fldChar w:fldCharType="end"/>
      </w:r>
      <w:r w:rsidRPr="00560E9F">
        <w:rPr>
          <w:rFonts w:ascii="Arial" w:hAnsi="Arial" w:cs="Arial"/>
        </w:rPr>
        <w:t>)</w:t>
      </w:r>
    </w:p>
    <w:p w:rsidR="0051063F" w:rsidRDefault="0051063F" w:rsidP="00C02B50">
      <w:pPr>
        <w:rPr>
          <w:rFonts w:ascii="Arial" w:hAnsi="Arial" w:cs="Arial"/>
          <w:b/>
        </w:rPr>
      </w:pPr>
    </w:p>
    <w:p w:rsidR="009B075E" w:rsidRDefault="009B075E" w:rsidP="00C02B50">
      <w:pPr>
        <w:rPr>
          <w:rFonts w:ascii="Arial" w:hAnsi="Arial" w:cs="Arial"/>
          <w:b/>
        </w:rPr>
      </w:pPr>
      <w:r w:rsidRPr="0020480C">
        <w:rPr>
          <w:rFonts w:ascii="Arial" w:hAnsi="Arial" w:cs="Arial"/>
          <w:b/>
        </w:rPr>
        <w:t xml:space="preserve">Trends in population by age </w:t>
      </w:r>
    </w:p>
    <w:p w:rsidR="009B075E" w:rsidRPr="0020480C" w:rsidRDefault="009B075E" w:rsidP="00C02B50">
      <w:pPr>
        <w:rPr>
          <w:rFonts w:ascii="Arial" w:hAnsi="Arial" w:cs="Arial"/>
          <w:b/>
        </w:rPr>
      </w:pPr>
      <w:r>
        <w:rPr>
          <w:rFonts w:ascii="Arial" w:hAnsi="Arial" w:cs="Arial"/>
        </w:rPr>
        <w:t xml:space="preserve">To contextualise some of the findings contained in this report, the DWG analysed trends in </w:t>
      </w:r>
      <w:r w:rsidR="000625A2">
        <w:rPr>
          <w:rFonts w:ascii="Arial" w:hAnsi="Arial" w:cs="Arial"/>
        </w:rPr>
        <w:t xml:space="preserve">the </w:t>
      </w:r>
      <w:r>
        <w:rPr>
          <w:rFonts w:ascii="Arial" w:hAnsi="Arial" w:cs="Arial"/>
        </w:rPr>
        <w:t xml:space="preserve">Australian population as a whole and the patient population within it.  </w:t>
      </w:r>
      <w:r w:rsidR="00855AAF">
        <w:rPr>
          <w:rFonts w:ascii="Arial" w:hAnsi="Arial" w:cs="Arial"/>
        </w:rPr>
        <w:fldChar w:fldCharType="begin"/>
      </w:r>
      <w:r>
        <w:rPr>
          <w:rFonts w:ascii="Arial" w:hAnsi="Arial" w:cs="Arial"/>
        </w:rPr>
        <w:instrText xml:space="preserve"> REF _Ref315954777 \h </w:instrText>
      </w:r>
      <w:r w:rsidR="00855AAF">
        <w:rPr>
          <w:rFonts w:ascii="Arial" w:hAnsi="Arial" w:cs="Arial"/>
        </w:rPr>
      </w:r>
      <w:r w:rsidR="00855AAF">
        <w:rPr>
          <w:rFonts w:ascii="Arial" w:hAnsi="Arial" w:cs="Arial"/>
        </w:rPr>
        <w:fldChar w:fldCharType="separate"/>
      </w:r>
      <w:r w:rsidR="00584343" w:rsidRPr="00DC51D5">
        <w:rPr>
          <w:rFonts w:ascii="Arial" w:hAnsi="Arial" w:cs="Arial"/>
        </w:rPr>
        <w:t xml:space="preserve">Figure </w:t>
      </w:r>
      <w:r w:rsidR="00584343">
        <w:rPr>
          <w:rFonts w:ascii="Arial" w:hAnsi="Arial" w:cs="Arial"/>
          <w:noProof/>
        </w:rPr>
        <w:t>7</w:t>
      </w:r>
      <w:r w:rsidR="00855AAF">
        <w:rPr>
          <w:rFonts w:ascii="Arial" w:hAnsi="Arial" w:cs="Arial"/>
        </w:rPr>
        <w:fldChar w:fldCharType="end"/>
      </w:r>
      <w:r>
        <w:rPr>
          <w:rFonts w:ascii="Arial" w:hAnsi="Arial" w:cs="Arial"/>
        </w:rPr>
        <w:t xml:space="preserve"> shows the variation in population composition by age groups in the decade to 2011.   The analysis shows the trends in ageing; the proportion of the Australian population aged 55 years and over is steadily rising. This is consistent with the demographic changes in other similar OECD countries.  It is noteworthy that since 2001, the estimated Australian resident population has grown by an average 2% per annum or 3.2 million persons.  In subsequent reports, the DWG will continue to analyse the trends in estimated Australian resident population to discern changes in the composition of Australian population over time.  </w:t>
      </w:r>
    </w:p>
    <w:tbl>
      <w:tblPr>
        <w:tblW w:w="5000" w:type="pct"/>
        <w:jc w:val="center"/>
        <w:tblLook w:val="0000" w:firstRow="0" w:lastRow="0" w:firstColumn="0" w:lastColumn="0" w:noHBand="0" w:noVBand="0"/>
        <w:tblCaption w:val="Figure 7"/>
        <w:tblDescription w:val="Australian population by age groups - 2001 vs. 2011 "/>
      </w:tblPr>
      <w:tblGrid>
        <w:gridCol w:w="9242"/>
      </w:tblGrid>
      <w:tr w:rsidR="009B075E" w:rsidRPr="00B71C21" w:rsidTr="004F3C25">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9B075E" w:rsidRPr="00DC51D5" w:rsidRDefault="009B075E" w:rsidP="00C02B50">
            <w:pPr>
              <w:pStyle w:val="Caption"/>
              <w:keepNext w:val="0"/>
              <w:rPr>
                <w:rFonts w:ascii="Arial" w:hAnsi="Arial" w:cs="Arial"/>
                <w:sz w:val="22"/>
                <w:szCs w:val="22"/>
              </w:rPr>
            </w:pPr>
            <w:bookmarkStart w:id="42" w:name="_Ref315954777"/>
            <w:r w:rsidRPr="00DC51D5">
              <w:rPr>
                <w:rFonts w:ascii="Arial" w:hAnsi="Arial" w:cs="Arial"/>
                <w:sz w:val="22"/>
                <w:szCs w:val="22"/>
              </w:rPr>
              <w:t xml:space="preserve">Figure </w:t>
            </w:r>
            <w:r w:rsidR="00855AAF" w:rsidRPr="00DC51D5">
              <w:rPr>
                <w:rFonts w:ascii="Arial" w:hAnsi="Arial" w:cs="Arial"/>
                <w:sz w:val="22"/>
                <w:szCs w:val="22"/>
              </w:rPr>
              <w:fldChar w:fldCharType="begin"/>
            </w:r>
            <w:r w:rsidRPr="00DC51D5">
              <w:rPr>
                <w:rFonts w:ascii="Arial" w:hAnsi="Arial" w:cs="Arial"/>
                <w:sz w:val="22"/>
                <w:szCs w:val="22"/>
              </w:rPr>
              <w:instrText xml:space="preserve"> SEQ Figure \* ARABIC </w:instrText>
            </w:r>
            <w:r w:rsidR="00855AAF" w:rsidRPr="00DC51D5">
              <w:rPr>
                <w:rFonts w:ascii="Arial" w:hAnsi="Arial" w:cs="Arial"/>
                <w:sz w:val="22"/>
                <w:szCs w:val="22"/>
              </w:rPr>
              <w:fldChar w:fldCharType="separate"/>
            </w:r>
            <w:r w:rsidR="00584343">
              <w:rPr>
                <w:rFonts w:ascii="Arial" w:hAnsi="Arial" w:cs="Arial"/>
                <w:noProof/>
                <w:sz w:val="22"/>
                <w:szCs w:val="22"/>
              </w:rPr>
              <w:t>7</w:t>
            </w:r>
            <w:r w:rsidR="00855AAF" w:rsidRPr="00DC51D5">
              <w:rPr>
                <w:rFonts w:ascii="Arial" w:hAnsi="Arial" w:cs="Arial"/>
                <w:sz w:val="22"/>
                <w:szCs w:val="22"/>
              </w:rPr>
              <w:fldChar w:fldCharType="end"/>
            </w:r>
            <w:bookmarkEnd w:id="42"/>
            <w:r w:rsidRPr="00DC51D5">
              <w:rPr>
                <w:rFonts w:ascii="Arial" w:hAnsi="Arial" w:cs="Arial"/>
                <w:sz w:val="22"/>
                <w:szCs w:val="22"/>
              </w:rPr>
              <w:t xml:space="preserve">: </w:t>
            </w:r>
            <w:r>
              <w:rPr>
                <w:rFonts w:ascii="Arial" w:hAnsi="Arial" w:cs="Arial"/>
                <w:sz w:val="22"/>
                <w:szCs w:val="22"/>
              </w:rPr>
              <w:t>Australian population by age groups - 2001 vs. 2011</w:t>
            </w:r>
          </w:p>
        </w:tc>
      </w:tr>
      <w:tr w:rsidR="009B075E" w:rsidRPr="00B71C21" w:rsidTr="004F3C25">
        <w:trPr>
          <w:trHeight w:val="4088"/>
          <w:jc w:val="center"/>
        </w:trPr>
        <w:tc>
          <w:tcPr>
            <w:tcW w:w="5000" w:type="pct"/>
            <w:tcBorders>
              <w:top w:val="single" w:sz="4" w:space="0" w:color="auto"/>
              <w:left w:val="single" w:sz="4" w:space="0" w:color="auto"/>
              <w:bottom w:val="single" w:sz="4" w:space="0" w:color="auto"/>
              <w:right w:val="single" w:sz="4" w:space="0" w:color="auto"/>
            </w:tcBorders>
            <w:vAlign w:val="center"/>
          </w:tcPr>
          <w:p w:rsidR="009B075E" w:rsidRPr="00B71C21" w:rsidRDefault="005E0A95" w:rsidP="00C02B50">
            <w:pPr>
              <w:tabs>
                <w:tab w:val="left" w:pos="4708"/>
              </w:tabs>
              <w:jc w:val="center"/>
              <w:rPr>
                <w:rFonts w:ascii="Arial" w:hAnsi="Arial" w:cs="Arial"/>
                <w:b/>
                <w:bCs/>
              </w:rPr>
            </w:pPr>
            <w:r>
              <w:rPr>
                <w:rFonts w:ascii="Arial" w:hAnsi="Arial" w:cs="Arial"/>
                <w:b/>
                <w:noProof/>
                <w:lang w:eastAsia="en-AU"/>
              </w:rPr>
              <w:drawing>
                <wp:inline distT="0" distB="0" distL="0" distR="0" wp14:anchorId="7B1965C7" wp14:editId="18627E2E">
                  <wp:extent cx="5313680" cy="2795270"/>
                  <wp:effectExtent l="0" t="0" r="1270" b="5080"/>
                  <wp:docPr id="6" name="Picture 6" descr="Australian population by age groups - 2001 vs. 2011 " title="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srcRect t="11215" b="7115"/>
                          <a:stretch>
                            <a:fillRect/>
                          </a:stretch>
                        </pic:blipFill>
                        <pic:spPr bwMode="auto">
                          <a:xfrm>
                            <a:off x="0" y="0"/>
                            <a:ext cx="5313680" cy="2795270"/>
                          </a:xfrm>
                          <a:prstGeom prst="rect">
                            <a:avLst/>
                          </a:prstGeom>
                          <a:noFill/>
                          <a:ln w="9525">
                            <a:noFill/>
                            <a:miter lim="800000"/>
                            <a:headEnd/>
                            <a:tailEnd/>
                          </a:ln>
                        </pic:spPr>
                      </pic:pic>
                    </a:graphicData>
                  </a:graphic>
                </wp:inline>
              </w:drawing>
            </w:r>
          </w:p>
        </w:tc>
      </w:tr>
    </w:tbl>
    <w:p w:rsidR="009B075E" w:rsidRPr="00DD2926" w:rsidRDefault="009B075E" w:rsidP="00C02B50">
      <w:pPr>
        <w:rPr>
          <w:rFonts w:ascii="Arial Narrow" w:hAnsi="Arial Narrow" w:cs="Arial"/>
          <w:sz w:val="16"/>
          <w:szCs w:val="16"/>
        </w:rPr>
      </w:pPr>
      <w:r w:rsidRPr="00DD2926">
        <w:rPr>
          <w:rFonts w:ascii="Arial Narrow" w:hAnsi="Arial Narrow" w:cs="Arial"/>
          <w:sz w:val="16"/>
          <w:szCs w:val="16"/>
        </w:rPr>
        <w:t xml:space="preserve">Source: </w:t>
      </w:r>
      <w:r>
        <w:rPr>
          <w:rFonts w:ascii="Arial Narrow" w:hAnsi="Arial Narrow" w:cs="Arial"/>
          <w:sz w:val="16"/>
          <w:szCs w:val="16"/>
        </w:rPr>
        <w:t>ABS, Catalogue number 3101 corresponding years</w:t>
      </w:r>
    </w:p>
    <w:p w:rsidR="009B075E" w:rsidRDefault="009B075E">
      <w:pPr>
        <w:spacing w:after="0" w:line="240" w:lineRule="auto"/>
        <w:rPr>
          <w:rFonts w:ascii="Arial" w:hAnsi="Arial" w:cs="Arial"/>
          <w:b/>
        </w:rPr>
      </w:pPr>
    </w:p>
    <w:p w:rsidR="009B075E" w:rsidRDefault="009B075E">
      <w:pPr>
        <w:spacing w:after="0" w:line="240" w:lineRule="auto"/>
        <w:rPr>
          <w:rFonts w:ascii="Arial" w:hAnsi="Arial" w:cs="Arial"/>
          <w:b/>
        </w:rPr>
      </w:pPr>
      <w:r>
        <w:rPr>
          <w:rFonts w:ascii="Arial" w:hAnsi="Arial" w:cs="Arial"/>
          <w:b/>
        </w:rPr>
        <w:br w:type="page"/>
      </w:r>
    </w:p>
    <w:p w:rsidR="009B075E" w:rsidRPr="0006119A" w:rsidRDefault="009B075E" w:rsidP="00C02B50">
      <w:pPr>
        <w:rPr>
          <w:rFonts w:ascii="Arial" w:hAnsi="Arial" w:cs="Arial"/>
          <w:b/>
        </w:rPr>
      </w:pPr>
      <w:r w:rsidRPr="0006119A">
        <w:rPr>
          <w:rFonts w:ascii="Arial" w:hAnsi="Arial" w:cs="Arial"/>
          <w:b/>
        </w:rPr>
        <w:lastRenderedPageBreak/>
        <w:t>Patient population</w:t>
      </w:r>
    </w:p>
    <w:p w:rsidR="009B075E" w:rsidRDefault="009B075E" w:rsidP="00C02B50">
      <w:pPr>
        <w:rPr>
          <w:rFonts w:ascii="Arial" w:hAnsi="Arial" w:cs="Arial"/>
        </w:rPr>
      </w:pPr>
      <w:r w:rsidRPr="00DE5860">
        <w:rPr>
          <w:rFonts w:ascii="Arial" w:hAnsi="Arial" w:cs="Arial"/>
        </w:rPr>
        <w:t>In the year to June 2011, there were 9.2</w:t>
      </w:r>
      <w:r>
        <w:rPr>
          <w:rFonts w:ascii="Arial" w:hAnsi="Arial" w:cs="Arial"/>
        </w:rPr>
        <w:t>7</w:t>
      </w:r>
      <w:r w:rsidRPr="00DE5860">
        <w:rPr>
          <w:rFonts w:ascii="Arial" w:hAnsi="Arial" w:cs="Arial"/>
        </w:rPr>
        <w:t xml:space="preserve"> million patients</w:t>
      </w:r>
      <w:r>
        <w:rPr>
          <w:rStyle w:val="FootnoteReference"/>
          <w:rFonts w:ascii="Arial" w:hAnsi="Arial" w:cs="Arial"/>
        </w:rPr>
        <w:footnoteReference w:id="25"/>
      </w:r>
      <w:r>
        <w:rPr>
          <w:rFonts w:ascii="Arial" w:hAnsi="Arial" w:cs="Arial"/>
        </w:rPr>
        <w:t xml:space="preserve"> in Australia.  This is just over two-fifth (41%) of the estimated resident population of Australia in 2010-11.  As shown in </w:t>
      </w:r>
      <w:r w:rsidR="00855AAF">
        <w:rPr>
          <w:rFonts w:ascii="Arial" w:hAnsi="Arial" w:cs="Arial"/>
        </w:rPr>
        <w:fldChar w:fldCharType="begin"/>
      </w:r>
      <w:r>
        <w:rPr>
          <w:rFonts w:ascii="Arial" w:hAnsi="Arial" w:cs="Arial"/>
        </w:rPr>
        <w:instrText xml:space="preserve"> REF _Ref315956261 \h </w:instrText>
      </w:r>
      <w:r w:rsidR="00855AAF">
        <w:rPr>
          <w:rFonts w:ascii="Arial" w:hAnsi="Arial" w:cs="Arial"/>
        </w:rPr>
      </w:r>
      <w:r w:rsidR="00855AAF">
        <w:rPr>
          <w:rFonts w:ascii="Arial" w:hAnsi="Arial" w:cs="Arial"/>
        </w:rPr>
        <w:fldChar w:fldCharType="separate"/>
      </w:r>
      <w:r w:rsidR="00584343" w:rsidRPr="00DC51D5">
        <w:rPr>
          <w:rFonts w:ascii="Arial" w:hAnsi="Arial" w:cs="Arial"/>
        </w:rPr>
        <w:t xml:space="preserve">Figure </w:t>
      </w:r>
      <w:r w:rsidR="00584343">
        <w:rPr>
          <w:rFonts w:ascii="Arial" w:hAnsi="Arial" w:cs="Arial"/>
          <w:noProof/>
        </w:rPr>
        <w:t>8</w:t>
      </w:r>
      <w:r w:rsidR="00855AAF">
        <w:rPr>
          <w:rFonts w:ascii="Arial" w:hAnsi="Arial" w:cs="Arial"/>
        </w:rPr>
        <w:fldChar w:fldCharType="end"/>
      </w:r>
      <w:r>
        <w:rPr>
          <w:rFonts w:ascii="Arial" w:hAnsi="Arial" w:cs="Arial"/>
        </w:rPr>
        <w:t xml:space="preserve">, since 2006, the patient population as proportion of the overall population has remained relatively unchanged.  This suggests that the increase in patient population has kept pace with the increase in population.  </w:t>
      </w:r>
    </w:p>
    <w:tbl>
      <w:tblPr>
        <w:tblW w:w="0" w:type="auto"/>
        <w:jc w:val="center"/>
        <w:tblInd w:w="304" w:type="dxa"/>
        <w:tblLook w:val="0000" w:firstRow="0" w:lastRow="0" w:firstColumn="0" w:lastColumn="0" w:noHBand="0" w:noVBand="0"/>
      </w:tblPr>
      <w:tblGrid>
        <w:gridCol w:w="8938"/>
      </w:tblGrid>
      <w:tr w:rsidR="009B075E" w:rsidRPr="00B71C21" w:rsidTr="00C02B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DC51D5" w:rsidRDefault="009B075E" w:rsidP="00C02B50">
            <w:pPr>
              <w:pStyle w:val="Caption"/>
              <w:keepNext w:val="0"/>
              <w:rPr>
                <w:rFonts w:ascii="Arial" w:hAnsi="Arial" w:cs="Arial"/>
                <w:sz w:val="22"/>
                <w:szCs w:val="22"/>
              </w:rPr>
            </w:pPr>
            <w:bookmarkStart w:id="43" w:name="_Ref315956261"/>
            <w:r w:rsidRPr="00DC51D5">
              <w:rPr>
                <w:rFonts w:ascii="Arial" w:hAnsi="Arial" w:cs="Arial"/>
                <w:sz w:val="22"/>
                <w:szCs w:val="22"/>
              </w:rPr>
              <w:t xml:space="preserve">Figure </w:t>
            </w:r>
            <w:r w:rsidR="00855AAF" w:rsidRPr="00DC51D5">
              <w:rPr>
                <w:rFonts w:ascii="Arial" w:hAnsi="Arial" w:cs="Arial"/>
                <w:sz w:val="22"/>
                <w:szCs w:val="22"/>
              </w:rPr>
              <w:fldChar w:fldCharType="begin"/>
            </w:r>
            <w:r w:rsidRPr="00DC51D5">
              <w:rPr>
                <w:rFonts w:ascii="Arial" w:hAnsi="Arial" w:cs="Arial"/>
                <w:sz w:val="22"/>
                <w:szCs w:val="22"/>
              </w:rPr>
              <w:instrText xml:space="preserve"> SEQ Figure \* ARABIC </w:instrText>
            </w:r>
            <w:r w:rsidR="00855AAF" w:rsidRPr="00DC51D5">
              <w:rPr>
                <w:rFonts w:ascii="Arial" w:hAnsi="Arial" w:cs="Arial"/>
                <w:sz w:val="22"/>
                <w:szCs w:val="22"/>
              </w:rPr>
              <w:fldChar w:fldCharType="separate"/>
            </w:r>
            <w:r w:rsidR="00584343">
              <w:rPr>
                <w:rFonts w:ascii="Arial" w:hAnsi="Arial" w:cs="Arial"/>
                <w:noProof/>
                <w:sz w:val="22"/>
                <w:szCs w:val="22"/>
              </w:rPr>
              <w:t>8</w:t>
            </w:r>
            <w:r w:rsidR="00855AAF" w:rsidRPr="00DC51D5">
              <w:rPr>
                <w:rFonts w:ascii="Arial" w:hAnsi="Arial" w:cs="Arial"/>
                <w:sz w:val="22"/>
                <w:szCs w:val="22"/>
              </w:rPr>
              <w:fldChar w:fldCharType="end"/>
            </w:r>
            <w:bookmarkEnd w:id="43"/>
            <w:r w:rsidRPr="00DC51D5">
              <w:rPr>
                <w:rFonts w:ascii="Arial" w:hAnsi="Arial" w:cs="Arial"/>
                <w:sz w:val="22"/>
                <w:szCs w:val="22"/>
              </w:rPr>
              <w:t xml:space="preserve">: </w:t>
            </w:r>
            <w:r>
              <w:rPr>
                <w:rFonts w:ascii="Arial" w:hAnsi="Arial" w:cs="Arial"/>
                <w:sz w:val="22"/>
                <w:szCs w:val="22"/>
              </w:rPr>
              <w:t>Patient population as a proportion of Australian population</w:t>
            </w:r>
          </w:p>
        </w:tc>
      </w:tr>
      <w:tr w:rsidR="009B075E" w:rsidRPr="00B71C21" w:rsidTr="00C02B50">
        <w:trPr>
          <w:trHeight w:val="3737"/>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B71C21" w:rsidRDefault="005E0A95" w:rsidP="00C02B50">
            <w:pPr>
              <w:tabs>
                <w:tab w:val="left" w:pos="4708"/>
              </w:tabs>
              <w:jc w:val="center"/>
              <w:rPr>
                <w:rFonts w:ascii="Arial" w:hAnsi="Arial" w:cs="Arial"/>
                <w:b/>
                <w:bCs/>
              </w:rPr>
            </w:pPr>
            <w:r>
              <w:rPr>
                <w:rFonts w:ascii="Arial" w:hAnsi="Arial" w:cs="Arial"/>
                <w:b/>
                <w:noProof/>
                <w:lang w:eastAsia="en-AU"/>
              </w:rPr>
              <w:drawing>
                <wp:inline distT="0" distB="0" distL="0" distR="0" wp14:anchorId="4FDD7C05" wp14:editId="7EEBADF8">
                  <wp:extent cx="5546725" cy="2277110"/>
                  <wp:effectExtent l="0" t="0" r="0" b="8890"/>
                  <wp:docPr id="7" name="Picture 7" descr="Patient population as a proportion of Australian population" title="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t="21075" b="14908"/>
                          <a:stretch>
                            <a:fillRect/>
                          </a:stretch>
                        </pic:blipFill>
                        <pic:spPr bwMode="auto">
                          <a:xfrm>
                            <a:off x="0" y="0"/>
                            <a:ext cx="5546725" cy="2277110"/>
                          </a:xfrm>
                          <a:prstGeom prst="rect">
                            <a:avLst/>
                          </a:prstGeom>
                          <a:noFill/>
                          <a:ln w="9525">
                            <a:noFill/>
                            <a:miter lim="800000"/>
                            <a:headEnd/>
                            <a:tailEnd/>
                          </a:ln>
                        </pic:spPr>
                      </pic:pic>
                    </a:graphicData>
                  </a:graphic>
                </wp:inline>
              </w:drawing>
            </w:r>
          </w:p>
        </w:tc>
      </w:tr>
    </w:tbl>
    <w:p w:rsidR="009B075E" w:rsidRDefault="009B075E" w:rsidP="004276AA">
      <w:pPr>
        <w:spacing w:before="120" w:after="120"/>
        <w:rPr>
          <w:rFonts w:ascii="Arial" w:hAnsi="Arial" w:cs="Arial"/>
        </w:rPr>
      </w:pPr>
      <w:r>
        <w:rPr>
          <w:rFonts w:ascii="Arial" w:hAnsi="Arial" w:cs="Arial"/>
        </w:rPr>
        <w:t xml:space="preserve">In line with the changes in the demography of the Australian population in general there are subtle changes in the composition of the Australian PBS patient population. As shown in </w:t>
      </w:r>
      <w:r w:rsidR="00855AAF">
        <w:rPr>
          <w:rFonts w:ascii="Arial" w:hAnsi="Arial" w:cs="Arial"/>
        </w:rPr>
        <w:fldChar w:fldCharType="begin"/>
      </w:r>
      <w:r>
        <w:rPr>
          <w:rFonts w:ascii="Arial" w:hAnsi="Arial" w:cs="Arial"/>
        </w:rPr>
        <w:instrText xml:space="preserve"> REF _Ref315957764 \h </w:instrText>
      </w:r>
      <w:r w:rsidR="00855AAF">
        <w:rPr>
          <w:rFonts w:ascii="Arial" w:hAnsi="Arial" w:cs="Arial"/>
        </w:rPr>
      </w:r>
      <w:r w:rsidR="00855AAF">
        <w:rPr>
          <w:rFonts w:ascii="Arial" w:hAnsi="Arial" w:cs="Arial"/>
        </w:rPr>
        <w:fldChar w:fldCharType="separate"/>
      </w:r>
      <w:r w:rsidR="00584343" w:rsidRPr="00DC51D5">
        <w:rPr>
          <w:rFonts w:ascii="Arial" w:hAnsi="Arial" w:cs="Arial"/>
        </w:rPr>
        <w:t xml:space="preserve">Figure </w:t>
      </w:r>
      <w:r w:rsidR="00584343">
        <w:rPr>
          <w:rFonts w:ascii="Arial" w:hAnsi="Arial" w:cs="Arial"/>
          <w:noProof/>
        </w:rPr>
        <w:t>9</w:t>
      </w:r>
      <w:r w:rsidR="00855AAF">
        <w:rPr>
          <w:rFonts w:ascii="Arial" w:hAnsi="Arial" w:cs="Arial"/>
        </w:rPr>
        <w:fldChar w:fldCharType="end"/>
      </w:r>
      <w:r>
        <w:rPr>
          <w:rFonts w:ascii="Arial" w:hAnsi="Arial" w:cs="Arial"/>
        </w:rPr>
        <w:t xml:space="preserve">, since 2006, the proportion of patients aged 65 and over has increased while that of patients in younger age groups (below 65 years) has remained steady or has declined marginally.  </w:t>
      </w:r>
    </w:p>
    <w:tbl>
      <w:tblPr>
        <w:tblW w:w="0" w:type="auto"/>
        <w:jc w:val="center"/>
        <w:tblInd w:w="304" w:type="dxa"/>
        <w:tblLook w:val="0000" w:firstRow="0" w:lastRow="0" w:firstColumn="0" w:lastColumn="0" w:noHBand="0" w:noVBand="0"/>
      </w:tblPr>
      <w:tblGrid>
        <w:gridCol w:w="8802"/>
      </w:tblGrid>
      <w:tr w:rsidR="009B075E" w:rsidRPr="00B71C21" w:rsidTr="00C02B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DC51D5" w:rsidRDefault="009B075E" w:rsidP="00C02B50">
            <w:pPr>
              <w:pStyle w:val="Caption"/>
              <w:keepNext w:val="0"/>
              <w:rPr>
                <w:rFonts w:ascii="Arial" w:hAnsi="Arial" w:cs="Arial"/>
                <w:sz w:val="22"/>
                <w:szCs w:val="22"/>
              </w:rPr>
            </w:pPr>
            <w:bookmarkStart w:id="44" w:name="_Ref315957764"/>
            <w:r w:rsidRPr="00DC51D5">
              <w:rPr>
                <w:rFonts w:ascii="Arial" w:hAnsi="Arial" w:cs="Arial"/>
                <w:sz w:val="22"/>
                <w:szCs w:val="22"/>
              </w:rPr>
              <w:t xml:space="preserve">Figure </w:t>
            </w:r>
            <w:r w:rsidR="00855AAF" w:rsidRPr="00DC51D5">
              <w:rPr>
                <w:rFonts w:ascii="Arial" w:hAnsi="Arial" w:cs="Arial"/>
                <w:sz w:val="22"/>
                <w:szCs w:val="22"/>
              </w:rPr>
              <w:fldChar w:fldCharType="begin"/>
            </w:r>
            <w:r w:rsidRPr="00DC51D5">
              <w:rPr>
                <w:rFonts w:ascii="Arial" w:hAnsi="Arial" w:cs="Arial"/>
                <w:sz w:val="22"/>
                <w:szCs w:val="22"/>
              </w:rPr>
              <w:instrText xml:space="preserve"> SEQ Figure \* ARABIC </w:instrText>
            </w:r>
            <w:r w:rsidR="00855AAF" w:rsidRPr="00DC51D5">
              <w:rPr>
                <w:rFonts w:ascii="Arial" w:hAnsi="Arial" w:cs="Arial"/>
                <w:sz w:val="22"/>
                <w:szCs w:val="22"/>
              </w:rPr>
              <w:fldChar w:fldCharType="separate"/>
            </w:r>
            <w:r w:rsidR="00584343">
              <w:rPr>
                <w:rFonts w:ascii="Arial" w:hAnsi="Arial" w:cs="Arial"/>
                <w:noProof/>
                <w:sz w:val="22"/>
                <w:szCs w:val="22"/>
              </w:rPr>
              <w:t>9</w:t>
            </w:r>
            <w:r w:rsidR="00855AAF" w:rsidRPr="00DC51D5">
              <w:rPr>
                <w:rFonts w:ascii="Arial" w:hAnsi="Arial" w:cs="Arial"/>
                <w:sz w:val="22"/>
                <w:szCs w:val="22"/>
              </w:rPr>
              <w:fldChar w:fldCharType="end"/>
            </w:r>
            <w:bookmarkEnd w:id="44"/>
            <w:r w:rsidRPr="00DC51D5">
              <w:rPr>
                <w:rFonts w:ascii="Arial" w:hAnsi="Arial" w:cs="Arial"/>
                <w:sz w:val="22"/>
                <w:szCs w:val="22"/>
              </w:rPr>
              <w:t xml:space="preserve">: </w:t>
            </w:r>
            <w:r>
              <w:rPr>
                <w:rFonts w:ascii="Arial" w:hAnsi="Arial" w:cs="Arial"/>
                <w:sz w:val="22"/>
                <w:szCs w:val="22"/>
              </w:rPr>
              <w:t>Patient population, by age groups</w:t>
            </w:r>
          </w:p>
        </w:tc>
      </w:tr>
      <w:tr w:rsidR="009B075E" w:rsidRPr="00B71C21" w:rsidTr="00C02B50">
        <w:trPr>
          <w:trHeight w:val="4510"/>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B71C21" w:rsidRDefault="005E0A95" w:rsidP="00C02B50">
            <w:pPr>
              <w:tabs>
                <w:tab w:val="left" w:pos="4708"/>
              </w:tabs>
              <w:jc w:val="center"/>
              <w:rPr>
                <w:rFonts w:ascii="Arial" w:hAnsi="Arial" w:cs="Arial"/>
                <w:b/>
                <w:bCs/>
              </w:rPr>
            </w:pPr>
            <w:r>
              <w:rPr>
                <w:rFonts w:ascii="Arial" w:hAnsi="Arial" w:cs="Arial"/>
                <w:b/>
                <w:noProof/>
                <w:lang w:eastAsia="en-AU"/>
              </w:rPr>
              <w:drawing>
                <wp:inline distT="0" distB="0" distL="0" distR="0" wp14:anchorId="327E0159" wp14:editId="27068FB8">
                  <wp:extent cx="5452110" cy="2933065"/>
                  <wp:effectExtent l="0" t="0" r="0" b="635"/>
                  <wp:docPr id="8" name="Picture 8" descr="Patient population, by age groups" title="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t="7278" r="3481" b="8945"/>
                          <a:stretch>
                            <a:fillRect/>
                          </a:stretch>
                        </pic:blipFill>
                        <pic:spPr bwMode="auto">
                          <a:xfrm>
                            <a:off x="0" y="0"/>
                            <a:ext cx="5452110" cy="2933065"/>
                          </a:xfrm>
                          <a:prstGeom prst="rect">
                            <a:avLst/>
                          </a:prstGeom>
                          <a:noFill/>
                          <a:ln w="9525">
                            <a:noFill/>
                            <a:miter lim="800000"/>
                            <a:headEnd/>
                            <a:tailEnd/>
                          </a:ln>
                        </pic:spPr>
                      </pic:pic>
                    </a:graphicData>
                  </a:graphic>
                </wp:inline>
              </w:drawing>
            </w:r>
          </w:p>
        </w:tc>
      </w:tr>
    </w:tbl>
    <w:p w:rsidR="009B075E" w:rsidRPr="00DC3777" w:rsidRDefault="009B075E" w:rsidP="002D49AD">
      <w:pPr>
        <w:pStyle w:val="Heading1"/>
        <w:rPr>
          <w:rFonts w:ascii="Arial" w:hAnsi="Arial" w:cs="Arial"/>
          <w:color w:val="1F497D"/>
          <w:sz w:val="22"/>
          <w:szCs w:val="22"/>
        </w:rPr>
      </w:pPr>
      <w:bookmarkStart w:id="45" w:name="_Toc337033192"/>
      <w:bookmarkStart w:id="46" w:name="_Toc357174837"/>
      <w:r w:rsidRPr="00DC3777">
        <w:rPr>
          <w:rFonts w:ascii="Arial" w:hAnsi="Arial" w:cs="Arial"/>
          <w:sz w:val="24"/>
          <w:szCs w:val="24"/>
        </w:rPr>
        <w:lastRenderedPageBreak/>
        <w:t>Trends in PBS expenditure by age group</w:t>
      </w:r>
      <w:r w:rsidRPr="00DC3777">
        <w:rPr>
          <w:rFonts w:ascii="Arial" w:hAnsi="Arial" w:cs="Arial"/>
          <w:color w:val="1F497D"/>
          <w:sz w:val="22"/>
          <w:szCs w:val="22"/>
        </w:rPr>
        <w:t xml:space="preserve"> (2006-2011)</w:t>
      </w:r>
      <w:bookmarkEnd w:id="45"/>
      <w:bookmarkEnd w:id="46"/>
    </w:p>
    <w:p w:rsidR="009B075E" w:rsidRPr="00D90D8D" w:rsidRDefault="009B075E" w:rsidP="00326955">
      <w:pPr>
        <w:spacing w:before="120" w:after="120"/>
        <w:rPr>
          <w:rFonts w:ascii="Arial" w:hAnsi="Arial" w:cs="Arial"/>
        </w:rPr>
      </w:pPr>
      <w:r w:rsidRPr="00D90D8D">
        <w:rPr>
          <w:rFonts w:ascii="Arial" w:hAnsi="Arial" w:cs="Arial"/>
        </w:rPr>
        <w:t>(reference Appendix 2:</w:t>
      </w:r>
      <w:r w:rsidRPr="00560E9F">
        <w:rPr>
          <w:rFonts w:ascii="Arial" w:hAnsi="Arial" w:cs="Arial"/>
        </w:rPr>
        <w:t xml:space="preserve"> </w:t>
      </w:r>
      <w:r w:rsidR="00154097">
        <w:fldChar w:fldCharType="begin"/>
      </w:r>
      <w:r w:rsidR="00154097">
        <w:instrText xml:space="preserve"> REF _Ref318377584 \h  \* MERGEFORMAT </w:instrText>
      </w:r>
      <w:r w:rsidR="00154097">
        <w:fldChar w:fldCharType="separate"/>
      </w:r>
      <w:r w:rsidR="00584343" w:rsidRPr="00584343">
        <w:rPr>
          <w:rFonts w:ascii="Arial" w:hAnsi="Arial" w:cs="Arial"/>
        </w:rPr>
        <w:t xml:space="preserve">Table </w:t>
      </w:r>
      <w:r w:rsidR="00584343" w:rsidRPr="00584343">
        <w:rPr>
          <w:rFonts w:ascii="Arial" w:hAnsi="Arial" w:cs="Arial"/>
          <w:noProof/>
        </w:rPr>
        <w:t>13</w:t>
      </w:r>
      <w:r w:rsidR="00154097">
        <w:fldChar w:fldCharType="end"/>
      </w:r>
      <w:r>
        <w:rPr>
          <w:rFonts w:ascii="Arial" w:hAnsi="Arial" w:cs="Arial"/>
        </w:rPr>
        <w:t xml:space="preserve"> and </w:t>
      </w:r>
      <w:r w:rsidR="00855AAF">
        <w:rPr>
          <w:rFonts w:ascii="Arial" w:hAnsi="Arial" w:cs="Arial"/>
        </w:rPr>
        <w:fldChar w:fldCharType="begin"/>
      </w:r>
      <w:r>
        <w:rPr>
          <w:rFonts w:ascii="Arial" w:hAnsi="Arial" w:cs="Arial"/>
        </w:rPr>
        <w:instrText xml:space="preserve"> REF _Ref318377591 \h </w:instrText>
      </w:r>
      <w:r w:rsidR="00855AAF">
        <w:rPr>
          <w:rFonts w:ascii="Arial" w:hAnsi="Arial" w:cs="Arial"/>
        </w:rPr>
      </w:r>
      <w:r w:rsidR="00855AAF">
        <w:rPr>
          <w:rFonts w:ascii="Arial" w:hAnsi="Arial" w:cs="Arial"/>
        </w:rPr>
        <w:fldChar w:fldCharType="separate"/>
      </w:r>
      <w:r w:rsidR="00584343" w:rsidRPr="0037285F">
        <w:rPr>
          <w:rFonts w:ascii="Arial" w:hAnsi="Arial" w:cs="Arial"/>
        </w:rPr>
        <w:t xml:space="preserve">Table </w:t>
      </w:r>
      <w:r w:rsidR="00584343">
        <w:rPr>
          <w:rFonts w:ascii="Arial" w:hAnsi="Arial" w:cs="Arial"/>
          <w:noProof/>
        </w:rPr>
        <w:t>14</w:t>
      </w:r>
      <w:r w:rsidR="00855AAF">
        <w:rPr>
          <w:rFonts w:ascii="Arial" w:hAnsi="Arial" w:cs="Arial"/>
        </w:rPr>
        <w:fldChar w:fldCharType="end"/>
      </w:r>
      <w:r>
        <w:rPr>
          <w:rFonts w:ascii="Arial" w:hAnsi="Arial" w:cs="Arial"/>
        </w:rPr>
        <w:t>)</w:t>
      </w:r>
    </w:p>
    <w:p w:rsidR="009B075E" w:rsidRPr="00BE5198" w:rsidRDefault="009B075E" w:rsidP="002E776C">
      <w:pPr>
        <w:spacing w:before="120" w:after="120"/>
        <w:rPr>
          <w:rFonts w:ascii="Arial" w:hAnsi="Arial" w:cs="Arial"/>
        </w:rPr>
      </w:pPr>
      <w:r>
        <w:rPr>
          <w:rFonts w:ascii="Arial" w:hAnsi="Arial" w:cs="Arial"/>
        </w:rPr>
        <w:t xml:space="preserve">As shown in </w:t>
      </w:r>
      <w:r w:rsidR="00154097">
        <w:fldChar w:fldCharType="begin"/>
      </w:r>
      <w:r w:rsidR="00154097">
        <w:instrText xml:space="preserve"> REF _Ref297748006 \h  \* MERGEFORMAT </w:instrText>
      </w:r>
      <w:r w:rsidR="00154097">
        <w:fldChar w:fldCharType="separate"/>
      </w:r>
      <w:r w:rsidR="00584343" w:rsidRPr="00BE5198">
        <w:rPr>
          <w:rFonts w:ascii="Arial" w:hAnsi="Arial" w:cs="Arial"/>
        </w:rPr>
        <w:t xml:space="preserve">Figure </w:t>
      </w:r>
      <w:r w:rsidR="00584343">
        <w:rPr>
          <w:rFonts w:ascii="Arial" w:hAnsi="Arial" w:cs="Arial"/>
        </w:rPr>
        <w:t>10</w:t>
      </w:r>
      <w:r w:rsidR="00154097">
        <w:fldChar w:fldCharType="end"/>
      </w:r>
      <w:r>
        <w:t>, i</w:t>
      </w:r>
      <w:r w:rsidRPr="00FB67C2">
        <w:rPr>
          <w:rFonts w:ascii="Arial" w:hAnsi="Arial" w:cs="Arial"/>
        </w:rPr>
        <w:t xml:space="preserve">n </w:t>
      </w:r>
      <w:r w:rsidRPr="00BE5198">
        <w:rPr>
          <w:rFonts w:ascii="Arial" w:hAnsi="Arial" w:cs="Arial"/>
        </w:rPr>
        <w:t>terms of their contribution to overall PBS g</w:t>
      </w:r>
      <w:r>
        <w:rPr>
          <w:rFonts w:ascii="Arial" w:hAnsi="Arial" w:cs="Arial"/>
        </w:rPr>
        <w:t>rowth, the 65 and over</w:t>
      </w:r>
      <w:r w:rsidRPr="00BE5198">
        <w:rPr>
          <w:rFonts w:ascii="Arial" w:hAnsi="Arial" w:cs="Arial"/>
        </w:rPr>
        <w:t xml:space="preserve"> age group contributed </w:t>
      </w:r>
      <w:r>
        <w:rPr>
          <w:rFonts w:ascii="Arial" w:hAnsi="Arial" w:cs="Arial"/>
        </w:rPr>
        <w:t xml:space="preserve">to nearly two-thirds </w:t>
      </w:r>
      <w:r w:rsidRPr="00BE5198">
        <w:rPr>
          <w:rFonts w:ascii="Arial" w:hAnsi="Arial" w:cs="Arial"/>
        </w:rPr>
        <w:t>of all growth in PBS expendit</w:t>
      </w:r>
      <w:r>
        <w:rPr>
          <w:rFonts w:ascii="Arial" w:hAnsi="Arial" w:cs="Arial"/>
        </w:rPr>
        <w:t xml:space="preserve">ure in the time period analysed (2007-2011).  </w:t>
      </w:r>
    </w:p>
    <w:tbl>
      <w:tblPr>
        <w:tblW w:w="5000" w:type="pct"/>
        <w:jc w:val="center"/>
        <w:tblLook w:val="0000" w:firstRow="0" w:lastRow="0" w:firstColumn="0" w:lastColumn="0" w:noHBand="0" w:noVBand="0"/>
      </w:tblPr>
      <w:tblGrid>
        <w:gridCol w:w="9242"/>
      </w:tblGrid>
      <w:tr w:rsidR="009B075E" w:rsidRPr="00DC51D5" w:rsidTr="004E2973">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9B075E" w:rsidRPr="00BE5198" w:rsidRDefault="009B075E" w:rsidP="00ED4172">
            <w:pPr>
              <w:pStyle w:val="Caption"/>
              <w:keepNext w:val="0"/>
              <w:rPr>
                <w:rFonts w:ascii="Arial" w:hAnsi="Arial" w:cs="Arial"/>
                <w:sz w:val="22"/>
                <w:szCs w:val="22"/>
              </w:rPr>
            </w:pPr>
            <w:bookmarkStart w:id="47" w:name="_Ref297748006"/>
            <w:bookmarkStart w:id="48" w:name="_Ref297747992"/>
            <w:r w:rsidRPr="00BE5198">
              <w:rPr>
                <w:rFonts w:ascii="Arial" w:hAnsi="Arial" w:cs="Arial"/>
                <w:sz w:val="22"/>
                <w:szCs w:val="22"/>
              </w:rPr>
              <w:t xml:space="preserve">Figure </w:t>
            </w:r>
            <w:r w:rsidR="00855AAF" w:rsidRPr="00BE5198">
              <w:rPr>
                <w:rFonts w:ascii="Arial" w:hAnsi="Arial" w:cs="Arial"/>
                <w:sz w:val="22"/>
                <w:szCs w:val="22"/>
              </w:rPr>
              <w:fldChar w:fldCharType="begin"/>
            </w:r>
            <w:r w:rsidRPr="00BE5198">
              <w:rPr>
                <w:rFonts w:ascii="Arial" w:hAnsi="Arial" w:cs="Arial"/>
                <w:sz w:val="22"/>
                <w:szCs w:val="22"/>
              </w:rPr>
              <w:instrText xml:space="preserve"> SEQ Figure \* ARABIC </w:instrText>
            </w:r>
            <w:r w:rsidR="00855AAF" w:rsidRPr="00BE5198">
              <w:rPr>
                <w:rFonts w:ascii="Arial" w:hAnsi="Arial" w:cs="Arial"/>
                <w:sz w:val="22"/>
                <w:szCs w:val="22"/>
              </w:rPr>
              <w:fldChar w:fldCharType="separate"/>
            </w:r>
            <w:r w:rsidR="00584343">
              <w:rPr>
                <w:rFonts w:ascii="Arial" w:hAnsi="Arial" w:cs="Arial"/>
                <w:noProof/>
                <w:sz w:val="22"/>
                <w:szCs w:val="22"/>
              </w:rPr>
              <w:t>10</w:t>
            </w:r>
            <w:r w:rsidR="00855AAF" w:rsidRPr="00BE5198">
              <w:rPr>
                <w:rFonts w:ascii="Arial" w:hAnsi="Arial" w:cs="Arial"/>
                <w:sz w:val="22"/>
                <w:szCs w:val="22"/>
              </w:rPr>
              <w:fldChar w:fldCharType="end"/>
            </w:r>
            <w:bookmarkEnd w:id="47"/>
            <w:r w:rsidRPr="00BE5198">
              <w:rPr>
                <w:rFonts w:ascii="Arial" w:hAnsi="Arial" w:cs="Arial"/>
                <w:sz w:val="22"/>
                <w:szCs w:val="22"/>
              </w:rPr>
              <w:t xml:space="preserve">: Contribution to total growth in Government expenditure on </w:t>
            </w:r>
            <w:r>
              <w:rPr>
                <w:rFonts w:ascii="Arial" w:hAnsi="Arial" w:cs="Arial"/>
                <w:sz w:val="22"/>
                <w:szCs w:val="22"/>
              </w:rPr>
              <w:t>S85</w:t>
            </w:r>
            <w:r w:rsidRPr="00BE5198">
              <w:rPr>
                <w:rFonts w:ascii="Arial" w:hAnsi="Arial" w:cs="Arial"/>
                <w:sz w:val="22"/>
                <w:szCs w:val="22"/>
              </w:rPr>
              <w:t xml:space="preserve"> drugs</w:t>
            </w:r>
            <w:r w:rsidRPr="00BE5198">
              <w:rPr>
                <w:rFonts w:ascii="Arial" w:hAnsi="Arial" w:cs="Arial"/>
                <w:sz w:val="22"/>
                <w:szCs w:val="22"/>
              </w:rPr>
              <w:br/>
              <w:t xml:space="preserve"> by age groups</w:t>
            </w:r>
            <w:bookmarkEnd w:id="48"/>
            <w:r w:rsidRPr="00BE5198">
              <w:rPr>
                <w:rFonts w:ascii="Arial" w:hAnsi="Arial" w:cs="Arial"/>
                <w:sz w:val="22"/>
                <w:szCs w:val="22"/>
              </w:rPr>
              <w:t xml:space="preserve"> </w:t>
            </w:r>
            <w:r>
              <w:rPr>
                <w:rFonts w:ascii="Arial" w:hAnsi="Arial" w:cs="Arial"/>
                <w:sz w:val="22"/>
                <w:szCs w:val="22"/>
              </w:rPr>
              <w:t>(200</w:t>
            </w:r>
            <w:r w:rsidR="00B44FAE">
              <w:rPr>
                <w:rFonts w:ascii="Arial" w:hAnsi="Arial" w:cs="Arial"/>
                <w:sz w:val="22"/>
                <w:szCs w:val="22"/>
              </w:rPr>
              <w:t>7</w:t>
            </w:r>
            <w:r>
              <w:rPr>
                <w:rFonts w:ascii="Arial" w:hAnsi="Arial" w:cs="Arial"/>
                <w:sz w:val="22"/>
                <w:szCs w:val="22"/>
              </w:rPr>
              <w:t>-2011)</w:t>
            </w:r>
          </w:p>
        </w:tc>
      </w:tr>
      <w:tr w:rsidR="009B075E" w:rsidRPr="00DC51D5" w:rsidTr="004E2973">
        <w:trPr>
          <w:trHeight w:val="4624"/>
          <w:jc w:val="center"/>
        </w:trPr>
        <w:tc>
          <w:tcPr>
            <w:tcW w:w="5000" w:type="pct"/>
            <w:tcBorders>
              <w:top w:val="single" w:sz="4" w:space="0" w:color="auto"/>
              <w:left w:val="single" w:sz="4" w:space="0" w:color="auto"/>
              <w:bottom w:val="single" w:sz="4" w:space="0" w:color="auto"/>
              <w:right w:val="single" w:sz="4" w:space="0" w:color="auto"/>
            </w:tcBorders>
            <w:vAlign w:val="center"/>
          </w:tcPr>
          <w:p w:rsidR="009B075E" w:rsidRPr="00DC51D5" w:rsidRDefault="005E0A95" w:rsidP="000B539A">
            <w:pPr>
              <w:tabs>
                <w:tab w:val="left" w:pos="4708"/>
              </w:tabs>
              <w:jc w:val="center"/>
              <w:rPr>
                <w:rFonts w:ascii="Arial" w:hAnsi="Arial" w:cs="Arial"/>
                <w:b/>
                <w:bCs/>
                <w:highlight w:val="yellow"/>
              </w:rPr>
            </w:pPr>
            <w:r>
              <w:rPr>
                <w:rFonts w:ascii="Arial" w:hAnsi="Arial" w:cs="Arial"/>
                <w:b/>
                <w:noProof/>
                <w:lang w:eastAsia="en-AU"/>
              </w:rPr>
              <w:drawing>
                <wp:inline distT="0" distB="0" distL="0" distR="0" wp14:anchorId="41C45E42" wp14:editId="2560F0B5">
                  <wp:extent cx="4502785" cy="2665730"/>
                  <wp:effectExtent l="0" t="0" r="0" b="1270"/>
                  <wp:docPr id="9" name="Picture 9" descr="Contribution to total growth in Government expenditure on S85 drugs by age groups (2007-2011)&#10;" title="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srcRect l="1878" t="9772" r="5598" b="3522"/>
                          <a:stretch>
                            <a:fillRect/>
                          </a:stretch>
                        </pic:blipFill>
                        <pic:spPr bwMode="auto">
                          <a:xfrm>
                            <a:off x="0" y="0"/>
                            <a:ext cx="4502785" cy="2665730"/>
                          </a:xfrm>
                          <a:prstGeom prst="rect">
                            <a:avLst/>
                          </a:prstGeom>
                          <a:noFill/>
                          <a:ln w="9525">
                            <a:noFill/>
                            <a:miter lim="800000"/>
                            <a:headEnd/>
                            <a:tailEnd/>
                          </a:ln>
                        </pic:spPr>
                      </pic:pic>
                    </a:graphicData>
                  </a:graphic>
                </wp:inline>
              </w:drawing>
            </w:r>
          </w:p>
        </w:tc>
      </w:tr>
    </w:tbl>
    <w:p w:rsidR="009B075E" w:rsidRDefault="009B075E" w:rsidP="00F644CC">
      <w:pPr>
        <w:spacing w:before="120" w:after="120"/>
        <w:rPr>
          <w:rFonts w:ascii="Arial" w:hAnsi="Arial" w:cs="Arial"/>
        </w:rPr>
      </w:pPr>
      <w:bookmarkStart w:id="49" w:name="_Toc301513625"/>
      <w:r>
        <w:rPr>
          <w:rFonts w:ascii="Arial" w:hAnsi="Arial" w:cs="Arial"/>
        </w:rPr>
        <w:t>A</w:t>
      </w:r>
      <w:r w:rsidRPr="0034009D">
        <w:rPr>
          <w:rFonts w:ascii="Arial" w:hAnsi="Arial" w:cs="Arial"/>
        </w:rPr>
        <w:t xml:space="preserve">s shown in </w:t>
      </w:r>
      <w:r w:rsidR="00154097">
        <w:fldChar w:fldCharType="begin"/>
      </w:r>
      <w:r w:rsidR="00154097">
        <w:instrText xml:space="preserve"> REF _Ref297666805 \h  \* MERGEFORMAT </w:instrText>
      </w:r>
      <w:r w:rsidR="00154097">
        <w:fldChar w:fldCharType="separate"/>
      </w:r>
      <w:r w:rsidR="00584343" w:rsidRPr="00CE5D69">
        <w:rPr>
          <w:rFonts w:ascii="Arial" w:hAnsi="Arial" w:cs="Arial"/>
        </w:rPr>
        <w:t xml:space="preserve">Figure </w:t>
      </w:r>
      <w:r w:rsidR="00584343">
        <w:rPr>
          <w:rFonts w:ascii="Arial" w:hAnsi="Arial" w:cs="Arial"/>
        </w:rPr>
        <w:t>11</w:t>
      </w:r>
      <w:r w:rsidR="00154097">
        <w:fldChar w:fldCharType="end"/>
      </w:r>
      <w:r w:rsidRPr="0034009D">
        <w:rPr>
          <w:rFonts w:ascii="Arial" w:hAnsi="Arial" w:cs="Arial"/>
        </w:rPr>
        <w:t>, in the time period analysed</w:t>
      </w:r>
      <w:r>
        <w:rPr>
          <w:rFonts w:ascii="Arial" w:hAnsi="Arial" w:cs="Arial"/>
        </w:rPr>
        <w:t xml:space="preserve"> (2006-2011)</w:t>
      </w:r>
      <w:r w:rsidRPr="0034009D">
        <w:rPr>
          <w:rFonts w:ascii="Arial" w:hAnsi="Arial" w:cs="Arial"/>
        </w:rPr>
        <w:t xml:space="preserve">, persons aged </w:t>
      </w:r>
      <w:r>
        <w:rPr>
          <w:rFonts w:ascii="Arial" w:hAnsi="Arial" w:cs="Arial"/>
        </w:rPr>
        <w:t>6</w:t>
      </w:r>
      <w:r w:rsidRPr="0034009D">
        <w:rPr>
          <w:rFonts w:ascii="Arial" w:hAnsi="Arial" w:cs="Arial"/>
        </w:rPr>
        <w:t xml:space="preserve">5 years and over contributed to </w:t>
      </w:r>
      <w:r>
        <w:rPr>
          <w:rFonts w:ascii="Arial" w:hAnsi="Arial" w:cs="Arial"/>
        </w:rPr>
        <w:t>over half</w:t>
      </w:r>
      <w:r w:rsidRPr="0034009D">
        <w:rPr>
          <w:rFonts w:ascii="Arial" w:hAnsi="Arial" w:cs="Arial"/>
        </w:rPr>
        <w:t xml:space="preserve"> </w:t>
      </w:r>
      <w:r>
        <w:rPr>
          <w:rFonts w:ascii="Arial" w:hAnsi="Arial" w:cs="Arial"/>
        </w:rPr>
        <w:t xml:space="preserve">of all </w:t>
      </w:r>
      <w:r w:rsidRPr="0034009D">
        <w:rPr>
          <w:rFonts w:ascii="Arial" w:hAnsi="Arial" w:cs="Arial"/>
        </w:rPr>
        <w:t>PBS expenditure</w:t>
      </w:r>
      <w:r>
        <w:rPr>
          <w:rFonts w:ascii="Arial" w:hAnsi="Arial" w:cs="Arial"/>
        </w:rPr>
        <w:t xml:space="preserve"> (51%-53</w:t>
      </w:r>
      <w:r w:rsidRPr="0034009D">
        <w:rPr>
          <w:rFonts w:ascii="Arial" w:hAnsi="Arial" w:cs="Arial"/>
        </w:rPr>
        <w:t>%)</w:t>
      </w:r>
      <w:r>
        <w:rPr>
          <w:rFonts w:ascii="Arial" w:hAnsi="Arial" w:cs="Arial"/>
        </w:rPr>
        <w:t xml:space="preserve"> with approximately half of that expenditure contributed by over 75 year and over age group (25%-27%).  In 2010-11 p</w:t>
      </w:r>
      <w:r w:rsidRPr="0034009D">
        <w:rPr>
          <w:rFonts w:ascii="Arial" w:hAnsi="Arial" w:cs="Arial"/>
        </w:rPr>
        <w:t xml:space="preserve">atients aged </w:t>
      </w:r>
      <w:r>
        <w:rPr>
          <w:rFonts w:ascii="Arial" w:hAnsi="Arial" w:cs="Arial"/>
        </w:rPr>
        <w:t xml:space="preserve">25 - 54 years contributed to a quarter of the total expenditure (24%).  </w:t>
      </w:r>
    </w:p>
    <w:tbl>
      <w:tblPr>
        <w:tblW w:w="5000" w:type="pct"/>
        <w:jc w:val="center"/>
        <w:tblLook w:val="0000" w:firstRow="0" w:lastRow="0" w:firstColumn="0" w:lastColumn="0" w:noHBand="0" w:noVBand="0"/>
      </w:tblPr>
      <w:tblGrid>
        <w:gridCol w:w="9242"/>
      </w:tblGrid>
      <w:tr w:rsidR="009B075E" w:rsidRPr="00DC51D5" w:rsidTr="004E2973">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9B075E" w:rsidRPr="00CE5D69" w:rsidRDefault="009B075E" w:rsidP="00C02B50">
            <w:pPr>
              <w:pStyle w:val="Caption"/>
              <w:keepNext w:val="0"/>
              <w:rPr>
                <w:rFonts w:ascii="Arial" w:hAnsi="Arial" w:cs="Arial"/>
                <w:sz w:val="22"/>
                <w:szCs w:val="22"/>
              </w:rPr>
            </w:pPr>
            <w:bookmarkStart w:id="50" w:name="_Ref297666805"/>
            <w:r w:rsidRPr="00CE5D69">
              <w:rPr>
                <w:rFonts w:ascii="Arial" w:hAnsi="Arial" w:cs="Arial"/>
                <w:sz w:val="22"/>
                <w:szCs w:val="22"/>
              </w:rPr>
              <w:t xml:space="preserve">Figure </w:t>
            </w:r>
            <w:r w:rsidR="00855AAF" w:rsidRPr="00CE5D69">
              <w:rPr>
                <w:rFonts w:ascii="Arial" w:hAnsi="Arial" w:cs="Arial"/>
                <w:sz w:val="22"/>
                <w:szCs w:val="22"/>
              </w:rPr>
              <w:fldChar w:fldCharType="begin"/>
            </w:r>
            <w:r w:rsidRPr="00CE5D69">
              <w:rPr>
                <w:rFonts w:ascii="Arial" w:hAnsi="Arial" w:cs="Arial"/>
                <w:sz w:val="22"/>
                <w:szCs w:val="22"/>
              </w:rPr>
              <w:instrText xml:space="preserve"> SEQ Figure \* ARABIC </w:instrText>
            </w:r>
            <w:r w:rsidR="00855AAF" w:rsidRPr="00CE5D69">
              <w:rPr>
                <w:rFonts w:ascii="Arial" w:hAnsi="Arial" w:cs="Arial"/>
                <w:sz w:val="22"/>
                <w:szCs w:val="22"/>
              </w:rPr>
              <w:fldChar w:fldCharType="separate"/>
            </w:r>
            <w:r w:rsidR="00584343">
              <w:rPr>
                <w:rFonts w:ascii="Arial" w:hAnsi="Arial" w:cs="Arial"/>
                <w:noProof/>
                <w:sz w:val="22"/>
                <w:szCs w:val="22"/>
              </w:rPr>
              <w:t>11</w:t>
            </w:r>
            <w:r w:rsidR="00855AAF" w:rsidRPr="00CE5D69">
              <w:rPr>
                <w:rFonts w:ascii="Arial" w:hAnsi="Arial" w:cs="Arial"/>
                <w:sz w:val="22"/>
                <w:szCs w:val="22"/>
              </w:rPr>
              <w:fldChar w:fldCharType="end"/>
            </w:r>
            <w:bookmarkEnd w:id="50"/>
            <w:r w:rsidRPr="00CE5D69">
              <w:rPr>
                <w:rFonts w:ascii="Arial" w:hAnsi="Arial" w:cs="Arial"/>
                <w:sz w:val="22"/>
                <w:szCs w:val="22"/>
              </w:rPr>
              <w:t xml:space="preserve">: Trends in Government expenditure on </w:t>
            </w:r>
            <w:r>
              <w:rPr>
                <w:rFonts w:ascii="Arial" w:hAnsi="Arial" w:cs="Arial"/>
                <w:sz w:val="22"/>
                <w:szCs w:val="22"/>
              </w:rPr>
              <w:t>S85</w:t>
            </w:r>
            <w:r w:rsidRPr="00CE5D69">
              <w:rPr>
                <w:rFonts w:ascii="Arial" w:hAnsi="Arial" w:cs="Arial"/>
                <w:sz w:val="22"/>
                <w:szCs w:val="22"/>
              </w:rPr>
              <w:t xml:space="preserve"> drugs</w:t>
            </w:r>
            <w:r w:rsidRPr="00CE5D69">
              <w:rPr>
                <w:rFonts w:ascii="Arial" w:hAnsi="Arial" w:cs="Arial"/>
                <w:sz w:val="22"/>
                <w:szCs w:val="22"/>
              </w:rPr>
              <w:br/>
              <w:t>by age groups</w:t>
            </w:r>
          </w:p>
        </w:tc>
      </w:tr>
      <w:tr w:rsidR="009B075E" w:rsidRPr="00DC51D5" w:rsidTr="004E2973">
        <w:trPr>
          <w:trHeight w:val="4731"/>
          <w:jc w:val="center"/>
        </w:trPr>
        <w:tc>
          <w:tcPr>
            <w:tcW w:w="5000" w:type="pct"/>
            <w:tcBorders>
              <w:top w:val="single" w:sz="4" w:space="0" w:color="auto"/>
              <w:left w:val="single" w:sz="4" w:space="0" w:color="auto"/>
              <w:bottom w:val="single" w:sz="4" w:space="0" w:color="auto"/>
              <w:right w:val="single" w:sz="4" w:space="0" w:color="auto"/>
            </w:tcBorders>
            <w:vAlign w:val="center"/>
          </w:tcPr>
          <w:p w:rsidR="009B075E" w:rsidRPr="00DC51D5" w:rsidRDefault="005E0A95" w:rsidP="00C02B50">
            <w:pPr>
              <w:tabs>
                <w:tab w:val="left" w:pos="4708"/>
              </w:tabs>
              <w:jc w:val="center"/>
              <w:rPr>
                <w:rFonts w:ascii="Arial" w:hAnsi="Arial" w:cs="Arial"/>
                <w:b/>
                <w:bCs/>
                <w:highlight w:val="yellow"/>
              </w:rPr>
            </w:pPr>
            <w:r>
              <w:rPr>
                <w:rFonts w:ascii="Arial" w:hAnsi="Arial" w:cs="Arial"/>
                <w:b/>
                <w:noProof/>
                <w:lang w:eastAsia="en-AU"/>
              </w:rPr>
              <w:drawing>
                <wp:inline distT="0" distB="0" distL="0" distR="0" wp14:anchorId="12FF045B" wp14:editId="5C56DE2A">
                  <wp:extent cx="4563110" cy="2967355"/>
                  <wp:effectExtent l="0" t="0" r="8890" b="4445"/>
                  <wp:docPr id="10" name="Picture 10" descr="Trends in Government expenditure on S85 drugs by age groups&#10;" title="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srcRect l="3105" t="9242" r="5598"/>
                          <a:stretch>
                            <a:fillRect/>
                          </a:stretch>
                        </pic:blipFill>
                        <pic:spPr bwMode="auto">
                          <a:xfrm>
                            <a:off x="0" y="0"/>
                            <a:ext cx="4563110" cy="2967355"/>
                          </a:xfrm>
                          <a:prstGeom prst="rect">
                            <a:avLst/>
                          </a:prstGeom>
                          <a:noFill/>
                          <a:ln w="9525">
                            <a:noFill/>
                            <a:miter lim="800000"/>
                            <a:headEnd/>
                            <a:tailEnd/>
                          </a:ln>
                        </pic:spPr>
                      </pic:pic>
                    </a:graphicData>
                  </a:graphic>
                </wp:inline>
              </w:drawing>
            </w:r>
          </w:p>
        </w:tc>
      </w:tr>
    </w:tbl>
    <w:p w:rsidR="009B075E" w:rsidRPr="00A44305" w:rsidRDefault="009B075E" w:rsidP="00FF4C6A">
      <w:pPr>
        <w:pStyle w:val="Heading1"/>
        <w:rPr>
          <w:rFonts w:ascii="Arial" w:hAnsi="Arial" w:cs="Arial"/>
          <w:sz w:val="24"/>
          <w:szCs w:val="24"/>
        </w:rPr>
      </w:pPr>
      <w:r>
        <w:rPr>
          <w:rFonts w:ascii="Arial" w:hAnsi="Arial" w:cs="Arial"/>
          <w:sz w:val="24"/>
          <w:szCs w:val="24"/>
        </w:rPr>
        <w:br w:type="page"/>
      </w:r>
      <w:bookmarkStart w:id="51" w:name="_Toc337033193"/>
      <w:bookmarkStart w:id="52" w:name="_Toc357174838"/>
      <w:r w:rsidRPr="00A44305">
        <w:rPr>
          <w:rFonts w:ascii="Arial" w:hAnsi="Arial" w:cs="Arial"/>
          <w:sz w:val="24"/>
          <w:szCs w:val="24"/>
        </w:rPr>
        <w:lastRenderedPageBreak/>
        <w:t>PBS expenditure by General/Concessional mix</w:t>
      </w:r>
      <w:r>
        <w:rPr>
          <w:rFonts w:ascii="Arial" w:hAnsi="Arial" w:cs="Arial"/>
          <w:sz w:val="24"/>
          <w:szCs w:val="24"/>
        </w:rPr>
        <w:t xml:space="preserve"> (2006-2011)</w:t>
      </w:r>
      <w:bookmarkEnd w:id="51"/>
      <w:bookmarkEnd w:id="52"/>
    </w:p>
    <w:p w:rsidR="009B075E" w:rsidRDefault="009B075E" w:rsidP="004E2973">
      <w:pPr>
        <w:spacing w:after="0"/>
        <w:rPr>
          <w:rFonts w:ascii="Arial" w:hAnsi="Arial" w:cs="Arial"/>
        </w:rPr>
      </w:pPr>
      <w:r>
        <w:rPr>
          <w:rFonts w:ascii="Arial" w:hAnsi="Arial" w:cs="Arial"/>
        </w:rPr>
        <w:t xml:space="preserve">(reference Appendix 2: </w:t>
      </w:r>
      <w:r w:rsidR="00855AAF">
        <w:rPr>
          <w:rFonts w:ascii="Arial" w:hAnsi="Arial" w:cs="Arial"/>
        </w:rPr>
        <w:fldChar w:fldCharType="begin"/>
      </w:r>
      <w:r>
        <w:rPr>
          <w:rFonts w:ascii="Arial" w:hAnsi="Arial" w:cs="Arial"/>
        </w:rPr>
        <w:instrText xml:space="preserve"> REF _Ref301528850 \h </w:instrText>
      </w:r>
      <w:r w:rsidR="00855AAF">
        <w:rPr>
          <w:rFonts w:ascii="Arial" w:hAnsi="Arial" w:cs="Arial"/>
        </w:rPr>
      </w:r>
      <w:r w:rsidR="00855AAF">
        <w:rPr>
          <w:rFonts w:ascii="Arial" w:hAnsi="Arial" w:cs="Arial"/>
        </w:rPr>
        <w:fldChar w:fldCharType="separate"/>
      </w:r>
      <w:r w:rsidR="00584343" w:rsidRPr="00F527AE">
        <w:rPr>
          <w:rFonts w:ascii="Arial" w:hAnsi="Arial" w:cs="Arial"/>
        </w:rPr>
        <w:t xml:space="preserve">Table </w:t>
      </w:r>
      <w:r w:rsidR="00584343">
        <w:rPr>
          <w:rFonts w:ascii="Arial" w:hAnsi="Arial" w:cs="Arial"/>
          <w:noProof/>
        </w:rPr>
        <w:t>15</w:t>
      </w:r>
      <w:r w:rsidR="00855AAF">
        <w:rPr>
          <w:rFonts w:ascii="Arial" w:hAnsi="Arial" w:cs="Arial"/>
        </w:rPr>
        <w:fldChar w:fldCharType="end"/>
      </w:r>
      <w:r>
        <w:rPr>
          <w:rFonts w:ascii="Arial" w:hAnsi="Arial" w:cs="Arial"/>
        </w:rPr>
        <w:t xml:space="preserve"> and </w:t>
      </w:r>
      <w:r w:rsidR="00855AAF">
        <w:rPr>
          <w:rFonts w:ascii="Arial" w:hAnsi="Arial" w:cs="Arial"/>
        </w:rPr>
        <w:fldChar w:fldCharType="begin"/>
      </w:r>
      <w:r>
        <w:rPr>
          <w:rFonts w:ascii="Arial" w:hAnsi="Arial" w:cs="Arial"/>
        </w:rPr>
        <w:instrText xml:space="preserve"> REF _Ref318377624 \h </w:instrText>
      </w:r>
      <w:r w:rsidR="00855AAF">
        <w:rPr>
          <w:rFonts w:ascii="Arial" w:hAnsi="Arial" w:cs="Arial"/>
        </w:rPr>
      </w:r>
      <w:r w:rsidR="00855AAF">
        <w:rPr>
          <w:rFonts w:ascii="Arial" w:hAnsi="Arial" w:cs="Arial"/>
        </w:rPr>
        <w:fldChar w:fldCharType="separate"/>
      </w:r>
      <w:r w:rsidR="00584343" w:rsidRPr="00F527AE">
        <w:rPr>
          <w:rFonts w:ascii="Arial" w:hAnsi="Arial" w:cs="Arial"/>
        </w:rPr>
        <w:t xml:space="preserve">Table </w:t>
      </w:r>
      <w:r w:rsidR="00584343">
        <w:rPr>
          <w:rFonts w:ascii="Arial" w:hAnsi="Arial" w:cs="Arial"/>
          <w:noProof/>
        </w:rPr>
        <w:t>16</w:t>
      </w:r>
      <w:r w:rsidR="00855AAF">
        <w:rPr>
          <w:rFonts w:ascii="Arial" w:hAnsi="Arial" w:cs="Arial"/>
        </w:rPr>
        <w:fldChar w:fldCharType="end"/>
      </w:r>
      <w:r>
        <w:rPr>
          <w:rFonts w:ascii="Arial" w:hAnsi="Arial" w:cs="Arial"/>
        </w:rPr>
        <w:t>)</w:t>
      </w:r>
    </w:p>
    <w:p w:rsidR="009B075E" w:rsidRDefault="009B075E" w:rsidP="004E2973">
      <w:pPr>
        <w:spacing w:before="120" w:after="120"/>
        <w:rPr>
          <w:rFonts w:ascii="Arial" w:hAnsi="Arial" w:cs="Arial"/>
        </w:rPr>
      </w:pPr>
      <w:r>
        <w:rPr>
          <w:rFonts w:ascii="Arial" w:hAnsi="Arial" w:cs="Arial"/>
        </w:rPr>
        <w:t xml:space="preserve">As shown in </w:t>
      </w:r>
      <w:r w:rsidR="00154097">
        <w:fldChar w:fldCharType="begin"/>
      </w:r>
      <w:r w:rsidR="00154097">
        <w:instrText xml:space="preserve"> REF _Ref298775529 \h  \* MERGEFORMAT </w:instrText>
      </w:r>
      <w:r w:rsidR="00154097">
        <w:fldChar w:fldCharType="separate"/>
      </w:r>
      <w:r w:rsidR="00584343" w:rsidRPr="00A44305">
        <w:rPr>
          <w:rFonts w:ascii="Arial" w:hAnsi="Arial" w:cs="Arial"/>
        </w:rPr>
        <w:t xml:space="preserve">Figure </w:t>
      </w:r>
      <w:r w:rsidR="00584343">
        <w:rPr>
          <w:rFonts w:ascii="Arial" w:hAnsi="Arial" w:cs="Arial"/>
          <w:noProof/>
        </w:rPr>
        <w:t>12</w:t>
      </w:r>
      <w:r w:rsidR="00154097">
        <w:fldChar w:fldCharType="end"/>
      </w:r>
      <w:r>
        <w:t>, i</w:t>
      </w:r>
      <w:r w:rsidRPr="00A44305">
        <w:rPr>
          <w:rFonts w:ascii="Arial" w:hAnsi="Arial" w:cs="Arial"/>
        </w:rPr>
        <w:t>n terms of their contribution to overall growth,</w:t>
      </w:r>
      <w:r>
        <w:rPr>
          <w:rFonts w:ascii="Arial" w:hAnsi="Arial" w:cs="Arial"/>
        </w:rPr>
        <w:t xml:space="preserve"> </w:t>
      </w:r>
      <w:r w:rsidRPr="00A44305">
        <w:rPr>
          <w:rFonts w:ascii="Arial" w:hAnsi="Arial" w:cs="Arial"/>
        </w:rPr>
        <w:t>concessional patients contributed between two-thirds (6</w:t>
      </w:r>
      <w:r w:rsidR="00C00E11">
        <w:rPr>
          <w:rFonts w:ascii="Arial" w:hAnsi="Arial" w:cs="Arial"/>
        </w:rPr>
        <w:t>6</w:t>
      </w:r>
      <w:r w:rsidRPr="00A44305">
        <w:rPr>
          <w:rFonts w:ascii="Arial" w:hAnsi="Arial" w:cs="Arial"/>
        </w:rPr>
        <w:t>%) to over three-quarter</w:t>
      </w:r>
      <w:r>
        <w:rPr>
          <w:rFonts w:ascii="Arial" w:hAnsi="Arial" w:cs="Arial"/>
        </w:rPr>
        <w:t>s</w:t>
      </w:r>
      <w:r w:rsidRPr="00A44305">
        <w:rPr>
          <w:rFonts w:ascii="Arial" w:hAnsi="Arial" w:cs="Arial"/>
        </w:rPr>
        <w:t xml:space="preserve"> (78%) of all </w:t>
      </w:r>
      <w:r>
        <w:rPr>
          <w:rFonts w:ascii="Arial" w:hAnsi="Arial" w:cs="Arial"/>
        </w:rPr>
        <w:t xml:space="preserve">S85 PBS expenditure </w:t>
      </w:r>
      <w:r w:rsidRPr="00A44305">
        <w:rPr>
          <w:rFonts w:ascii="Arial" w:hAnsi="Arial" w:cs="Arial"/>
        </w:rPr>
        <w:t xml:space="preserve">growth in the time period analysed. The remaining </w:t>
      </w:r>
      <w:r>
        <w:rPr>
          <w:rFonts w:ascii="Arial" w:hAnsi="Arial" w:cs="Arial"/>
        </w:rPr>
        <w:t xml:space="preserve">growth </w:t>
      </w:r>
      <w:r w:rsidRPr="00A44305">
        <w:rPr>
          <w:rFonts w:ascii="Arial" w:hAnsi="Arial" w:cs="Arial"/>
        </w:rPr>
        <w:t xml:space="preserve">was contributed by general patients. </w:t>
      </w:r>
    </w:p>
    <w:tbl>
      <w:tblPr>
        <w:tblW w:w="9248" w:type="dxa"/>
        <w:jc w:val="center"/>
        <w:tblInd w:w="230" w:type="dxa"/>
        <w:tblLook w:val="0000" w:firstRow="0" w:lastRow="0" w:firstColumn="0" w:lastColumn="0" w:noHBand="0" w:noVBand="0"/>
      </w:tblPr>
      <w:tblGrid>
        <w:gridCol w:w="9248"/>
      </w:tblGrid>
      <w:tr w:rsidR="009B075E" w:rsidRPr="00A44305" w:rsidTr="00C02B50">
        <w:trPr>
          <w:jc w:val="center"/>
        </w:trPr>
        <w:tc>
          <w:tcPr>
            <w:tcW w:w="9248" w:type="dxa"/>
            <w:tcBorders>
              <w:top w:val="single" w:sz="4" w:space="0" w:color="auto"/>
              <w:left w:val="single" w:sz="4" w:space="0" w:color="auto"/>
              <w:bottom w:val="single" w:sz="4" w:space="0" w:color="auto"/>
              <w:right w:val="single" w:sz="4" w:space="0" w:color="auto"/>
            </w:tcBorders>
            <w:vAlign w:val="center"/>
          </w:tcPr>
          <w:p w:rsidR="009B075E" w:rsidRPr="00A44305" w:rsidRDefault="009B075E" w:rsidP="00C02B50">
            <w:pPr>
              <w:pStyle w:val="Caption"/>
              <w:keepNext w:val="0"/>
              <w:rPr>
                <w:rFonts w:ascii="Arial" w:hAnsi="Arial" w:cs="Arial"/>
                <w:sz w:val="22"/>
                <w:szCs w:val="22"/>
              </w:rPr>
            </w:pPr>
            <w:bookmarkStart w:id="53" w:name="_Ref298775529"/>
            <w:r w:rsidRPr="00A44305">
              <w:rPr>
                <w:rFonts w:ascii="Arial" w:hAnsi="Arial" w:cs="Arial"/>
                <w:sz w:val="22"/>
                <w:szCs w:val="22"/>
              </w:rPr>
              <w:t xml:space="preserve">Figure </w:t>
            </w:r>
            <w:r w:rsidR="00855AAF" w:rsidRPr="00A44305">
              <w:rPr>
                <w:rFonts w:ascii="Arial" w:hAnsi="Arial" w:cs="Arial"/>
                <w:sz w:val="22"/>
                <w:szCs w:val="22"/>
              </w:rPr>
              <w:fldChar w:fldCharType="begin"/>
            </w:r>
            <w:r w:rsidRPr="00A44305">
              <w:rPr>
                <w:rFonts w:ascii="Arial" w:hAnsi="Arial" w:cs="Arial"/>
                <w:sz w:val="22"/>
                <w:szCs w:val="22"/>
              </w:rPr>
              <w:instrText xml:space="preserve"> SEQ Figure \* ARABIC </w:instrText>
            </w:r>
            <w:r w:rsidR="00855AAF" w:rsidRPr="00A44305">
              <w:rPr>
                <w:rFonts w:ascii="Arial" w:hAnsi="Arial" w:cs="Arial"/>
                <w:sz w:val="22"/>
                <w:szCs w:val="22"/>
              </w:rPr>
              <w:fldChar w:fldCharType="separate"/>
            </w:r>
            <w:r w:rsidR="00584343">
              <w:rPr>
                <w:rFonts w:ascii="Arial" w:hAnsi="Arial" w:cs="Arial"/>
                <w:noProof/>
                <w:sz w:val="22"/>
                <w:szCs w:val="22"/>
              </w:rPr>
              <w:t>12</w:t>
            </w:r>
            <w:r w:rsidR="00855AAF" w:rsidRPr="00A44305">
              <w:rPr>
                <w:rFonts w:ascii="Arial" w:hAnsi="Arial" w:cs="Arial"/>
                <w:sz w:val="22"/>
                <w:szCs w:val="22"/>
              </w:rPr>
              <w:fldChar w:fldCharType="end"/>
            </w:r>
            <w:bookmarkEnd w:id="53"/>
            <w:r w:rsidRPr="00A44305">
              <w:rPr>
                <w:rFonts w:ascii="Arial" w:hAnsi="Arial" w:cs="Arial"/>
                <w:sz w:val="22"/>
                <w:szCs w:val="22"/>
              </w:rPr>
              <w:t xml:space="preserve">: Contribution to total growth in Government expenditure on </w:t>
            </w:r>
            <w:r>
              <w:rPr>
                <w:rFonts w:ascii="Arial" w:hAnsi="Arial" w:cs="Arial"/>
                <w:sz w:val="22"/>
                <w:szCs w:val="22"/>
              </w:rPr>
              <w:t>S85</w:t>
            </w:r>
            <w:r w:rsidRPr="00A44305">
              <w:rPr>
                <w:rFonts w:ascii="Arial" w:hAnsi="Arial" w:cs="Arial"/>
                <w:sz w:val="22"/>
                <w:szCs w:val="22"/>
              </w:rPr>
              <w:t xml:space="preserve"> drugs, by general/concessional status</w:t>
            </w:r>
          </w:p>
        </w:tc>
      </w:tr>
      <w:tr w:rsidR="009B075E" w:rsidRPr="00A44305" w:rsidTr="006A11AD">
        <w:trPr>
          <w:trHeight w:val="4482"/>
          <w:jc w:val="center"/>
        </w:trPr>
        <w:tc>
          <w:tcPr>
            <w:tcW w:w="9248" w:type="dxa"/>
            <w:tcBorders>
              <w:top w:val="single" w:sz="4" w:space="0" w:color="auto"/>
              <w:left w:val="single" w:sz="4" w:space="0" w:color="auto"/>
              <w:bottom w:val="single" w:sz="4" w:space="0" w:color="auto"/>
              <w:right w:val="single" w:sz="4" w:space="0" w:color="auto"/>
            </w:tcBorders>
            <w:vAlign w:val="center"/>
          </w:tcPr>
          <w:p w:rsidR="009B075E" w:rsidRPr="00A44305" w:rsidRDefault="005E0A95" w:rsidP="00C02B50">
            <w:pPr>
              <w:tabs>
                <w:tab w:val="left" w:pos="4708"/>
              </w:tabs>
              <w:jc w:val="center"/>
              <w:rPr>
                <w:rFonts w:ascii="Arial" w:hAnsi="Arial" w:cs="Arial"/>
                <w:b/>
                <w:bCs/>
                <w:highlight w:val="green"/>
              </w:rPr>
            </w:pPr>
            <w:r>
              <w:rPr>
                <w:rFonts w:ascii="Arial" w:hAnsi="Arial" w:cs="Arial"/>
                <w:b/>
                <w:noProof/>
                <w:lang w:eastAsia="en-AU"/>
              </w:rPr>
              <w:drawing>
                <wp:inline distT="0" distB="0" distL="0" distR="0" wp14:anchorId="0B95D990" wp14:editId="0EC816CC">
                  <wp:extent cx="5296535" cy="2863850"/>
                  <wp:effectExtent l="0" t="0" r="0" b="0"/>
                  <wp:docPr id="11" name="Picture 11" descr="Contribution to total growth in Government expenditure on S85 drugs, by general/concessional status" title="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t="12775" b="5098"/>
                          <a:stretch>
                            <a:fillRect/>
                          </a:stretch>
                        </pic:blipFill>
                        <pic:spPr bwMode="auto">
                          <a:xfrm>
                            <a:off x="0" y="0"/>
                            <a:ext cx="5296535" cy="2863850"/>
                          </a:xfrm>
                          <a:prstGeom prst="rect">
                            <a:avLst/>
                          </a:prstGeom>
                          <a:noFill/>
                          <a:ln w="9525">
                            <a:noFill/>
                            <a:miter lim="800000"/>
                            <a:headEnd/>
                            <a:tailEnd/>
                          </a:ln>
                        </pic:spPr>
                      </pic:pic>
                    </a:graphicData>
                  </a:graphic>
                </wp:inline>
              </w:drawing>
            </w:r>
          </w:p>
        </w:tc>
      </w:tr>
    </w:tbl>
    <w:p w:rsidR="009B075E" w:rsidRDefault="009B075E" w:rsidP="00BF5D4B">
      <w:pPr>
        <w:spacing w:before="120" w:after="120"/>
        <w:rPr>
          <w:rFonts w:ascii="Arial" w:hAnsi="Arial" w:cs="Arial"/>
        </w:rPr>
      </w:pPr>
    </w:p>
    <w:p w:rsidR="009B075E" w:rsidRDefault="009B075E" w:rsidP="00BF5D4B">
      <w:pPr>
        <w:spacing w:before="120" w:after="120"/>
        <w:rPr>
          <w:rFonts w:ascii="Arial" w:hAnsi="Arial" w:cs="Arial"/>
        </w:rPr>
      </w:pPr>
      <w:r>
        <w:rPr>
          <w:rFonts w:ascii="Arial" w:hAnsi="Arial" w:cs="Arial"/>
        </w:rPr>
        <w:t>Figure 11 also shows that the contribution of concessional co-pay patients dropped between 2009-10 and 2010-11 from 68.2% to 48.2% while the contribution of concessional safety net patients rose sharply from 9.6% to 23.3%</w:t>
      </w:r>
      <w:r w:rsidR="00671229">
        <w:rPr>
          <w:rFonts w:ascii="Arial" w:hAnsi="Arial" w:cs="Arial"/>
        </w:rPr>
        <w:t>.  This is not fully explained by the modest 2.9% increase in the number of concessional patients reaching the safety net in 2010-11 compared to 2009-10</w:t>
      </w:r>
      <w:r>
        <w:rPr>
          <w:rFonts w:ascii="Arial" w:hAnsi="Arial" w:cs="Arial"/>
        </w:rPr>
        <w:t xml:space="preserve">.  </w:t>
      </w:r>
      <w:r w:rsidRPr="002C4FB4">
        <w:rPr>
          <w:rFonts w:ascii="Arial" w:hAnsi="Arial" w:cs="Arial"/>
        </w:rPr>
        <w:t xml:space="preserve"> </w:t>
      </w:r>
      <w:r w:rsidR="00671229">
        <w:rPr>
          <w:rFonts w:ascii="Arial" w:hAnsi="Arial" w:cs="Arial"/>
        </w:rPr>
        <w:t>However, the DWG could undertake further work to examine whether patients reached the safety net faster in 20010-11 compared to 2009-10.</w:t>
      </w:r>
    </w:p>
    <w:p w:rsidR="009B075E" w:rsidRDefault="009B075E" w:rsidP="0086442F">
      <w:pPr>
        <w:spacing w:before="120" w:after="120"/>
        <w:rPr>
          <w:rFonts w:ascii="Arial" w:hAnsi="Arial" w:cs="Arial"/>
        </w:rPr>
      </w:pPr>
      <w:r>
        <w:rPr>
          <w:rFonts w:ascii="Arial" w:hAnsi="Arial" w:cs="Arial"/>
        </w:rPr>
        <w:t>A</w:t>
      </w:r>
      <w:r w:rsidRPr="00A44305">
        <w:rPr>
          <w:rFonts w:ascii="Arial" w:hAnsi="Arial" w:cs="Arial"/>
        </w:rPr>
        <w:t xml:space="preserve">s shown in </w:t>
      </w:r>
      <w:r w:rsidR="00154097">
        <w:fldChar w:fldCharType="begin"/>
      </w:r>
      <w:r w:rsidR="00154097">
        <w:instrText xml:space="preserve"> REF _Ref297748151 \h  \* MERGEFORMAT </w:instrText>
      </w:r>
      <w:r w:rsidR="00154097">
        <w:fldChar w:fldCharType="separate"/>
      </w:r>
      <w:r w:rsidR="00584343" w:rsidRPr="00A44305">
        <w:rPr>
          <w:rFonts w:ascii="Arial" w:hAnsi="Arial" w:cs="Arial"/>
        </w:rPr>
        <w:t xml:space="preserve">Figure </w:t>
      </w:r>
      <w:r w:rsidR="00584343">
        <w:rPr>
          <w:rFonts w:ascii="Arial" w:hAnsi="Arial" w:cs="Arial"/>
          <w:noProof/>
        </w:rPr>
        <w:t>13</w:t>
      </w:r>
      <w:r w:rsidR="00154097">
        <w:fldChar w:fldCharType="end"/>
      </w:r>
      <w:r w:rsidRPr="00A44305">
        <w:rPr>
          <w:rFonts w:ascii="Arial" w:hAnsi="Arial" w:cs="Arial"/>
        </w:rPr>
        <w:t>,</w:t>
      </w:r>
      <w:r>
        <w:rPr>
          <w:rFonts w:ascii="Arial" w:hAnsi="Arial" w:cs="Arial"/>
        </w:rPr>
        <w:t xml:space="preserve"> </w:t>
      </w:r>
      <w:r w:rsidRPr="00A44305">
        <w:rPr>
          <w:rFonts w:ascii="Arial" w:hAnsi="Arial" w:cs="Arial"/>
        </w:rPr>
        <w:t xml:space="preserve">the </w:t>
      </w:r>
      <w:r>
        <w:rPr>
          <w:rFonts w:ascii="Arial" w:hAnsi="Arial" w:cs="Arial"/>
        </w:rPr>
        <w:t xml:space="preserve">consistent contributor to the </w:t>
      </w:r>
      <w:r w:rsidRPr="00A44305">
        <w:rPr>
          <w:rFonts w:ascii="Arial" w:hAnsi="Arial" w:cs="Arial"/>
        </w:rPr>
        <w:t>majorit</w:t>
      </w:r>
      <w:r>
        <w:rPr>
          <w:rFonts w:ascii="Arial" w:hAnsi="Arial" w:cs="Arial"/>
        </w:rPr>
        <w:t xml:space="preserve">y of PBS expenditure </w:t>
      </w:r>
      <w:r w:rsidRPr="00A44305">
        <w:rPr>
          <w:rFonts w:ascii="Arial" w:hAnsi="Arial" w:cs="Arial"/>
        </w:rPr>
        <w:t xml:space="preserve">in the time period </w:t>
      </w:r>
      <w:r w:rsidR="00671229">
        <w:rPr>
          <w:rFonts w:ascii="Arial" w:hAnsi="Arial" w:cs="Arial"/>
        </w:rPr>
        <w:t xml:space="preserve">was </w:t>
      </w:r>
      <w:r w:rsidRPr="00A44305">
        <w:rPr>
          <w:rFonts w:ascii="Arial" w:hAnsi="Arial" w:cs="Arial"/>
        </w:rPr>
        <w:t>concessional patients</w:t>
      </w:r>
      <w:r w:rsidR="00671229">
        <w:rPr>
          <w:rFonts w:ascii="Arial" w:hAnsi="Arial" w:cs="Arial"/>
        </w:rPr>
        <w:t xml:space="preserve"> (80% decreasing to 78%)</w:t>
      </w:r>
      <w:r w:rsidRPr="00A44305">
        <w:rPr>
          <w:rFonts w:ascii="Arial" w:hAnsi="Arial" w:cs="Arial"/>
        </w:rPr>
        <w:t>.  Less than a qu</w:t>
      </w:r>
      <w:r>
        <w:rPr>
          <w:rFonts w:ascii="Arial" w:hAnsi="Arial" w:cs="Arial"/>
        </w:rPr>
        <w:t xml:space="preserve">arter of all expenditure </w:t>
      </w:r>
      <w:r w:rsidRPr="00A44305">
        <w:rPr>
          <w:rFonts w:ascii="Arial" w:hAnsi="Arial" w:cs="Arial"/>
        </w:rPr>
        <w:t>in the time period was on general patients</w:t>
      </w:r>
      <w:r w:rsidR="00671229">
        <w:rPr>
          <w:rFonts w:ascii="Arial" w:hAnsi="Arial" w:cs="Arial"/>
        </w:rPr>
        <w:t xml:space="preserve"> (20% increasing to 22%)</w:t>
      </w:r>
      <w:r w:rsidRPr="00A44305">
        <w:rPr>
          <w:rFonts w:ascii="Arial" w:hAnsi="Arial" w:cs="Arial"/>
        </w:rPr>
        <w:t>.  This trend is consistent across the time period analysed</w:t>
      </w:r>
      <w:r>
        <w:rPr>
          <w:rFonts w:ascii="Arial" w:hAnsi="Arial" w:cs="Arial"/>
        </w:rPr>
        <w:t xml:space="preserve"> (2006-2011). </w:t>
      </w:r>
    </w:p>
    <w:p w:rsidR="009B075E" w:rsidRDefault="009B075E">
      <w:pPr>
        <w:spacing w:after="0" w:line="240" w:lineRule="auto"/>
        <w:rPr>
          <w:rFonts w:ascii="Arial" w:hAnsi="Arial" w:cs="Arial"/>
        </w:rPr>
      </w:pPr>
      <w:r>
        <w:rPr>
          <w:rFonts w:ascii="Arial" w:hAnsi="Arial" w:cs="Arial"/>
        </w:rPr>
        <w:br w:type="page"/>
      </w:r>
    </w:p>
    <w:p w:rsidR="009B075E" w:rsidRDefault="009B075E" w:rsidP="00FF4C6A">
      <w:pPr>
        <w:spacing w:before="120" w:after="120"/>
        <w:rPr>
          <w:rFonts w:ascii="Arial" w:hAnsi="Arial" w:cs="Arial"/>
        </w:rPr>
      </w:pPr>
    </w:p>
    <w:tbl>
      <w:tblPr>
        <w:tblW w:w="9174" w:type="dxa"/>
        <w:jc w:val="center"/>
        <w:tblInd w:w="304" w:type="dxa"/>
        <w:tblLook w:val="0000" w:firstRow="0" w:lastRow="0" w:firstColumn="0" w:lastColumn="0" w:noHBand="0" w:noVBand="0"/>
      </w:tblPr>
      <w:tblGrid>
        <w:gridCol w:w="9174"/>
      </w:tblGrid>
      <w:tr w:rsidR="009B075E" w:rsidRPr="00A44305" w:rsidTr="00521975">
        <w:trPr>
          <w:jc w:val="center"/>
        </w:trPr>
        <w:tc>
          <w:tcPr>
            <w:tcW w:w="9174" w:type="dxa"/>
            <w:tcBorders>
              <w:top w:val="single" w:sz="4" w:space="0" w:color="auto"/>
              <w:left w:val="single" w:sz="4" w:space="0" w:color="auto"/>
              <w:bottom w:val="single" w:sz="4" w:space="0" w:color="auto"/>
              <w:right w:val="single" w:sz="4" w:space="0" w:color="auto"/>
            </w:tcBorders>
            <w:vAlign w:val="center"/>
          </w:tcPr>
          <w:p w:rsidR="009B075E" w:rsidRPr="00A44305" w:rsidRDefault="009B075E" w:rsidP="00521975">
            <w:pPr>
              <w:pStyle w:val="Caption"/>
              <w:keepNext w:val="0"/>
              <w:rPr>
                <w:rFonts w:ascii="Arial" w:hAnsi="Arial" w:cs="Arial"/>
                <w:sz w:val="22"/>
                <w:szCs w:val="22"/>
                <w:highlight w:val="yellow"/>
              </w:rPr>
            </w:pPr>
            <w:bookmarkStart w:id="54" w:name="_Ref297748151"/>
            <w:r w:rsidRPr="00A44305">
              <w:rPr>
                <w:rFonts w:ascii="Arial" w:hAnsi="Arial" w:cs="Arial"/>
                <w:sz w:val="22"/>
                <w:szCs w:val="22"/>
              </w:rPr>
              <w:t xml:space="preserve">Figure </w:t>
            </w:r>
            <w:r w:rsidR="00855AAF" w:rsidRPr="00A44305">
              <w:rPr>
                <w:rFonts w:ascii="Arial" w:hAnsi="Arial" w:cs="Arial"/>
                <w:sz w:val="22"/>
                <w:szCs w:val="22"/>
              </w:rPr>
              <w:fldChar w:fldCharType="begin"/>
            </w:r>
            <w:r w:rsidRPr="00A44305">
              <w:rPr>
                <w:rFonts w:ascii="Arial" w:hAnsi="Arial" w:cs="Arial"/>
                <w:sz w:val="22"/>
                <w:szCs w:val="22"/>
              </w:rPr>
              <w:instrText xml:space="preserve"> SEQ Figure \* ARABIC </w:instrText>
            </w:r>
            <w:r w:rsidR="00855AAF" w:rsidRPr="00A44305">
              <w:rPr>
                <w:rFonts w:ascii="Arial" w:hAnsi="Arial" w:cs="Arial"/>
                <w:sz w:val="22"/>
                <w:szCs w:val="22"/>
              </w:rPr>
              <w:fldChar w:fldCharType="separate"/>
            </w:r>
            <w:r w:rsidR="00584343">
              <w:rPr>
                <w:rFonts w:ascii="Arial" w:hAnsi="Arial" w:cs="Arial"/>
                <w:noProof/>
                <w:sz w:val="22"/>
                <w:szCs w:val="22"/>
              </w:rPr>
              <w:t>13</w:t>
            </w:r>
            <w:r w:rsidR="00855AAF" w:rsidRPr="00A44305">
              <w:rPr>
                <w:rFonts w:ascii="Arial" w:hAnsi="Arial" w:cs="Arial"/>
                <w:sz w:val="22"/>
                <w:szCs w:val="22"/>
              </w:rPr>
              <w:fldChar w:fldCharType="end"/>
            </w:r>
            <w:bookmarkEnd w:id="54"/>
            <w:r w:rsidRPr="00A44305">
              <w:rPr>
                <w:rFonts w:ascii="Arial" w:hAnsi="Arial" w:cs="Arial"/>
                <w:sz w:val="22"/>
                <w:szCs w:val="22"/>
              </w:rPr>
              <w:t xml:space="preserve">: Trends in Government expenditure on </w:t>
            </w:r>
            <w:r>
              <w:rPr>
                <w:rFonts w:ascii="Arial" w:hAnsi="Arial" w:cs="Arial"/>
                <w:sz w:val="22"/>
                <w:szCs w:val="22"/>
              </w:rPr>
              <w:t>S85</w:t>
            </w:r>
            <w:r w:rsidRPr="00A44305">
              <w:rPr>
                <w:rFonts w:ascii="Arial" w:hAnsi="Arial" w:cs="Arial"/>
                <w:sz w:val="22"/>
                <w:szCs w:val="22"/>
              </w:rPr>
              <w:t xml:space="preserve"> drugs</w:t>
            </w:r>
            <w:r w:rsidRPr="00A44305">
              <w:rPr>
                <w:rFonts w:ascii="Arial" w:hAnsi="Arial" w:cs="Arial"/>
                <w:sz w:val="22"/>
                <w:szCs w:val="22"/>
              </w:rPr>
              <w:br/>
              <w:t>by general/concessional status</w:t>
            </w:r>
          </w:p>
        </w:tc>
      </w:tr>
      <w:tr w:rsidR="009B075E" w:rsidRPr="00A44305" w:rsidTr="00521975">
        <w:trPr>
          <w:trHeight w:val="4363"/>
          <w:jc w:val="center"/>
        </w:trPr>
        <w:tc>
          <w:tcPr>
            <w:tcW w:w="9174" w:type="dxa"/>
            <w:tcBorders>
              <w:top w:val="single" w:sz="4" w:space="0" w:color="auto"/>
              <w:left w:val="single" w:sz="4" w:space="0" w:color="auto"/>
              <w:bottom w:val="single" w:sz="4" w:space="0" w:color="auto"/>
              <w:right w:val="single" w:sz="4" w:space="0" w:color="auto"/>
            </w:tcBorders>
            <w:vAlign w:val="center"/>
          </w:tcPr>
          <w:p w:rsidR="009B075E" w:rsidRPr="00A44305" w:rsidRDefault="005E0A95" w:rsidP="00521975">
            <w:pPr>
              <w:tabs>
                <w:tab w:val="left" w:pos="4708"/>
              </w:tabs>
              <w:jc w:val="center"/>
              <w:rPr>
                <w:rFonts w:ascii="Arial" w:hAnsi="Arial" w:cs="Arial"/>
                <w:b/>
                <w:bCs/>
                <w:highlight w:val="yellow"/>
              </w:rPr>
            </w:pPr>
            <w:r>
              <w:rPr>
                <w:rFonts w:ascii="Arial" w:hAnsi="Arial" w:cs="Arial"/>
                <w:b/>
                <w:noProof/>
                <w:lang w:eastAsia="en-AU"/>
              </w:rPr>
              <w:drawing>
                <wp:inline distT="0" distB="0" distL="0" distR="0" wp14:anchorId="2D1F4D67" wp14:editId="24E93239">
                  <wp:extent cx="4934585" cy="2527300"/>
                  <wp:effectExtent l="0" t="0" r="0" b="6350"/>
                  <wp:docPr id="12" name="Picture 12" descr="Trends in Government expenditure on S85 drugs&#10;by general/concessional status&#10;" title="Fig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srcRect t="11855" b="5751"/>
                          <a:stretch>
                            <a:fillRect/>
                          </a:stretch>
                        </pic:blipFill>
                        <pic:spPr bwMode="auto">
                          <a:xfrm>
                            <a:off x="0" y="0"/>
                            <a:ext cx="4934585" cy="2527300"/>
                          </a:xfrm>
                          <a:prstGeom prst="rect">
                            <a:avLst/>
                          </a:prstGeom>
                          <a:noFill/>
                          <a:ln w="9525">
                            <a:noFill/>
                            <a:miter lim="800000"/>
                            <a:headEnd/>
                            <a:tailEnd/>
                          </a:ln>
                        </pic:spPr>
                      </pic:pic>
                    </a:graphicData>
                  </a:graphic>
                </wp:inline>
              </w:drawing>
            </w:r>
          </w:p>
        </w:tc>
      </w:tr>
    </w:tbl>
    <w:p w:rsidR="009B075E" w:rsidRDefault="009B075E">
      <w:pPr>
        <w:spacing w:after="0" w:line="240" w:lineRule="auto"/>
        <w:rPr>
          <w:rFonts w:ascii="Arial" w:hAnsi="Arial" w:cs="Arial"/>
          <w:b/>
          <w:bCs/>
          <w:color w:val="365F91"/>
          <w:sz w:val="24"/>
          <w:szCs w:val="24"/>
        </w:rPr>
      </w:pPr>
    </w:p>
    <w:p w:rsidR="009B075E" w:rsidRDefault="009B075E">
      <w:pPr>
        <w:spacing w:after="0" w:line="240" w:lineRule="auto"/>
        <w:rPr>
          <w:rFonts w:ascii="Arial" w:hAnsi="Arial" w:cs="Arial"/>
          <w:sz w:val="24"/>
          <w:szCs w:val="24"/>
        </w:rPr>
      </w:pPr>
      <w:r>
        <w:rPr>
          <w:rFonts w:ascii="Arial" w:hAnsi="Arial" w:cs="Arial"/>
          <w:sz w:val="24"/>
          <w:szCs w:val="24"/>
        </w:rPr>
        <w:br w:type="page"/>
      </w:r>
    </w:p>
    <w:p w:rsidR="009B075E" w:rsidRDefault="009B075E">
      <w:pPr>
        <w:spacing w:after="0" w:line="240" w:lineRule="auto"/>
        <w:rPr>
          <w:rFonts w:ascii="Arial" w:hAnsi="Arial" w:cs="Arial"/>
          <w:b/>
          <w:bCs/>
          <w:color w:val="365F91"/>
          <w:sz w:val="24"/>
          <w:szCs w:val="24"/>
        </w:rPr>
      </w:pPr>
    </w:p>
    <w:p w:rsidR="009B075E" w:rsidRPr="00BD75F0" w:rsidRDefault="009B075E" w:rsidP="00FF4C6A">
      <w:pPr>
        <w:pStyle w:val="Heading1"/>
        <w:rPr>
          <w:rFonts w:ascii="Arial" w:hAnsi="Arial" w:cs="Arial"/>
          <w:sz w:val="24"/>
          <w:szCs w:val="24"/>
        </w:rPr>
      </w:pPr>
      <w:bookmarkStart w:id="55" w:name="_Toc337033194"/>
      <w:bookmarkStart w:id="56" w:name="_Toc357174839"/>
      <w:r w:rsidRPr="00BD75F0">
        <w:rPr>
          <w:rFonts w:ascii="Arial" w:hAnsi="Arial" w:cs="Arial"/>
          <w:sz w:val="24"/>
          <w:szCs w:val="24"/>
        </w:rPr>
        <w:t>Trends in patient contribution</w:t>
      </w:r>
      <w:bookmarkEnd w:id="49"/>
      <w:r w:rsidRPr="00BD75F0">
        <w:rPr>
          <w:rFonts w:ascii="Arial" w:hAnsi="Arial" w:cs="Arial"/>
          <w:sz w:val="24"/>
          <w:szCs w:val="24"/>
        </w:rPr>
        <w:t xml:space="preserve"> </w:t>
      </w:r>
      <w:r>
        <w:rPr>
          <w:rFonts w:ascii="Arial" w:hAnsi="Arial" w:cs="Arial"/>
          <w:sz w:val="24"/>
          <w:szCs w:val="24"/>
        </w:rPr>
        <w:t>(2006-2011)</w:t>
      </w:r>
      <w:bookmarkEnd w:id="55"/>
      <w:bookmarkEnd w:id="56"/>
    </w:p>
    <w:p w:rsidR="009B075E" w:rsidRPr="00BD75F0" w:rsidRDefault="009B075E" w:rsidP="00CE5D69">
      <w:pPr>
        <w:spacing w:before="240" w:after="120"/>
        <w:rPr>
          <w:rFonts w:ascii="Arial" w:hAnsi="Arial" w:cs="Arial"/>
        </w:rPr>
      </w:pPr>
      <w:r w:rsidRPr="00BD75F0">
        <w:rPr>
          <w:rFonts w:ascii="Arial" w:hAnsi="Arial" w:cs="Arial"/>
        </w:rPr>
        <w:t xml:space="preserve">(reference Appendix 2: </w:t>
      </w:r>
      <w:r w:rsidR="00855AAF">
        <w:rPr>
          <w:rFonts w:ascii="Arial" w:hAnsi="Arial" w:cs="Arial"/>
        </w:rPr>
        <w:fldChar w:fldCharType="begin"/>
      </w:r>
      <w:r>
        <w:rPr>
          <w:rFonts w:ascii="Arial" w:hAnsi="Arial" w:cs="Arial"/>
        </w:rPr>
        <w:instrText xml:space="preserve"> REF _Ref301528899 \h </w:instrText>
      </w:r>
      <w:r w:rsidR="00855AAF">
        <w:rPr>
          <w:rFonts w:ascii="Arial" w:hAnsi="Arial" w:cs="Arial"/>
        </w:rPr>
      </w:r>
      <w:r w:rsidR="00855AAF">
        <w:rPr>
          <w:rFonts w:ascii="Arial" w:hAnsi="Arial" w:cs="Arial"/>
        </w:rPr>
        <w:fldChar w:fldCharType="separate"/>
      </w:r>
      <w:r w:rsidR="00584343" w:rsidRPr="00F527AE">
        <w:rPr>
          <w:rFonts w:ascii="Arial" w:hAnsi="Arial" w:cs="Arial"/>
        </w:rPr>
        <w:t xml:space="preserve">Table </w:t>
      </w:r>
      <w:r w:rsidR="00584343">
        <w:rPr>
          <w:rFonts w:ascii="Arial" w:hAnsi="Arial" w:cs="Arial"/>
          <w:noProof/>
        </w:rPr>
        <w:t>17</w:t>
      </w:r>
      <w:r w:rsidR="00855AAF">
        <w:rPr>
          <w:rFonts w:ascii="Arial" w:hAnsi="Arial" w:cs="Arial"/>
        </w:rPr>
        <w:fldChar w:fldCharType="end"/>
      </w:r>
      <w:r>
        <w:rPr>
          <w:rFonts w:ascii="Arial" w:hAnsi="Arial" w:cs="Arial"/>
        </w:rPr>
        <w:t>)</w:t>
      </w:r>
    </w:p>
    <w:p w:rsidR="009B075E" w:rsidRPr="00BD75F0" w:rsidRDefault="009B075E" w:rsidP="00CE5D69">
      <w:pPr>
        <w:spacing w:before="240" w:after="120"/>
        <w:rPr>
          <w:rFonts w:ascii="Arial" w:hAnsi="Arial" w:cs="Arial"/>
        </w:rPr>
      </w:pPr>
      <w:r w:rsidRPr="00BD75F0">
        <w:rPr>
          <w:rFonts w:ascii="Arial" w:hAnsi="Arial" w:cs="Arial"/>
        </w:rPr>
        <w:t xml:space="preserve">The DWG analysed the trends in patient contribution in the time period between 2006 and 2011.  It is important to note here that the following analysis looks at overall </w:t>
      </w:r>
      <w:r w:rsidR="00783278">
        <w:rPr>
          <w:rFonts w:ascii="Arial" w:hAnsi="Arial" w:cs="Arial"/>
        </w:rPr>
        <w:t xml:space="preserve">expenditure on </w:t>
      </w:r>
      <w:r w:rsidR="00671229">
        <w:rPr>
          <w:rFonts w:ascii="Arial" w:hAnsi="Arial" w:cs="Arial"/>
        </w:rPr>
        <w:t xml:space="preserve">S85 </w:t>
      </w:r>
      <w:r w:rsidR="00783278">
        <w:rPr>
          <w:rFonts w:ascii="Arial" w:hAnsi="Arial" w:cs="Arial"/>
        </w:rPr>
        <w:t xml:space="preserve">PBS subsidised medicines </w:t>
      </w:r>
      <w:r w:rsidRPr="00BD75F0">
        <w:rPr>
          <w:rFonts w:ascii="Arial" w:hAnsi="Arial" w:cs="Arial"/>
        </w:rPr>
        <w:t xml:space="preserve">which comprises both Government expenditure and patient contribution.  The following analysis does not include patient contributions towards medicines that are below the general co-payment as this data is not available. Overall, the Government contributes to the </w:t>
      </w:r>
      <w:r w:rsidR="00783278">
        <w:rPr>
          <w:rFonts w:ascii="Arial" w:hAnsi="Arial" w:cs="Arial"/>
        </w:rPr>
        <w:t xml:space="preserve">great </w:t>
      </w:r>
      <w:r w:rsidRPr="00BD75F0">
        <w:rPr>
          <w:rFonts w:ascii="Arial" w:hAnsi="Arial" w:cs="Arial"/>
        </w:rPr>
        <w:t xml:space="preserve">majority of expenditure </w:t>
      </w:r>
      <w:r w:rsidR="00783278">
        <w:rPr>
          <w:rFonts w:ascii="Arial" w:hAnsi="Arial" w:cs="Arial"/>
        </w:rPr>
        <w:t xml:space="preserve">on PBS subsidised medicines </w:t>
      </w:r>
      <w:r w:rsidRPr="00BD75F0">
        <w:rPr>
          <w:rFonts w:ascii="Arial" w:hAnsi="Arial" w:cs="Arial"/>
        </w:rPr>
        <w:t xml:space="preserve">for concessional patients (see </w:t>
      </w:r>
      <w:r w:rsidR="00154097">
        <w:fldChar w:fldCharType="begin"/>
      </w:r>
      <w:r w:rsidR="00154097">
        <w:instrText xml:space="preserve"> REF _Ref297817629 \h  \* MERGEFORMAT </w:instrText>
      </w:r>
      <w:r w:rsidR="00154097">
        <w:fldChar w:fldCharType="separate"/>
      </w:r>
      <w:r w:rsidR="00584343" w:rsidRPr="00BD75F0">
        <w:rPr>
          <w:rFonts w:ascii="Arial" w:hAnsi="Arial" w:cs="Arial"/>
        </w:rPr>
        <w:t xml:space="preserve">Figure </w:t>
      </w:r>
      <w:r w:rsidR="00584343">
        <w:rPr>
          <w:rFonts w:ascii="Arial" w:hAnsi="Arial" w:cs="Arial"/>
          <w:noProof/>
        </w:rPr>
        <w:t>14</w:t>
      </w:r>
      <w:r w:rsidR="00154097">
        <w:fldChar w:fldCharType="end"/>
      </w:r>
      <w:r w:rsidRPr="00BD75F0">
        <w:rPr>
          <w:rFonts w:ascii="Arial" w:hAnsi="Arial" w:cs="Arial"/>
        </w:rPr>
        <w:t xml:space="preserve">) and up to two-third of </w:t>
      </w:r>
      <w:r w:rsidR="00783278">
        <w:rPr>
          <w:rFonts w:ascii="Arial" w:hAnsi="Arial" w:cs="Arial"/>
        </w:rPr>
        <w:t>such</w:t>
      </w:r>
      <w:r w:rsidRPr="00BD75F0">
        <w:rPr>
          <w:rFonts w:ascii="Arial" w:hAnsi="Arial" w:cs="Arial"/>
        </w:rPr>
        <w:t xml:space="preserve"> expenditure on medicines for general patients (see </w:t>
      </w:r>
      <w:r w:rsidR="00154097">
        <w:fldChar w:fldCharType="begin"/>
      </w:r>
      <w:r w:rsidR="00154097">
        <w:instrText xml:space="preserve"> REF _Ref298141209 \h  \* MERGEFORMAT </w:instrText>
      </w:r>
      <w:r w:rsidR="00154097">
        <w:fldChar w:fldCharType="separate"/>
      </w:r>
      <w:r w:rsidR="00584343" w:rsidRPr="00BD75F0">
        <w:rPr>
          <w:rFonts w:ascii="Arial" w:hAnsi="Arial" w:cs="Arial"/>
        </w:rPr>
        <w:t xml:space="preserve">Figure </w:t>
      </w:r>
      <w:r w:rsidR="00584343">
        <w:rPr>
          <w:rFonts w:ascii="Arial" w:hAnsi="Arial" w:cs="Arial"/>
          <w:noProof/>
        </w:rPr>
        <w:t>15</w:t>
      </w:r>
      <w:r w:rsidR="00154097">
        <w:fldChar w:fldCharType="end"/>
      </w:r>
      <w:r w:rsidRPr="00BD75F0">
        <w:rPr>
          <w:rFonts w:ascii="Arial" w:hAnsi="Arial" w:cs="Arial"/>
        </w:rPr>
        <w:t xml:space="preserve">).  </w:t>
      </w:r>
    </w:p>
    <w:tbl>
      <w:tblPr>
        <w:tblpPr w:leftFromText="180" w:rightFromText="180" w:vertAnchor="text" w:horzAnchor="margin" w:tblpY="172"/>
        <w:tblW w:w="9193" w:type="dxa"/>
        <w:tblLook w:val="0000" w:firstRow="0" w:lastRow="0" w:firstColumn="0" w:lastColumn="0" w:noHBand="0" w:noVBand="0"/>
      </w:tblPr>
      <w:tblGrid>
        <w:gridCol w:w="9193"/>
      </w:tblGrid>
      <w:tr w:rsidR="009B075E" w:rsidRPr="00BD75F0" w:rsidTr="00521975">
        <w:tc>
          <w:tcPr>
            <w:tcW w:w="9193" w:type="dxa"/>
            <w:tcBorders>
              <w:top w:val="single" w:sz="4" w:space="0" w:color="auto"/>
              <w:left w:val="single" w:sz="4" w:space="0" w:color="auto"/>
              <w:bottom w:val="single" w:sz="4" w:space="0" w:color="auto"/>
              <w:right w:val="single" w:sz="4" w:space="0" w:color="auto"/>
            </w:tcBorders>
            <w:vAlign w:val="center"/>
          </w:tcPr>
          <w:p w:rsidR="009B075E" w:rsidRPr="00BD75F0" w:rsidRDefault="009B075E" w:rsidP="00521975">
            <w:pPr>
              <w:pStyle w:val="Caption"/>
              <w:keepNext w:val="0"/>
              <w:rPr>
                <w:rFonts w:ascii="Arial" w:hAnsi="Arial" w:cs="Arial"/>
                <w:sz w:val="22"/>
                <w:szCs w:val="22"/>
              </w:rPr>
            </w:pPr>
            <w:bookmarkStart w:id="57" w:name="_Ref297817629"/>
            <w:r w:rsidRPr="00BD75F0">
              <w:rPr>
                <w:rFonts w:ascii="Arial" w:hAnsi="Arial" w:cs="Arial"/>
                <w:sz w:val="22"/>
                <w:szCs w:val="22"/>
              </w:rPr>
              <w:t xml:space="preserve">Figure </w:t>
            </w:r>
            <w:r w:rsidR="00855AAF" w:rsidRPr="00BD75F0">
              <w:rPr>
                <w:rFonts w:ascii="Arial" w:hAnsi="Arial" w:cs="Arial"/>
                <w:sz w:val="22"/>
                <w:szCs w:val="22"/>
              </w:rPr>
              <w:fldChar w:fldCharType="begin"/>
            </w:r>
            <w:r w:rsidRPr="00BD75F0">
              <w:rPr>
                <w:rFonts w:ascii="Arial" w:hAnsi="Arial" w:cs="Arial"/>
                <w:sz w:val="22"/>
                <w:szCs w:val="22"/>
              </w:rPr>
              <w:instrText xml:space="preserve"> SEQ Figure \* ARABIC </w:instrText>
            </w:r>
            <w:r w:rsidR="00855AAF" w:rsidRPr="00BD75F0">
              <w:rPr>
                <w:rFonts w:ascii="Arial" w:hAnsi="Arial" w:cs="Arial"/>
                <w:sz w:val="22"/>
                <w:szCs w:val="22"/>
              </w:rPr>
              <w:fldChar w:fldCharType="separate"/>
            </w:r>
            <w:r w:rsidR="00584343">
              <w:rPr>
                <w:rFonts w:ascii="Arial" w:hAnsi="Arial" w:cs="Arial"/>
                <w:noProof/>
                <w:sz w:val="22"/>
                <w:szCs w:val="22"/>
              </w:rPr>
              <w:t>14</w:t>
            </w:r>
            <w:r w:rsidR="00855AAF" w:rsidRPr="00BD75F0">
              <w:rPr>
                <w:rFonts w:ascii="Arial" w:hAnsi="Arial" w:cs="Arial"/>
                <w:sz w:val="22"/>
                <w:szCs w:val="22"/>
              </w:rPr>
              <w:fldChar w:fldCharType="end"/>
            </w:r>
            <w:bookmarkEnd w:id="57"/>
            <w:r w:rsidRPr="00BD75F0">
              <w:rPr>
                <w:rFonts w:ascii="Arial" w:hAnsi="Arial" w:cs="Arial"/>
                <w:sz w:val="22"/>
                <w:szCs w:val="22"/>
              </w:rPr>
              <w:t xml:space="preserve">: Trends in patient contribution and Government contribution,  </w:t>
            </w:r>
            <w:r w:rsidRPr="00BD75F0">
              <w:rPr>
                <w:rFonts w:ascii="Arial" w:hAnsi="Arial" w:cs="Arial"/>
                <w:sz w:val="22"/>
                <w:szCs w:val="22"/>
              </w:rPr>
              <w:br/>
              <w:t>for concessional patients</w:t>
            </w:r>
          </w:p>
        </w:tc>
      </w:tr>
      <w:tr w:rsidR="009B075E" w:rsidRPr="00BD75F0" w:rsidTr="00521975">
        <w:trPr>
          <w:trHeight w:val="4354"/>
        </w:trPr>
        <w:tc>
          <w:tcPr>
            <w:tcW w:w="9193" w:type="dxa"/>
            <w:tcBorders>
              <w:top w:val="single" w:sz="4" w:space="0" w:color="auto"/>
              <w:left w:val="single" w:sz="4" w:space="0" w:color="auto"/>
              <w:bottom w:val="single" w:sz="4" w:space="0" w:color="auto"/>
              <w:right w:val="single" w:sz="4" w:space="0" w:color="auto"/>
            </w:tcBorders>
            <w:vAlign w:val="center"/>
          </w:tcPr>
          <w:p w:rsidR="009B075E" w:rsidRPr="00BD75F0" w:rsidRDefault="005E0A95" w:rsidP="00521975">
            <w:pPr>
              <w:tabs>
                <w:tab w:val="left" w:pos="4708"/>
              </w:tabs>
              <w:jc w:val="center"/>
              <w:rPr>
                <w:rFonts w:ascii="Arial" w:hAnsi="Arial" w:cs="Arial"/>
                <w:b/>
                <w:bCs/>
              </w:rPr>
            </w:pPr>
            <w:r>
              <w:rPr>
                <w:rFonts w:ascii="Arial" w:hAnsi="Arial" w:cs="Arial"/>
                <w:b/>
                <w:noProof/>
                <w:lang w:eastAsia="en-AU"/>
              </w:rPr>
              <w:drawing>
                <wp:inline distT="0" distB="0" distL="0" distR="0" wp14:anchorId="21388B54" wp14:editId="1145C818">
                  <wp:extent cx="4994910" cy="3010535"/>
                  <wp:effectExtent l="0" t="0" r="0" b="0"/>
                  <wp:docPr id="13" name="Picture 5" descr="Trends in patient contribution and Government contribution, for concessional patients&#10;" title="Fig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srcRect t="6827" r="7362" b="8527"/>
                          <a:stretch>
                            <a:fillRect/>
                          </a:stretch>
                        </pic:blipFill>
                        <pic:spPr bwMode="auto">
                          <a:xfrm>
                            <a:off x="0" y="0"/>
                            <a:ext cx="4994910" cy="3010535"/>
                          </a:xfrm>
                          <a:prstGeom prst="rect">
                            <a:avLst/>
                          </a:prstGeom>
                          <a:noFill/>
                          <a:ln w="9525">
                            <a:noFill/>
                            <a:miter lim="800000"/>
                            <a:headEnd/>
                            <a:tailEnd/>
                          </a:ln>
                        </pic:spPr>
                      </pic:pic>
                    </a:graphicData>
                  </a:graphic>
                </wp:inline>
              </w:drawing>
            </w:r>
          </w:p>
        </w:tc>
      </w:tr>
    </w:tbl>
    <w:p w:rsidR="009B075E" w:rsidRPr="00BD75F0" w:rsidRDefault="009B075E" w:rsidP="007356D4">
      <w:pPr>
        <w:spacing w:before="360" w:after="120"/>
        <w:rPr>
          <w:rFonts w:ascii="Arial" w:hAnsi="Arial" w:cs="Arial"/>
        </w:rPr>
      </w:pPr>
      <w:r w:rsidRPr="00BD75F0">
        <w:rPr>
          <w:rFonts w:ascii="Arial" w:hAnsi="Arial" w:cs="Arial"/>
        </w:rPr>
        <w:t>Between 2006-07 and 2010-11 the level of patient contribution has remained relatively flat, increasing marginally, while at the same time the level of government contribution has increased sharply both for concessional and general</w:t>
      </w:r>
      <w:r>
        <w:rPr>
          <w:rFonts w:ascii="Arial" w:hAnsi="Arial" w:cs="Arial"/>
        </w:rPr>
        <w:t xml:space="preserve"> patients</w:t>
      </w:r>
      <w:r w:rsidRPr="00BD75F0">
        <w:rPr>
          <w:rFonts w:ascii="Arial" w:hAnsi="Arial" w:cs="Arial"/>
        </w:rPr>
        <w:t>.</w:t>
      </w:r>
      <w:r>
        <w:rPr>
          <w:rFonts w:ascii="Arial" w:hAnsi="Arial" w:cs="Arial"/>
        </w:rPr>
        <w:t xml:space="preserve"> </w:t>
      </w:r>
    </w:p>
    <w:p w:rsidR="009B075E" w:rsidRDefault="009B075E" w:rsidP="00CE5D69">
      <w:pPr>
        <w:rPr>
          <w:rFonts w:ascii="Arial" w:hAnsi="Arial" w:cs="Arial"/>
        </w:rPr>
      </w:pPr>
    </w:p>
    <w:p w:rsidR="009B075E" w:rsidRPr="00BD75F0" w:rsidRDefault="009B075E" w:rsidP="00CE5D69">
      <w:pPr>
        <w:rPr>
          <w:rFonts w:ascii="Arial" w:hAnsi="Arial" w:cs="Arial"/>
        </w:rPr>
      </w:pPr>
      <w:r w:rsidRPr="00BD75F0">
        <w:rPr>
          <w:rFonts w:ascii="Arial" w:hAnsi="Arial" w:cs="Arial"/>
        </w:rPr>
        <w:br w:type="page"/>
      </w:r>
    </w:p>
    <w:tbl>
      <w:tblPr>
        <w:tblW w:w="9193" w:type="dxa"/>
        <w:jc w:val="center"/>
        <w:tblInd w:w="392" w:type="dxa"/>
        <w:tblLook w:val="0000" w:firstRow="0" w:lastRow="0" w:firstColumn="0" w:lastColumn="0" w:noHBand="0" w:noVBand="0"/>
      </w:tblPr>
      <w:tblGrid>
        <w:gridCol w:w="9193"/>
      </w:tblGrid>
      <w:tr w:rsidR="009B075E" w:rsidRPr="00BD75F0" w:rsidTr="00521975">
        <w:trPr>
          <w:jc w:val="center"/>
        </w:trPr>
        <w:tc>
          <w:tcPr>
            <w:tcW w:w="9193" w:type="dxa"/>
            <w:tcBorders>
              <w:top w:val="single" w:sz="4" w:space="0" w:color="auto"/>
              <w:left w:val="single" w:sz="4" w:space="0" w:color="auto"/>
              <w:bottom w:val="single" w:sz="4" w:space="0" w:color="auto"/>
              <w:right w:val="single" w:sz="4" w:space="0" w:color="auto"/>
            </w:tcBorders>
            <w:vAlign w:val="center"/>
          </w:tcPr>
          <w:p w:rsidR="009B075E" w:rsidRPr="00BD75F0" w:rsidRDefault="009B075E" w:rsidP="00521975">
            <w:pPr>
              <w:pStyle w:val="Caption"/>
              <w:keepNext w:val="0"/>
              <w:rPr>
                <w:rFonts w:ascii="Arial" w:hAnsi="Arial" w:cs="Arial"/>
                <w:sz w:val="22"/>
                <w:szCs w:val="22"/>
              </w:rPr>
            </w:pPr>
            <w:r w:rsidRPr="00BD75F0">
              <w:rPr>
                <w:rFonts w:ascii="Arial" w:hAnsi="Arial" w:cs="Arial"/>
                <w:sz w:val="2"/>
                <w:szCs w:val="2"/>
              </w:rPr>
              <w:lastRenderedPageBreak/>
              <w:br w:type="page"/>
            </w:r>
            <w:bookmarkStart w:id="58" w:name="_Ref298141209"/>
            <w:r w:rsidRPr="00BD75F0">
              <w:rPr>
                <w:rFonts w:ascii="Arial" w:hAnsi="Arial" w:cs="Arial"/>
                <w:sz w:val="22"/>
                <w:szCs w:val="22"/>
              </w:rPr>
              <w:t xml:space="preserve">Figure </w:t>
            </w:r>
            <w:r w:rsidR="00855AAF" w:rsidRPr="00BD75F0">
              <w:rPr>
                <w:rFonts w:ascii="Arial" w:hAnsi="Arial" w:cs="Arial"/>
                <w:sz w:val="22"/>
                <w:szCs w:val="22"/>
              </w:rPr>
              <w:fldChar w:fldCharType="begin"/>
            </w:r>
            <w:r w:rsidRPr="00BD75F0">
              <w:rPr>
                <w:rFonts w:ascii="Arial" w:hAnsi="Arial" w:cs="Arial"/>
                <w:sz w:val="22"/>
                <w:szCs w:val="22"/>
              </w:rPr>
              <w:instrText xml:space="preserve"> SEQ Figure \* ARABIC </w:instrText>
            </w:r>
            <w:r w:rsidR="00855AAF" w:rsidRPr="00BD75F0">
              <w:rPr>
                <w:rFonts w:ascii="Arial" w:hAnsi="Arial" w:cs="Arial"/>
                <w:sz w:val="22"/>
                <w:szCs w:val="22"/>
              </w:rPr>
              <w:fldChar w:fldCharType="separate"/>
            </w:r>
            <w:r w:rsidR="00584343">
              <w:rPr>
                <w:rFonts w:ascii="Arial" w:hAnsi="Arial" w:cs="Arial"/>
                <w:noProof/>
                <w:sz w:val="22"/>
                <w:szCs w:val="22"/>
              </w:rPr>
              <w:t>15</w:t>
            </w:r>
            <w:r w:rsidR="00855AAF" w:rsidRPr="00BD75F0">
              <w:rPr>
                <w:rFonts w:ascii="Arial" w:hAnsi="Arial" w:cs="Arial"/>
                <w:sz w:val="22"/>
                <w:szCs w:val="22"/>
              </w:rPr>
              <w:fldChar w:fldCharType="end"/>
            </w:r>
            <w:bookmarkEnd w:id="58"/>
            <w:r w:rsidRPr="00BD75F0">
              <w:rPr>
                <w:rFonts w:ascii="Arial" w:hAnsi="Arial" w:cs="Arial"/>
                <w:sz w:val="22"/>
                <w:szCs w:val="22"/>
              </w:rPr>
              <w:t xml:space="preserve">: Trends in patient contribution and Government contribution,  </w:t>
            </w:r>
            <w:r w:rsidRPr="00BD75F0">
              <w:rPr>
                <w:rFonts w:ascii="Arial" w:hAnsi="Arial" w:cs="Arial"/>
                <w:sz w:val="22"/>
                <w:szCs w:val="22"/>
              </w:rPr>
              <w:br/>
              <w:t>for general patients</w:t>
            </w:r>
          </w:p>
        </w:tc>
      </w:tr>
      <w:tr w:rsidR="009B075E" w:rsidRPr="00BD75F0" w:rsidTr="00521975">
        <w:trPr>
          <w:trHeight w:val="4308"/>
          <w:jc w:val="center"/>
        </w:trPr>
        <w:tc>
          <w:tcPr>
            <w:tcW w:w="9193" w:type="dxa"/>
            <w:tcBorders>
              <w:top w:val="single" w:sz="4" w:space="0" w:color="auto"/>
              <w:left w:val="single" w:sz="4" w:space="0" w:color="auto"/>
              <w:bottom w:val="single" w:sz="4" w:space="0" w:color="auto"/>
              <w:right w:val="single" w:sz="4" w:space="0" w:color="auto"/>
            </w:tcBorders>
            <w:vAlign w:val="center"/>
          </w:tcPr>
          <w:p w:rsidR="009B075E" w:rsidRPr="00BD75F0" w:rsidRDefault="005E0A95" w:rsidP="00521975">
            <w:pPr>
              <w:tabs>
                <w:tab w:val="left" w:pos="4708"/>
              </w:tabs>
              <w:jc w:val="center"/>
              <w:rPr>
                <w:rFonts w:ascii="Arial" w:hAnsi="Arial" w:cs="Arial"/>
                <w:b/>
                <w:bCs/>
              </w:rPr>
            </w:pPr>
            <w:r>
              <w:rPr>
                <w:rFonts w:ascii="Arial" w:hAnsi="Arial" w:cs="Arial"/>
                <w:b/>
                <w:noProof/>
                <w:lang w:eastAsia="en-AU"/>
              </w:rPr>
              <w:drawing>
                <wp:inline distT="0" distB="0" distL="0" distR="0" wp14:anchorId="3D1A0B7F" wp14:editId="2B37EB9E">
                  <wp:extent cx="5245100" cy="3226435"/>
                  <wp:effectExtent l="0" t="0" r="0" b="0"/>
                  <wp:docPr id="14" name="Picture 14" descr="Trends in patient contribution and Government contribution, for general patients&#10;" title="Fig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srcRect t="5450" r="8014" b="7002"/>
                          <a:stretch>
                            <a:fillRect/>
                          </a:stretch>
                        </pic:blipFill>
                        <pic:spPr bwMode="auto">
                          <a:xfrm>
                            <a:off x="0" y="0"/>
                            <a:ext cx="5245100" cy="3226435"/>
                          </a:xfrm>
                          <a:prstGeom prst="rect">
                            <a:avLst/>
                          </a:prstGeom>
                          <a:noFill/>
                          <a:ln w="9525">
                            <a:noFill/>
                            <a:miter lim="800000"/>
                            <a:headEnd/>
                            <a:tailEnd/>
                          </a:ln>
                        </pic:spPr>
                      </pic:pic>
                    </a:graphicData>
                  </a:graphic>
                </wp:inline>
              </w:drawing>
            </w:r>
          </w:p>
        </w:tc>
      </w:tr>
    </w:tbl>
    <w:p w:rsidR="00477550" w:rsidRDefault="00477550" w:rsidP="00477550">
      <w:pPr>
        <w:rPr>
          <w:rFonts w:ascii="Arial" w:hAnsi="Arial" w:cs="Arial"/>
        </w:rPr>
      </w:pPr>
      <w:bookmarkStart w:id="59" w:name="_Toc301513626"/>
    </w:p>
    <w:p w:rsidR="00FF45D7" w:rsidRPr="00BD75F0" w:rsidRDefault="005F3C16" w:rsidP="00477550">
      <w:pPr>
        <w:rPr>
          <w:rFonts w:ascii="Arial" w:hAnsi="Arial" w:cs="Arial"/>
        </w:rPr>
      </w:pPr>
      <w:r w:rsidRPr="00477550">
        <w:rPr>
          <w:rFonts w:ascii="Arial" w:hAnsi="Arial" w:cs="Arial"/>
        </w:rPr>
        <w:t xml:space="preserve">The flattening of patient contribution from 2009-10 onwards could be related to the cessation of the annual </w:t>
      </w:r>
      <w:r w:rsidR="00FE5079">
        <w:rPr>
          <w:rFonts w:ascii="Arial" w:hAnsi="Arial" w:cs="Arial"/>
        </w:rPr>
        <w:t xml:space="preserve">safety net </w:t>
      </w:r>
      <w:r w:rsidRPr="00477550">
        <w:rPr>
          <w:rFonts w:ascii="Arial" w:hAnsi="Arial" w:cs="Arial"/>
        </w:rPr>
        <w:t>threshold increase</w:t>
      </w:r>
      <w:r w:rsidR="00FE5079">
        <w:rPr>
          <w:rFonts w:ascii="Arial" w:hAnsi="Arial" w:cs="Arial"/>
        </w:rPr>
        <w:t>,</w:t>
      </w:r>
      <w:r w:rsidRPr="00477550">
        <w:rPr>
          <w:rFonts w:ascii="Arial" w:hAnsi="Arial" w:cs="Arial"/>
        </w:rPr>
        <w:t xml:space="preserve"> and the increase in number of prescriptions required to hit the </w:t>
      </w:r>
      <w:r w:rsidR="00FE5079">
        <w:rPr>
          <w:rFonts w:ascii="Arial" w:hAnsi="Arial" w:cs="Arial"/>
        </w:rPr>
        <w:t>s</w:t>
      </w:r>
      <w:r w:rsidR="00FE5079" w:rsidRPr="00477550">
        <w:rPr>
          <w:rFonts w:ascii="Arial" w:hAnsi="Arial" w:cs="Arial"/>
        </w:rPr>
        <w:t xml:space="preserve">afety </w:t>
      </w:r>
      <w:r w:rsidR="00FE5079">
        <w:rPr>
          <w:rFonts w:ascii="Arial" w:hAnsi="Arial" w:cs="Arial"/>
        </w:rPr>
        <w:t>n</w:t>
      </w:r>
      <w:r w:rsidR="00FE5079" w:rsidRPr="00477550">
        <w:rPr>
          <w:rFonts w:ascii="Arial" w:hAnsi="Arial" w:cs="Arial"/>
        </w:rPr>
        <w:t>et</w:t>
      </w:r>
      <w:r w:rsidR="00FE5079">
        <w:rPr>
          <w:rFonts w:ascii="Arial" w:hAnsi="Arial" w:cs="Arial"/>
        </w:rPr>
        <w:t>,</w:t>
      </w:r>
      <w:r w:rsidRPr="00477550">
        <w:rPr>
          <w:rFonts w:ascii="Arial" w:hAnsi="Arial" w:cs="Arial"/>
        </w:rPr>
        <w:t xml:space="preserve"> introduced as part of the National Health Amendment (Budget Measures—Pharmaceutical Benefits Safety Net Bill 2005</w:t>
      </w:r>
      <w:r w:rsidR="002217B5">
        <w:rPr>
          <w:rStyle w:val="FootnoteReference"/>
        </w:rPr>
        <w:footnoteReference w:id="26"/>
      </w:r>
      <w:r w:rsidRPr="00477550">
        <w:rPr>
          <w:rFonts w:ascii="Arial" w:hAnsi="Arial" w:cs="Arial"/>
        </w:rPr>
        <w:t xml:space="preserve">).  Since 2009, no new policies have been introduced that would impact the proportion </w:t>
      </w:r>
      <w:r w:rsidR="00FE5079">
        <w:rPr>
          <w:rFonts w:ascii="Arial" w:hAnsi="Arial" w:cs="Arial"/>
        </w:rPr>
        <w:t xml:space="preserve">that </w:t>
      </w:r>
      <w:r w:rsidRPr="00477550">
        <w:rPr>
          <w:rFonts w:ascii="Arial" w:hAnsi="Arial" w:cs="Arial"/>
        </w:rPr>
        <w:t>patient contributions contribute to overall PBS expenditure.  Currently, general and concessional co-payments are indexed to CPI and change every year on 1 January.</w:t>
      </w:r>
      <w:r w:rsidR="00FF45D7">
        <w:rPr>
          <w:rFonts w:ascii="Arial" w:hAnsi="Arial" w:cs="Arial"/>
        </w:rPr>
        <w:t xml:space="preserve">  </w:t>
      </w:r>
    </w:p>
    <w:p w:rsidR="009B075E" w:rsidRDefault="009B075E" w:rsidP="005E341D">
      <w:r w:rsidRPr="00AA5055">
        <w:rPr>
          <w:rFonts w:ascii="Arial" w:hAnsi="Arial" w:cs="Arial"/>
        </w:rPr>
        <w:t>In future reports</w:t>
      </w:r>
      <w:r w:rsidR="00FE5079">
        <w:rPr>
          <w:rFonts w:ascii="Arial" w:hAnsi="Arial" w:cs="Arial"/>
        </w:rPr>
        <w:t>,</w:t>
      </w:r>
      <w:r w:rsidRPr="00AA5055">
        <w:rPr>
          <w:rFonts w:ascii="Arial" w:hAnsi="Arial" w:cs="Arial"/>
        </w:rPr>
        <w:t xml:space="preserve"> this information will be examined in conjunction with script and expenditure per patient data by concessional category to examine whether increases </w:t>
      </w:r>
      <w:r w:rsidR="00B93411">
        <w:rPr>
          <w:rFonts w:ascii="Arial" w:hAnsi="Arial" w:cs="Arial"/>
        </w:rPr>
        <w:t xml:space="preserve">in Government expenditure </w:t>
      </w:r>
      <w:r w:rsidRPr="00AA5055">
        <w:rPr>
          <w:rFonts w:ascii="Arial" w:hAnsi="Arial" w:cs="Arial"/>
        </w:rPr>
        <w:t>are due to increases in the number of patients and/or increased volume per patient and/or changes in the average PBS benefit per patient</w:t>
      </w:r>
      <w:r>
        <w:rPr>
          <w:rFonts w:ascii="Arial" w:hAnsi="Arial" w:cs="Arial"/>
        </w:rPr>
        <w:t xml:space="preserve">.  </w:t>
      </w:r>
    </w:p>
    <w:p w:rsidR="009B075E" w:rsidRPr="00A44305" w:rsidRDefault="009B075E" w:rsidP="005114BA">
      <w:pPr>
        <w:pStyle w:val="Heading1"/>
      </w:pPr>
      <w:r>
        <w:br w:type="page"/>
      </w:r>
      <w:bookmarkStart w:id="60" w:name="_Toc337033195"/>
      <w:bookmarkStart w:id="61" w:name="_Toc357174840"/>
      <w:r w:rsidRPr="00527928">
        <w:rPr>
          <w:rFonts w:ascii="Arial" w:hAnsi="Arial" w:cs="Arial"/>
          <w:sz w:val="24"/>
          <w:szCs w:val="24"/>
        </w:rPr>
        <w:lastRenderedPageBreak/>
        <w:t>Trends in PBS expenditure by formularies</w:t>
      </w:r>
      <w:bookmarkEnd w:id="59"/>
      <w:r w:rsidRPr="00527928">
        <w:rPr>
          <w:rFonts w:ascii="Arial" w:hAnsi="Arial" w:cs="Arial"/>
          <w:sz w:val="24"/>
          <w:szCs w:val="24"/>
        </w:rPr>
        <w:t xml:space="preserve"> (2007-2011)</w:t>
      </w:r>
      <w:bookmarkEnd w:id="60"/>
      <w:bookmarkEnd w:id="61"/>
    </w:p>
    <w:p w:rsidR="009B075E" w:rsidRDefault="009B075E" w:rsidP="00CE5D69">
      <w:pPr>
        <w:spacing w:before="120" w:after="120"/>
        <w:rPr>
          <w:rFonts w:ascii="Arial" w:hAnsi="Arial" w:cs="Arial"/>
        </w:rPr>
      </w:pPr>
      <w:r>
        <w:rPr>
          <w:rFonts w:ascii="Arial" w:hAnsi="Arial" w:cs="Arial"/>
        </w:rPr>
        <w:t xml:space="preserve">(reference Appendix 2: </w:t>
      </w:r>
      <w:r w:rsidR="00855AAF">
        <w:rPr>
          <w:rFonts w:ascii="Arial" w:hAnsi="Arial" w:cs="Arial"/>
        </w:rPr>
        <w:fldChar w:fldCharType="begin"/>
      </w:r>
      <w:r>
        <w:rPr>
          <w:rFonts w:ascii="Arial" w:hAnsi="Arial" w:cs="Arial"/>
        </w:rPr>
        <w:instrText xml:space="preserve"> REF _Ref301528924 \h </w:instrText>
      </w:r>
      <w:r w:rsidR="00855AAF">
        <w:rPr>
          <w:rFonts w:ascii="Arial" w:hAnsi="Arial" w:cs="Arial"/>
        </w:rPr>
      </w:r>
      <w:r w:rsidR="00855AAF">
        <w:rPr>
          <w:rFonts w:ascii="Arial" w:hAnsi="Arial" w:cs="Arial"/>
        </w:rPr>
        <w:fldChar w:fldCharType="separate"/>
      </w:r>
      <w:r w:rsidR="00584343" w:rsidRPr="00F527AE">
        <w:rPr>
          <w:rFonts w:ascii="Arial" w:hAnsi="Arial" w:cs="Arial"/>
        </w:rPr>
        <w:t xml:space="preserve">Table </w:t>
      </w:r>
      <w:r w:rsidR="00584343">
        <w:rPr>
          <w:rFonts w:ascii="Arial" w:hAnsi="Arial" w:cs="Arial"/>
          <w:noProof/>
        </w:rPr>
        <w:t>18</w:t>
      </w:r>
      <w:r w:rsidR="00855AAF">
        <w:rPr>
          <w:rFonts w:ascii="Arial" w:hAnsi="Arial" w:cs="Arial"/>
        </w:rPr>
        <w:fldChar w:fldCharType="end"/>
      </w:r>
      <w:r>
        <w:rPr>
          <w:rFonts w:ascii="Arial" w:hAnsi="Arial" w:cs="Arial"/>
        </w:rPr>
        <w:t xml:space="preserve"> and </w:t>
      </w:r>
      <w:r w:rsidR="00855AAF">
        <w:rPr>
          <w:rFonts w:ascii="Arial" w:hAnsi="Arial" w:cs="Arial"/>
        </w:rPr>
        <w:fldChar w:fldCharType="begin"/>
      </w:r>
      <w:r>
        <w:rPr>
          <w:rFonts w:ascii="Arial" w:hAnsi="Arial" w:cs="Arial"/>
        </w:rPr>
        <w:instrText xml:space="preserve"> REF _Ref301528934 \h </w:instrText>
      </w:r>
      <w:r w:rsidR="00855AAF">
        <w:rPr>
          <w:rFonts w:ascii="Arial" w:hAnsi="Arial" w:cs="Arial"/>
        </w:rPr>
      </w:r>
      <w:r w:rsidR="00855AAF">
        <w:rPr>
          <w:rFonts w:ascii="Arial" w:hAnsi="Arial" w:cs="Arial"/>
        </w:rPr>
        <w:fldChar w:fldCharType="separate"/>
      </w:r>
      <w:r w:rsidR="00584343" w:rsidRPr="00F527AE">
        <w:rPr>
          <w:rFonts w:ascii="Arial" w:hAnsi="Arial" w:cs="Arial"/>
        </w:rPr>
        <w:t xml:space="preserve">Table </w:t>
      </w:r>
      <w:r w:rsidR="00584343">
        <w:rPr>
          <w:rFonts w:ascii="Arial" w:hAnsi="Arial" w:cs="Arial"/>
          <w:noProof/>
        </w:rPr>
        <w:t>19</w:t>
      </w:r>
      <w:r w:rsidR="00855AAF">
        <w:rPr>
          <w:rFonts w:ascii="Arial" w:hAnsi="Arial" w:cs="Arial"/>
        </w:rPr>
        <w:fldChar w:fldCharType="end"/>
      </w:r>
      <w:r>
        <w:rPr>
          <w:rFonts w:ascii="Arial" w:hAnsi="Arial" w:cs="Arial"/>
        </w:rPr>
        <w:t>)</w:t>
      </w:r>
    </w:p>
    <w:p w:rsidR="009B075E" w:rsidRPr="00A44305" w:rsidRDefault="009B075E" w:rsidP="00CE5D69">
      <w:pPr>
        <w:spacing w:before="120" w:after="120"/>
        <w:rPr>
          <w:rFonts w:ascii="Arial" w:hAnsi="Arial" w:cs="Arial"/>
        </w:rPr>
      </w:pPr>
      <w:r w:rsidRPr="00A44305">
        <w:rPr>
          <w:rFonts w:ascii="Arial" w:hAnsi="Arial" w:cs="Arial"/>
        </w:rPr>
        <w:t xml:space="preserve">The following section analyses PBS section 85 General and Concessional expenditure and scripts across the </w:t>
      </w:r>
      <w:r>
        <w:rPr>
          <w:rFonts w:ascii="Arial" w:hAnsi="Arial" w:cs="Arial"/>
        </w:rPr>
        <w:t>F1 and F2</w:t>
      </w:r>
      <w:r w:rsidRPr="00A44305">
        <w:rPr>
          <w:rFonts w:ascii="Arial" w:hAnsi="Arial" w:cs="Arial"/>
        </w:rPr>
        <w:t xml:space="preserve"> formularies.  The analysis includes expenditure on </w:t>
      </w:r>
      <w:r>
        <w:rPr>
          <w:rFonts w:ascii="Arial" w:hAnsi="Arial" w:cs="Arial"/>
        </w:rPr>
        <w:t>Doctor’s Bag</w:t>
      </w:r>
      <w:r w:rsidRPr="00A44305">
        <w:rPr>
          <w:rFonts w:ascii="Arial" w:hAnsi="Arial" w:cs="Arial"/>
        </w:rPr>
        <w:t xml:space="preserve"> medicines but excludes expenditure on extemporaneously prepared items</w:t>
      </w:r>
      <w:r w:rsidR="00FE5079">
        <w:rPr>
          <w:rStyle w:val="FootnoteReference"/>
        </w:rPr>
        <w:footnoteReference w:id="27"/>
      </w:r>
      <w:r w:rsidRPr="00A44305">
        <w:rPr>
          <w:rFonts w:ascii="Arial" w:hAnsi="Arial" w:cs="Arial"/>
        </w:rPr>
        <w:t xml:space="preserve">.  </w:t>
      </w:r>
    </w:p>
    <w:p w:rsidR="009B075E" w:rsidRPr="00A44305" w:rsidRDefault="009B075E" w:rsidP="00CE5D69">
      <w:pPr>
        <w:spacing w:before="120" w:after="120"/>
        <w:rPr>
          <w:rFonts w:ascii="Arial" w:hAnsi="Arial" w:cs="Arial"/>
          <w:sz w:val="2"/>
          <w:szCs w:val="2"/>
        </w:rPr>
      </w:pPr>
      <w:r w:rsidRPr="00A44305">
        <w:rPr>
          <w:rFonts w:ascii="Arial" w:hAnsi="Arial" w:cs="Arial"/>
        </w:rPr>
        <w:t>Since 1 August 2007, drugs on the PBS, except those in single brand combination items</w:t>
      </w:r>
      <w:r w:rsidR="00FE5079">
        <w:rPr>
          <w:rStyle w:val="FootnoteReference"/>
        </w:rPr>
        <w:footnoteReference w:id="28"/>
      </w:r>
      <w:r w:rsidRPr="00A44305">
        <w:rPr>
          <w:rFonts w:ascii="Arial" w:hAnsi="Arial" w:cs="Arial"/>
        </w:rPr>
        <w:t xml:space="preserve">, </w:t>
      </w:r>
      <w:r>
        <w:rPr>
          <w:rFonts w:ascii="Arial" w:hAnsi="Arial" w:cs="Arial"/>
        </w:rPr>
        <w:t>have been</w:t>
      </w:r>
      <w:r w:rsidRPr="00A44305">
        <w:rPr>
          <w:rFonts w:ascii="Arial" w:hAnsi="Arial" w:cs="Arial"/>
        </w:rPr>
        <w:t xml:space="preserve"> included in separate formularies:</w:t>
      </w:r>
    </w:p>
    <w:p w:rsidR="009B075E" w:rsidRPr="00A44305" w:rsidRDefault="009B075E" w:rsidP="00CE5D69">
      <w:pPr>
        <w:spacing w:before="120" w:after="120"/>
        <w:ind w:left="220"/>
        <w:rPr>
          <w:rFonts w:ascii="Arial" w:hAnsi="Arial" w:cs="Arial"/>
        </w:rPr>
      </w:pPr>
      <w:r w:rsidRPr="00A44305">
        <w:rPr>
          <w:rFonts w:ascii="Arial" w:hAnsi="Arial" w:cs="Arial"/>
          <w:sz w:val="2"/>
          <w:szCs w:val="2"/>
        </w:rPr>
        <w:br/>
      </w:r>
      <w:r w:rsidRPr="00A44305">
        <w:rPr>
          <w:rFonts w:ascii="Arial" w:hAnsi="Arial" w:cs="Arial"/>
        </w:rPr>
        <w:t>a) Formulary 1 (F1) which comprises drugs with only a single brand;</w:t>
      </w:r>
      <w:r w:rsidRPr="00A44305">
        <w:rPr>
          <w:rFonts w:ascii="Arial" w:hAnsi="Arial" w:cs="Arial"/>
        </w:rPr>
        <w:br/>
        <w:t>b) Formulary 2 (F2) comprising drugs with multiple brands and single brand drugs that are in a Therapeutic Group with a drug that has multiple brands.</w:t>
      </w:r>
    </w:p>
    <w:p w:rsidR="00A556AC" w:rsidRDefault="00A556AC" w:rsidP="00CE5D69">
      <w:pPr>
        <w:spacing w:before="120" w:after="120"/>
        <w:rPr>
          <w:rFonts w:ascii="Arial" w:hAnsi="Arial" w:cs="Arial"/>
        </w:rPr>
      </w:pPr>
      <w:r>
        <w:rPr>
          <w:rFonts w:ascii="Arial" w:hAnsi="Arial" w:cs="Arial"/>
        </w:rPr>
        <w:t>Different pricing mechanisms are applicable to each formulary.  While v</w:t>
      </w:r>
      <w:r w:rsidR="00855AAF" w:rsidRPr="00855AAF">
        <w:rPr>
          <w:rFonts w:ascii="Arial" w:hAnsi="Arial" w:cs="Arial"/>
        </w:rPr>
        <w:t>alue based pricing</w:t>
      </w:r>
      <w:r w:rsidR="001A1038">
        <w:rPr>
          <w:rStyle w:val="FootnoteReference"/>
        </w:rPr>
        <w:footnoteReference w:id="29"/>
      </w:r>
      <w:r w:rsidR="00855AAF" w:rsidRPr="00855AAF">
        <w:rPr>
          <w:rFonts w:ascii="Arial" w:hAnsi="Arial" w:cs="Arial"/>
        </w:rPr>
        <w:t xml:space="preserve"> is used for setting prices for medicines in the F1 formulary</w:t>
      </w:r>
      <w:r>
        <w:rPr>
          <w:rFonts w:ascii="Arial" w:hAnsi="Arial" w:cs="Arial"/>
        </w:rPr>
        <w:t xml:space="preserve">, </w:t>
      </w:r>
      <w:r w:rsidR="00855AAF" w:rsidRPr="00855AAF">
        <w:rPr>
          <w:rFonts w:ascii="Arial" w:hAnsi="Arial" w:cs="Arial"/>
        </w:rPr>
        <w:t xml:space="preserve">the prices for </w:t>
      </w:r>
      <w:r w:rsidR="001A1038">
        <w:rPr>
          <w:rFonts w:ascii="Arial" w:hAnsi="Arial" w:cs="Arial"/>
        </w:rPr>
        <w:t xml:space="preserve">most </w:t>
      </w:r>
      <w:r w:rsidR="00855AAF" w:rsidRPr="00855AAF">
        <w:rPr>
          <w:rFonts w:ascii="Arial" w:hAnsi="Arial" w:cs="Arial"/>
        </w:rPr>
        <w:t>medicines in the F2 formulary are based on market competition between multiple suppliers.</w:t>
      </w:r>
      <w:r w:rsidR="00445BDB">
        <w:t xml:space="preserve">  </w:t>
      </w:r>
      <w:r w:rsidR="009B075E" w:rsidRPr="00A44305">
        <w:rPr>
          <w:rFonts w:ascii="Arial" w:hAnsi="Arial" w:cs="Arial"/>
        </w:rPr>
        <w:t xml:space="preserve">The separation of drugs into F1 and F2 </w:t>
      </w:r>
      <w:r w:rsidR="00A47CAD">
        <w:rPr>
          <w:rFonts w:ascii="Arial" w:hAnsi="Arial" w:cs="Arial"/>
        </w:rPr>
        <w:t xml:space="preserve">formularies </w:t>
      </w:r>
      <w:r w:rsidR="009B075E" w:rsidRPr="00A44305">
        <w:rPr>
          <w:rFonts w:ascii="Arial" w:hAnsi="Arial" w:cs="Arial"/>
        </w:rPr>
        <w:t>allows the Australian Government to pay competitive prices for multiple brand drugs without affecting the viability of single-brand drugs that do not operate in a competitive market</w:t>
      </w:r>
      <w:r w:rsidR="001A1038">
        <w:rPr>
          <w:rFonts w:ascii="Arial" w:hAnsi="Arial" w:cs="Arial"/>
        </w:rPr>
        <w:t>.</w:t>
      </w:r>
      <w:r w:rsidR="00445BDB">
        <w:rPr>
          <w:rFonts w:ascii="Arial" w:hAnsi="Arial" w:cs="Arial"/>
        </w:rPr>
        <w:t xml:space="preserve"> </w:t>
      </w:r>
    </w:p>
    <w:p w:rsidR="00B62B86" w:rsidRDefault="00A556AC" w:rsidP="00CE5D69">
      <w:pPr>
        <w:spacing w:before="120" w:after="120"/>
        <w:rPr>
          <w:rFonts w:ascii="Arial" w:hAnsi="Arial" w:cs="Arial"/>
        </w:rPr>
      </w:pPr>
      <w:r>
        <w:rPr>
          <w:rFonts w:ascii="Arial" w:hAnsi="Arial" w:cs="Arial"/>
        </w:rPr>
        <w:t>Under the 2007 PBS reforms, t</w:t>
      </w:r>
      <w:r w:rsidR="009B075E" w:rsidRPr="00A44305">
        <w:rPr>
          <w:rFonts w:ascii="Arial" w:hAnsi="Arial" w:cs="Arial"/>
        </w:rPr>
        <w:t xml:space="preserve">his </w:t>
      </w:r>
      <w:r w:rsidR="000625A2">
        <w:rPr>
          <w:rFonts w:ascii="Arial" w:hAnsi="Arial" w:cs="Arial"/>
        </w:rPr>
        <w:t>was</w:t>
      </w:r>
      <w:r w:rsidR="000625A2" w:rsidRPr="00A44305">
        <w:rPr>
          <w:rFonts w:ascii="Arial" w:hAnsi="Arial" w:cs="Arial"/>
        </w:rPr>
        <w:t xml:space="preserve"> </w:t>
      </w:r>
      <w:r w:rsidR="009B075E" w:rsidRPr="00A44305">
        <w:rPr>
          <w:rFonts w:ascii="Arial" w:hAnsi="Arial" w:cs="Arial"/>
        </w:rPr>
        <w:t xml:space="preserve">achieved through de-linking the prices of drugs in F1 from the prices of drugs in F2 and then applying statutory price reductions </w:t>
      </w:r>
      <w:r w:rsidR="00445BDB">
        <w:rPr>
          <w:rFonts w:ascii="Arial" w:hAnsi="Arial" w:cs="Arial"/>
        </w:rPr>
        <w:t xml:space="preserve">of </w:t>
      </w:r>
      <w:r w:rsidR="000625A2">
        <w:rPr>
          <w:rFonts w:ascii="Arial" w:hAnsi="Arial" w:cs="Arial"/>
        </w:rPr>
        <w:t>12.5</w:t>
      </w:r>
      <w:r w:rsidR="00445BDB">
        <w:rPr>
          <w:rFonts w:ascii="Arial" w:hAnsi="Arial" w:cs="Arial"/>
        </w:rPr>
        <w:t>%</w:t>
      </w:r>
      <w:r w:rsidR="000625A2">
        <w:rPr>
          <w:rFonts w:ascii="Arial" w:hAnsi="Arial" w:cs="Arial"/>
        </w:rPr>
        <w:t xml:space="preserve"> (increased to 16% under the 2010 </w:t>
      </w:r>
      <w:r w:rsidR="00855AAF" w:rsidRPr="00855AAF">
        <w:rPr>
          <w:rFonts w:ascii="Arial" w:hAnsi="Arial" w:cs="Arial"/>
          <w:i/>
        </w:rPr>
        <w:t>further PBS reforms</w:t>
      </w:r>
      <w:r w:rsidR="000625A2">
        <w:rPr>
          <w:rFonts w:ascii="Arial" w:hAnsi="Arial" w:cs="Arial"/>
        </w:rPr>
        <w:t>)</w:t>
      </w:r>
      <w:r w:rsidR="00445BDB">
        <w:rPr>
          <w:rFonts w:ascii="Arial" w:hAnsi="Arial" w:cs="Arial"/>
        </w:rPr>
        <w:t xml:space="preserve"> </w:t>
      </w:r>
      <w:r w:rsidR="009B075E" w:rsidRPr="00A44305">
        <w:rPr>
          <w:rFonts w:ascii="Arial" w:hAnsi="Arial" w:cs="Arial"/>
        </w:rPr>
        <w:t xml:space="preserve">to drugs </w:t>
      </w:r>
      <w:r w:rsidR="009B075E">
        <w:rPr>
          <w:rFonts w:ascii="Arial" w:hAnsi="Arial" w:cs="Arial"/>
        </w:rPr>
        <w:t>transitioning to</w:t>
      </w:r>
      <w:r w:rsidR="009B075E" w:rsidRPr="00A44305">
        <w:rPr>
          <w:rFonts w:ascii="Arial" w:hAnsi="Arial" w:cs="Arial"/>
        </w:rPr>
        <w:t xml:space="preserve"> </w:t>
      </w:r>
      <w:r w:rsidR="000625A2">
        <w:rPr>
          <w:rFonts w:ascii="Arial" w:hAnsi="Arial" w:cs="Arial"/>
        </w:rPr>
        <w:t xml:space="preserve">the </w:t>
      </w:r>
      <w:r w:rsidR="009B075E" w:rsidRPr="00A44305">
        <w:rPr>
          <w:rFonts w:ascii="Arial" w:hAnsi="Arial" w:cs="Arial"/>
        </w:rPr>
        <w:t>F2</w:t>
      </w:r>
      <w:r w:rsidR="00A47CAD">
        <w:rPr>
          <w:rFonts w:ascii="Arial" w:hAnsi="Arial" w:cs="Arial"/>
        </w:rPr>
        <w:t xml:space="preserve"> formulary followed </w:t>
      </w:r>
      <w:r w:rsidR="000625A2">
        <w:rPr>
          <w:rFonts w:ascii="Arial" w:hAnsi="Arial" w:cs="Arial"/>
        </w:rPr>
        <w:t xml:space="preserve">possibly </w:t>
      </w:r>
      <w:r w:rsidR="00A47CAD">
        <w:rPr>
          <w:rFonts w:ascii="Arial" w:hAnsi="Arial" w:cs="Arial"/>
        </w:rPr>
        <w:t xml:space="preserve">by </w:t>
      </w:r>
      <w:r w:rsidR="00A47CAD" w:rsidRPr="00CA4E9F">
        <w:rPr>
          <w:rFonts w:ascii="Arial" w:hAnsi="Arial" w:cs="Arial"/>
        </w:rPr>
        <w:t>ongoing price adjustments, via price disclosure, to reflect prices they are being sold at in the marketplace</w:t>
      </w:r>
      <w:r w:rsidR="00A47CAD">
        <w:rPr>
          <w:rFonts w:ascii="Arial" w:hAnsi="Arial" w:cs="Arial"/>
        </w:rPr>
        <w:t>.</w:t>
      </w:r>
    </w:p>
    <w:p w:rsidR="009B075E" w:rsidRPr="00A44305" w:rsidRDefault="00A556AC" w:rsidP="00CE5D69">
      <w:pPr>
        <w:spacing w:before="120" w:after="120"/>
        <w:rPr>
          <w:rFonts w:ascii="Arial" w:hAnsi="Arial" w:cs="Arial"/>
        </w:rPr>
      </w:pPr>
      <w:r>
        <w:rPr>
          <w:rFonts w:ascii="Arial" w:hAnsi="Arial" w:cs="Arial"/>
        </w:rPr>
        <w:t>It is important to note this</w:t>
      </w:r>
      <w:r w:rsidR="00B62B86">
        <w:rPr>
          <w:rFonts w:ascii="Arial" w:hAnsi="Arial" w:cs="Arial"/>
        </w:rPr>
        <w:t xml:space="preserve"> distinction between pricing mechanism for medicines in the F1 and F2 formulary</w:t>
      </w:r>
      <w:r>
        <w:rPr>
          <w:rFonts w:ascii="Arial" w:hAnsi="Arial" w:cs="Arial"/>
        </w:rPr>
        <w:t xml:space="preserve"> when comparing the trends in and contribution to PBS growth or expenditure by formularies in the following section.  </w:t>
      </w:r>
      <w:r w:rsidR="009B075E">
        <w:rPr>
          <w:rFonts w:ascii="Arial" w:hAnsi="Arial" w:cs="Arial"/>
        </w:rPr>
        <w:t xml:space="preserve"> </w:t>
      </w:r>
    </w:p>
    <w:p w:rsidR="00A556AC" w:rsidRDefault="009B075E" w:rsidP="00D140C5">
      <w:pPr>
        <w:spacing w:before="120" w:after="120"/>
        <w:rPr>
          <w:rFonts w:ascii="Arial" w:hAnsi="Arial" w:cs="Arial"/>
        </w:rPr>
      </w:pPr>
      <w:r>
        <w:rPr>
          <w:rFonts w:ascii="Arial" w:hAnsi="Arial" w:cs="Arial"/>
        </w:rPr>
        <w:t xml:space="preserve">As shown in </w:t>
      </w:r>
      <w:r w:rsidR="00154097">
        <w:fldChar w:fldCharType="begin"/>
      </w:r>
      <w:r w:rsidR="00154097">
        <w:instrText xml:space="preserve"> REF _Ref299465080 \h  \* MERGEFORMAT </w:instrText>
      </w:r>
      <w:r w:rsidR="00154097">
        <w:fldChar w:fldCharType="separate"/>
      </w:r>
      <w:r w:rsidR="00584343" w:rsidRPr="00A44305">
        <w:rPr>
          <w:rFonts w:ascii="Arial" w:hAnsi="Arial" w:cs="Arial"/>
        </w:rPr>
        <w:t xml:space="preserve">Figure </w:t>
      </w:r>
      <w:r w:rsidR="00584343">
        <w:rPr>
          <w:rFonts w:ascii="Arial" w:hAnsi="Arial" w:cs="Arial"/>
          <w:noProof/>
        </w:rPr>
        <w:t>16</w:t>
      </w:r>
      <w:r w:rsidR="00154097">
        <w:fldChar w:fldCharType="end"/>
      </w:r>
      <w:r>
        <w:rPr>
          <w:rFonts w:ascii="Arial" w:hAnsi="Arial" w:cs="Arial"/>
        </w:rPr>
        <w:t xml:space="preserve">, the contribution of F1 medicines to overall PBS growth declined whereas the contribution of F2 medicines increased in the time period analysed (2008-2011).  The contribution of F1 fell from 98.6% in 2008-09 to 25.7% in 2010-11. The contribution of </w:t>
      </w:r>
      <w:r w:rsidR="000625A2">
        <w:rPr>
          <w:rFonts w:ascii="Arial" w:hAnsi="Arial" w:cs="Arial"/>
        </w:rPr>
        <w:t xml:space="preserve">the </w:t>
      </w:r>
      <w:r>
        <w:rPr>
          <w:rFonts w:ascii="Arial" w:hAnsi="Arial" w:cs="Arial"/>
        </w:rPr>
        <w:t>F2 formulary in the same time period increased from -10.4% to half of all the expenditure growth in 2010-11 (49.8%)</w:t>
      </w:r>
      <w:r w:rsidRPr="00A44305">
        <w:rPr>
          <w:rFonts w:ascii="Arial" w:hAnsi="Arial" w:cs="Arial"/>
        </w:rPr>
        <w:t>.</w:t>
      </w:r>
      <w:r>
        <w:rPr>
          <w:rFonts w:ascii="Arial" w:hAnsi="Arial" w:cs="Arial"/>
        </w:rPr>
        <w:t xml:space="preserve">  </w:t>
      </w:r>
      <w:r w:rsidRPr="00D140C5">
        <w:rPr>
          <w:rFonts w:ascii="Arial" w:hAnsi="Arial" w:cs="Arial"/>
        </w:rPr>
        <w:t xml:space="preserve">It is interesting to note </w:t>
      </w:r>
      <w:r w:rsidR="00FE5079">
        <w:rPr>
          <w:rFonts w:ascii="Arial" w:hAnsi="Arial" w:cs="Arial"/>
        </w:rPr>
        <w:t xml:space="preserve">the </w:t>
      </w:r>
      <w:r>
        <w:rPr>
          <w:rFonts w:ascii="Arial" w:hAnsi="Arial" w:cs="Arial"/>
        </w:rPr>
        <w:t>growing contribution of combination items to overall PBS growth in 2010-11</w:t>
      </w:r>
      <w:r w:rsidR="005F3C16" w:rsidRPr="00477550">
        <w:rPr>
          <w:rFonts w:ascii="Arial" w:hAnsi="Arial" w:cs="Arial"/>
        </w:rPr>
        <w:t xml:space="preserve">. </w:t>
      </w:r>
      <w:r w:rsidR="00513954" w:rsidRPr="00477550">
        <w:rPr>
          <w:rFonts w:ascii="Arial" w:hAnsi="Arial" w:cs="Arial"/>
        </w:rPr>
        <w:t>If the trend continues,</w:t>
      </w:r>
      <w:r w:rsidR="005F3C16" w:rsidRPr="00477550">
        <w:rPr>
          <w:rFonts w:ascii="Arial" w:hAnsi="Arial" w:cs="Arial"/>
        </w:rPr>
        <w:t xml:space="preserve"> </w:t>
      </w:r>
      <w:r w:rsidR="000625A2">
        <w:rPr>
          <w:rFonts w:ascii="Arial" w:hAnsi="Arial" w:cs="Arial"/>
        </w:rPr>
        <w:t xml:space="preserve">the </w:t>
      </w:r>
      <w:r w:rsidR="005F3C16" w:rsidRPr="00477550">
        <w:rPr>
          <w:rFonts w:ascii="Arial" w:hAnsi="Arial" w:cs="Arial"/>
        </w:rPr>
        <w:t>DWG may investigate the rising contribution of combination medicines in future reports.</w:t>
      </w:r>
      <w:r w:rsidR="002B0414">
        <w:rPr>
          <w:rFonts w:ascii="Arial" w:hAnsi="Arial" w:cs="Arial"/>
        </w:rPr>
        <w:t xml:space="preserve"> </w:t>
      </w:r>
    </w:p>
    <w:p w:rsidR="00A556AC" w:rsidRDefault="00A556AC">
      <w:pPr>
        <w:spacing w:after="0" w:line="240" w:lineRule="auto"/>
        <w:rPr>
          <w:rFonts w:ascii="Arial" w:hAnsi="Arial" w:cs="Arial"/>
        </w:rPr>
      </w:pPr>
      <w:r>
        <w:rPr>
          <w:rFonts w:ascii="Arial" w:hAnsi="Arial" w:cs="Arial"/>
        </w:rPr>
        <w:br w:type="page"/>
      </w:r>
    </w:p>
    <w:p w:rsidR="009B075E" w:rsidRPr="00D140C5" w:rsidRDefault="002B0414" w:rsidP="00D140C5">
      <w:pPr>
        <w:spacing w:before="120" w:after="120"/>
        <w:rPr>
          <w:rFonts w:ascii="Arial" w:hAnsi="Arial" w:cs="Arial"/>
        </w:rPr>
      </w:pPr>
      <w:r>
        <w:rPr>
          <w:rFonts w:ascii="Arial" w:hAnsi="Arial" w:cs="Arial"/>
        </w:rPr>
        <w:lastRenderedPageBreak/>
        <w:t xml:space="preserve"> </w:t>
      </w:r>
    </w:p>
    <w:tbl>
      <w:tblPr>
        <w:tblW w:w="0" w:type="auto"/>
        <w:jc w:val="center"/>
        <w:tblInd w:w="304" w:type="dxa"/>
        <w:tblLook w:val="0000" w:firstRow="0" w:lastRow="0" w:firstColumn="0" w:lastColumn="0" w:noHBand="0" w:noVBand="0"/>
      </w:tblPr>
      <w:tblGrid>
        <w:gridCol w:w="8938"/>
      </w:tblGrid>
      <w:tr w:rsidR="009B075E" w:rsidRPr="00A44305" w:rsidTr="00C02B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9B075E" w:rsidP="00C02B50">
            <w:pPr>
              <w:pStyle w:val="Caption"/>
              <w:keepNext w:val="0"/>
              <w:rPr>
                <w:rFonts w:ascii="Arial" w:hAnsi="Arial" w:cs="Arial"/>
                <w:sz w:val="22"/>
                <w:szCs w:val="22"/>
              </w:rPr>
            </w:pPr>
            <w:r>
              <w:rPr>
                <w:rFonts w:ascii="Arial" w:hAnsi="Arial" w:cs="Arial"/>
              </w:rPr>
              <w:br w:type="page"/>
            </w:r>
            <w:r w:rsidRPr="00A44305">
              <w:rPr>
                <w:rFonts w:ascii="Arial" w:hAnsi="Arial" w:cs="Arial"/>
              </w:rPr>
              <w:br w:type="page"/>
            </w:r>
            <w:bookmarkStart w:id="62" w:name="_Ref299465080"/>
            <w:r w:rsidRPr="00A44305">
              <w:rPr>
                <w:rFonts w:ascii="Arial" w:hAnsi="Arial" w:cs="Arial"/>
                <w:sz w:val="22"/>
                <w:szCs w:val="22"/>
              </w:rPr>
              <w:t xml:space="preserve">Figure </w:t>
            </w:r>
            <w:r w:rsidR="00855AAF" w:rsidRPr="00A44305">
              <w:rPr>
                <w:rFonts w:ascii="Arial" w:hAnsi="Arial" w:cs="Arial"/>
                <w:sz w:val="22"/>
                <w:szCs w:val="22"/>
              </w:rPr>
              <w:fldChar w:fldCharType="begin"/>
            </w:r>
            <w:r w:rsidRPr="00A44305">
              <w:rPr>
                <w:rFonts w:ascii="Arial" w:hAnsi="Arial" w:cs="Arial"/>
                <w:sz w:val="22"/>
                <w:szCs w:val="22"/>
              </w:rPr>
              <w:instrText xml:space="preserve"> SEQ Figure \* ARABIC </w:instrText>
            </w:r>
            <w:r w:rsidR="00855AAF" w:rsidRPr="00A44305">
              <w:rPr>
                <w:rFonts w:ascii="Arial" w:hAnsi="Arial" w:cs="Arial"/>
                <w:sz w:val="22"/>
                <w:szCs w:val="22"/>
              </w:rPr>
              <w:fldChar w:fldCharType="separate"/>
            </w:r>
            <w:r w:rsidR="00584343">
              <w:rPr>
                <w:rFonts w:ascii="Arial" w:hAnsi="Arial" w:cs="Arial"/>
                <w:noProof/>
                <w:sz w:val="22"/>
                <w:szCs w:val="22"/>
              </w:rPr>
              <w:t>16</w:t>
            </w:r>
            <w:r w:rsidR="00855AAF" w:rsidRPr="00A44305">
              <w:rPr>
                <w:rFonts w:ascii="Arial" w:hAnsi="Arial" w:cs="Arial"/>
                <w:sz w:val="22"/>
                <w:szCs w:val="22"/>
              </w:rPr>
              <w:fldChar w:fldCharType="end"/>
            </w:r>
            <w:bookmarkEnd w:id="62"/>
            <w:r w:rsidRPr="00A44305">
              <w:rPr>
                <w:rFonts w:ascii="Arial" w:hAnsi="Arial" w:cs="Arial"/>
                <w:sz w:val="22"/>
                <w:szCs w:val="22"/>
              </w:rPr>
              <w:t>: Contribution to overall growth</w:t>
            </w:r>
            <w:r w:rsidR="00713597">
              <w:rPr>
                <w:rFonts w:ascii="Arial" w:hAnsi="Arial" w:cs="Arial"/>
                <w:sz w:val="22"/>
                <w:szCs w:val="22"/>
              </w:rPr>
              <w:t>*</w:t>
            </w:r>
            <w:r w:rsidRPr="00A44305">
              <w:rPr>
                <w:rFonts w:ascii="Arial" w:hAnsi="Arial" w:cs="Arial"/>
                <w:sz w:val="22"/>
                <w:szCs w:val="22"/>
              </w:rPr>
              <w:t xml:space="preserve"> in Government expenditure on </w:t>
            </w:r>
            <w:r>
              <w:rPr>
                <w:rFonts w:ascii="Arial" w:hAnsi="Arial" w:cs="Arial"/>
                <w:sz w:val="22"/>
                <w:szCs w:val="22"/>
              </w:rPr>
              <w:t>S85</w:t>
            </w:r>
            <w:r w:rsidRPr="00A44305">
              <w:rPr>
                <w:rFonts w:ascii="Arial" w:hAnsi="Arial" w:cs="Arial"/>
                <w:sz w:val="22"/>
                <w:szCs w:val="22"/>
              </w:rPr>
              <w:t xml:space="preserve"> drugs by formulary</w:t>
            </w:r>
          </w:p>
        </w:tc>
      </w:tr>
      <w:tr w:rsidR="009B075E" w:rsidRPr="00A44305" w:rsidTr="00C02B50">
        <w:trPr>
          <w:trHeight w:val="4351"/>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5E0A95" w:rsidP="00C02B50">
            <w:pPr>
              <w:tabs>
                <w:tab w:val="left" w:pos="4708"/>
              </w:tabs>
              <w:jc w:val="center"/>
              <w:rPr>
                <w:rFonts w:ascii="Arial" w:hAnsi="Arial" w:cs="Arial"/>
                <w:b/>
                <w:bCs/>
                <w:highlight w:val="yellow"/>
              </w:rPr>
            </w:pPr>
            <w:r>
              <w:rPr>
                <w:rFonts w:ascii="Arial" w:hAnsi="Arial" w:cs="Arial"/>
                <w:b/>
                <w:noProof/>
                <w:lang w:eastAsia="en-AU"/>
              </w:rPr>
              <w:drawing>
                <wp:inline distT="0" distB="0" distL="0" distR="0" wp14:anchorId="1B56D621" wp14:editId="6D617FA2">
                  <wp:extent cx="4856480" cy="2501900"/>
                  <wp:effectExtent l="0" t="0" r="1270" b="0"/>
                  <wp:docPr id="15" name="Picture 15" descr="Contribution to overall growth* in Government expenditure on S85 drugs by formulary" title="Fig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srcRect t="13969" b="6841"/>
                          <a:stretch>
                            <a:fillRect/>
                          </a:stretch>
                        </pic:blipFill>
                        <pic:spPr bwMode="auto">
                          <a:xfrm>
                            <a:off x="0" y="0"/>
                            <a:ext cx="4856480" cy="2501900"/>
                          </a:xfrm>
                          <a:prstGeom prst="rect">
                            <a:avLst/>
                          </a:prstGeom>
                          <a:noFill/>
                          <a:ln w="9525">
                            <a:noFill/>
                            <a:miter lim="800000"/>
                            <a:headEnd/>
                            <a:tailEnd/>
                          </a:ln>
                        </pic:spPr>
                      </pic:pic>
                    </a:graphicData>
                  </a:graphic>
                </wp:inline>
              </w:drawing>
            </w:r>
          </w:p>
        </w:tc>
      </w:tr>
    </w:tbl>
    <w:p w:rsidR="009B075E" w:rsidRPr="007356D4" w:rsidRDefault="00713597" w:rsidP="007356D4">
      <w:pPr>
        <w:spacing w:before="120" w:after="0"/>
        <w:rPr>
          <w:rFonts w:ascii="Arial Narrow" w:hAnsi="Arial Narrow" w:cs="Arial"/>
          <w:sz w:val="18"/>
          <w:szCs w:val="18"/>
        </w:rPr>
      </w:pPr>
      <w:r w:rsidRPr="00713597">
        <w:rPr>
          <w:rFonts w:ascii="Arial Narrow" w:hAnsi="Arial Narrow" w:cs="Arial"/>
          <w:sz w:val="18"/>
          <w:szCs w:val="18"/>
        </w:rPr>
        <w:t>*</w:t>
      </w:r>
      <w:r>
        <w:rPr>
          <w:rFonts w:ascii="Arial Narrow" w:hAnsi="Arial Narrow" w:cs="Arial"/>
          <w:sz w:val="18"/>
          <w:szCs w:val="18"/>
        </w:rPr>
        <w:t xml:space="preserve"> </w:t>
      </w:r>
      <w:r w:rsidRPr="007356D4">
        <w:rPr>
          <w:rFonts w:ascii="Arial Narrow" w:hAnsi="Arial Narrow" w:cs="Arial"/>
          <w:sz w:val="18"/>
          <w:szCs w:val="18"/>
        </w:rPr>
        <w:t xml:space="preserve">Percentages may not add to 100 as analysis does not include extemporaneously prepared items </w:t>
      </w:r>
    </w:p>
    <w:p w:rsidR="007563B8" w:rsidRDefault="007563B8" w:rsidP="007356D4">
      <w:pPr>
        <w:spacing w:after="0"/>
        <w:rPr>
          <w:rFonts w:ascii="Arial" w:hAnsi="Arial" w:cs="Arial"/>
        </w:rPr>
      </w:pPr>
    </w:p>
    <w:p w:rsidR="00C77242" w:rsidRDefault="009B075E" w:rsidP="003E5105">
      <w:pPr>
        <w:spacing w:before="120"/>
        <w:rPr>
          <w:rFonts w:ascii="Arial" w:hAnsi="Arial" w:cs="Arial"/>
        </w:rPr>
      </w:pPr>
      <w:r w:rsidRPr="00A44305">
        <w:rPr>
          <w:rFonts w:ascii="Arial" w:hAnsi="Arial" w:cs="Arial"/>
        </w:rPr>
        <w:t xml:space="preserve">As shown in </w:t>
      </w:r>
      <w:r w:rsidR="00154097">
        <w:fldChar w:fldCharType="begin"/>
      </w:r>
      <w:r w:rsidR="00154097">
        <w:instrText xml:space="preserve"> REF _Ref297494122 \h  \* MERGEFORMAT </w:instrText>
      </w:r>
      <w:r w:rsidR="00154097">
        <w:fldChar w:fldCharType="separate"/>
      </w:r>
      <w:r w:rsidR="00584343" w:rsidRPr="00A44305">
        <w:rPr>
          <w:rFonts w:ascii="Arial" w:hAnsi="Arial" w:cs="Arial"/>
        </w:rPr>
        <w:t xml:space="preserve">Figure </w:t>
      </w:r>
      <w:r w:rsidR="00584343">
        <w:rPr>
          <w:rFonts w:ascii="Arial" w:hAnsi="Arial" w:cs="Arial"/>
          <w:noProof/>
        </w:rPr>
        <w:t>17</w:t>
      </w:r>
      <w:r w:rsidR="00154097">
        <w:fldChar w:fldCharType="end"/>
      </w:r>
      <w:r w:rsidRPr="00A44305">
        <w:rPr>
          <w:rFonts w:ascii="Arial" w:hAnsi="Arial" w:cs="Arial"/>
        </w:rPr>
        <w:t xml:space="preserve">, over half of all the PBS expenditure in the time period analysed relates to medicines on the F1 Formulary (53%-58%).  The remaining expenditure is more likely to be on medicines on the F2 formulary (33%-38%) rather than combination medicines (9%).  As a trend, in the </w:t>
      </w:r>
      <w:r>
        <w:rPr>
          <w:rFonts w:ascii="Arial" w:hAnsi="Arial" w:cs="Arial"/>
        </w:rPr>
        <w:t>four</w:t>
      </w:r>
      <w:r w:rsidRPr="00A44305">
        <w:rPr>
          <w:rFonts w:ascii="Arial" w:hAnsi="Arial" w:cs="Arial"/>
        </w:rPr>
        <w:t xml:space="preserve"> </w:t>
      </w:r>
      <w:r>
        <w:rPr>
          <w:rFonts w:ascii="Arial" w:hAnsi="Arial" w:cs="Arial"/>
        </w:rPr>
        <w:t>years</w:t>
      </w:r>
      <w:r w:rsidRPr="00A44305">
        <w:rPr>
          <w:rFonts w:ascii="Arial" w:hAnsi="Arial" w:cs="Arial"/>
        </w:rPr>
        <w:t xml:space="preserve"> analysed</w:t>
      </w:r>
      <w:r>
        <w:rPr>
          <w:rFonts w:ascii="Arial" w:hAnsi="Arial" w:cs="Arial"/>
        </w:rPr>
        <w:t xml:space="preserve"> starting 2007-08</w:t>
      </w:r>
      <w:r w:rsidRPr="00A44305">
        <w:rPr>
          <w:rFonts w:ascii="Arial" w:hAnsi="Arial" w:cs="Arial"/>
        </w:rPr>
        <w:t xml:space="preserve">, the expenditure on F1 medicines as a proportion of overall expenditure rises from 53% in 2007-08 to </w:t>
      </w:r>
      <w:r w:rsidR="007B0895" w:rsidRPr="00A44305">
        <w:rPr>
          <w:rFonts w:ascii="Arial" w:hAnsi="Arial" w:cs="Arial"/>
        </w:rPr>
        <w:t>5</w:t>
      </w:r>
      <w:r w:rsidR="007B0895">
        <w:rPr>
          <w:rFonts w:ascii="Arial" w:hAnsi="Arial" w:cs="Arial"/>
        </w:rPr>
        <w:t>7</w:t>
      </w:r>
      <w:r w:rsidRPr="00A44305">
        <w:rPr>
          <w:rFonts w:ascii="Arial" w:hAnsi="Arial" w:cs="Arial"/>
        </w:rPr>
        <w:t xml:space="preserve">% in </w:t>
      </w:r>
      <w:r w:rsidR="007B0895">
        <w:rPr>
          <w:rFonts w:ascii="Arial" w:hAnsi="Arial" w:cs="Arial"/>
        </w:rPr>
        <w:t>2010-11</w:t>
      </w:r>
      <w:r w:rsidRPr="00A44305">
        <w:rPr>
          <w:rFonts w:ascii="Arial" w:hAnsi="Arial" w:cs="Arial"/>
        </w:rPr>
        <w:t xml:space="preserve"> whereas F2 medicines, as a proportion, drops to 33% in the same time period.  This fall in expenditure on F2 medicines can be partially attributed to statutory price reductions and ongoing price disclosure fuelled by competition within the F2 market.  It </w:t>
      </w:r>
      <w:r>
        <w:rPr>
          <w:rFonts w:ascii="Arial" w:hAnsi="Arial" w:cs="Arial"/>
        </w:rPr>
        <w:t xml:space="preserve">can also, in part, be attributed to </w:t>
      </w:r>
      <w:r w:rsidRPr="00A44305">
        <w:rPr>
          <w:rFonts w:ascii="Arial" w:hAnsi="Arial" w:cs="Arial"/>
        </w:rPr>
        <w:t>the ongoing listing of new medicines, which move directly into the F1 Formulary.</w:t>
      </w:r>
    </w:p>
    <w:p w:rsidR="00DF0F57" w:rsidRDefault="00DF0F57" w:rsidP="00DF0F57">
      <w:pPr>
        <w:rPr>
          <w:rFonts w:ascii="Arial" w:hAnsi="Arial" w:cs="Arial"/>
        </w:rPr>
      </w:pPr>
      <w:r w:rsidRPr="0069685F">
        <w:rPr>
          <w:rFonts w:ascii="Arial" w:hAnsi="Arial" w:cs="Arial"/>
        </w:rPr>
        <w:t>It should be noted that the analyses conducted in this report do not take into consideration any special pricing arrangements</w:t>
      </w:r>
      <w:r w:rsidR="00455EF3">
        <w:rPr>
          <w:rStyle w:val="FootnoteReference"/>
        </w:rPr>
        <w:footnoteReference w:id="30"/>
      </w:r>
      <w:r w:rsidRPr="0069685F">
        <w:rPr>
          <w:rFonts w:ascii="Arial" w:hAnsi="Arial" w:cs="Arial"/>
        </w:rPr>
        <w:t xml:space="preserve"> on PBS items.  There are a number (more than 73 medicines in 2009) of special pricing arrangements in place mostly for F1 products and some F2 products.  Some of </w:t>
      </w:r>
      <w:r w:rsidR="00B8780F">
        <w:rPr>
          <w:rFonts w:ascii="Arial" w:hAnsi="Arial" w:cs="Arial"/>
        </w:rPr>
        <w:t>these arrangements</w:t>
      </w:r>
      <w:r w:rsidR="00B8780F" w:rsidRPr="0069685F">
        <w:rPr>
          <w:rFonts w:ascii="Arial" w:hAnsi="Arial" w:cs="Arial"/>
        </w:rPr>
        <w:t xml:space="preserve"> </w:t>
      </w:r>
      <w:r w:rsidRPr="0069685F">
        <w:rPr>
          <w:rFonts w:ascii="Arial" w:hAnsi="Arial" w:cs="Arial"/>
        </w:rPr>
        <w:t>may have a</w:t>
      </w:r>
      <w:r w:rsidR="007B0895" w:rsidRPr="0069685F">
        <w:rPr>
          <w:rFonts w:ascii="Arial" w:hAnsi="Arial" w:cs="Arial"/>
        </w:rPr>
        <w:t>n</w:t>
      </w:r>
      <w:r w:rsidR="0069685F">
        <w:rPr>
          <w:rFonts w:ascii="Arial" w:hAnsi="Arial" w:cs="Arial"/>
        </w:rPr>
        <w:t xml:space="preserve"> </w:t>
      </w:r>
      <w:r w:rsidRPr="0069685F">
        <w:rPr>
          <w:rFonts w:ascii="Arial" w:hAnsi="Arial" w:cs="Arial"/>
        </w:rPr>
        <w:t xml:space="preserve">impact on overall government expenditure for these medicines. </w:t>
      </w:r>
      <w:r w:rsidR="007B0895" w:rsidRPr="0069685F">
        <w:rPr>
          <w:rFonts w:ascii="Arial" w:hAnsi="Arial" w:cs="Arial"/>
        </w:rPr>
        <w:t>In 2009-10 the cost reduction to Government was in the order of $50 million (around 0.5% of the total cost of the PBS) and in 2010-11 was $98 million (around 1.1% of the total cost of the PBS).</w:t>
      </w:r>
    </w:p>
    <w:p w:rsidR="00A556AC" w:rsidRDefault="00A556AC">
      <w:pPr>
        <w:spacing w:after="0" w:line="240" w:lineRule="auto"/>
        <w:rPr>
          <w:rFonts w:ascii="Arial" w:hAnsi="Arial" w:cs="Arial"/>
        </w:rPr>
      </w:pPr>
      <w:r>
        <w:rPr>
          <w:rFonts w:ascii="Arial" w:hAnsi="Arial" w:cs="Arial"/>
        </w:rPr>
        <w:br w:type="page"/>
      </w:r>
    </w:p>
    <w:p w:rsidR="00A556AC" w:rsidRPr="0086442F" w:rsidRDefault="00A556AC" w:rsidP="00E040D4">
      <w:pPr>
        <w:rPr>
          <w:rFonts w:ascii="Arial" w:hAnsi="Arial" w:cs="Arial"/>
        </w:rPr>
      </w:pPr>
    </w:p>
    <w:tbl>
      <w:tblPr>
        <w:tblW w:w="0" w:type="auto"/>
        <w:jc w:val="center"/>
        <w:tblInd w:w="-219" w:type="dxa"/>
        <w:tblLook w:val="0000" w:firstRow="0" w:lastRow="0" w:firstColumn="0" w:lastColumn="0" w:noHBand="0" w:noVBand="0"/>
      </w:tblPr>
      <w:tblGrid>
        <w:gridCol w:w="8502"/>
      </w:tblGrid>
      <w:tr w:rsidR="009B075E" w:rsidRPr="00A44305" w:rsidTr="006718E8">
        <w:trPr>
          <w:jc w:val="center"/>
        </w:trPr>
        <w:tc>
          <w:tcPr>
            <w:tcW w:w="8502" w:type="dxa"/>
            <w:tcBorders>
              <w:top w:val="single" w:sz="4" w:space="0" w:color="auto"/>
              <w:left w:val="single" w:sz="4" w:space="0" w:color="auto"/>
              <w:bottom w:val="single" w:sz="4" w:space="0" w:color="auto"/>
              <w:right w:val="single" w:sz="4" w:space="0" w:color="auto"/>
            </w:tcBorders>
            <w:vAlign w:val="center"/>
          </w:tcPr>
          <w:p w:rsidR="009B075E" w:rsidRPr="00A44305" w:rsidRDefault="009B075E" w:rsidP="00521975">
            <w:pPr>
              <w:pStyle w:val="Caption"/>
              <w:keepNext w:val="0"/>
              <w:rPr>
                <w:rFonts w:ascii="Arial" w:hAnsi="Arial" w:cs="Arial"/>
                <w:sz w:val="22"/>
                <w:szCs w:val="22"/>
                <w:highlight w:val="yellow"/>
              </w:rPr>
            </w:pPr>
            <w:r w:rsidRPr="00A44305">
              <w:rPr>
                <w:rFonts w:ascii="Arial" w:hAnsi="Arial" w:cs="Arial"/>
              </w:rPr>
              <w:br w:type="page"/>
            </w:r>
            <w:bookmarkStart w:id="63" w:name="_Ref297494122"/>
            <w:r w:rsidRPr="00A44305">
              <w:rPr>
                <w:rFonts w:ascii="Arial" w:hAnsi="Arial" w:cs="Arial"/>
                <w:sz w:val="22"/>
                <w:szCs w:val="22"/>
              </w:rPr>
              <w:t xml:space="preserve">Figure </w:t>
            </w:r>
            <w:r w:rsidR="00855AAF" w:rsidRPr="00A44305">
              <w:rPr>
                <w:rFonts w:ascii="Arial" w:hAnsi="Arial" w:cs="Arial"/>
                <w:sz w:val="22"/>
                <w:szCs w:val="22"/>
              </w:rPr>
              <w:fldChar w:fldCharType="begin"/>
            </w:r>
            <w:r w:rsidRPr="00A44305">
              <w:rPr>
                <w:rFonts w:ascii="Arial" w:hAnsi="Arial" w:cs="Arial"/>
                <w:sz w:val="22"/>
                <w:szCs w:val="22"/>
              </w:rPr>
              <w:instrText xml:space="preserve"> SEQ Figure \* ARABIC </w:instrText>
            </w:r>
            <w:r w:rsidR="00855AAF" w:rsidRPr="00A44305">
              <w:rPr>
                <w:rFonts w:ascii="Arial" w:hAnsi="Arial" w:cs="Arial"/>
                <w:sz w:val="22"/>
                <w:szCs w:val="22"/>
              </w:rPr>
              <w:fldChar w:fldCharType="separate"/>
            </w:r>
            <w:r w:rsidR="00584343">
              <w:rPr>
                <w:rFonts w:ascii="Arial" w:hAnsi="Arial" w:cs="Arial"/>
                <w:noProof/>
                <w:sz w:val="22"/>
                <w:szCs w:val="22"/>
              </w:rPr>
              <w:t>17</w:t>
            </w:r>
            <w:r w:rsidR="00855AAF" w:rsidRPr="00A44305">
              <w:rPr>
                <w:rFonts w:ascii="Arial" w:hAnsi="Arial" w:cs="Arial"/>
                <w:sz w:val="22"/>
                <w:szCs w:val="22"/>
              </w:rPr>
              <w:fldChar w:fldCharType="end"/>
            </w:r>
            <w:bookmarkEnd w:id="63"/>
            <w:r w:rsidRPr="00A44305">
              <w:rPr>
                <w:rFonts w:ascii="Arial" w:hAnsi="Arial" w:cs="Arial"/>
                <w:sz w:val="22"/>
                <w:szCs w:val="22"/>
              </w:rPr>
              <w:t>: Trends in Government expenditure</w:t>
            </w:r>
            <w:r w:rsidR="00713597">
              <w:rPr>
                <w:rFonts w:ascii="Arial" w:hAnsi="Arial" w:cs="Arial"/>
                <w:sz w:val="22"/>
                <w:szCs w:val="22"/>
              </w:rPr>
              <w:t>*</w:t>
            </w:r>
            <w:r w:rsidRPr="00A44305">
              <w:rPr>
                <w:rFonts w:ascii="Arial" w:hAnsi="Arial" w:cs="Arial"/>
                <w:sz w:val="22"/>
                <w:szCs w:val="22"/>
              </w:rPr>
              <w:t xml:space="preserve"> on </w:t>
            </w:r>
            <w:r>
              <w:rPr>
                <w:rFonts w:ascii="Arial" w:hAnsi="Arial" w:cs="Arial"/>
                <w:sz w:val="22"/>
                <w:szCs w:val="22"/>
              </w:rPr>
              <w:t>S85</w:t>
            </w:r>
            <w:r w:rsidRPr="00A44305">
              <w:rPr>
                <w:rFonts w:ascii="Arial" w:hAnsi="Arial" w:cs="Arial"/>
                <w:sz w:val="22"/>
                <w:szCs w:val="22"/>
              </w:rPr>
              <w:t xml:space="preserve"> drugs, by formulary</w:t>
            </w:r>
          </w:p>
        </w:tc>
      </w:tr>
      <w:tr w:rsidR="009B075E" w:rsidRPr="00A44305" w:rsidTr="007356D4">
        <w:trPr>
          <w:trHeight w:val="4489"/>
          <w:jc w:val="center"/>
        </w:trPr>
        <w:tc>
          <w:tcPr>
            <w:tcW w:w="8502" w:type="dxa"/>
            <w:tcBorders>
              <w:top w:val="single" w:sz="4" w:space="0" w:color="auto"/>
              <w:left w:val="single" w:sz="4" w:space="0" w:color="auto"/>
              <w:bottom w:val="single" w:sz="4" w:space="0" w:color="auto"/>
              <w:right w:val="single" w:sz="4" w:space="0" w:color="auto"/>
            </w:tcBorders>
            <w:vAlign w:val="center"/>
          </w:tcPr>
          <w:p w:rsidR="009B075E" w:rsidRPr="00A44305" w:rsidRDefault="005E0A95" w:rsidP="00521975">
            <w:pPr>
              <w:tabs>
                <w:tab w:val="left" w:pos="4708"/>
              </w:tabs>
              <w:jc w:val="center"/>
              <w:rPr>
                <w:rFonts w:ascii="Arial" w:hAnsi="Arial" w:cs="Arial"/>
                <w:b/>
                <w:bCs/>
                <w:highlight w:val="yellow"/>
              </w:rPr>
            </w:pPr>
            <w:r>
              <w:rPr>
                <w:rFonts w:ascii="Arial" w:hAnsi="Arial" w:cs="Arial"/>
                <w:b/>
                <w:noProof/>
                <w:lang w:eastAsia="en-AU"/>
              </w:rPr>
              <w:drawing>
                <wp:inline distT="0" distB="0" distL="0" distR="0" wp14:anchorId="506A6D46" wp14:editId="1DEF0759">
                  <wp:extent cx="4477385" cy="2587625"/>
                  <wp:effectExtent l="0" t="0" r="0" b="3175"/>
                  <wp:docPr id="16" name="Picture 16" descr="Trends in Government expenditure* on S85 drugs, by formulary" title="Fig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srcRect t="8603" b="9483"/>
                          <a:stretch>
                            <a:fillRect/>
                          </a:stretch>
                        </pic:blipFill>
                        <pic:spPr bwMode="auto">
                          <a:xfrm>
                            <a:off x="0" y="0"/>
                            <a:ext cx="4477385" cy="2587625"/>
                          </a:xfrm>
                          <a:prstGeom prst="rect">
                            <a:avLst/>
                          </a:prstGeom>
                          <a:noFill/>
                          <a:ln w="9525">
                            <a:noFill/>
                            <a:miter lim="800000"/>
                            <a:headEnd/>
                            <a:tailEnd/>
                          </a:ln>
                        </pic:spPr>
                      </pic:pic>
                    </a:graphicData>
                  </a:graphic>
                </wp:inline>
              </w:drawing>
            </w:r>
          </w:p>
        </w:tc>
      </w:tr>
    </w:tbl>
    <w:p w:rsidR="00C77242" w:rsidRDefault="00713597" w:rsidP="007356D4">
      <w:pPr>
        <w:pStyle w:val="CommentText"/>
        <w:spacing w:before="120"/>
        <w:rPr>
          <w:rFonts w:ascii="Arial" w:hAnsi="Arial" w:cs="Arial"/>
        </w:rPr>
      </w:pPr>
      <w:r>
        <w:rPr>
          <w:rFonts w:ascii="Arial Narrow" w:hAnsi="Arial Narrow" w:cs="Arial"/>
          <w:sz w:val="18"/>
          <w:szCs w:val="18"/>
        </w:rPr>
        <w:t xml:space="preserve">      </w:t>
      </w:r>
      <w:r w:rsidRPr="007D30FD">
        <w:rPr>
          <w:rFonts w:ascii="Arial Narrow" w:hAnsi="Arial Narrow" w:cs="Arial"/>
          <w:sz w:val="18"/>
          <w:szCs w:val="18"/>
        </w:rPr>
        <w:t>*</w:t>
      </w:r>
      <w:r>
        <w:rPr>
          <w:rFonts w:ascii="Arial Narrow" w:hAnsi="Arial Narrow" w:cs="Arial"/>
          <w:sz w:val="18"/>
          <w:szCs w:val="18"/>
        </w:rPr>
        <w:t xml:space="preserve"> </w:t>
      </w:r>
      <w:r w:rsidRPr="007D30FD">
        <w:rPr>
          <w:rFonts w:ascii="Arial Narrow" w:hAnsi="Arial Narrow" w:cs="Arial"/>
          <w:sz w:val="18"/>
          <w:szCs w:val="18"/>
        </w:rPr>
        <w:t>Percentages may not add to 100 as analysis does not include extemporaneously prepared items</w:t>
      </w:r>
    </w:p>
    <w:p w:rsidR="007563B8" w:rsidRDefault="007563B8" w:rsidP="007356D4">
      <w:pPr>
        <w:pStyle w:val="CommentText"/>
        <w:spacing w:after="0" w:line="276" w:lineRule="auto"/>
        <w:rPr>
          <w:rFonts w:ascii="Arial" w:hAnsi="Arial" w:cs="Arial"/>
          <w:sz w:val="22"/>
          <w:szCs w:val="22"/>
        </w:rPr>
      </w:pPr>
    </w:p>
    <w:p w:rsidR="0062461B" w:rsidRDefault="007B0895" w:rsidP="007356D4">
      <w:pPr>
        <w:pStyle w:val="CommentText"/>
        <w:spacing w:line="276" w:lineRule="auto"/>
        <w:rPr>
          <w:rFonts w:ascii="Arial" w:hAnsi="Arial" w:cs="Arial"/>
          <w:sz w:val="22"/>
          <w:szCs w:val="22"/>
        </w:rPr>
      </w:pPr>
      <w:r>
        <w:rPr>
          <w:rFonts w:ascii="Arial" w:hAnsi="Arial" w:cs="Arial"/>
          <w:sz w:val="22"/>
          <w:szCs w:val="22"/>
        </w:rPr>
        <w:t>U</w:t>
      </w:r>
      <w:r w:rsidR="009B075E">
        <w:rPr>
          <w:rFonts w:ascii="Arial" w:hAnsi="Arial" w:cs="Arial"/>
          <w:sz w:val="22"/>
          <w:szCs w:val="22"/>
        </w:rPr>
        <w:t xml:space="preserve">nder the current reforms, as proportion of overall expenditure, the expenditure on F2 medicines may be expected to continue to fall over time as the Government prices start to reflect actual market prices more closely.  </w:t>
      </w:r>
      <w:r w:rsidR="0062461B">
        <w:rPr>
          <w:rFonts w:ascii="Arial" w:hAnsi="Arial" w:cs="Arial"/>
          <w:sz w:val="22"/>
          <w:szCs w:val="22"/>
        </w:rPr>
        <w:t xml:space="preserve">This will be taken into account by the DWG when examining the relative contributions to </w:t>
      </w:r>
      <w:r w:rsidR="000C44AE">
        <w:rPr>
          <w:rFonts w:ascii="Arial" w:hAnsi="Arial" w:cs="Arial"/>
          <w:sz w:val="22"/>
          <w:szCs w:val="22"/>
        </w:rPr>
        <w:t xml:space="preserve">PBS expenditure and </w:t>
      </w:r>
      <w:r w:rsidR="0062461B">
        <w:rPr>
          <w:rFonts w:ascii="Arial" w:hAnsi="Arial" w:cs="Arial"/>
          <w:sz w:val="22"/>
          <w:szCs w:val="22"/>
        </w:rPr>
        <w:t>growth of the F1 and F2 formularies going forward</w:t>
      </w:r>
      <w:r w:rsidR="00EC7001" w:rsidRPr="00EC7001">
        <w:rPr>
          <w:rFonts w:ascii="Arial" w:hAnsi="Arial" w:cs="Arial"/>
          <w:sz w:val="22"/>
          <w:szCs w:val="22"/>
        </w:rPr>
        <w:t xml:space="preserve">. </w:t>
      </w:r>
      <w:r w:rsidR="009B075E">
        <w:rPr>
          <w:rFonts w:ascii="Arial" w:hAnsi="Arial" w:cs="Arial"/>
          <w:sz w:val="22"/>
          <w:szCs w:val="22"/>
        </w:rPr>
        <w:t xml:space="preserve"> </w:t>
      </w:r>
    </w:p>
    <w:p w:rsidR="00C77242" w:rsidRPr="00443268" w:rsidRDefault="009B075E" w:rsidP="007356D4">
      <w:pPr>
        <w:pStyle w:val="CommentText"/>
        <w:spacing w:line="276" w:lineRule="auto"/>
        <w:rPr>
          <w:rFonts w:ascii="Arial" w:hAnsi="Arial" w:cs="Arial"/>
          <w:sz w:val="22"/>
          <w:szCs w:val="22"/>
        </w:rPr>
      </w:pPr>
      <w:r>
        <w:rPr>
          <w:rFonts w:ascii="Arial" w:hAnsi="Arial" w:cs="Arial"/>
          <w:sz w:val="22"/>
          <w:szCs w:val="22"/>
        </w:rPr>
        <w:t xml:space="preserve">Also, these data do not reflect the price reductions on 1 April 2012 from the </w:t>
      </w:r>
      <w:r w:rsidR="00EC7001" w:rsidRPr="00EC7001">
        <w:rPr>
          <w:rFonts w:ascii="Arial" w:hAnsi="Arial" w:cs="Arial"/>
          <w:sz w:val="22"/>
          <w:szCs w:val="22"/>
        </w:rPr>
        <w:t>Expanded and Accelerated Price Disclosure (EAPD)</w:t>
      </w:r>
      <w:r>
        <w:rPr>
          <w:rFonts w:ascii="Arial" w:hAnsi="Arial" w:cs="Arial"/>
          <w:sz w:val="22"/>
          <w:szCs w:val="22"/>
        </w:rPr>
        <w:t xml:space="preserve"> guarantee round. </w:t>
      </w:r>
      <w:r w:rsidR="007B0895">
        <w:rPr>
          <w:rFonts w:ascii="Arial" w:hAnsi="Arial" w:cs="Arial"/>
          <w:sz w:val="22"/>
          <w:szCs w:val="22"/>
        </w:rPr>
        <w:t>I</w:t>
      </w:r>
      <w:r>
        <w:rPr>
          <w:rFonts w:ascii="Arial" w:hAnsi="Arial" w:cs="Arial"/>
          <w:sz w:val="22"/>
          <w:szCs w:val="22"/>
        </w:rPr>
        <w:t>t would be useful to compare the volume</w:t>
      </w:r>
      <w:r w:rsidR="00477550">
        <w:rPr>
          <w:rFonts w:ascii="Arial" w:hAnsi="Arial" w:cs="Arial"/>
          <w:sz w:val="22"/>
          <w:szCs w:val="22"/>
        </w:rPr>
        <w:t>s</w:t>
      </w:r>
      <w:r>
        <w:rPr>
          <w:rFonts w:ascii="Arial" w:hAnsi="Arial" w:cs="Arial"/>
          <w:sz w:val="22"/>
          <w:szCs w:val="22"/>
        </w:rPr>
        <w:t xml:space="preserve"> post 1 April 2012 price reductions when comparing the contribution of each formulary to PBS expenditure in the next report which will allow a more complete understanding of the dynamics of PBS growth </w:t>
      </w:r>
      <w:r w:rsidR="007B0895">
        <w:rPr>
          <w:rFonts w:ascii="Arial" w:hAnsi="Arial" w:cs="Arial"/>
          <w:sz w:val="22"/>
          <w:szCs w:val="22"/>
        </w:rPr>
        <w:t xml:space="preserve">in </w:t>
      </w:r>
      <w:r>
        <w:rPr>
          <w:rFonts w:ascii="Arial" w:hAnsi="Arial" w:cs="Arial"/>
          <w:sz w:val="22"/>
          <w:szCs w:val="22"/>
        </w:rPr>
        <w:t xml:space="preserve">each formulary.   </w:t>
      </w:r>
    </w:p>
    <w:p w:rsidR="009B075E" w:rsidRPr="009B075E" w:rsidRDefault="009B075E">
      <w:pPr>
        <w:spacing w:after="0" w:line="240" w:lineRule="auto"/>
        <w:rPr>
          <w:rFonts w:ascii="Arial" w:hAnsi="Arial" w:cs="Arial"/>
        </w:rPr>
      </w:pPr>
      <w:bookmarkStart w:id="64" w:name="_Toc301513627"/>
      <w:r w:rsidRPr="00B06B4E">
        <w:rPr>
          <w:rFonts w:ascii="Arial" w:hAnsi="Arial" w:cs="Arial"/>
        </w:rPr>
        <w:br w:type="page"/>
      </w:r>
    </w:p>
    <w:p w:rsidR="009B075E" w:rsidRDefault="009B075E" w:rsidP="00CE5D69">
      <w:pPr>
        <w:pStyle w:val="Heading1"/>
        <w:rPr>
          <w:rFonts w:ascii="Arial" w:hAnsi="Arial" w:cs="Arial"/>
          <w:sz w:val="24"/>
          <w:szCs w:val="24"/>
        </w:rPr>
      </w:pPr>
      <w:bookmarkStart w:id="65" w:name="_Toc337033196"/>
      <w:bookmarkStart w:id="66" w:name="_Toc357174841"/>
      <w:r w:rsidRPr="00A44305">
        <w:rPr>
          <w:rFonts w:ascii="Arial" w:hAnsi="Arial" w:cs="Arial"/>
          <w:sz w:val="24"/>
          <w:szCs w:val="24"/>
        </w:rPr>
        <w:lastRenderedPageBreak/>
        <w:t>Trends in PBS script volume by formularies</w:t>
      </w:r>
      <w:bookmarkEnd w:id="64"/>
      <w:r>
        <w:rPr>
          <w:rFonts w:ascii="Arial" w:hAnsi="Arial" w:cs="Arial"/>
          <w:sz w:val="24"/>
          <w:szCs w:val="24"/>
        </w:rPr>
        <w:t xml:space="preserve"> (2007-2011)</w:t>
      </w:r>
      <w:bookmarkEnd w:id="65"/>
      <w:bookmarkEnd w:id="66"/>
    </w:p>
    <w:p w:rsidR="009B075E" w:rsidRPr="0062212B" w:rsidRDefault="009B075E" w:rsidP="003E5105">
      <w:pPr>
        <w:spacing w:before="120" w:after="240"/>
        <w:rPr>
          <w:rFonts w:ascii="Arial" w:hAnsi="Arial" w:cs="Arial"/>
        </w:rPr>
      </w:pPr>
      <w:r w:rsidRPr="00A44305">
        <w:rPr>
          <w:rFonts w:ascii="Arial" w:hAnsi="Arial" w:cs="Arial"/>
        </w:rPr>
        <w:t>As shown</w:t>
      </w:r>
      <w:r>
        <w:rPr>
          <w:rFonts w:ascii="Arial" w:hAnsi="Arial" w:cs="Arial"/>
        </w:rPr>
        <w:t xml:space="preserve"> in</w:t>
      </w:r>
      <w:r w:rsidRPr="00A44305">
        <w:rPr>
          <w:rFonts w:ascii="Arial" w:hAnsi="Arial" w:cs="Arial"/>
        </w:rPr>
        <w:t xml:space="preserve"> </w:t>
      </w:r>
      <w:r w:rsidR="00154097">
        <w:fldChar w:fldCharType="begin"/>
      </w:r>
      <w:r w:rsidR="00154097">
        <w:instrText xml:space="preserve"> REF _Ref297729355 \h  \* MERGEFORMAT </w:instrText>
      </w:r>
      <w:r w:rsidR="00154097">
        <w:fldChar w:fldCharType="separate"/>
      </w:r>
      <w:r w:rsidR="00584343" w:rsidRPr="00A44305">
        <w:rPr>
          <w:rFonts w:ascii="Arial" w:hAnsi="Arial" w:cs="Arial"/>
        </w:rPr>
        <w:t xml:space="preserve">Figure </w:t>
      </w:r>
      <w:r w:rsidR="00584343">
        <w:rPr>
          <w:rFonts w:ascii="Arial" w:hAnsi="Arial" w:cs="Arial"/>
          <w:noProof/>
        </w:rPr>
        <w:t>18</w:t>
      </w:r>
      <w:r w:rsidR="00154097">
        <w:fldChar w:fldCharType="end"/>
      </w:r>
      <w:r w:rsidRPr="00A44305">
        <w:rPr>
          <w:rFonts w:ascii="Arial" w:hAnsi="Arial" w:cs="Arial"/>
        </w:rPr>
        <w:t xml:space="preserve">, </w:t>
      </w:r>
      <w:r>
        <w:rPr>
          <w:rFonts w:ascii="Arial" w:hAnsi="Arial" w:cs="Arial"/>
        </w:rPr>
        <w:t xml:space="preserve">the contribution of F2 scripts to PBS prescription volume growth continued to increase across the time period analysed whereas the contribution of F1 scripts fell throughout the time analysed (2007-2011).  This is consistent with the expenditure trends in the previous section.  </w:t>
      </w:r>
    </w:p>
    <w:tbl>
      <w:tblPr>
        <w:tblW w:w="0" w:type="auto"/>
        <w:jc w:val="center"/>
        <w:tblInd w:w="304" w:type="dxa"/>
        <w:tblLook w:val="0000" w:firstRow="0" w:lastRow="0" w:firstColumn="0" w:lastColumn="0" w:noHBand="0" w:noVBand="0"/>
      </w:tblPr>
      <w:tblGrid>
        <w:gridCol w:w="8938"/>
      </w:tblGrid>
      <w:tr w:rsidR="009B075E" w:rsidRPr="00A44305" w:rsidTr="00C02B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9B075E" w:rsidP="00C02B50">
            <w:pPr>
              <w:pStyle w:val="Caption"/>
              <w:keepNext w:val="0"/>
              <w:rPr>
                <w:rFonts w:ascii="Arial" w:hAnsi="Arial" w:cs="Arial"/>
                <w:sz w:val="22"/>
                <w:szCs w:val="22"/>
                <w:highlight w:val="yellow"/>
              </w:rPr>
            </w:pPr>
            <w:r w:rsidRPr="00A44305">
              <w:rPr>
                <w:rFonts w:ascii="Arial" w:hAnsi="Arial" w:cs="Arial"/>
                <w:sz w:val="2"/>
                <w:szCs w:val="2"/>
              </w:rPr>
              <w:br w:type="page"/>
            </w:r>
            <w:bookmarkStart w:id="67" w:name="_Ref297729355"/>
            <w:r w:rsidRPr="00A44305">
              <w:rPr>
                <w:rFonts w:ascii="Arial" w:hAnsi="Arial" w:cs="Arial"/>
                <w:sz w:val="22"/>
                <w:szCs w:val="22"/>
              </w:rPr>
              <w:t xml:space="preserve">Figure </w:t>
            </w:r>
            <w:r w:rsidR="00855AAF" w:rsidRPr="00A44305">
              <w:rPr>
                <w:rFonts w:ascii="Arial" w:hAnsi="Arial" w:cs="Arial"/>
                <w:sz w:val="22"/>
                <w:szCs w:val="22"/>
              </w:rPr>
              <w:fldChar w:fldCharType="begin"/>
            </w:r>
            <w:r w:rsidRPr="00A44305">
              <w:rPr>
                <w:rFonts w:ascii="Arial" w:hAnsi="Arial" w:cs="Arial"/>
                <w:sz w:val="22"/>
                <w:szCs w:val="22"/>
              </w:rPr>
              <w:instrText xml:space="preserve"> SEQ Figure \* ARABIC </w:instrText>
            </w:r>
            <w:r w:rsidR="00855AAF" w:rsidRPr="00A44305">
              <w:rPr>
                <w:rFonts w:ascii="Arial" w:hAnsi="Arial" w:cs="Arial"/>
                <w:sz w:val="22"/>
                <w:szCs w:val="22"/>
              </w:rPr>
              <w:fldChar w:fldCharType="separate"/>
            </w:r>
            <w:r w:rsidR="00584343">
              <w:rPr>
                <w:rFonts w:ascii="Arial" w:hAnsi="Arial" w:cs="Arial"/>
                <w:noProof/>
                <w:sz w:val="22"/>
                <w:szCs w:val="22"/>
              </w:rPr>
              <w:t>18</w:t>
            </w:r>
            <w:r w:rsidR="00855AAF" w:rsidRPr="00A44305">
              <w:rPr>
                <w:rFonts w:ascii="Arial" w:hAnsi="Arial" w:cs="Arial"/>
                <w:sz w:val="22"/>
                <w:szCs w:val="22"/>
              </w:rPr>
              <w:fldChar w:fldCharType="end"/>
            </w:r>
            <w:bookmarkEnd w:id="67"/>
            <w:r w:rsidRPr="00A44305">
              <w:rPr>
                <w:rFonts w:ascii="Arial" w:hAnsi="Arial" w:cs="Arial"/>
                <w:sz w:val="22"/>
                <w:szCs w:val="22"/>
              </w:rPr>
              <w:t xml:space="preserve">: Contribution to overall growth in PBS </w:t>
            </w:r>
            <w:r>
              <w:rPr>
                <w:rFonts w:ascii="Arial" w:hAnsi="Arial" w:cs="Arial"/>
                <w:sz w:val="22"/>
                <w:szCs w:val="22"/>
              </w:rPr>
              <w:t>S85</w:t>
            </w:r>
            <w:r w:rsidRPr="00A44305">
              <w:rPr>
                <w:rFonts w:ascii="Arial" w:hAnsi="Arial" w:cs="Arial"/>
                <w:sz w:val="22"/>
                <w:szCs w:val="22"/>
              </w:rPr>
              <w:t xml:space="preserve"> prescription volume by formulary</w:t>
            </w:r>
          </w:p>
        </w:tc>
      </w:tr>
      <w:tr w:rsidR="009B075E" w:rsidRPr="00A44305" w:rsidTr="00C02B50">
        <w:trPr>
          <w:trHeight w:val="4243"/>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5E0A95" w:rsidP="00C02B50">
            <w:pPr>
              <w:tabs>
                <w:tab w:val="left" w:pos="4708"/>
              </w:tabs>
              <w:jc w:val="center"/>
              <w:rPr>
                <w:rFonts w:ascii="Arial" w:hAnsi="Arial" w:cs="Arial"/>
                <w:b/>
                <w:bCs/>
                <w:highlight w:val="yellow"/>
              </w:rPr>
            </w:pPr>
            <w:r>
              <w:rPr>
                <w:rFonts w:ascii="Arial" w:hAnsi="Arial" w:cs="Arial"/>
                <w:b/>
                <w:noProof/>
                <w:lang w:eastAsia="en-AU"/>
              </w:rPr>
              <w:drawing>
                <wp:inline distT="0" distB="0" distL="0" distR="0" wp14:anchorId="75F9B0E7" wp14:editId="07048A61">
                  <wp:extent cx="4382135" cy="2536190"/>
                  <wp:effectExtent l="0" t="0" r="0" b="0"/>
                  <wp:docPr id="17" name="Picture 17" descr="Contribution to overall growth in PBS S85 prescription volume by formulary" title="Fig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srcRect t="10638" b="6075"/>
                          <a:stretch>
                            <a:fillRect/>
                          </a:stretch>
                        </pic:blipFill>
                        <pic:spPr bwMode="auto">
                          <a:xfrm>
                            <a:off x="0" y="0"/>
                            <a:ext cx="4382135" cy="2536190"/>
                          </a:xfrm>
                          <a:prstGeom prst="rect">
                            <a:avLst/>
                          </a:prstGeom>
                          <a:noFill/>
                          <a:ln w="9525">
                            <a:noFill/>
                            <a:miter lim="800000"/>
                            <a:headEnd/>
                            <a:tailEnd/>
                          </a:ln>
                        </pic:spPr>
                      </pic:pic>
                    </a:graphicData>
                  </a:graphic>
                </wp:inline>
              </w:drawing>
            </w:r>
          </w:p>
        </w:tc>
      </w:tr>
    </w:tbl>
    <w:p w:rsidR="007563B8" w:rsidRDefault="007563B8" w:rsidP="00CE5D69">
      <w:pPr>
        <w:spacing w:before="120" w:after="120"/>
        <w:rPr>
          <w:rFonts w:ascii="Arial" w:hAnsi="Arial" w:cs="Arial"/>
        </w:rPr>
      </w:pPr>
      <w:r w:rsidRPr="007D30FD">
        <w:rPr>
          <w:rFonts w:ascii="Arial Narrow" w:hAnsi="Arial Narrow" w:cs="Arial"/>
          <w:sz w:val="18"/>
          <w:szCs w:val="18"/>
        </w:rPr>
        <w:t>*</w:t>
      </w:r>
      <w:r>
        <w:rPr>
          <w:rFonts w:ascii="Arial Narrow" w:hAnsi="Arial Narrow" w:cs="Arial"/>
          <w:sz w:val="18"/>
          <w:szCs w:val="18"/>
        </w:rPr>
        <w:t xml:space="preserve"> </w:t>
      </w:r>
      <w:r w:rsidRPr="007D30FD">
        <w:rPr>
          <w:rFonts w:ascii="Arial Narrow" w:hAnsi="Arial Narrow" w:cs="Arial"/>
          <w:sz w:val="18"/>
          <w:szCs w:val="18"/>
        </w:rPr>
        <w:t>Percentages may not add to 100 as analysis does not include extemporaneously prepared items</w:t>
      </w:r>
    </w:p>
    <w:p w:rsidR="007563B8" w:rsidRDefault="007563B8" w:rsidP="007356D4">
      <w:pPr>
        <w:spacing w:after="0"/>
        <w:rPr>
          <w:rFonts w:ascii="Arial" w:hAnsi="Arial" w:cs="Arial"/>
        </w:rPr>
      </w:pPr>
    </w:p>
    <w:p w:rsidR="009B075E" w:rsidRPr="009C62FF" w:rsidRDefault="009B075E" w:rsidP="007356D4">
      <w:pPr>
        <w:spacing w:after="120"/>
        <w:rPr>
          <w:rFonts w:ascii="Arial" w:hAnsi="Arial" w:cs="Arial"/>
        </w:rPr>
      </w:pPr>
      <w:r w:rsidRPr="00A44305">
        <w:rPr>
          <w:rFonts w:ascii="Arial" w:hAnsi="Arial" w:cs="Arial"/>
        </w:rPr>
        <w:t xml:space="preserve">As shown in </w:t>
      </w:r>
      <w:r w:rsidR="00154097">
        <w:fldChar w:fldCharType="begin"/>
      </w:r>
      <w:r w:rsidR="00154097">
        <w:instrText xml:space="preserve"> REF _Ref297728501 \h  \* MERGEFORMAT </w:instrText>
      </w:r>
      <w:r w:rsidR="00154097">
        <w:fldChar w:fldCharType="separate"/>
      </w:r>
      <w:r w:rsidR="00584343" w:rsidRPr="00A44305">
        <w:rPr>
          <w:rFonts w:ascii="Arial" w:hAnsi="Arial" w:cs="Arial"/>
        </w:rPr>
        <w:t xml:space="preserve">Figure </w:t>
      </w:r>
      <w:r w:rsidR="00584343">
        <w:rPr>
          <w:rFonts w:ascii="Arial" w:hAnsi="Arial" w:cs="Arial"/>
          <w:noProof/>
        </w:rPr>
        <w:t>19</w:t>
      </w:r>
      <w:r w:rsidR="00154097">
        <w:fldChar w:fldCharType="end"/>
      </w:r>
      <w:r w:rsidRPr="00A44305">
        <w:rPr>
          <w:rFonts w:ascii="Arial" w:hAnsi="Arial" w:cs="Arial"/>
        </w:rPr>
        <w:t xml:space="preserve">, in volume terms, the </w:t>
      </w:r>
      <w:r w:rsidRPr="0086442F">
        <w:rPr>
          <w:rFonts w:ascii="Arial" w:hAnsi="Arial" w:cs="Arial"/>
        </w:rPr>
        <w:t xml:space="preserve">majority of PBS subsidised scripts (six out of every 10 scripts) were dispensed for a medicine in the F2 formulary. Three out of every 10 scripts dispensed on the PBS were written for a medicine in the F1 formulary.  </w:t>
      </w:r>
      <w:r>
        <w:rPr>
          <w:rFonts w:ascii="Arial" w:hAnsi="Arial" w:cs="Arial"/>
        </w:rPr>
        <w:t xml:space="preserve">This trend is consistent across the time period analysed. F2 formulary’s growing </w:t>
      </w:r>
      <w:r w:rsidR="00387A55">
        <w:rPr>
          <w:rFonts w:ascii="Arial" w:hAnsi="Arial" w:cs="Arial"/>
        </w:rPr>
        <w:t>contribution to</w:t>
      </w:r>
      <w:r>
        <w:rPr>
          <w:rFonts w:ascii="Arial" w:hAnsi="Arial" w:cs="Arial"/>
        </w:rPr>
        <w:t xml:space="preserve"> the</w:t>
      </w:r>
      <w:r w:rsidR="00EC7001" w:rsidRPr="00EC7001">
        <w:rPr>
          <w:rFonts w:ascii="Arial" w:hAnsi="Arial" w:cs="Arial"/>
        </w:rPr>
        <w:t xml:space="preserve"> growth in the </w:t>
      </w:r>
      <w:r w:rsidR="00443268" w:rsidRPr="00EC7001">
        <w:rPr>
          <w:rFonts w:ascii="Arial" w:hAnsi="Arial" w:cs="Arial"/>
        </w:rPr>
        <w:t>PBS</w:t>
      </w:r>
      <w:r w:rsidR="00EC7001" w:rsidRPr="00EC7001">
        <w:rPr>
          <w:rFonts w:ascii="Arial" w:hAnsi="Arial" w:cs="Arial"/>
        </w:rPr>
        <w:t xml:space="preserve"> may reflect the increased volume of F2 medicines being prescribed, due to the increased </w:t>
      </w:r>
      <w:r w:rsidR="000E5129">
        <w:rPr>
          <w:rFonts w:ascii="Arial" w:hAnsi="Arial" w:cs="Arial"/>
        </w:rPr>
        <w:t>number of</w:t>
      </w:r>
      <w:r w:rsidR="00EC7001" w:rsidRPr="00EC7001">
        <w:rPr>
          <w:rFonts w:ascii="Arial" w:hAnsi="Arial" w:cs="Arial"/>
        </w:rPr>
        <w:t xml:space="preserve"> </w:t>
      </w:r>
      <w:r w:rsidR="00EC7001" w:rsidRPr="009C62FF">
        <w:rPr>
          <w:rFonts w:ascii="Arial" w:hAnsi="Arial" w:cs="Arial"/>
        </w:rPr>
        <w:t>medicines</w:t>
      </w:r>
      <w:r w:rsidRPr="009C62FF">
        <w:rPr>
          <w:rFonts w:ascii="Arial" w:hAnsi="Arial" w:cs="Arial"/>
        </w:rPr>
        <w:t xml:space="preserve"> </w:t>
      </w:r>
      <w:r w:rsidR="000E5129" w:rsidRPr="009C62FF">
        <w:rPr>
          <w:rFonts w:ascii="Arial" w:hAnsi="Arial" w:cs="Arial"/>
        </w:rPr>
        <w:t xml:space="preserve">moving into the F2 formulary as patents expire and </w:t>
      </w:r>
      <w:r w:rsidR="00EC7001" w:rsidRPr="009C62FF">
        <w:rPr>
          <w:rFonts w:ascii="Arial" w:hAnsi="Arial" w:cs="Arial"/>
        </w:rPr>
        <w:t>greater consumer confidence following a number of generic awareness campaigns</w:t>
      </w:r>
      <w:r w:rsidRPr="009C62FF">
        <w:rPr>
          <w:rFonts w:ascii="Arial" w:hAnsi="Arial" w:cs="Arial"/>
        </w:rPr>
        <w:t xml:space="preserve">.  </w:t>
      </w:r>
      <w:r w:rsidR="00855AAF" w:rsidRPr="009C62FF">
        <w:rPr>
          <w:rFonts w:ascii="Arial" w:hAnsi="Arial" w:cs="Arial"/>
        </w:rPr>
        <w:t>In the subsequent reports, the DWG may be able to see the relationship between change in prices (as a result of patent expiries and generic competition)</w:t>
      </w:r>
      <w:r w:rsidR="00DC5E3E" w:rsidRPr="009C62FF">
        <w:rPr>
          <w:rFonts w:ascii="Arial" w:hAnsi="Arial" w:cs="Arial"/>
        </w:rPr>
        <w:t xml:space="preserve"> </w:t>
      </w:r>
      <w:r w:rsidR="009C62FF" w:rsidRPr="009C62FF">
        <w:rPr>
          <w:rFonts w:ascii="Arial" w:hAnsi="Arial" w:cs="Arial"/>
        </w:rPr>
        <w:t>and the</w:t>
      </w:r>
      <w:r w:rsidR="00855AAF" w:rsidRPr="009C62FF">
        <w:rPr>
          <w:rFonts w:ascii="Arial" w:hAnsi="Arial" w:cs="Arial"/>
        </w:rPr>
        <w:t xml:space="preserve"> shift in volume on overall PBS expenditure growth</w:t>
      </w:r>
      <w:r w:rsidR="009C62FF">
        <w:rPr>
          <w:rFonts w:ascii="Arial" w:hAnsi="Arial" w:cs="Arial"/>
        </w:rPr>
        <w:t>.</w:t>
      </w:r>
      <w:r w:rsidR="00855AAF" w:rsidRPr="009C62FF">
        <w:rPr>
          <w:rFonts w:ascii="Arial" w:hAnsi="Arial" w:cs="Arial"/>
        </w:rPr>
        <w:t xml:space="preserve"> </w:t>
      </w:r>
    </w:p>
    <w:tbl>
      <w:tblPr>
        <w:tblW w:w="9063" w:type="dxa"/>
        <w:jc w:val="center"/>
        <w:tblInd w:w="415" w:type="dxa"/>
        <w:tblLook w:val="0000" w:firstRow="0" w:lastRow="0" w:firstColumn="0" w:lastColumn="0" w:noHBand="0" w:noVBand="0"/>
      </w:tblPr>
      <w:tblGrid>
        <w:gridCol w:w="9063"/>
      </w:tblGrid>
      <w:tr w:rsidR="009B075E" w:rsidRPr="00A44305" w:rsidTr="006718E8">
        <w:trPr>
          <w:jc w:val="center"/>
        </w:trPr>
        <w:tc>
          <w:tcPr>
            <w:tcW w:w="9063" w:type="dxa"/>
            <w:tcBorders>
              <w:top w:val="single" w:sz="4" w:space="0" w:color="auto"/>
              <w:left w:val="single" w:sz="4" w:space="0" w:color="auto"/>
              <w:bottom w:val="single" w:sz="4" w:space="0" w:color="auto"/>
              <w:right w:val="single" w:sz="4" w:space="0" w:color="auto"/>
            </w:tcBorders>
            <w:vAlign w:val="center"/>
          </w:tcPr>
          <w:p w:rsidR="009B075E" w:rsidRPr="00A44305" w:rsidRDefault="009B075E" w:rsidP="00521975">
            <w:pPr>
              <w:pStyle w:val="Caption"/>
              <w:rPr>
                <w:rFonts w:ascii="Arial" w:hAnsi="Arial" w:cs="Arial"/>
                <w:sz w:val="22"/>
                <w:szCs w:val="22"/>
                <w:highlight w:val="yellow"/>
              </w:rPr>
            </w:pPr>
            <w:r w:rsidRPr="00A44305">
              <w:rPr>
                <w:rFonts w:ascii="Arial" w:hAnsi="Arial" w:cs="Arial"/>
              </w:rPr>
              <w:lastRenderedPageBreak/>
              <w:t xml:space="preserve"> </w:t>
            </w:r>
            <w:bookmarkStart w:id="68" w:name="_Ref297728501"/>
            <w:r w:rsidRPr="00A44305">
              <w:rPr>
                <w:rFonts w:ascii="Arial" w:hAnsi="Arial" w:cs="Arial"/>
                <w:sz w:val="22"/>
                <w:szCs w:val="22"/>
              </w:rPr>
              <w:t xml:space="preserve">Figure </w:t>
            </w:r>
            <w:r w:rsidR="00855AAF" w:rsidRPr="00A44305">
              <w:rPr>
                <w:rFonts w:ascii="Arial" w:hAnsi="Arial" w:cs="Arial"/>
                <w:sz w:val="22"/>
                <w:szCs w:val="22"/>
              </w:rPr>
              <w:fldChar w:fldCharType="begin"/>
            </w:r>
            <w:r w:rsidRPr="00A44305">
              <w:rPr>
                <w:rFonts w:ascii="Arial" w:hAnsi="Arial" w:cs="Arial"/>
                <w:sz w:val="22"/>
                <w:szCs w:val="22"/>
              </w:rPr>
              <w:instrText xml:space="preserve"> SEQ Figure \* ARABIC </w:instrText>
            </w:r>
            <w:r w:rsidR="00855AAF" w:rsidRPr="00A44305">
              <w:rPr>
                <w:rFonts w:ascii="Arial" w:hAnsi="Arial" w:cs="Arial"/>
                <w:sz w:val="22"/>
                <w:szCs w:val="22"/>
              </w:rPr>
              <w:fldChar w:fldCharType="separate"/>
            </w:r>
            <w:r w:rsidR="00584343">
              <w:rPr>
                <w:rFonts w:ascii="Arial" w:hAnsi="Arial" w:cs="Arial"/>
                <w:noProof/>
                <w:sz w:val="22"/>
                <w:szCs w:val="22"/>
              </w:rPr>
              <w:t>19</w:t>
            </w:r>
            <w:r w:rsidR="00855AAF" w:rsidRPr="00A44305">
              <w:rPr>
                <w:rFonts w:ascii="Arial" w:hAnsi="Arial" w:cs="Arial"/>
                <w:sz w:val="22"/>
                <w:szCs w:val="22"/>
              </w:rPr>
              <w:fldChar w:fldCharType="end"/>
            </w:r>
            <w:bookmarkEnd w:id="68"/>
            <w:r w:rsidRPr="00A44305">
              <w:rPr>
                <w:rFonts w:ascii="Arial" w:hAnsi="Arial" w:cs="Arial"/>
                <w:sz w:val="22"/>
                <w:szCs w:val="22"/>
              </w:rPr>
              <w:t xml:space="preserve">: Trends in PBS </w:t>
            </w:r>
            <w:r>
              <w:rPr>
                <w:rFonts w:ascii="Arial" w:hAnsi="Arial" w:cs="Arial"/>
                <w:sz w:val="22"/>
                <w:szCs w:val="22"/>
              </w:rPr>
              <w:t>S85</w:t>
            </w:r>
            <w:r w:rsidRPr="00A44305">
              <w:rPr>
                <w:rFonts w:ascii="Arial" w:hAnsi="Arial" w:cs="Arial"/>
                <w:sz w:val="22"/>
                <w:szCs w:val="22"/>
              </w:rPr>
              <w:t xml:space="preserve"> prescription volume by formulary</w:t>
            </w:r>
          </w:p>
        </w:tc>
      </w:tr>
      <w:tr w:rsidR="009B075E" w:rsidRPr="00A44305" w:rsidTr="007356D4">
        <w:trPr>
          <w:trHeight w:val="4089"/>
          <w:jc w:val="center"/>
        </w:trPr>
        <w:tc>
          <w:tcPr>
            <w:tcW w:w="9063" w:type="dxa"/>
            <w:tcBorders>
              <w:top w:val="single" w:sz="4" w:space="0" w:color="auto"/>
              <w:left w:val="single" w:sz="4" w:space="0" w:color="auto"/>
              <w:bottom w:val="single" w:sz="4" w:space="0" w:color="auto"/>
              <w:right w:val="single" w:sz="4" w:space="0" w:color="auto"/>
            </w:tcBorders>
            <w:vAlign w:val="center"/>
          </w:tcPr>
          <w:p w:rsidR="009B075E" w:rsidRPr="00A44305" w:rsidRDefault="005E0A95" w:rsidP="00521975">
            <w:pPr>
              <w:keepNext/>
              <w:tabs>
                <w:tab w:val="left" w:pos="4708"/>
              </w:tabs>
              <w:jc w:val="center"/>
              <w:rPr>
                <w:rFonts w:ascii="Arial" w:hAnsi="Arial" w:cs="Arial"/>
                <w:b/>
                <w:bCs/>
                <w:highlight w:val="yellow"/>
              </w:rPr>
            </w:pPr>
            <w:r>
              <w:rPr>
                <w:rFonts w:ascii="Arial" w:hAnsi="Arial" w:cs="Arial"/>
                <w:b/>
                <w:noProof/>
                <w:lang w:eastAsia="en-AU"/>
              </w:rPr>
              <w:drawing>
                <wp:inline distT="0" distB="0" distL="0" distR="0" wp14:anchorId="543D5379" wp14:editId="4FB8378D">
                  <wp:extent cx="4606290" cy="2570480"/>
                  <wp:effectExtent l="0" t="0" r="3810" b="1270"/>
                  <wp:docPr id="18" name="Picture 18" descr="Trends in PBS S85 prescription volume by formulary" title="Fig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srcRect t="11215" b="9483"/>
                          <a:stretch>
                            <a:fillRect/>
                          </a:stretch>
                        </pic:blipFill>
                        <pic:spPr bwMode="auto">
                          <a:xfrm>
                            <a:off x="0" y="0"/>
                            <a:ext cx="4606290" cy="2570480"/>
                          </a:xfrm>
                          <a:prstGeom prst="rect">
                            <a:avLst/>
                          </a:prstGeom>
                          <a:noFill/>
                          <a:ln w="9525">
                            <a:noFill/>
                            <a:miter lim="800000"/>
                            <a:headEnd/>
                            <a:tailEnd/>
                          </a:ln>
                        </pic:spPr>
                      </pic:pic>
                    </a:graphicData>
                  </a:graphic>
                </wp:inline>
              </w:drawing>
            </w:r>
          </w:p>
        </w:tc>
      </w:tr>
    </w:tbl>
    <w:p w:rsidR="00EF62C9" w:rsidRDefault="007563B8" w:rsidP="007356D4">
      <w:pPr>
        <w:spacing w:before="120" w:after="0"/>
        <w:rPr>
          <w:rFonts w:ascii="Arial" w:hAnsi="Arial" w:cs="Arial"/>
        </w:rPr>
      </w:pPr>
      <w:bookmarkStart w:id="69" w:name="_Toc301513628"/>
      <w:r w:rsidRPr="007D30FD">
        <w:rPr>
          <w:rFonts w:ascii="Arial Narrow" w:hAnsi="Arial Narrow" w:cs="Arial"/>
          <w:sz w:val="18"/>
          <w:szCs w:val="18"/>
        </w:rPr>
        <w:t>*</w:t>
      </w:r>
      <w:r>
        <w:rPr>
          <w:rFonts w:ascii="Arial Narrow" w:hAnsi="Arial Narrow" w:cs="Arial"/>
          <w:sz w:val="18"/>
          <w:szCs w:val="18"/>
        </w:rPr>
        <w:t xml:space="preserve"> </w:t>
      </w:r>
      <w:r w:rsidRPr="007D30FD">
        <w:rPr>
          <w:rFonts w:ascii="Arial Narrow" w:hAnsi="Arial Narrow" w:cs="Arial"/>
          <w:sz w:val="18"/>
          <w:szCs w:val="18"/>
        </w:rPr>
        <w:t>Percentages may not add to 100 as analysis does not include extemporaneously prepared items</w:t>
      </w:r>
    </w:p>
    <w:p w:rsidR="007563B8" w:rsidRDefault="007563B8" w:rsidP="007356D4">
      <w:pPr>
        <w:spacing w:after="0"/>
        <w:rPr>
          <w:rFonts w:ascii="Arial" w:hAnsi="Arial" w:cs="Arial"/>
        </w:rPr>
      </w:pPr>
    </w:p>
    <w:p w:rsidR="00A06C6D" w:rsidRDefault="003879C7" w:rsidP="003E5105">
      <w:pPr>
        <w:spacing w:after="360"/>
        <w:rPr>
          <w:rFonts w:ascii="Arial" w:hAnsi="Arial" w:cs="Arial"/>
        </w:rPr>
      </w:pPr>
      <w:r w:rsidRPr="00AB77CF">
        <w:rPr>
          <w:rFonts w:ascii="Arial" w:hAnsi="Arial" w:cs="Arial"/>
        </w:rPr>
        <w:t xml:space="preserve">In addition to analysing the trends and contribution to overall growth by formulary, the DWG examined the average cost </w:t>
      </w:r>
      <w:r w:rsidR="00EF62C9" w:rsidRPr="00AB77CF">
        <w:rPr>
          <w:rFonts w:ascii="Arial" w:hAnsi="Arial" w:cs="Arial"/>
        </w:rPr>
        <w:t>per</w:t>
      </w:r>
      <w:r w:rsidRPr="00AB77CF">
        <w:rPr>
          <w:rFonts w:ascii="Arial" w:hAnsi="Arial" w:cs="Arial"/>
        </w:rPr>
        <w:t xml:space="preserve"> PBS subsidised script under each formulary</w:t>
      </w:r>
      <w:r w:rsidR="00EF62C9" w:rsidRPr="00AB77CF">
        <w:rPr>
          <w:rFonts w:ascii="Arial" w:hAnsi="Arial" w:cs="Arial"/>
        </w:rPr>
        <w:t xml:space="preserve"> in each year since 2007</w:t>
      </w:r>
      <w:r w:rsidRPr="00AB77CF">
        <w:rPr>
          <w:rFonts w:ascii="Arial" w:hAnsi="Arial" w:cs="Arial"/>
        </w:rPr>
        <w:t xml:space="preserve">.  </w:t>
      </w:r>
      <w:r w:rsidR="00C506D7" w:rsidRPr="00AB77CF">
        <w:rPr>
          <w:rFonts w:ascii="Arial" w:hAnsi="Arial" w:cs="Arial"/>
        </w:rPr>
        <w:t xml:space="preserve">As shown in </w:t>
      </w:r>
      <w:r w:rsidR="00154097">
        <w:fldChar w:fldCharType="begin"/>
      </w:r>
      <w:r w:rsidR="00154097">
        <w:instrText xml:space="preserve"> REF _Ref318204190 \h  \* MERGEFORMAT </w:instrText>
      </w:r>
      <w:r w:rsidR="00154097">
        <w:fldChar w:fldCharType="separate"/>
      </w:r>
      <w:r w:rsidR="00584343" w:rsidRPr="00BE1265">
        <w:rPr>
          <w:rFonts w:ascii="Arial" w:hAnsi="Arial" w:cs="Arial"/>
        </w:rPr>
        <w:t xml:space="preserve">Table </w:t>
      </w:r>
      <w:r w:rsidR="00584343">
        <w:rPr>
          <w:rFonts w:ascii="Arial" w:hAnsi="Arial" w:cs="Arial"/>
        </w:rPr>
        <w:t>3</w:t>
      </w:r>
      <w:r w:rsidR="00154097">
        <w:fldChar w:fldCharType="end"/>
      </w:r>
      <w:r w:rsidR="00C506D7" w:rsidRPr="00AB77CF">
        <w:rPr>
          <w:rFonts w:ascii="Arial" w:hAnsi="Arial" w:cs="Arial"/>
        </w:rPr>
        <w:t xml:space="preserve">, </w:t>
      </w:r>
      <w:r w:rsidR="00A70252" w:rsidRPr="00AB77CF">
        <w:rPr>
          <w:rFonts w:ascii="Arial" w:hAnsi="Arial" w:cs="Arial"/>
        </w:rPr>
        <w:t xml:space="preserve">the average cost per PBS subsidised </w:t>
      </w:r>
      <w:r w:rsidR="00B87D0E" w:rsidRPr="00AB77CF">
        <w:rPr>
          <w:rFonts w:ascii="Arial" w:hAnsi="Arial" w:cs="Arial"/>
        </w:rPr>
        <w:t>script</w:t>
      </w:r>
      <w:r w:rsidR="00CF696F">
        <w:rPr>
          <w:rFonts w:ascii="Arial" w:hAnsi="Arial" w:cs="Arial"/>
        </w:rPr>
        <w:t xml:space="preserve"> is</w:t>
      </w:r>
      <w:r w:rsidR="000A3AE5">
        <w:rPr>
          <w:rFonts w:ascii="Arial" w:hAnsi="Arial" w:cs="Arial"/>
        </w:rPr>
        <w:t xml:space="preserve"> increasing in both the F1 and F2 formularies.  In 2010-11 the average cost per script in the F2 formulary increased at a faster rate than the F1 formulary for the first time.</w:t>
      </w:r>
    </w:p>
    <w:p w:rsidR="009B075E" w:rsidRPr="00BE1265" w:rsidRDefault="009B075E" w:rsidP="00BE1265">
      <w:pPr>
        <w:pStyle w:val="Caption"/>
        <w:jc w:val="left"/>
        <w:rPr>
          <w:rFonts w:ascii="Arial" w:hAnsi="Arial" w:cs="Arial"/>
          <w:sz w:val="22"/>
          <w:szCs w:val="22"/>
        </w:rPr>
      </w:pPr>
      <w:bookmarkStart w:id="70" w:name="_Ref318204190"/>
      <w:r w:rsidRPr="00BE1265">
        <w:rPr>
          <w:rFonts w:ascii="Arial" w:hAnsi="Arial" w:cs="Arial"/>
          <w:sz w:val="22"/>
          <w:szCs w:val="22"/>
        </w:rPr>
        <w:t xml:space="preserve">Table </w:t>
      </w:r>
      <w:r w:rsidR="00855AAF" w:rsidRPr="00BE1265">
        <w:rPr>
          <w:rFonts w:ascii="Arial" w:hAnsi="Arial" w:cs="Arial"/>
          <w:sz w:val="22"/>
          <w:szCs w:val="22"/>
        </w:rPr>
        <w:fldChar w:fldCharType="begin"/>
      </w:r>
      <w:r w:rsidRPr="00BE1265">
        <w:rPr>
          <w:rFonts w:ascii="Arial" w:hAnsi="Arial" w:cs="Arial"/>
          <w:sz w:val="22"/>
          <w:szCs w:val="22"/>
        </w:rPr>
        <w:instrText xml:space="preserve"> SEQ Table \* ARABIC </w:instrText>
      </w:r>
      <w:r w:rsidR="00855AAF" w:rsidRPr="00BE1265">
        <w:rPr>
          <w:rFonts w:ascii="Arial" w:hAnsi="Arial" w:cs="Arial"/>
          <w:sz w:val="22"/>
          <w:szCs w:val="22"/>
        </w:rPr>
        <w:fldChar w:fldCharType="separate"/>
      </w:r>
      <w:r w:rsidR="00584343">
        <w:rPr>
          <w:rFonts w:ascii="Arial" w:hAnsi="Arial" w:cs="Arial"/>
          <w:noProof/>
          <w:sz w:val="22"/>
          <w:szCs w:val="22"/>
        </w:rPr>
        <w:t>3</w:t>
      </w:r>
      <w:r w:rsidR="00855AAF" w:rsidRPr="00BE1265">
        <w:rPr>
          <w:rFonts w:ascii="Arial" w:hAnsi="Arial" w:cs="Arial"/>
          <w:sz w:val="22"/>
          <w:szCs w:val="22"/>
        </w:rPr>
        <w:fldChar w:fldCharType="end"/>
      </w:r>
      <w:bookmarkEnd w:id="70"/>
      <w:r w:rsidRPr="00BE1265">
        <w:rPr>
          <w:rFonts w:ascii="Arial" w:hAnsi="Arial" w:cs="Arial"/>
          <w:sz w:val="22"/>
          <w:szCs w:val="22"/>
        </w:rPr>
        <w:t xml:space="preserve"> : Average cost per PBS subsidised </w:t>
      </w:r>
      <w:r>
        <w:rPr>
          <w:rFonts w:ascii="Arial" w:hAnsi="Arial" w:cs="Arial"/>
          <w:sz w:val="22"/>
          <w:szCs w:val="22"/>
        </w:rPr>
        <w:t>S85</w:t>
      </w:r>
      <w:r w:rsidRPr="00BE1265">
        <w:rPr>
          <w:rFonts w:ascii="Arial" w:hAnsi="Arial" w:cs="Arial"/>
          <w:sz w:val="22"/>
          <w:szCs w:val="22"/>
        </w:rPr>
        <w:t xml:space="preserve"> script, by formulary</w:t>
      </w:r>
    </w:p>
    <w:tbl>
      <w:tblPr>
        <w:tblW w:w="5000" w:type="pct"/>
        <w:tblLook w:val="04A0" w:firstRow="1" w:lastRow="0" w:firstColumn="1" w:lastColumn="0" w:noHBand="0" w:noVBand="1"/>
      </w:tblPr>
      <w:tblGrid>
        <w:gridCol w:w="1158"/>
        <w:gridCol w:w="1012"/>
        <w:gridCol w:w="1266"/>
        <w:gridCol w:w="1012"/>
        <w:gridCol w:w="1266"/>
        <w:gridCol w:w="2261"/>
        <w:gridCol w:w="1267"/>
      </w:tblGrid>
      <w:tr w:rsidR="00492B12" w:rsidRPr="00492B12" w:rsidTr="00492B12">
        <w:trPr>
          <w:trHeight w:val="300"/>
        </w:trPr>
        <w:tc>
          <w:tcPr>
            <w:tcW w:w="6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b/>
                <w:bCs/>
                <w:color w:val="000000"/>
                <w:lang w:eastAsia="en-AU"/>
              </w:rPr>
            </w:pPr>
            <w:r w:rsidRPr="00492B12">
              <w:rPr>
                <w:rFonts w:ascii="Arial" w:eastAsia="Times New Roman" w:hAnsi="Arial" w:cs="Arial"/>
                <w:b/>
                <w:bCs/>
                <w:color w:val="000000"/>
                <w:lang w:eastAsia="en-AU"/>
              </w:rPr>
              <w:t>F1</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b/>
                <w:bCs/>
                <w:i/>
                <w:iCs/>
                <w:color w:val="000000"/>
                <w:lang w:eastAsia="en-AU"/>
              </w:rPr>
            </w:pPr>
            <w:r w:rsidRPr="00492B12">
              <w:rPr>
                <w:rFonts w:ascii="Arial" w:eastAsia="Times New Roman" w:hAnsi="Arial" w:cs="Arial"/>
                <w:b/>
                <w:bCs/>
                <w:i/>
                <w:iCs/>
                <w:color w:val="000000"/>
                <w:lang w:eastAsia="en-AU"/>
              </w:rPr>
              <w:t>% change</w:t>
            </w:r>
          </w:p>
        </w:tc>
        <w:tc>
          <w:tcPr>
            <w:tcW w:w="537" w:type="pct"/>
            <w:tcBorders>
              <w:top w:val="single" w:sz="4" w:space="0" w:color="auto"/>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b/>
                <w:bCs/>
                <w:color w:val="000000"/>
                <w:lang w:eastAsia="en-AU"/>
              </w:rPr>
            </w:pPr>
            <w:r w:rsidRPr="00492B12">
              <w:rPr>
                <w:rFonts w:ascii="Arial" w:eastAsia="Times New Roman" w:hAnsi="Arial" w:cs="Arial"/>
                <w:b/>
                <w:bCs/>
                <w:color w:val="000000"/>
                <w:lang w:eastAsia="en-AU"/>
              </w:rPr>
              <w:t>F2</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b/>
                <w:bCs/>
                <w:i/>
                <w:iCs/>
                <w:color w:val="000000"/>
                <w:lang w:eastAsia="en-AU"/>
              </w:rPr>
            </w:pPr>
            <w:r w:rsidRPr="00492B12">
              <w:rPr>
                <w:rFonts w:ascii="Arial" w:eastAsia="Times New Roman" w:hAnsi="Arial" w:cs="Arial"/>
                <w:b/>
                <w:bCs/>
                <w:i/>
                <w:iCs/>
                <w:color w:val="000000"/>
                <w:lang w:eastAsia="en-AU"/>
              </w:rPr>
              <w:t>% change</w:t>
            </w:r>
          </w:p>
        </w:tc>
        <w:tc>
          <w:tcPr>
            <w:tcW w:w="1227" w:type="pct"/>
            <w:tcBorders>
              <w:top w:val="single" w:sz="4" w:space="0" w:color="auto"/>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b/>
                <w:bCs/>
                <w:color w:val="000000"/>
                <w:lang w:eastAsia="en-AU"/>
              </w:rPr>
            </w:pPr>
            <w:r w:rsidRPr="00492B12">
              <w:rPr>
                <w:rFonts w:ascii="Arial" w:eastAsia="Times New Roman" w:hAnsi="Arial" w:cs="Arial"/>
                <w:b/>
                <w:bCs/>
                <w:color w:val="000000"/>
                <w:lang w:eastAsia="en-AU"/>
              </w:rPr>
              <w:t>Combination items</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b/>
                <w:bCs/>
                <w:i/>
                <w:iCs/>
                <w:color w:val="000000"/>
                <w:lang w:eastAsia="en-AU"/>
              </w:rPr>
            </w:pPr>
            <w:r w:rsidRPr="00492B12">
              <w:rPr>
                <w:rFonts w:ascii="Arial" w:eastAsia="Times New Roman" w:hAnsi="Arial" w:cs="Arial"/>
                <w:b/>
                <w:bCs/>
                <w:i/>
                <w:iCs/>
                <w:color w:val="000000"/>
                <w:lang w:eastAsia="en-AU"/>
              </w:rPr>
              <w:t>% change</w:t>
            </w:r>
          </w:p>
        </w:tc>
      </w:tr>
      <w:tr w:rsidR="00492B12" w:rsidRPr="00492B12" w:rsidTr="00492B12">
        <w:trPr>
          <w:trHeight w:val="300"/>
        </w:trPr>
        <w:tc>
          <w:tcPr>
            <w:tcW w:w="631" w:type="pct"/>
            <w:tcBorders>
              <w:top w:val="nil"/>
              <w:left w:val="single" w:sz="4" w:space="0" w:color="auto"/>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b/>
                <w:bCs/>
                <w:color w:val="000000"/>
                <w:lang w:eastAsia="en-AU"/>
              </w:rPr>
            </w:pPr>
            <w:r w:rsidRPr="00492B12">
              <w:rPr>
                <w:rFonts w:ascii="Arial" w:eastAsia="Times New Roman" w:hAnsi="Arial" w:cs="Arial"/>
                <w:b/>
                <w:bCs/>
                <w:color w:val="000000"/>
                <w:lang w:eastAsia="en-AU"/>
              </w:rPr>
              <w:t>2007-08</w:t>
            </w:r>
          </w:p>
        </w:tc>
        <w:tc>
          <w:tcPr>
            <w:tcW w:w="53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$ 61.40 </w:t>
            </w:r>
          </w:p>
        </w:tc>
        <w:tc>
          <w:tcPr>
            <w:tcW w:w="689" w:type="pct"/>
            <w:tcBorders>
              <w:top w:val="nil"/>
              <w:left w:val="nil"/>
              <w:bottom w:val="single" w:sz="4" w:space="0" w:color="auto"/>
              <w:right w:val="single" w:sz="4" w:space="0" w:color="auto"/>
            </w:tcBorders>
            <w:shd w:val="clear" w:color="000000" w:fill="7F7F7F"/>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w:t>
            </w:r>
          </w:p>
        </w:tc>
        <w:tc>
          <w:tcPr>
            <w:tcW w:w="53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$ 20.79 </w:t>
            </w:r>
          </w:p>
        </w:tc>
        <w:tc>
          <w:tcPr>
            <w:tcW w:w="689" w:type="pct"/>
            <w:tcBorders>
              <w:top w:val="nil"/>
              <w:left w:val="nil"/>
              <w:bottom w:val="single" w:sz="4" w:space="0" w:color="auto"/>
              <w:right w:val="single" w:sz="4" w:space="0" w:color="auto"/>
            </w:tcBorders>
            <w:shd w:val="clear" w:color="000000" w:fill="7F7F7F"/>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w:t>
            </w:r>
          </w:p>
        </w:tc>
        <w:tc>
          <w:tcPr>
            <w:tcW w:w="122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45.23 </w:t>
            </w:r>
          </w:p>
        </w:tc>
        <w:tc>
          <w:tcPr>
            <w:tcW w:w="689" w:type="pct"/>
            <w:tcBorders>
              <w:top w:val="nil"/>
              <w:left w:val="nil"/>
              <w:bottom w:val="single" w:sz="4" w:space="0" w:color="auto"/>
              <w:right w:val="single" w:sz="4" w:space="0" w:color="auto"/>
            </w:tcBorders>
            <w:shd w:val="clear" w:color="000000" w:fill="7F7F7F"/>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w:t>
            </w:r>
          </w:p>
        </w:tc>
      </w:tr>
      <w:tr w:rsidR="00492B12" w:rsidRPr="00492B12" w:rsidTr="00492B12">
        <w:trPr>
          <w:trHeight w:val="300"/>
        </w:trPr>
        <w:tc>
          <w:tcPr>
            <w:tcW w:w="631" w:type="pct"/>
            <w:tcBorders>
              <w:top w:val="nil"/>
              <w:left w:val="single" w:sz="4" w:space="0" w:color="auto"/>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b/>
                <w:bCs/>
                <w:color w:val="000000"/>
                <w:lang w:eastAsia="en-AU"/>
              </w:rPr>
            </w:pPr>
            <w:r w:rsidRPr="00492B12">
              <w:rPr>
                <w:rFonts w:ascii="Arial" w:eastAsia="Times New Roman" w:hAnsi="Arial" w:cs="Arial"/>
                <w:b/>
                <w:bCs/>
                <w:color w:val="000000"/>
                <w:lang w:eastAsia="en-AU"/>
              </w:rPr>
              <w:t>2008-09</w:t>
            </w:r>
          </w:p>
        </w:tc>
        <w:tc>
          <w:tcPr>
            <w:tcW w:w="53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$ 65.82 </w:t>
            </w:r>
          </w:p>
        </w:tc>
        <w:tc>
          <w:tcPr>
            <w:tcW w:w="689"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7%</w:t>
            </w:r>
          </w:p>
        </w:tc>
        <w:tc>
          <w:tcPr>
            <w:tcW w:w="53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$ 19.79 </w:t>
            </w:r>
          </w:p>
        </w:tc>
        <w:tc>
          <w:tcPr>
            <w:tcW w:w="689"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-5%</w:t>
            </w:r>
          </w:p>
        </w:tc>
        <w:tc>
          <w:tcPr>
            <w:tcW w:w="122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44.51 </w:t>
            </w:r>
          </w:p>
        </w:tc>
        <w:tc>
          <w:tcPr>
            <w:tcW w:w="689"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-2%</w:t>
            </w:r>
          </w:p>
        </w:tc>
      </w:tr>
      <w:tr w:rsidR="00492B12" w:rsidRPr="00492B12" w:rsidTr="00492B12">
        <w:trPr>
          <w:trHeight w:val="300"/>
        </w:trPr>
        <w:tc>
          <w:tcPr>
            <w:tcW w:w="631" w:type="pct"/>
            <w:tcBorders>
              <w:top w:val="nil"/>
              <w:left w:val="single" w:sz="4" w:space="0" w:color="auto"/>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b/>
                <w:bCs/>
                <w:color w:val="000000"/>
                <w:lang w:eastAsia="en-AU"/>
              </w:rPr>
            </w:pPr>
            <w:r w:rsidRPr="00492B12">
              <w:rPr>
                <w:rFonts w:ascii="Arial" w:eastAsia="Times New Roman" w:hAnsi="Arial" w:cs="Arial"/>
                <w:b/>
                <w:bCs/>
                <w:color w:val="000000"/>
                <w:lang w:eastAsia="en-AU"/>
              </w:rPr>
              <w:t>2009-10</w:t>
            </w:r>
          </w:p>
        </w:tc>
        <w:tc>
          <w:tcPr>
            <w:tcW w:w="53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$ 69.91 </w:t>
            </w:r>
          </w:p>
        </w:tc>
        <w:tc>
          <w:tcPr>
            <w:tcW w:w="689"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6%</w:t>
            </w:r>
          </w:p>
        </w:tc>
        <w:tc>
          <w:tcPr>
            <w:tcW w:w="53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$ 20.57 </w:t>
            </w:r>
          </w:p>
        </w:tc>
        <w:tc>
          <w:tcPr>
            <w:tcW w:w="689"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4%</w:t>
            </w:r>
          </w:p>
        </w:tc>
        <w:tc>
          <w:tcPr>
            <w:tcW w:w="122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47.15 </w:t>
            </w:r>
          </w:p>
        </w:tc>
        <w:tc>
          <w:tcPr>
            <w:tcW w:w="689"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6%</w:t>
            </w:r>
          </w:p>
        </w:tc>
      </w:tr>
      <w:tr w:rsidR="00492B12" w:rsidRPr="00492B12" w:rsidTr="00492B12">
        <w:trPr>
          <w:trHeight w:val="300"/>
        </w:trPr>
        <w:tc>
          <w:tcPr>
            <w:tcW w:w="631" w:type="pct"/>
            <w:tcBorders>
              <w:top w:val="nil"/>
              <w:left w:val="single" w:sz="4" w:space="0" w:color="auto"/>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b/>
                <w:bCs/>
                <w:color w:val="000000"/>
                <w:lang w:eastAsia="en-AU"/>
              </w:rPr>
            </w:pPr>
            <w:r w:rsidRPr="00492B12">
              <w:rPr>
                <w:rFonts w:ascii="Arial" w:eastAsia="Times New Roman" w:hAnsi="Arial" w:cs="Arial"/>
                <w:b/>
                <w:bCs/>
                <w:color w:val="000000"/>
                <w:lang w:eastAsia="en-AU"/>
              </w:rPr>
              <w:t>2010-11</w:t>
            </w:r>
          </w:p>
        </w:tc>
        <w:tc>
          <w:tcPr>
            <w:tcW w:w="53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$ 71.01 </w:t>
            </w:r>
          </w:p>
        </w:tc>
        <w:tc>
          <w:tcPr>
            <w:tcW w:w="689"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2%</w:t>
            </w:r>
          </w:p>
        </w:tc>
        <w:tc>
          <w:tcPr>
            <w:tcW w:w="53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$ 21.41 </w:t>
            </w:r>
          </w:p>
        </w:tc>
        <w:tc>
          <w:tcPr>
            <w:tcW w:w="689"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4%</w:t>
            </w:r>
          </w:p>
        </w:tc>
        <w:tc>
          <w:tcPr>
            <w:tcW w:w="1227"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 xml:space="preserve"> $                    48.03 </w:t>
            </w:r>
          </w:p>
        </w:tc>
        <w:tc>
          <w:tcPr>
            <w:tcW w:w="689" w:type="pct"/>
            <w:tcBorders>
              <w:top w:val="nil"/>
              <w:left w:val="nil"/>
              <w:bottom w:val="single" w:sz="4" w:space="0" w:color="auto"/>
              <w:right w:val="single" w:sz="4" w:space="0" w:color="auto"/>
            </w:tcBorders>
            <w:shd w:val="clear" w:color="auto" w:fill="auto"/>
            <w:noWrap/>
            <w:vAlign w:val="center"/>
            <w:hideMark/>
          </w:tcPr>
          <w:p w:rsidR="00492B12" w:rsidRPr="00492B12" w:rsidRDefault="00492B12" w:rsidP="00492B12">
            <w:pPr>
              <w:spacing w:after="0" w:line="240" w:lineRule="auto"/>
              <w:jc w:val="center"/>
              <w:rPr>
                <w:rFonts w:ascii="Arial" w:eastAsia="Times New Roman" w:hAnsi="Arial" w:cs="Arial"/>
                <w:color w:val="000000"/>
                <w:lang w:eastAsia="en-AU"/>
              </w:rPr>
            </w:pPr>
            <w:r w:rsidRPr="00492B12">
              <w:rPr>
                <w:rFonts w:ascii="Arial" w:eastAsia="Times New Roman" w:hAnsi="Arial" w:cs="Arial"/>
                <w:color w:val="000000"/>
                <w:lang w:eastAsia="en-AU"/>
              </w:rPr>
              <w:t>2%</w:t>
            </w:r>
          </w:p>
        </w:tc>
      </w:tr>
    </w:tbl>
    <w:p w:rsidR="009B075E" w:rsidRDefault="009B075E">
      <w:pPr>
        <w:jc w:val="center"/>
        <w:rPr>
          <w:bCs/>
        </w:rPr>
      </w:pPr>
    </w:p>
    <w:p w:rsidR="00F13BAB" w:rsidRDefault="00855AAF">
      <w:pPr>
        <w:rPr>
          <w:rFonts w:ascii="Arial" w:hAnsi="Arial" w:cs="Arial"/>
        </w:rPr>
      </w:pPr>
      <w:r w:rsidRPr="00855AAF">
        <w:rPr>
          <w:rFonts w:ascii="Arial" w:hAnsi="Arial" w:cs="Arial"/>
        </w:rPr>
        <w:t xml:space="preserve">The </w:t>
      </w:r>
      <w:r w:rsidR="00553828">
        <w:rPr>
          <w:rFonts w:ascii="Arial" w:hAnsi="Arial" w:cs="Arial"/>
        </w:rPr>
        <w:t xml:space="preserve">impact of the 1 August 2008 F2A and F2T price reductions can be clearly be seen in Table 3 while the impact of the </w:t>
      </w:r>
      <w:r w:rsidR="00D20B1D">
        <w:rPr>
          <w:rFonts w:ascii="Arial" w:hAnsi="Arial" w:cs="Arial"/>
        </w:rPr>
        <w:t xml:space="preserve">2007 PBS Reform </w:t>
      </w:r>
      <w:r w:rsidR="00553828">
        <w:rPr>
          <w:rFonts w:ascii="Arial" w:hAnsi="Arial" w:cs="Arial"/>
        </w:rPr>
        <w:t>price disclosure measure is not as obvious</w:t>
      </w:r>
      <w:r w:rsidR="00C31A1C">
        <w:rPr>
          <w:rFonts w:ascii="Arial" w:hAnsi="Arial" w:cs="Arial"/>
        </w:rPr>
        <w:t>.  This may be due to</w:t>
      </w:r>
      <w:r w:rsidR="006C3E1D">
        <w:rPr>
          <w:rFonts w:ascii="Arial" w:hAnsi="Arial" w:cs="Arial"/>
        </w:rPr>
        <w:t xml:space="preserve"> the </w:t>
      </w:r>
      <w:r w:rsidR="00F13BAB">
        <w:rPr>
          <w:rFonts w:ascii="Arial" w:hAnsi="Arial" w:cs="Arial"/>
        </w:rPr>
        <w:t xml:space="preserve">fact that medicines are impacted by price disclosure gradually (only a few medicines at a time, every couple of months) as opposed to the </w:t>
      </w:r>
      <w:r w:rsidR="00F13BAB">
        <w:rPr>
          <w:rFonts w:ascii="Arial" w:hAnsi="Arial" w:cs="Arial"/>
        </w:rPr>
        <w:br/>
        <w:t xml:space="preserve">1 August 2008 changes which affected all F2 medicines at the same time.  Also, there is a </w:t>
      </w:r>
      <w:r w:rsidR="006C3E1D">
        <w:rPr>
          <w:rFonts w:ascii="Arial" w:hAnsi="Arial" w:cs="Arial"/>
        </w:rPr>
        <w:t xml:space="preserve">‘lag’ in price </w:t>
      </w:r>
      <w:r w:rsidR="00C31A1C">
        <w:rPr>
          <w:rFonts w:ascii="Arial" w:hAnsi="Arial" w:cs="Arial"/>
        </w:rPr>
        <w:t xml:space="preserve">disclosure price </w:t>
      </w:r>
      <w:r w:rsidR="006C3E1D">
        <w:rPr>
          <w:rFonts w:ascii="Arial" w:hAnsi="Arial" w:cs="Arial"/>
        </w:rPr>
        <w:t>adjustments</w:t>
      </w:r>
      <w:r w:rsidR="00553828">
        <w:rPr>
          <w:rFonts w:ascii="Arial" w:hAnsi="Arial" w:cs="Arial"/>
        </w:rPr>
        <w:t xml:space="preserve">. </w:t>
      </w:r>
      <w:r w:rsidR="00C31A1C">
        <w:rPr>
          <w:rFonts w:ascii="Arial" w:hAnsi="Arial" w:cs="Arial"/>
        </w:rPr>
        <w:t>Under the 2007</w:t>
      </w:r>
      <w:r w:rsidR="00151F07">
        <w:rPr>
          <w:rFonts w:ascii="Arial" w:hAnsi="Arial" w:cs="Arial"/>
        </w:rPr>
        <w:t xml:space="preserve"> PBS reforms</w:t>
      </w:r>
      <w:r w:rsidR="00C31A1C">
        <w:rPr>
          <w:rFonts w:ascii="Arial" w:hAnsi="Arial" w:cs="Arial"/>
        </w:rPr>
        <w:t xml:space="preserve"> price disclosure </w:t>
      </w:r>
      <w:r w:rsidR="00DC5E3E">
        <w:rPr>
          <w:rFonts w:ascii="Arial" w:hAnsi="Arial" w:cs="Arial"/>
        </w:rPr>
        <w:t>arrangements</w:t>
      </w:r>
      <w:r w:rsidR="00394721">
        <w:rPr>
          <w:rFonts w:ascii="Arial" w:hAnsi="Arial" w:cs="Arial"/>
        </w:rPr>
        <w:t>,</w:t>
      </w:r>
      <w:r w:rsidR="00DC5E3E">
        <w:rPr>
          <w:rFonts w:ascii="Arial" w:hAnsi="Arial" w:cs="Arial"/>
        </w:rPr>
        <w:t xml:space="preserve"> </w:t>
      </w:r>
      <w:r w:rsidR="00151F07">
        <w:rPr>
          <w:rFonts w:ascii="Arial" w:hAnsi="Arial" w:cs="Arial"/>
        </w:rPr>
        <w:t xml:space="preserve">it could take </w:t>
      </w:r>
      <w:r w:rsidR="00C31A1C">
        <w:rPr>
          <w:rFonts w:ascii="Arial" w:hAnsi="Arial" w:cs="Arial"/>
        </w:rPr>
        <w:t xml:space="preserve">nearly 24 months for the price </w:t>
      </w:r>
      <w:r w:rsidR="00230631">
        <w:rPr>
          <w:rFonts w:ascii="Arial" w:hAnsi="Arial" w:cs="Arial"/>
        </w:rPr>
        <w:t xml:space="preserve">of a medicine in the F2A formulary </w:t>
      </w:r>
      <w:r w:rsidR="00C31A1C">
        <w:rPr>
          <w:rFonts w:ascii="Arial" w:hAnsi="Arial" w:cs="Arial"/>
        </w:rPr>
        <w:t>to adjust</w:t>
      </w:r>
      <w:r w:rsidR="00DC5E3E">
        <w:rPr>
          <w:rFonts w:ascii="Arial" w:hAnsi="Arial" w:cs="Arial"/>
        </w:rPr>
        <w:t xml:space="preserve"> t</w:t>
      </w:r>
      <w:r w:rsidR="00C31A1C">
        <w:rPr>
          <w:rFonts w:ascii="Arial" w:hAnsi="Arial" w:cs="Arial"/>
        </w:rPr>
        <w:t>o reflect the weighted average market price.</w:t>
      </w:r>
      <w:r w:rsidR="000A2D68">
        <w:rPr>
          <w:rFonts w:ascii="Arial" w:hAnsi="Arial" w:cs="Arial"/>
        </w:rPr>
        <w:t xml:space="preserve"> </w:t>
      </w:r>
    </w:p>
    <w:p w:rsidR="00C00E11" w:rsidRPr="00C31A1C" w:rsidRDefault="00B8058A">
      <w:pPr>
        <w:rPr>
          <w:rFonts w:ascii="Arial" w:hAnsi="Arial" w:cs="Arial"/>
        </w:rPr>
      </w:pPr>
      <w:r w:rsidRPr="00B8058A">
        <w:rPr>
          <w:rFonts w:ascii="Arial" w:hAnsi="Arial" w:cs="Arial"/>
        </w:rPr>
        <w:t xml:space="preserve">It will be interesting to see the impact of expanded and accelerated price disclosure (EAPD) on the growth in average cost of per PBS subsidised S85 scripts in the </w:t>
      </w:r>
      <w:r w:rsidR="00855AAF" w:rsidRPr="00855AAF">
        <w:rPr>
          <w:rFonts w:ascii="Arial" w:hAnsi="Arial" w:cs="Arial"/>
        </w:rPr>
        <w:t xml:space="preserve">F2 formulary going forward. </w:t>
      </w:r>
    </w:p>
    <w:p w:rsidR="00C56F51" w:rsidRDefault="00C56F51">
      <w:pPr>
        <w:spacing w:after="0" w:line="240" w:lineRule="auto"/>
        <w:rPr>
          <w:rFonts w:ascii="Arial" w:eastAsia="Times New Roman" w:hAnsi="Arial" w:cs="Arial"/>
          <w:b/>
          <w:bCs/>
          <w:color w:val="365F91"/>
          <w:sz w:val="24"/>
          <w:szCs w:val="24"/>
        </w:rPr>
      </w:pPr>
      <w:r>
        <w:rPr>
          <w:rFonts w:ascii="Arial" w:hAnsi="Arial" w:cs="Arial"/>
          <w:sz w:val="24"/>
          <w:szCs w:val="24"/>
        </w:rPr>
        <w:br w:type="page"/>
      </w:r>
    </w:p>
    <w:p w:rsidR="009B075E" w:rsidRPr="00A44305" w:rsidRDefault="009B075E" w:rsidP="00CE5D69">
      <w:pPr>
        <w:pStyle w:val="Heading1"/>
        <w:rPr>
          <w:rFonts w:ascii="Arial" w:hAnsi="Arial" w:cs="Arial"/>
          <w:sz w:val="24"/>
          <w:szCs w:val="24"/>
        </w:rPr>
      </w:pPr>
      <w:bookmarkStart w:id="71" w:name="_Toc337033197"/>
      <w:bookmarkStart w:id="72" w:name="_Toc357174842"/>
      <w:r w:rsidRPr="00A44305">
        <w:rPr>
          <w:rFonts w:ascii="Arial" w:hAnsi="Arial" w:cs="Arial"/>
          <w:sz w:val="24"/>
          <w:szCs w:val="24"/>
        </w:rPr>
        <w:lastRenderedPageBreak/>
        <w:t>Trends in PBS Section 85 expenditure by supply chain participants</w:t>
      </w:r>
      <w:bookmarkEnd w:id="69"/>
      <w:r w:rsidRPr="00A44305">
        <w:rPr>
          <w:rFonts w:ascii="Arial" w:hAnsi="Arial" w:cs="Arial"/>
          <w:sz w:val="24"/>
          <w:szCs w:val="24"/>
        </w:rPr>
        <w:t xml:space="preserve"> </w:t>
      </w:r>
      <w:r>
        <w:rPr>
          <w:rFonts w:ascii="Arial" w:hAnsi="Arial" w:cs="Arial"/>
          <w:sz w:val="24"/>
          <w:szCs w:val="24"/>
        </w:rPr>
        <w:t>(2006-2011)</w:t>
      </w:r>
      <w:bookmarkEnd w:id="71"/>
      <w:bookmarkEnd w:id="72"/>
    </w:p>
    <w:p w:rsidR="009B075E" w:rsidRPr="0099194B" w:rsidRDefault="009B075E" w:rsidP="00CE5D69">
      <w:pPr>
        <w:spacing w:before="120" w:after="120"/>
        <w:rPr>
          <w:rFonts w:ascii="Arial" w:hAnsi="Arial" w:cs="Arial"/>
        </w:rPr>
      </w:pPr>
      <w:r w:rsidRPr="0099194B">
        <w:rPr>
          <w:rFonts w:ascii="Arial" w:hAnsi="Arial" w:cs="Arial"/>
        </w:rPr>
        <w:t xml:space="preserve">(reference Appendix 2: </w:t>
      </w:r>
      <w:r w:rsidR="00154097">
        <w:fldChar w:fldCharType="begin"/>
      </w:r>
      <w:r w:rsidR="00154097">
        <w:instrText xml:space="preserve"> REF _Ref301528957 \h  \* MERGEFORMAT </w:instrText>
      </w:r>
      <w:r w:rsidR="00154097">
        <w:fldChar w:fldCharType="separate"/>
      </w:r>
      <w:r w:rsidR="00584343" w:rsidRPr="00F527AE">
        <w:rPr>
          <w:rFonts w:ascii="Arial" w:hAnsi="Arial" w:cs="Arial"/>
        </w:rPr>
        <w:t xml:space="preserve">Table </w:t>
      </w:r>
      <w:r w:rsidR="00584343">
        <w:rPr>
          <w:rFonts w:ascii="Arial" w:hAnsi="Arial" w:cs="Arial"/>
          <w:noProof/>
        </w:rPr>
        <w:t>20</w:t>
      </w:r>
      <w:r w:rsidR="00154097">
        <w:fldChar w:fldCharType="end"/>
      </w:r>
      <w:r w:rsidRPr="0099194B">
        <w:rPr>
          <w:rFonts w:ascii="Arial" w:hAnsi="Arial" w:cs="Arial"/>
        </w:rPr>
        <w:t xml:space="preserve"> and </w:t>
      </w:r>
      <w:r w:rsidR="00154097">
        <w:fldChar w:fldCharType="begin"/>
      </w:r>
      <w:r w:rsidR="00154097">
        <w:instrText xml:space="preserve"> REF _Ref301528966 \h  \* MERGEFORMAT </w:instrText>
      </w:r>
      <w:r w:rsidR="00154097">
        <w:fldChar w:fldCharType="separate"/>
      </w:r>
      <w:r w:rsidR="00584343" w:rsidRPr="00B71ED4">
        <w:rPr>
          <w:rFonts w:ascii="Arial" w:hAnsi="Arial" w:cs="Arial"/>
        </w:rPr>
        <w:t xml:space="preserve">Table </w:t>
      </w:r>
      <w:r w:rsidR="00584343">
        <w:rPr>
          <w:rFonts w:ascii="Arial" w:hAnsi="Arial" w:cs="Arial"/>
          <w:noProof/>
        </w:rPr>
        <w:t>21</w:t>
      </w:r>
      <w:r w:rsidR="00154097">
        <w:fldChar w:fldCharType="end"/>
      </w:r>
      <w:r w:rsidRPr="0099194B">
        <w:rPr>
          <w:rFonts w:ascii="Arial" w:hAnsi="Arial" w:cs="Arial"/>
        </w:rPr>
        <w:t>)</w:t>
      </w:r>
    </w:p>
    <w:p w:rsidR="00966C87" w:rsidRPr="00DC5E3E" w:rsidRDefault="009B075E" w:rsidP="003E5105">
      <w:pPr>
        <w:spacing w:before="120" w:after="360"/>
        <w:rPr>
          <w:rFonts w:ascii="Arial" w:hAnsi="Arial" w:cs="Arial"/>
        </w:rPr>
      </w:pPr>
      <w:r w:rsidRPr="00966C87">
        <w:rPr>
          <w:rFonts w:ascii="Arial" w:hAnsi="Arial" w:cs="Arial"/>
        </w:rPr>
        <w:t>The following section examines the trends in Government expenditure on PBS by supply chain participants</w:t>
      </w:r>
      <w:r w:rsidR="00966C87">
        <w:rPr>
          <w:rFonts w:ascii="Arial" w:hAnsi="Arial" w:cs="Arial"/>
        </w:rPr>
        <w:t xml:space="preserve"> –</w:t>
      </w:r>
      <w:r w:rsidR="002A4B6C">
        <w:rPr>
          <w:rFonts w:ascii="Arial" w:hAnsi="Arial" w:cs="Arial"/>
        </w:rPr>
        <w:t xml:space="preserve"> </w:t>
      </w:r>
      <w:r w:rsidR="00966C87">
        <w:rPr>
          <w:rFonts w:ascii="Arial" w:hAnsi="Arial" w:cs="Arial"/>
        </w:rPr>
        <w:t>the wholesalers and the pharmacist</w:t>
      </w:r>
      <w:r w:rsidRPr="00DC5E3E">
        <w:rPr>
          <w:rFonts w:ascii="Arial" w:hAnsi="Arial" w:cs="Arial"/>
        </w:rPr>
        <w:t xml:space="preserve">.  As shown in </w:t>
      </w:r>
      <w:r w:rsidR="00154097">
        <w:fldChar w:fldCharType="begin"/>
      </w:r>
      <w:r w:rsidR="00154097">
        <w:instrText xml:space="preserve"> REF _Ref311708250 \h  \* MERGEFORMAT </w:instrText>
      </w:r>
      <w:r w:rsidR="00154097">
        <w:fldChar w:fldCharType="separate"/>
      </w:r>
      <w:r w:rsidR="00584343" w:rsidRPr="00A44305">
        <w:rPr>
          <w:rFonts w:ascii="Arial" w:hAnsi="Arial" w:cs="Arial"/>
        </w:rPr>
        <w:t xml:space="preserve">Figure </w:t>
      </w:r>
      <w:r w:rsidR="00584343">
        <w:rPr>
          <w:rFonts w:ascii="Arial" w:hAnsi="Arial" w:cs="Arial"/>
          <w:noProof/>
        </w:rPr>
        <w:t>20</w:t>
      </w:r>
      <w:r w:rsidR="00154097">
        <w:fldChar w:fldCharType="end"/>
      </w:r>
      <w:r w:rsidRPr="00DC5E3E">
        <w:rPr>
          <w:rFonts w:ascii="Arial" w:hAnsi="Arial" w:cs="Arial"/>
        </w:rPr>
        <w:t xml:space="preserve">, </w:t>
      </w:r>
      <w:r w:rsidR="006530A5">
        <w:rPr>
          <w:rFonts w:ascii="Arial" w:hAnsi="Arial" w:cs="Arial"/>
        </w:rPr>
        <w:t>a</w:t>
      </w:r>
      <w:r w:rsidR="00966C87" w:rsidRPr="00DC5E3E">
        <w:rPr>
          <w:rFonts w:ascii="Arial" w:hAnsi="Arial" w:cs="Arial"/>
        </w:rPr>
        <w:t>fter peaking in 2008-09</w:t>
      </w:r>
      <w:r w:rsidR="00C56F51" w:rsidRPr="00DC5E3E">
        <w:rPr>
          <w:rFonts w:ascii="Arial" w:hAnsi="Arial" w:cs="Arial"/>
        </w:rPr>
        <w:t>,</w:t>
      </w:r>
      <w:r w:rsidR="00966C87" w:rsidRPr="00DC5E3E">
        <w:rPr>
          <w:rFonts w:ascii="Arial" w:hAnsi="Arial" w:cs="Arial"/>
        </w:rPr>
        <w:t xml:space="preserve"> as result of </w:t>
      </w:r>
      <w:r w:rsidR="00952E6F" w:rsidRPr="00DC5E3E">
        <w:rPr>
          <w:rFonts w:ascii="Arial" w:hAnsi="Arial" w:cs="Arial"/>
        </w:rPr>
        <w:t>chan</w:t>
      </w:r>
      <w:r w:rsidR="00567384" w:rsidRPr="00DC5E3E">
        <w:rPr>
          <w:rFonts w:ascii="Arial" w:hAnsi="Arial" w:cs="Arial"/>
        </w:rPr>
        <w:t>ge</w:t>
      </w:r>
      <w:r w:rsidR="002A4B6C">
        <w:rPr>
          <w:rFonts w:ascii="Arial" w:hAnsi="Arial" w:cs="Arial"/>
        </w:rPr>
        <w:t>s</w:t>
      </w:r>
      <w:r w:rsidR="00567384" w:rsidRPr="00DC5E3E">
        <w:rPr>
          <w:rFonts w:ascii="Arial" w:hAnsi="Arial" w:cs="Arial"/>
        </w:rPr>
        <w:t xml:space="preserve"> in</w:t>
      </w:r>
      <w:r w:rsidR="002A4B6C">
        <w:rPr>
          <w:rFonts w:ascii="Arial" w:hAnsi="Arial" w:cs="Arial"/>
        </w:rPr>
        <w:t xml:space="preserve"> the</w:t>
      </w:r>
      <w:r w:rsidR="00567384" w:rsidRPr="00DC5E3E">
        <w:rPr>
          <w:rFonts w:ascii="Arial" w:hAnsi="Arial" w:cs="Arial"/>
        </w:rPr>
        <w:t xml:space="preserve"> dispensing fee</w:t>
      </w:r>
      <w:r w:rsidR="002A4B6C">
        <w:rPr>
          <w:rFonts w:ascii="Arial" w:hAnsi="Arial" w:cs="Arial"/>
        </w:rPr>
        <w:t xml:space="preserve"> and pharmacy wholesale </w:t>
      </w:r>
      <w:r w:rsidR="00747880">
        <w:rPr>
          <w:rFonts w:ascii="Arial" w:hAnsi="Arial" w:cs="Arial"/>
        </w:rPr>
        <w:t>mark-ups</w:t>
      </w:r>
      <w:r w:rsidR="00952E6F" w:rsidRPr="00DC5E3E">
        <w:rPr>
          <w:rFonts w:ascii="Arial" w:hAnsi="Arial" w:cs="Arial"/>
        </w:rPr>
        <w:t xml:space="preserve"> under the Fourth Community Pharmacy Agreement, </w:t>
      </w:r>
      <w:r w:rsidR="00966C87" w:rsidRPr="00DC5E3E">
        <w:rPr>
          <w:rFonts w:ascii="Arial" w:hAnsi="Arial" w:cs="Arial"/>
        </w:rPr>
        <w:t xml:space="preserve">the overall contribution of the supply chain participants </w:t>
      </w:r>
      <w:r w:rsidR="006530A5">
        <w:rPr>
          <w:rFonts w:ascii="Arial" w:hAnsi="Arial" w:cs="Arial"/>
        </w:rPr>
        <w:t xml:space="preserve">to PBS expenditure growth </w:t>
      </w:r>
      <w:r w:rsidR="00966C87" w:rsidRPr="00DC5E3E">
        <w:rPr>
          <w:rFonts w:ascii="Arial" w:hAnsi="Arial" w:cs="Arial"/>
        </w:rPr>
        <w:t xml:space="preserve">returned to 20% in 2010-11.  </w:t>
      </w:r>
      <w:r w:rsidR="00952E6F" w:rsidRPr="00DC5E3E">
        <w:rPr>
          <w:rFonts w:ascii="Arial" w:hAnsi="Arial" w:cs="Arial"/>
        </w:rPr>
        <w:t xml:space="preserve">This drop </w:t>
      </w:r>
      <w:r w:rsidR="002A4B6C">
        <w:rPr>
          <w:rFonts w:ascii="Arial" w:hAnsi="Arial" w:cs="Arial"/>
        </w:rPr>
        <w:t>may</w:t>
      </w:r>
      <w:r w:rsidR="002A4B6C" w:rsidRPr="00DC5E3E">
        <w:rPr>
          <w:rFonts w:ascii="Arial" w:hAnsi="Arial" w:cs="Arial"/>
        </w:rPr>
        <w:t xml:space="preserve"> </w:t>
      </w:r>
      <w:r w:rsidR="00952E6F" w:rsidRPr="00DC5E3E">
        <w:rPr>
          <w:rFonts w:ascii="Arial" w:hAnsi="Arial" w:cs="Arial"/>
        </w:rPr>
        <w:t xml:space="preserve">be attributed to the freezing of dispensing fee </w:t>
      </w:r>
      <w:r w:rsidR="00567384" w:rsidRPr="00DC5E3E">
        <w:rPr>
          <w:rFonts w:ascii="Arial" w:hAnsi="Arial" w:cs="Arial"/>
        </w:rPr>
        <w:t>for the first two years under</w:t>
      </w:r>
      <w:r w:rsidR="00952E6F" w:rsidRPr="00DC5E3E">
        <w:rPr>
          <w:rFonts w:ascii="Arial" w:hAnsi="Arial" w:cs="Arial"/>
        </w:rPr>
        <w:t xml:space="preserve"> the Fifth Community </w:t>
      </w:r>
      <w:r w:rsidR="00CF696F">
        <w:rPr>
          <w:rFonts w:ascii="Arial" w:hAnsi="Arial" w:cs="Arial"/>
        </w:rPr>
        <w:t>P</w:t>
      </w:r>
      <w:r w:rsidR="00952E6F" w:rsidRPr="00DC5E3E">
        <w:rPr>
          <w:rFonts w:ascii="Arial" w:hAnsi="Arial" w:cs="Arial"/>
        </w:rPr>
        <w:t xml:space="preserve">harmacy </w:t>
      </w:r>
      <w:r w:rsidR="00CF696F">
        <w:rPr>
          <w:rFonts w:ascii="Arial" w:hAnsi="Arial" w:cs="Arial"/>
        </w:rPr>
        <w:t>A</w:t>
      </w:r>
      <w:r w:rsidR="00952E6F" w:rsidRPr="00DC5E3E">
        <w:rPr>
          <w:rFonts w:ascii="Arial" w:hAnsi="Arial" w:cs="Arial"/>
        </w:rPr>
        <w:t xml:space="preserve">greement. </w:t>
      </w:r>
    </w:p>
    <w:tbl>
      <w:tblPr>
        <w:tblW w:w="0" w:type="auto"/>
        <w:jc w:val="center"/>
        <w:tblInd w:w="304" w:type="dxa"/>
        <w:tblLook w:val="0000" w:firstRow="0" w:lastRow="0" w:firstColumn="0" w:lastColumn="0" w:noHBand="0" w:noVBand="0"/>
      </w:tblPr>
      <w:tblGrid>
        <w:gridCol w:w="8938"/>
      </w:tblGrid>
      <w:tr w:rsidR="009B075E" w:rsidRPr="00A44305" w:rsidTr="00C02B5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9B075E" w:rsidP="00C02B50">
            <w:pPr>
              <w:pStyle w:val="Caption"/>
              <w:keepNext w:val="0"/>
              <w:rPr>
                <w:rFonts w:ascii="Arial" w:hAnsi="Arial" w:cs="Arial"/>
                <w:sz w:val="22"/>
                <w:szCs w:val="22"/>
                <w:highlight w:val="yellow"/>
              </w:rPr>
            </w:pPr>
            <w:bookmarkStart w:id="73" w:name="_Ref311708250"/>
            <w:r w:rsidRPr="00A44305">
              <w:rPr>
                <w:rFonts w:ascii="Arial" w:hAnsi="Arial" w:cs="Arial"/>
                <w:sz w:val="22"/>
                <w:szCs w:val="22"/>
              </w:rPr>
              <w:t xml:space="preserve">Figure </w:t>
            </w:r>
            <w:r w:rsidR="00855AAF" w:rsidRPr="00A44305">
              <w:rPr>
                <w:rFonts w:ascii="Arial" w:hAnsi="Arial" w:cs="Arial"/>
                <w:sz w:val="22"/>
                <w:szCs w:val="22"/>
              </w:rPr>
              <w:fldChar w:fldCharType="begin"/>
            </w:r>
            <w:r w:rsidRPr="00A44305">
              <w:rPr>
                <w:rFonts w:ascii="Arial" w:hAnsi="Arial" w:cs="Arial"/>
                <w:sz w:val="22"/>
                <w:szCs w:val="22"/>
              </w:rPr>
              <w:instrText xml:space="preserve"> SEQ Figure \* ARABIC </w:instrText>
            </w:r>
            <w:r w:rsidR="00855AAF" w:rsidRPr="00A44305">
              <w:rPr>
                <w:rFonts w:ascii="Arial" w:hAnsi="Arial" w:cs="Arial"/>
                <w:sz w:val="22"/>
                <w:szCs w:val="22"/>
              </w:rPr>
              <w:fldChar w:fldCharType="separate"/>
            </w:r>
            <w:r w:rsidR="00584343">
              <w:rPr>
                <w:rFonts w:ascii="Arial" w:hAnsi="Arial" w:cs="Arial"/>
                <w:noProof/>
                <w:sz w:val="22"/>
                <w:szCs w:val="22"/>
              </w:rPr>
              <w:t>20</w:t>
            </w:r>
            <w:r w:rsidR="00855AAF" w:rsidRPr="00A44305">
              <w:rPr>
                <w:rFonts w:ascii="Arial" w:hAnsi="Arial" w:cs="Arial"/>
                <w:sz w:val="22"/>
                <w:szCs w:val="22"/>
              </w:rPr>
              <w:fldChar w:fldCharType="end"/>
            </w:r>
            <w:bookmarkEnd w:id="73"/>
            <w:r w:rsidRPr="00A44305">
              <w:rPr>
                <w:rFonts w:ascii="Arial" w:hAnsi="Arial" w:cs="Arial"/>
                <w:sz w:val="22"/>
                <w:szCs w:val="22"/>
              </w:rPr>
              <w:t xml:space="preserve">: Contribution of wholesale and pharmacy remuneration to growth in PBS </w:t>
            </w:r>
            <w:r>
              <w:rPr>
                <w:rFonts w:ascii="Arial" w:hAnsi="Arial" w:cs="Arial"/>
                <w:sz w:val="22"/>
                <w:szCs w:val="22"/>
              </w:rPr>
              <w:t>S85</w:t>
            </w:r>
            <w:r w:rsidRPr="00A44305">
              <w:rPr>
                <w:rFonts w:ascii="Arial" w:hAnsi="Arial" w:cs="Arial"/>
                <w:sz w:val="22"/>
                <w:szCs w:val="22"/>
              </w:rPr>
              <w:t xml:space="preserve"> expenditure </w:t>
            </w:r>
          </w:p>
        </w:tc>
      </w:tr>
      <w:tr w:rsidR="009B075E" w:rsidRPr="00A44305" w:rsidTr="00C02B50">
        <w:trPr>
          <w:trHeight w:val="3986"/>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966C87" w:rsidP="00C02B50">
            <w:pPr>
              <w:tabs>
                <w:tab w:val="left" w:pos="4708"/>
              </w:tabs>
              <w:jc w:val="center"/>
              <w:rPr>
                <w:rFonts w:ascii="Arial" w:hAnsi="Arial" w:cs="Arial"/>
                <w:b/>
                <w:bCs/>
                <w:highlight w:val="yellow"/>
              </w:rPr>
            </w:pPr>
            <w:r>
              <w:rPr>
                <w:rFonts w:ascii="Arial" w:hAnsi="Arial" w:cs="Arial"/>
                <w:b/>
                <w:bCs/>
                <w:noProof/>
                <w:lang w:eastAsia="en-AU"/>
              </w:rPr>
              <w:drawing>
                <wp:inline distT="0" distB="0" distL="0" distR="0" wp14:anchorId="6937F9F5" wp14:editId="237D0EC3">
                  <wp:extent cx="4989088" cy="2505051"/>
                  <wp:effectExtent l="0" t="0" r="2540" b="0"/>
                  <wp:docPr id="29" name="Picture 1" descr="Contribution of wholesale and pharmacy remuneration to growth in PBS S85 expenditure " title="Fig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l="8547" t="22383" r="4258" b="10734"/>
                          <a:stretch>
                            <a:fillRect/>
                          </a:stretch>
                        </pic:blipFill>
                        <pic:spPr bwMode="auto">
                          <a:xfrm>
                            <a:off x="0" y="0"/>
                            <a:ext cx="4989088" cy="2505051"/>
                          </a:xfrm>
                          <a:prstGeom prst="rect">
                            <a:avLst/>
                          </a:prstGeom>
                          <a:noFill/>
                          <a:ln w="9525">
                            <a:noFill/>
                            <a:miter lim="800000"/>
                            <a:headEnd/>
                            <a:tailEnd/>
                          </a:ln>
                        </pic:spPr>
                      </pic:pic>
                    </a:graphicData>
                  </a:graphic>
                </wp:inline>
              </w:drawing>
            </w:r>
          </w:p>
        </w:tc>
      </w:tr>
    </w:tbl>
    <w:p w:rsidR="00B125A7" w:rsidRDefault="00B125A7" w:rsidP="00CE5D69">
      <w:pPr>
        <w:spacing w:before="120" w:after="120"/>
        <w:rPr>
          <w:rFonts w:ascii="Arial" w:hAnsi="Arial" w:cs="Arial"/>
        </w:rPr>
      </w:pPr>
    </w:p>
    <w:p w:rsidR="00BB5804" w:rsidRPr="00AB77CF" w:rsidRDefault="00C56F51" w:rsidP="00CE5D69">
      <w:pPr>
        <w:spacing w:before="120" w:after="120"/>
        <w:rPr>
          <w:rFonts w:ascii="Arial" w:hAnsi="Arial" w:cs="Arial"/>
        </w:rPr>
      </w:pPr>
      <w:r w:rsidRPr="00AB77CF">
        <w:rPr>
          <w:rFonts w:ascii="Arial" w:hAnsi="Arial" w:cs="Arial"/>
        </w:rPr>
        <w:t xml:space="preserve">The DWG will continue to monitor the impact of </w:t>
      </w:r>
      <w:r w:rsidR="002A4B6C">
        <w:rPr>
          <w:rFonts w:ascii="Arial" w:hAnsi="Arial" w:cs="Arial"/>
        </w:rPr>
        <w:t xml:space="preserve">the </w:t>
      </w:r>
      <w:r w:rsidR="003F0B68" w:rsidRPr="00AB77CF">
        <w:rPr>
          <w:rFonts w:ascii="Arial" w:hAnsi="Arial" w:cs="Arial"/>
        </w:rPr>
        <w:t xml:space="preserve">indexed </w:t>
      </w:r>
      <w:r w:rsidR="00EE5EE9" w:rsidRPr="00AB77CF">
        <w:rPr>
          <w:rFonts w:ascii="Arial" w:hAnsi="Arial" w:cs="Arial"/>
        </w:rPr>
        <w:t>dispensing fee (ready prepared</w:t>
      </w:r>
      <w:r w:rsidR="002A4B6C" w:rsidRPr="00AB77CF">
        <w:rPr>
          <w:rFonts w:ascii="Arial" w:hAnsi="Arial" w:cs="Arial"/>
        </w:rPr>
        <w:t>)</w:t>
      </w:r>
      <w:r w:rsidR="002A4B6C">
        <w:rPr>
          <w:rFonts w:ascii="Arial" w:hAnsi="Arial" w:cs="Arial"/>
        </w:rPr>
        <w:t xml:space="preserve"> and </w:t>
      </w:r>
      <w:r w:rsidR="008A5D23" w:rsidRPr="00AB77CF">
        <w:rPr>
          <w:rFonts w:ascii="Arial" w:hAnsi="Arial" w:cs="Arial"/>
        </w:rPr>
        <w:t>the wholesale and pharmacy retail mark</w:t>
      </w:r>
      <w:r w:rsidR="00AB77CF" w:rsidRPr="00AB77CF">
        <w:rPr>
          <w:rFonts w:ascii="Arial" w:hAnsi="Arial" w:cs="Arial"/>
        </w:rPr>
        <w:t xml:space="preserve"> </w:t>
      </w:r>
      <w:r w:rsidR="008A5D23" w:rsidRPr="00AB77CF">
        <w:rPr>
          <w:rFonts w:ascii="Arial" w:hAnsi="Arial" w:cs="Arial"/>
        </w:rPr>
        <w:t>ups</w:t>
      </w:r>
      <w:r w:rsidR="00EE5EE9" w:rsidRPr="00AB77CF">
        <w:rPr>
          <w:rFonts w:ascii="Arial" w:hAnsi="Arial" w:cs="Arial"/>
        </w:rPr>
        <w:t xml:space="preserve"> on overall PBS expenditure and growth</w:t>
      </w:r>
      <w:r w:rsidR="003F0B68" w:rsidRPr="00AB77CF">
        <w:rPr>
          <w:rFonts w:ascii="Arial" w:hAnsi="Arial" w:cs="Arial"/>
        </w:rPr>
        <w:t xml:space="preserve"> in </w:t>
      </w:r>
      <w:r w:rsidR="002A4B6C">
        <w:rPr>
          <w:rFonts w:ascii="Arial" w:hAnsi="Arial" w:cs="Arial"/>
        </w:rPr>
        <w:t xml:space="preserve">the </w:t>
      </w:r>
      <w:r w:rsidR="003F0B68" w:rsidRPr="00AB77CF">
        <w:rPr>
          <w:rFonts w:ascii="Arial" w:hAnsi="Arial" w:cs="Arial"/>
        </w:rPr>
        <w:t>future</w:t>
      </w:r>
      <w:r w:rsidR="00EE5EE9" w:rsidRPr="00AB77CF">
        <w:rPr>
          <w:rFonts w:ascii="Arial" w:hAnsi="Arial" w:cs="Arial"/>
        </w:rPr>
        <w:t xml:space="preserve">.   </w:t>
      </w:r>
      <w:r w:rsidRPr="00AB77CF">
        <w:rPr>
          <w:rFonts w:ascii="Arial" w:hAnsi="Arial" w:cs="Arial"/>
        </w:rPr>
        <w:t xml:space="preserve"> </w:t>
      </w:r>
    </w:p>
    <w:p w:rsidR="00BB5804" w:rsidRPr="00AB77CF" w:rsidRDefault="00BB5804">
      <w:pPr>
        <w:spacing w:after="0" w:line="240" w:lineRule="auto"/>
        <w:rPr>
          <w:rFonts w:ascii="Arial" w:hAnsi="Arial" w:cs="Arial"/>
        </w:rPr>
      </w:pPr>
      <w:r w:rsidRPr="00AB77CF">
        <w:rPr>
          <w:rFonts w:ascii="Arial" w:hAnsi="Arial" w:cs="Arial"/>
        </w:rPr>
        <w:br w:type="page"/>
      </w:r>
    </w:p>
    <w:p w:rsidR="009B075E" w:rsidRDefault="009B075E" w:rsidP="00CE5D69">
      <w:pPr>
        <w:spacing w:before="120" w:after="120"/>
        <w:rPr>
          <w:rFonts w:ascii="Arial" w:hAnsi="Arial" w:cs="Arial"/>
        </w:rPr>
      </w:pPr>
      <w:r w:rsidRPr="00AB77CF">
        <w:rPr>
          <w:rFonts w:ascii="Arial" w:hAnsi="Arial" w:cs="Arial"/>
        </w:rPr>
        <w:lastRenderedPageBreak/>
        <w:t xml:space="preserve">As a proportion of overall government expenditure on </w:t>
      </w:r>
      <w:r w:rsidR="00952E6F" w:rsidRPr="00AB77CF">
        <w:rPr>
          <w:rFonts w:ascii="Arial" w:hAnsi="Arial" w:cs="Arial"/>
        </w:rPr>
        <w:t xml:space="preserve">the </w:t>
      </w:r>
      <w:r w:rsidRPr="00AB77CF">
        <w:rPr>
          <w:rFonts w:ascii="Arial" w:hAnsi="Arial" w:cs="Arial"/>
        </w:rPr>
        <w:t xml:space="preserve">PBS, the share of supply chain participants (wholesalers and pharmacy) increased </w:t>
      </w:r>
      <w:r w:rsidR="00952E6F" w:rsidRPr="00AB77CF">
        <w:rPr>
          <w:rFonts w:ascii="Arial" w:hAnsi="Arial" w:cs="Arial"/>
        </w:rPr>
        <w:t>in 2008-09</w:t>
      </w:r>
      <w:r w:rsidR="00567384" w:rsidRPr="00AB77CF">
        <w:rPr>
          <w:rFonts w:ascii="Arial" w:hAnsi="Arial" w:cs="Arial"/>
        </w:rPr>
        <w:t xml:space="preserve"> but has </w:t>
      </w:r>
      <w:r w:rsidR="00952E6F" w:rsidRPr="00AB77CF">
        <w:rPr>
          <w:rFonts w:ascii="Arial" w:hAnsi="Arial" w:cs="Arial"/>
        </w:rPr>
        <w:t xml:space="preserve">stayed </w:t>
      </w:r>
      <w:r w:rsidR="00567384" w:rsidRPr="00AB77CF">
        <w:rPr>
          <w:rFonts w:ascii="Arial" w:hAnsi="Arial" w:cs="Arial"/>
        </w:rPr>
        <w:t>s</w:t>
      </w:r>
      <w:r w:rsidR="00952E6F" w:rsidRPr="00AB77CF">
        <w:rPr>
          <w:rFonts w:ascii="Arial" w:hAnsi="Arial" w:cs="Arial"/>
        </w:rPr>
        <w:t>table</w:t>
      </w:r>
      <w:r w:rsidR="00567384" w:rsidRPr="00AB77CF">
        <w:rPr>
          <w:rFonts w:ascii="Arial" w:hAnsi="Arial" w:cs="Arial"/>
        </w:rPr>
        <w:t xml:space="preserve"> since </w:t>
      </w:r>
      <w:r w:rsidR="00952E6F" w:rsidRPr="00AB77CF">
        <w:rPr>
          <w:rFonts w:ascii="Arial" w:hAnsi="Arial" w:cs="Arial"/>
        </w:rPr>
        <w:t>(</w:t>
      </w:r>
      <w:r w:rsidRPr="00AB77CF">
        <w:rPr>
          <w:rFonts w:ascii="Arial" w:hAnsi="Arial" w:cs="Arial"/>
        </w:rPr>
        <w:t xml:space="preserve">see </w:t>
      </w:r>
      <w:r w:rsidR="00154097">
        <w:fldChar w:fldCharType="begin"/>
      </w:r>
      <w:r w:rsidR="00154097">
        <w:instrText xml:space="preserve"> REF _Ref318118971 \h  \* MERGEFORMAT </w:instrText>
      </w:r>
      <w:r w:rsidR="00154097">
        <w:fldChar w:fldCharType="separate"/>
      </w:r>
      <w:r w:rsidR="00584343" w:rsidRPr="00A44305">
        <w:rPr>
          <w:rFonts w:ascii="Arial" w:hAnsi="Arial" w:cs="Arial"/>
        </w:rPr>
        <w:t xml:space="preserve">Figure </w:t>
      </w:r>
      <w:r w:rsidR="00584343">
        <w:rPr>
          <w:rFonts w:ascii="Arial" w:hAnsi="Arial" w:cs="Arial"/>
          <w:noProof/>
        </w:rPr>
        <w:t>21</w:t>
      </w:r>
      <w:r w:rsidR="00154097">
        <w:fldChar w:fldCharType="end"/>
      </w:r>
      <w:r w:rsidR="00952E6F" w:rsidRPr="00AB77CF">
        <w:rPr>
          <w:rFonts w:ascii="Arial" w:hAnsi="Arial" w:cs="Arial"/>
        </w:rPr>
        <w:t xml:space="preserve">).  </w:t>
      </w:r>
    </w:p>
    <w:p w:rsidR="006E7ADC" w:rsidRPr="00A44305" w:rsidRDefault="006E7ADC" w:rsidP="00CE5D69">
      <w:pPr>
        <w:spacing w:before="120" w:after="120"/>
        <w:rPr>
          <w:rFonts w:ascii="Arial" w:hAnsi="Arial" w:cs="Arial"/>
        </w:rPr>
      </w:pPr>
    </w:p>
    <w:tbl>
      <w:tblPr>
        <w:tblW w:w="0" w:type="auto"/>
        <w:jc w:val="center"/>
        <w:tblInd w:w="304" w:type="dxa"/>
        <w:tblLook w:val="0000" w:firstRow="0" w:lastRow="0" w:firstColumn="0" w:lastColumn="0" w:noHBand="0" w:noVBand="0"/>
      </w:tblPr>
      <w:tblGrid>
        <w:gridCol w:w="8938"/>
      </w:tblGrid>
      <w:tr w:rsidR="009B075E" w:rsidRPr="00A44305" w:rsidTr="0052197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9B075E" w:rsidP="00521975">
            <w:pPr>
              <w:pStyle w:val="Caption"/>
              <w:keepNext w:val="0"/>
              <w:rPr>
                <w:rFonts w:ascii="Arial" w:hAnsi="Arial" w:cs="Arial"/>
                <w:sz w:val="22"/>
                <w:szCs w:val="22"/>
                <w:highlight w:val="yellow"/>
              </w:rPr>
            </w:pPr>
            <w:bookmarkStart w:id="74" w:name="_Ref318118971"/>
            <w:r w:rsidRPr="00A44305">
              <w:rPr>
                <w:rFonts w:ascii="Arial" w:hAnsi="Arial" w:cs="Arial"/>
                <w:sz w:val="22"/>
                <w:szCs w:val="22"/>
              </w:rPr>
              <w:t xml:space="preserve">Figure </w:t>
            </w:r>
            <w:r w:rsidR="00855AAF" w:rsidRPr="00A44305">
              <w:rPr>
                <w:rFonts w:ascii="Arial" w:hAnsi="Arial" w:cs="Arial"/>
                <w:sz w:val="22"/>
                <w:szCs w:val="22"/>
              </w:rPr>
              <w:fldChar w:fldCharType="begin"/>
            </w:r>
            <w:r w:rsidRPr="00A44305">
              <w:rPr>
                <w:rFonts w:ascii="Arial" w:hAnsi="Arial" w:cs="Arial"/>
                <w:sz w:val="22"/>
                <w:szCs w:val="22"/>
              </w:rPr>
              <w:instrText xml:space="preserve"> SEQ Figure \* ARABIC </w:instrText>
            </w:r>
            <w:r w:rsidR="00855AAF" w:rsidRPr="00A44305">
              <w:rPr>
                <w:rFonts w:ascii="Arial" w:hAnsi="Arial" w:cs="Arial"/>
                <w:sz w:val="22"/>
                <w:szCs w:val="22"/>
              </w:rPr>
              <w:fldChar w:fldCharType="separate"/>
            </w:r>
            <w:r w:rsidR="00584343">
              <w:rPr>
                <w:rFonts w:ascii="Arial" w:hAnsi="Arial" w:cs="Arial"/>
                <w:noProof/>
                <w:sz w:val="22"/>
                <w:szCs w:val="22"/>
              </w:rPr>
              <w:t>21</w:t>
            </w:r>
            <w:r w:rsidR="00855AAF" w:rsidRPr="00A44305">
              <w:rPr>
                <w:rFonts w:ascii="Arial" w:hAnsi="Arial" w:cs="Arial"/>
                <w:sz w:val="22"/>
                <w:szCs w:val="22"/>
              </w:rPr>
              <w:fldChar w:fldCharType="end"/>
            </w:r>
            <w:bookmarkEnd w:id="74"/>
            <w:r w:rsidRPr="00A44305">
              <w:rPr>
                <w:rFonts w:ascii="Arial" w:hAnsi="Arial" w:cs="Arial"/>
                <w:sz w:val="22"/>
                <w:szCs w:val="22"/>
              </w:rPr>
              <w:t xml:space="preserve">: Percentage of PBS </w:t>
            </w:r>
            <w:r>
              <w:rPr>
                <w:rFonts w:ascii="Arial" w:hAnsi="Arial" w:cs="Arial"/>
                <w:sz w:val="22"/>
                <w:szCs w:val="22"/>
              </w:rPr>
              <w:t>S85</w:t>
            </w:r>
            <w:r w:rsidRPr="00A44305">
              <w:rPr>
                <w:rFonts w:ascii="Arial" w:hAnsi="Arial" w:cs="Arial"/>
                <w:sz w:val="22"/>
                <w:szCs w:val="22"/>
              </w:rPr>
              <w:t xml:space="preserve"> expenditure on wholesale and pharmacy remuneration</w:t>
            </w:r>
          </w:p>
        </w:tc>
      </w:tr>
      <w:tr w:rsidR="009B075E" w:rsidRPr="00A44305" w:rsidTr="00521975">
        <w:trPr>
          <w:trHeight w:val="3623"/>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966C87" w:rsidP="00521975">
            <w:pPr>
              <w:tabs>
                <w:tab w:val="left" w:pos="4708"/>
              </w:tabs>
              <w:jc w:val="center"/>
              <w:rPr>
                <w:rFonts w:ascii="Arial" w:hAnsi="Arial" w:cs="Arial"/>
                <w:b/>
                <w:bCs/>
                <w:highlight w:val="yellow"/>
              </w:rPr>
            </w:pPr>
            <w:r>
              <w:rPr>
                <w:rFonts w:ascii="Arial" w:hAnsi="Arial" w:cs="Arial"/>
                <w:b/>
                <w:bCs/>
                <w:noProof/>
                <w:lang w:eastAsia="en-AU"/>
              </w:rPr>
              <w:drawing>
                <wp:inline distT="0" distB="0" distL="0" distR="0" wp14:anchorId="0FAC11C1" wp14:editId="5731D475">
                  <wp:extent cx="5232041" cy="2372264"/>
                  <wp:effectExtent l="0" t="0" r="6985" b="9525"/>
                  <wp:docPr id="30" name="Picture 2" descr="Percentage of PBS S85 expenditure on wholesale and pharmacy remuneration" title="Fig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l="3202" t="36554" r="5529"/>
                          <a:stretch>
                            <a:fillRect/>
                          </a:stretch>
                        </pic:blipFill>
                        <pic:spPr bwMode="auto">
                          <a:xfrm>
                            <a:off x="0" y="0"/>
                            <a:ext cx="5232041" cy="2372264"/>
                          </a:xfrm>
                          <a:prstGeom prst="rect">
                            <a:avLst/>
                          </a:prstGeom>
                          <a:noFill/>
                          <a:ln w="9525">
                            <a:noFill/>
                            <a:miter lim="800000"/>
                            <a:headEnd/>
                            <a:tailEnd/>
                          </a:ln>
                        </pic:spPr>
                      </pic:pic>
                    </a:graphicData>
                  </a:graphic>
                </wp:inline>
              </w:drawing>
            </w:r>
          </w:p>
        </w:tc>
      </w:tr>
    </w:tbl>
    <w:p w:rsidR="00AC62D6" w:rsidRDefault="00AC62D6" w:rsidP="00AC62D6">
      <w:pPr>
        <w:rPr>
          <w:rFonts w:ascii="Arial" w:hAnsi="Arial" w:cs="Arial"/>
        </w:rPr>
      </w:pPr>
    </w:p>
    <w:p w:rsidR="007A70A7" w:rsidRDefault="00F13BAB" w:rsidP="00AC62D6">
      <w:pPr>
        <w:rPr>
          <w:rFonts w:ascii="Arial" w:hAnsi="Arial" w:cs="Arial"/>
        </w:rPr>
      </w:pPr>
      <w:r w:rsidRPr="00AC62D6">
        <w:rPr>
          <w:rFonts w:ascii="Arial" w:hAnsi="Arial" w:cs="Arial"/>
        </w:rPr>
        <w:t>It is important to note that due to commercial arrangements that may exist between pharmacies, wholesalers and manufacturers, the actual proportion of government expenditure going to each participant in the supply chain is unknown.</w:t>
      </w:r>
    </w:p>
    <w:p w:rsidR="009B075E" w:rsidRPr="00EA132E" w:rsidRDefault="009B075E" w:rsidP="00F14913">
      <w:pPr>
        <w:pStyle w:val="Heading1"/>
        <w:rPr>
          <w:rFonts w:ascii="Arial" w:hAnsi="Arial" w:cs="Arial"/>
          <w:sz w:val="24"/>
          <w:szCs w:val="24"/>
        </w:rPr>
      </w:pPr>
      <w:r>
        <w:rPr>
          <w:sz w:val="24"/>
          <w:szCs w:val="24"/>
          <w:highlight w:val="yellow"/>
        </w:rPr>
        <w:br w:type="page"/>
      </w:r>
      <w:bookmarkStart w:id="75" w:name="_Toc301529968"/>
      <w:bookmarkStart w:id="76" w:name="_Toc337033198"/>
      <w:bookmarkStart w:id="77" w:name="_Toc357174843"/>
      <w:r w:rsidRPr="00EA132E">
        <w:rPr>
          <w:rFonts w:ascii="Arial" w:hAnsi="Arial" w:cs="Arial"/>
          <w:sz w:val="24"/>
          <w:szCs w:val="24"/>
        </w:rPr>
        <w:lastRenderedPageBreak/>
        <w:t>Trends</w:t>
      </w:r>
      <w:r w:rsidR="007A70A7" w:rsidRPr="00EA132E">
        <w:rPr>
          <w:rFonts w:ascii="Arial" w:hAnsi="Arial" w:cs="Arial"/>
          <w:sz w:val="24"/>
          <w:szCs w:val="24"/>
        </w:rPr>
        <w:t xml:space="preserve"> </w:t>
      </w:r>
      <w:r w:rsidRPr="00EA132E">
        <w:rPr>
          <w:rFonts w:ascii="Arial" w:hAnsi="Arial" w:cs="Arial"/>
          <w:sz w:val="24"/>
          <w:szCs w:val="24"/>
        </w:rPr>
        <w:t>in concession card holders</w:t>
      </w:r>
      <w:bookmarkEnd w:id="75"/>
      <w:bookmarkEnd w:id="76"/>
      <w:bookmarkEnd w:id="77"/>
      <w:r w:rsidRPr="00EA132E">
        <w:rPr>
          <w:rFonts w:ascii="Arial" w:hAnsi="Arial" w:cs="Arial"/>
          <w:sz w:val="24"/>
          <w:szCs w:val="24"/>
        </w:rPr>
        <w:t xml:space="preserve"> </w:t>
      </w:r>
    </w:p>
    <w:p w:rsidR="009B075E" w:rsidRDefault="009B075E" w:rsidP="003F5B67">
      <w:pPr>
        <w:spacing w:before="120" w:after="120"/>
        <w:rPr>
          <w:rFonts w:ascii="Arial" w:hAnsi="Arial" w:cs="Arial"/>
        </w:rPr>
      </w:pPr>
      <w:r>
        <w:rPr>
          <w:rFonts w:ascii="Arial" w:hAnsi="Arial" w:cs="Arial"/>
        </w:rPr>
        <w:t xml:space="preserve">(reference Appendix 2: </w:t>
      </w:r>
      <w:r w:rsidR="00644F37">
        <w:rPr>
          <w:rFonts w:ascii="Arial" w:hAnsi="Arial" w:cs="Arial"/>
        </w:rPr>
        <w:fldChar w:fldCharType="begin"/>
      </w:r>
      <w:r w:rsidR="00644F37">
        <w:rPr>
          <w:rFonts w:ascii="Arial" w:hAnsi="Arial" w:cs="Arial"/>
        </w:rPr>
        <w:instrText xml:space="preserve"> REF _Ref338340431 \h </w:instrText>
      </w:r>
      <w:r w:rsidR="00644F37">
        <w:rPr>
          <w:rFonts w:ascii="Arial" w:hAnsi="Arial" w:cs="Arial"/>
        </w:rPr>
      </w:r>
      <w:r w:rsidR="00644F37">
        <w:rPr>
          <w:rFonts w:ascii="Arial" w:hAnsi="Arial" w:cs="Arial"/>
        </w:rPr>
        <w:fldChar w:fldCharType="separate"/>
      </w:r>
      <w:r w:rsidR="00584343" w:rsidRPr="00B71ED4">
        <w:rPr>
          <w:rFonts w:ascii="Arial" w:hAnsi="Arial" w:cs="Arial"/>
        </w:rPr>
        <w:t xml:space="preserve">Table </w:t>
      </w:r>
      <w:r w:rsidR="00584343">
        <w:rPr>
          <w:rFonts w:ascii="Arial" w:hAnsi="Arial" w:cs="Arial"/>
          <w:noProof/>
        </w:rPr>
        <w:t>22</w:t>
      </w:r>
      <w:r w:rsidR="00644F37">
        <w:rPr>
          <w:rFonts w:ascii="Arial" w:hAnsi="Arial" w:cs="Arial"/>
        </w:rPr>
        <w:fldChar w:fldCharType="end"/>
      </w:r>
      <w:r w:rsidR="00644F37">
        <w:rPr>
          <w:rFonts w:ascii="Arial" w:hAnsi="Arial" w:cs="Arial"/>
        </w:rPr>
        <w:t xml:space="preserve"> </w:t>
      </w:r>
      <w:r>
        <w:rPr>
          <w:rFonts w:ascii="Arial" w:hAnsi="Arial" w:cs="Arial"/>
        </w:rPr>
        <w:t xml:space="preserve">and </w:t>
      </w:r>
      <w:r w:rsidR="00644F37">
        <w:rPr>
          <w:rFonts w:ascii="Arial" w:hAnsi="Arial" w:cs="Arial"/>
        </w:rPr>
        <w:fldChar w:fldCharType="begin"/>
      </w:r>
      <w:r w:rsidR="00644F37">
        <w:rPr>
          <w:rFonts w:ascii="Arial" w:hAnsi="Arial" w:cs="Arial"/>
        </w:rPr>
        <w:instrText xml:space="preserve"> REF _Ref338340443 \h </w:instrText>
      </w:r>
      <w:r w:rsidR="00644F37">
        <w:rPr>
          <w:rFonts w:ascii="Arial" w:hAnsi="Arial" w:cs="Arial"/>
        </w:rPr>
      </w:r>
      <w:r w:rsidR="00644F37">
        <w:rPr>
          <w:rFonts w:ascii="Arial" w:hAnsi="Arial" w:cs="Arial"/>
        </w:rPr>
        <w:fldChar w:fldCharType="separate"/>
      </w:r>
      <w:r w:rsidR="00584343" w:rsidRPr="00B71ED4">
        <w:rPr>
          <w:rFonts w:ascii="Arial" w:hAnsi="Arial" w:cs="Arial"/>
        </w:rPr>
        <w:t xml:space="preserve">Table </w:t>
      </w:r>
      <w:r w:rsidR="00584343">
        <w:rPr>
          <w:rFonts w:ascii="Arial" w:hAnsi="Arial" w:cs="Arial"/>
          <w:noProof/>
        </w:rPr>
        <w:t>23</w:t>
      </w:r>
      <w:r w:rsidR="00644F37">
        <w:rPr>
          <w:rFonts w:ascii="Arial" w:hAnsi="Arial" w:cs="Arial"/>
        </w:rPr>
        <w:fldChar w:fldCharType="end"/>
      </w:r>
      <w:r>
        <w:rPr>
          <w:rFonts w:ascii="Arial" w:hAnsi="Arial" w:cs="Arial"/>
        </w:rPr>
        <w:t>)</w:t>
      </w:r>
    </w:p>
    <w:p w:rsidR="006E7ADC" w:rsidRDefault="009B075E" w:rsidP="006E7ADC">
      <w:pPr>
        <w:spacing w:before="120" w:after="240"/>
        <w:rPr>
          <w:rFonts w:ascii="Arial" w:hAnsi="Arial" w:cs="Arial"/>
        </w:rPr>
      </w:pPr>
      <w:r w:rsidRPr="00A44305">
        <w:rPr>
          <w:rFonts w:ascii="Arial" w:hAnsi="Arial" w:cs="Arial"/>
        </w:rPr>
        <w:t xml:space="preserve">The DWG looked at the trends in </w:t>
      </w:r>
      <w:r>
        <w:rPr>
          <w:rFonts w:ascii="Arial" w:hAnsi="Arial" w:cs="Arial"/>
        </w:rPr>
        <w:t xml:space="preserve">the </w:t>
      </w:r>
      <w:r w:rsidRPr="00A44305">
        <w:rPr>
          <w:rFonts w:ascii="Arial" w:hAnsi="Arial" w:cs="Arial"/>
        </w:rPr>
        <w:t xml:space="preserve">number of </w:t>
      </w:r>
      <w:r>
        <w:rPr>
          <w:rFonts w:ascii="Arial" w:hAnsi="Arial" w:cs="Arial"/>
        </w:rPr>
        <w:t>concession card</w:t>
      </w:r>
      <w:r w:rsidRPr="00A44305">
        <w:rPr>
          <w:rFonts w:ascii="Arial" w:hAnsi="Arial" w:cs="Arial"/>
        </w:rPr>
        <w:t>s holders by financial year using data available from the Department of Families, Housing, Community Services and Indigenous Affairs (FaHCSIA) annual reports and calculated the growth (year on year) in the time period from 2001 to 201</w:t>
      </w:r>
      <w:r>
        <w:rPr>
          <w:rFonts w:ascii="Arial" w:hAnsi="Arial" w:cs="Arial"/>
        </w:rPr>
        <w:t>1</w:t>
      </w:r>
      <w:r w:rsidRPr="00A44305">
        <w:rPr>
          <w:rFonts w:ascii="Arial" w:hAnsi="Arial" w:cs="Arial"/>
        </w:rPr>
        <w:t xml:space="preserve">.  As shown in </w:t>
      </w:r>
      <w:r w:rsidR="00154097">
        <w:fldChar w:fldCharType="begin"/>
      </w:r>
      <w:r w:rsidR="00154097">
        <w:instrText xml:space="preserve"> REF _Ref301213640 \h  \* MERGEFORMAT </w:instrText>
      </w:r>
      <w:r w:rsidR="00154097">
        <w:fldChar w:fldCharType="separate"/>
      </w:r>
      <w:r w:rsidR="00584343" w:rsidRPr="00A44305">
        <w:rPr>
          <w:rFonts w:ascii="Arial" w:hAnsi="Arial" w:cs="Arial"/>
        </w:rPr>
        <w:t xml:space="preserve">Figure </w:t>
      </w:r>
      <w:r w:rsidR="00584343">
        <w:rPr>
          <w:rFonts w:ascii="Arial" w:hAnsi="Arial" w:cs="Arial"/>
        </w:rPr>
        <w:t>22</w:t>
      </w:r>
      <w:r w:rsidR="00154097">
        <w:fldChar w:fldCharType="end"/>
      </w:r>
      <w:r w:rsidRPr="00A44305">
        <w:rPr>
          <w:rFonts w:ascii="Arial" w:hAnsi="Arial" w:cs="Arial"/>
        </w:rPr>
        <w:t xml:space="preserve">, the number of </w:t>
      </w:r>
      <w:r>
        <w:rPr>
          <w:rFonts w:ascii="Arial" w:hAnsi="Arial" w:cs="Arial"/>
        </w:rPr>
        <w:t>concession card</w:t>
      </w:r>
      <w:r w:rsidRPr="00A44305">
        <w:rPr>
          <w:rFonts w:ascii="Arial" w:hAnsi="Arial" w:cs="Arial"/>
        </w:rPr>
        <w:t xml:space="preserve"> holders remained fairly stable between 2000-01 and 2007-08.  However, the number rose by six percent in 2008-09</w:t>
      </w:r>
      <w:r>
        <w:rPr>
          <w:rFonts w:ascii="Arial" w:hAnsi="Arial" w:cs="Arial"/>
        </w:rPr>
        <w:t xml:space="preserve">.  The growth in concessional card holders has moderated </w:t>
      </w:r>
      <w:r w:rsidRPr="00AB77CF">
        <w:rPr>
          <w:rFonts w:ascii="Arial" w:hAnsi="Arial" w:cs="Arial"/>
        </w:rPr>
        <w:t xml:space="preserve">since </w:t>
      </w:r>
      <w:r w:rsidR="006E3EA5" w:rsidRPr="00AB77CF">
        <w:rPr>
          <w:rFonts w:ascii="Arial" w:hAnsi="Arial" w:cs="Arial"/>
        </w:rPr>
        <w:t>but continues to grow.</w:t>
      </w:r>
      <w:r w:rsidRPr="00A44305">
        <w:rPr>
          <w:rFonts w:ascii="Arial" w:hAnsi="Arial" w:cs="Arial"/>
        </w:rPr>
        <w:t xml:space="preserve">  </w:t>
      </w:r>
    </w:p>
    <w:tbl>
      <w:tblPr>
        <w:tblW w:w="0" w:type="auto"/>
        <w:jc w:val="center"/>
        <w:tblLook w:val="0000" w:firstRow="0" w:lastRow="0" w:firstColumn="0" w:lastColumn="0" w:noHBand="0" w:noVBand="0"/>
      </w:tblPr>
      <w:tblGrid>
        <w:gridCol w:w="8526"/>
      </w:tblGrid>
      <w:tr w:rsidR="009B075E" w:rsidRPr="00A44305" w:rsidTr="00EE22B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9B075E" w:rsidP="00EE22BC">
            <w:pPr>
              <w:pStyle w:val="Caption"/>
              <w:rPr>
                <w:rFonts w:ascii="Arial" w:hAnsi="Arial" w:cs="Arial"/>
                <w:sz w:val="22"/>
                <w:szCs w:val="22"/>
              </w:rPr>
            </w:pPr>
            <w:bookmarkStart w:id="78" w:name="_Ref301213640"/>
            <w:r w:rsidRPr="00A44305">
              <w:rPr>
                <w:rFonts w:ascii="Arial" w:hAnsi="Arial" w:cs="Arial"/>
                <w:sz w:val="22"/>
                <w:szCs w:val="22"/>
              </w:rPr>
              <w:t xml:space="preserve">Figure </w:t>
            </w:r>
            <w:r w:rsidR="00855AAF" w:rsidRPr="00A44305">
              <w:rPr>
                <w:rFonts w:ascii="Arial" w:hAnsi="Arial" w:cs="Arial"/>
                <w:sz w:val="22"/>
                <w:szCs w:val="22"/>
              </w:rPr>
              <w:fldChar w:fldCharType="begin"/>
            </w:r>
            <w:r w:rsidRPr="00A44305">
              <w:rPr>
                <w:rFonts w:ascii="Arial" w:hAnsi="Arial" w:cs="Arial"/>
                <w:sz w:val="22"/>
                <w:szCs w:val="22"/>
              </w:rPr>
              <w:instrText xml:space="preserve"> SEQ Figure \* ARABIC </w:instrText>
            </w:r>
            <w:r w:rsidR="00855AAF" w:rsidRPr="00A44305">
              <w:rPr>
                <w:rFonts w:ascii="Arial" w:hAnsi="Arial" w:cs="Arial"/>
                <w:sz w:val="22"/>
                <w:szCs w:val="22"/>
              </w:rPr>
              <w:fldChar w:fldCharType="separate"/>
            </w:r>
            <w:r w:rsidR="00584343">
              <w:rPr>
                <w:rFonts w:ascii="Arial" w:hAnsi="Arial" w:cs="Arial"/>
                <w:noProof/>
                <w:sz w:val="22"/>
                <w:szCs w:val="22"/>
              </w:rPr>
              <w:t>22</w:t>
            </w:r>
            <w:r w:rsidR="00855AAF" w:rsidRPr="00A44305">
              <w:rPr>
                <w:rFonts w:ascii="Arial" w:hAnsi="Arial" w:cs="Arial"/>
                <w:sz w:val="22"/>
                <w:szCs w:val="22"/>
              </w:rPr>
              <w:fldChar w:fldCharType="end"/>
            </w:r>
            <w:bookmarkEnd w:id="78"/>
            <w:r w:rsidRPr="00A44305">
              <w:rPr>
                <w:rFonts w:ascii="Arial" w:hAnsi="Arial" w:cs="Arial"/>
                <w:sz w:val="22"/>
                <w:szCs w:val="22"/>
              </w:rPr>
              <w:t xml:space="preserve">: Trends in number of </w:t>
            </w:r>
            <w:r>
              <w:rPr>
                <w:rFonts w:ascii="Arial" w:hAnsi="Arial" w:cs="Arial"/>
                <w:sz w:val="22"/>
                <w:szCs w:val="22"/>
              </w:rPr>
              <w:t xml:space="preserve">concession card </w:t>
            </w:r>
            <w:r w:rsidRPr="00A44305">
              <w:rPr>
                <w:rFonts w:ascii="Arial" w:hAnsi="Arial" w:cs="Arial"/>
                <w:sz w:val="22"/>
                <w:szCs w:val="22"/>
              </w:rPr>
              <w:t xml:space="preserve">holders </w:t>
            </w:r>
          </w:p>
        </w:tc>
      </w:tr>
      <w:tr w:rsidR="009B075E" w:rsidRPr="00A44305" w:rsidTr="00EE22BC">
        <w:trPr>
          <w:trHeight w:val="3993"/>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5E0A95" w:rsidP="00EE22BC">
            <w:pPr>
              <w:tabs>
                <w:tab w:val="left" w:pos="4708"/>
              </w:tabs>
              <w:jc w:val="center"/>
              <w:rPr>
                <w:rFonts w:ascii="Arial" w:hAnsi="Arial" w:cs="Arial"/>
                <w:b/>
                <w:bCs/>
                <w:highlight w:val="yellow"/>
              </w:rPr>
            </w:pPr>
            <w:r>
              <w:rPr>
                <w:rFonts w:ascii="Arial" w:hAnsi="Arial" w:cs="Arial"/>
                <w:b/>
                <w:noProof/>
                <w:lang w:eastAsia="en-AU"/>
              </w:rPr>
              <w:drawing>
                <wp:inline distT="0" distB="0" distL="0" distR="0" wp14:anchorId="2DB060F3" wp14:editId="628418F3">
                  <wp:extent cx="5270500" cy="2519045"/>
                  <wp:effectExtent l="0" t="0" r="6350" b="0"/>
                  <wp:docPr id="22" name="Picture 22" descr="Trends in number of concession card holders " title="Fig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srcRect t="14201" r="4601" b="19455"/>
                          <a:stretch>
                            <a:fillRect/>
                          </a:stretch>
                        </pic:blipFill>
                        <pic:spPr bwMode="auto">
                          <a:xfrm>
                            <a:off x="0" y="0"/>
                            <a:ext cx="5270500" cy="2519045"/>
                          </a:xfrm>
                          <a:prstGeom prst="rect">
                            <a:avLst/>
                          </a:prstGeom>
                          <a:noFill/>
                          <a:ln w="9525">
                            <a:noFill/>
                            <a:miter lim="800000"/>
                            <a:headEnd/>
                            <a:tailEnd/>
                          </a:ln>
                        </pic:spPr>
                      </pic:pic>
                    </a:graphicData>
                  </a:graphic>
                </wp:inline>
              </w:drawing>
            </w:r>
          </w:p>
        </w:tc>
      </w:tr>
    </w:tbl>
    <w:p w:rsidR="009B075E" w:rsidRPr="007356D4" w:rsidRDefault="009B075E" w:rsidP="003F5B67">
      <w:pPr>
        <w:spacing w:before="120" w:after="120"/>
        <w:rPr>
          <w:rFonts w:ascii="Arial" w:hAnsi="Arial" w:cs="Arial"/>
        </w:rPr>
      </w:pPr>
    </w:p>
    <w:p w:rsidR="00D1709F" w:rsidRDefault="003D27C6" w:rsidP="003F5B67">
      <w:pPr>
        <w:spacing w:before="120" w:after="120"/>
        <w:rPr>
          <w:rFonts w:ascii="Arial" w:hAnsi="Arial" w:cs="Arial"/>
        </w:rPr>
      </w:pPr>
      <w:r w:rsidRPr="007356D4">
        <w:rPr>
          <w:rFonts w:ascii="Arial" w:hAnsi="Arial" w:cs="Arial"/>
        </w:rPr>
        <w:t xml:space="preserve">The </w:t>
      </w:r>
      <w:r>
        <w:rPr>
          <w:rFonts w:ascii="Arial" w:hAnsi="Arial" w:cs="Arial"/>
        </w:rPr>
        <w:t xml:space="preserve">strong growth seen in 2008-09 was mainly driven by increases in the number of Health Care Cards and Pensioner Concession Cards (see Figure 23).  </w:t>
      </w:r>
    </w:p>
    <w:p w:rsidR="003D27C6" w:rsidRDefault="003D27C6" w:rsidP="003F5B67">
      <w:pPr>
        <w:spacing w:before="120" w:after="120"/>
        <w:rPr>
          <w:rFonts w:ascii="Arial" w:hAnsi="Arial" w:cs="Arial"/>
        </w:rPr>
      </w:pPr>
      <w:r>
        <w:rPr>
          <w:rFonts w:ascii="Arial" w:hAnsi="Arial" w:cs="Arial"/>
        </w:rPr>
        <w:t xml:space="preserve">In the </w:t>
      </w:r>
      <w:r w:rsidR="00FB1266">
        <w:rPr>
          <w:rFonts w:ascii="Arial" w:hAnsi="Arial" w:cs="Arial"/>
        </w:rPr>
        <w:t>2006-07 Federal Budget there was a measure that extended Health Care Card eligibility for some students aged 16-25 years</w:t>
      </w:r>
      <w:r w:rsidR="00D1709F">
        <w:rPr>
          <w:rFonts w:ascii="Arial" w:hAnsi="Arial" w:cs="Arial"/>
        </w:rPr>
        <w:t>,</w:t>
      </w:r>
      <w:r w:rsidR="00FB1266">
        <w:rPr>
          <w:rFonts w:ascii="Arial" w:hAnsi="Arial" w:cs="Arial"/>
        </w:rPr>
        <w:t xml:space="preserve"> from 1 July 2008.  </w:t>
      </w:r>
    </w:p>
    <w:p w:rsidR="00D1709F" w:rsidRDefault="00D1709F" w:rsidP="003F5B67">
      <w:pPr>
        <w:spacing w:before="120" w:after="120"/>
        <w:rPr>
          <w:rFonts w:ascii="Arial" w:hAnsi="Arial" w:cs="Arial"/>
        </w:rPr>
      </w:pPr>
      <w:r>
        <w:rPr>
          <w:rFonts w:ascii="Arial" w:hAnsi="Arial" w:cs="Arial"/>
        </w:rPr>
        <w:t>Also, o</w:t>
      </w:r>
      <w:r w:rsidRPr="00184B46">
        <w:rPr>
          <w:rFonts w:ascii="Arial" w:hAnsi="Arial" w:cs="Arial"/>
        </w:rPr>
        <w:t>n the 20 September 2007 the social security pension assets test taper was halved</w:t>
      </w:r>
      <w:r>
        <w:rPr>
          <w:rFonts w:ascii="Arial" w:hAnsi="Arial" w:cs="Arial"/>
        </w:rPr>
        <w:t>.  This change</w:t>
      </w:r>
      <w:r w:rsidRPr="00184B46">
        <w:rPr>
          <w:rFonts w:ascii="Arial" w:hAnsi="Arial" w:cs="Arial"/>
        </w:rPr>
        <w:t xml:space="preserve"> meant that thousands of seniors who were previously unable to get a pension because of their assets’ worth </w:t>
      </w:r>
      <w:r>
        <w:rPr>
          <w:rFonts w:ascii="Arial" w:hAnsi="Arial" w:cs="Arial"/>
        </w:rPr>
        <w:t>became</w:t>
      </w:r>
      <w:r w:rsidRPr="00184B46">
        <w:rPr>
          <w:rFonts w:ascii="Arial" w:hAnsi="Arial" w:cs="Arial"/>
        </w:rPr>
        <w:t xml:space="preserve"> entitled to a part pension. </w:t>
      </w:r>
      <w:r>
        <w:rPr>
          <w:rFonts w:ascii="Arial" w:hAnsi="Arial" w:cs="Arial"/>
        </w:rPr>
        <w:t xml:space="preserve">All of these additional </w:t>
      </w:r>
      <w:r w:rsidRPr="00184B46">
        <w:rPr>
          <w:rFonts w:ascii="Arial" w:hAnsi="Arial" w:cs="Arial"/>
        </w:rPr>
        <w:t>Part Aged Pension</w:t>
      </w:r>
      <w:r>
        <w:rPr>
          <w:rFonts w:ascii="Arial" w:hAnsi="Arial" w:cs="Arial"/>
        </w:rPr>
        <w:t xml:space="preserve"> recipients</w:t>
      </w:r>
      <w:r w:rsidRPr="00184B46">
        <w:rPr>
          <w:rFonts w:ascii="Arial" w:hAnsi="Arial" w:cs="Arial"/>
        </w:rPr>
        <w:t xml:space="preserve"> became eligible </w:t>
      </w:r>
      <w:r>
        <w:rPr>
          <w:rFonts w:ascii="Arial" w:hAnsi="Arial" w:cs="Arial"/>
        </w:rPr>
        <w:t xml:space="preserve">for </w:t>
      </w:r>
      <w:r w:rsidRPr="00184B46">
        <w:rPr>
          <w:rFonts w:ascii="Arial" w:hAnsi="Arial" w:cs="Arial"/>
        </w:rPr>
        <w:t xml:space="preserve">and automatically received a </w:t>
      </w:r>
      <w:r w:rsidR="00DB073C" w:rsidRPr="00184B46">
        <w:rPr>
          <w:rFonts w:ascii="Arial" w:hAnsi="Arial" w:cs="Arial"/>
        </w:rPr>
        <w:t>Pensioner Concession Card</w:t>
      </w:r>
      <w:r w:rsidRPr="00184B46">
        <w:rPr>
          <w:rFonts w:ascii="Arial" w:hAnsi="Arial" w:cs="Arial"/>
        </w:rPr>
        <w:t>.</w:t>
      </w:r>
    </w:p>
    <w:p w:rsidR="00D1709F" w:rsidRPr="007356D4" w:rsidRDefault="00D1709F" w:rsidP="003F5B67">
      <w:pPr>
        <w:spacing w:before="120" w:after="120"/>
        <w:rPr>
          <w:rFonts w:ascii="Arial" w:hAnsi="Arial" w:cs="Arial"/>
        </w:rPr>
      </w:pPr>
      <w:r>
        <w:rPr>
          <w:rFonts w:ascii="Arial" w:hAnsi="Arial" w:cs="Arial"/>
        </w:rPr>
        <w:t>In addition to these factors, unemployment grew strongly over 2008-09 and the stockmarket fell heavily, most likely as a result of the global financial downturn.  The stockmarket fall would have seen the value of many older Australians assets reduce</w:t>
      </w:r>
      <w:r w:rsidR="00DB073C">
        <w:rPr>
          <w:rFonts w:ascii="Arial" w:hAnsi="Arial" w:cs="Arial"/>
        </w:rPr>
        <w:t xml:space="preserve"> markedly.  This would have further impacted on the number of people becoming eligible for the </w:t>
      </w:r>
      <w:r w:rsidR="00DB073C" w:rsidRPr="00184B46">
        <w:rPr>
          <w:rFonts w:ascii="Arial" w:hAnsi="Arial" w:cs="Arial"/>
        </w:rPr>
        <w:t>Pensioner Concession Card</w:t>
      </w:r>
      <w:r w:rsidR="00DB073C">
        <w:rPr>
          <w:rFonts w:ascii="Arial" w:hAnsi="Arial" w:cs="Arial"/>
        </w:rPr>
        <w:t>.</w:t>
      </w:r>
    </w:p>
    <w:p w:rsidR="00FB1266" w:rsidRDefault="00FB1266">
      <w:pPr>
        <w:spacing w:after="0" w:line="240" w:lineRule="auto"/>
      </w:pPr>
      <w:r>
        <w:br w:type="page"/>
      </w:r>
    </w:p>
    <w:p w:rsidR="009B075E" w:rsidRDefault="00154097" w:rsidP="003F5B67">
      <w:pPr>
        <w:spacing w:before="120" w:after="120"/>
        <w:rPr>
          <w:rFonts w:ascii="Arial" w:hAnsi="Arial" w:cs="Arial"/>
        </w:rPr>
      </w:pPr>
      <w:r>
        <w:lastRenderedPageBreak/>
        <w:fldChar w:fldCharType="begin"/>
      </w:r>
      <w:r>
        <w:instrText xml:space="preserve"> REF _Ref301215124 \h  \* MERGEFORMAT </w:instrText>
      </w:r>
      <w:r>
        <w:fldChar w:fldCharType="separate"/>
      </w:r>
      <w:r w:rsidR="00584343" w:rsidRPr="00A44305">
        <w:rPr>
          <w:rFonts w:ascii="Arial" w:hAnsi="Arial" w:cs="Arial"/>
        </w:rPr>
        <w:t xml:space="preserve">Figure </w:t>
      </w:r>
      <w:r w:rsidR="00584343">
        <w:rPr>
          <w:rFonts w:ascii="Arial" w:hAnsi="Arial" w:cs="Arial"/>
        </w:rPr>
        <w:t>23</w:t>
      </w:r>
      <w:r>
        <w:fldChar w:fldCharType="end"/>
      </w:r>
      <w:r w:rsidR="009B075E" w:rsidRPr="00A44305">
        <w:rPr>
          <w:rFonts w:ascii="Arial" w:hAnsi="Arial" w:cs="Arial"/>
        </w:rPr>
        <w:t xml:space="preserve"> shows trends in number of concessional cardholders by type of concession cards in the time period from 2000 to 201</w:t>
      </w:r>
      <w:r w:rsidR="009B075E">
        <w:rPr>
          <w:rFonts w:ascii="Arial" w:hAnsi="Arial" w:cs="Arial"/>
        </w:rPr>
        <w:t>1</w:t>
      </w:r>
      <w:r w:rsidR="009B075E" w:rsidRPr="00A44305">
        <w:rPr>
          <w:rFonts w:ascii="Arial" w:hAnsi="Arial" w:cs="Arial"/>
        </w:rPr>
        <w:t xml:space="preserve">.  </w:t>
      </w:r>
      <w:r w:rsidR="009B075E">
        <w:rPr>
          <w:rFonts w:ascii="Arial" w:hAnsi="Arial" w:cs="Arial"/>
        </w:rPr>
        <w:t>Overall</w:t>
      </w:r>
      <w:r w:rsidR="009B075E" w:rsidRPr="00A44305">
        <w:rPr>
          <w:rFonts w:ascii="Arial" w:hAnsi="Arial" w:cs="Arial"/>
        </w:rPr>
        <w:t xml:space="preserve"> there has been a steady increase in number of </w:t>
      </w:r>
      <w:r w:rsidR="009B075E">
        <w:rPr>
          <w:rFonts w:ascii="Arial" w:hAnsi="Arial" w:cs="Arial"/>
        </w:rPr>
        <w:t xml:space="preserve">Pensioner Concession Card holders and (low income) Health Care Card since 2007-08.  However, there has been a decline in number of Health Care Card holders in 2010-11 after consecutive increases in the previous </w:t>
      </w:r>
      <w:r w:rsidR="003D27C6">
        <w:rPr>
          <w:rFonts w:ascii="Arial" w:hAnsi="Arial" w:cs="Arial"/>
        </w:rPr>
        <w:t xml:space="preserve">two </w:t>
      </w:r>
      <w:r w:rsidR="009B075E">
        <w:rPr>
          <w:rFonts w:ascii="Arial" w:hAnsi="Arial" w:cs="Arial"/>
        </w:rPr>
        <w:t xml:space="preserve">years.     </w:t>
      </w:r>
    </w:p>
    <w:p w:rsidR="009B075E" w:rsidRPr="00A44305" w:rsidRDefault="009B075E" w:rsidP="003F5B67">
      <w:pPr>
        <w:spacing w:before="120" w:after="120"/>
        <w:rPr>
          <w:rFonts w:ascii="Arial" w:hAnsi="Arial" w:cs="Arial"/>
        </w:rPr>
      </w:pPr>
    </w:p>
    <w:tbl>
      <w:tblPr>
        <w:tblW w:w="0" w:type="auto"/>
        <w:jc w:val="center"/>
        <w:tblLook w:val="0000" w:firstRow="0" w:lastRow="0" w:firstColumn="0" w:lastColumn="0" w:noHBand="0" w:noVBand="0"/>
      </w:tblPr>
      <w:tblGrid>
        <w:gridCol w:w="8676"/>
      </w:tblGrid>
      <w:tr w:rsidR="009B075E" w:rsidRPr="00A44305" w:rsidTr="00EE22BC">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9B075E" w:rsidP="00EE22BC">
            <w:pPr>
              <w:pStyle w:val="Caption"/>
              <w:rPr>
                <w:rFonts w:ascii="Arial" w:hAnsi="Arial" w:cs="Arial"/>
                <w:sz w:val="22"/>
                <w:szCs w:val="22"/>
              </w:rPr>
            </w:pPr>
            <w:bookmarkStart w:id="79" w:name="_Ref301215124"/>
            <w:r w:rsidRPr="00A44305">
              <w:rPr>
                <w:rFonts w:ascii="Arial" w:hAnsi="Arial" w:cs="Arial"/>
                <w:sz w:val="22"/>
                <w:szCs w:val="22"/>
              </w:rPr>
              <w:t xml:space="preserve">Figure </w:t>
            </w:r>
            <w:r w:rsidR="00855AAF" w:rsidRPr="00A44305">
              <w:rPr>
                <w:rFonts w:ascii="Arial" w:hAnsi="Arial" w:cs="Arial"/>
                <w:sz w:val="22"/>
                <w:szCs w:val="22"/>
              </w:rPr>
              <w:fldChar w:fldCharType="begin"/>
            </w:r>
            <w:r w:rsidRPr="00A44305">
              <w:rPr>
                <w:rFonts w:ascii="Arial" w:hAnsi="Arial" w:cs="Arial"/>
                <w:sz w:val="22"/>
                <w:szCs w:val="22"/>
              </w:rPr>
              <w:instrText xml:space="preserve"> SEQ Figure \* ARABIC </w:instrText>
            </w:r>
            <w:r w:rsidR="00855AAF" w:rsidRPr="00A44305">
              <w:rPr>
                <w:rFonts w:ascii="Arial" w:hAnsi="Arial" w:cs="Arial"/>
                <w:sz w:val="22"/>
                <w:szCs w:val="22"/>
              </w:rPr>
              <w:fldChar w:fldCharType="separate"/>
            </w:r>
            <w:r w:rsidR="00584343">
              <w:rPr>
                <w:rFonts w:ascii="Arial" w:hAnsi="Arial" w:cs="Arial"/>
                <w:noProof/>
                <w:sz w:val="22"/>
                <w:szCs w:val="22"/>
              </w:rPr>
              <w:t>23</w:t>
            </w:r>
            <w:r w:rsidR="00855AAF" w:rsidRPr="00A44305">
              <w:rPr>
                <w:rFonts w:ascii="Arial" w:hAnsi="Arial" w:cs="Arial"/>
                <w:sz w:val="22"/>
                <w:szCs w:val="22"/>
              </w:rPr>
              <w:fldChar w:fldCharType="end"/>
            </w:r>
            <w:bookmarkEnd w:id="79"/>
            <w:r w:rsidRPr="00A44305">
              <w:rPr>
                <w:rFonts w:ascii="Arial" w:hAnsi="Arial" w:cs="Arial"/>
                <w:sz w:val="22"/>
                <w:szCs w:val="22"/>
              </w:rPr>
              <w:t xml:space="preserve">: Trends in number of concessional cardholders, by type of cards (,000) </w:t>
            </w:r>
          </w:p>
        </w:tc>
      </w:tr>
      <w:tr w:rsidR="009B075E" w:rsidRPr="00A44305" w:rsidTr="00EE22BC">
        <w:trPr>
          <w:trHeight w:val="4450"/>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A44305" w:rsidRDefault="005E0A95" w:rsidP="00EE22BC">
            <w:pPr>
              <w:tabs>
                <w:tab w:val="left" w:pos="4708"/>
              </w:tabs>
              <w:jc w:val="center"/>
              <w:rPr>
                <w:rFonts w:ascii="Arial" w:hAnsi="Arial" w:cs="Arial"/>
                <w:b/>
                <w:bCs/>
                <w:highlight w:val="yellow"/>
              </w:rPr>
            </w:pPr>
            <w:r>
              <w:rPr>
                <w:rFonts w:ascii="Arial" w:hAnsi="Arial" w:cs="Arial"/>
                <w:b/>
                <w:noProof/>
                <w:lang w:eastAsia="en-AU"/>
              </w:rPr>
              <w:drawing>
                <wp:inline distT="0" distB="0" distL="0" distR="0" wp14:anchorId="00BE17D8" wp14:editId="17A56CB9">
                  <wp:extent cx="4934585" cy="2743200"/>
                  <wp:effectExtent l="0" t="0" r="0" b="0"/>
                  <wp:docPr id="23" name="Picture 23" descr="Trends in number of concessional cardholders, by type of cards (,000) " title="Fig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srcRect t="9595" b="4666"/>
                          <a:stretch>
                            <a:fillRect/>
                          </a:stretch>
                        </pic:blipFill>
                        <pic:spPr bwMode="auto">
                          <a:xfrm>
                            <a:off x="0" y="0"/>
                            <a:ext cx="4934585" cy="2743200"/>
                          </a:xfrm>
                          <a:prstGeom prst="rect">
                            <a:avLst/>
                          </a:prstGeom>
                          <a:noFill/>
                          <a:ln w="9525">
                            <a:noFill/>
                            <a:miter lim="800000"/>
                            <a:headEnd/>
                            <a:tailEnd/>
                          </a:ln>
                        </pic:spPr>
                      </pic:pic>
                    </a:graphicData>
                  </a:graphic>
                </wp:inline>
              </w:drawing>
            </w:r>
          </w:p>
        </w:tc>
      </w:tr>
    </w:tbl>
    <w:p w:rsidR="00452B45" w:rsidRDefault="00452B45">
      <w:pPr>
        <w:spacing w:after="0" w:line="240" w:lineRule="auto"/>
        <w:rPr>
          <w:rFonts w:ascii="Arial" w:hAnsi="Arial" w:cs="Arial"/>
        </w:rPr>
      </w:pPr>
    </w:p>
    <w:p w:rsidR="00452B45" w:rsidRPr="007356D4" w:rsidRDefault="00FB1266" w:rsidP="00452B45">
      <w:pPr>
        <w:shd w:val="clear" w:color="auto" w:fill="FFFFFF"/>
        <w:rPr>
          <w:rFonts w:ascii="Arial" w:eastAsia="Times New Roman" w:hAnsi="Arial" w:cs="Arial"/>
          <w:lang w:val="en" w:eastAsia="en-AU"/>
        </w:rPr>
      </w:pPr>
      <w:r w:rsidRPr="007356D4">
        <w:rPr>
          <w:rFonts w:ascii="Arial" w:hAnsi="Arial" w:cs="Arial"/>
          <w:b/>
        </w:rPr>
        <w:t>Commonwealth Seniors Health Card</w:t>
      </w:r>
      <w:r w:rsidR="00452B45">
        <w:rPr>
          <w:rFonts w:ascii="Arial" w:hAnsi="Arial" w:cs="Arial"/>
        </w:rPr>
        <w:t xml:space="preserve"> </w:t>
      </w:r>
      <w:r w:rsidR="00452B45" w:rsidRPr="00452B45">
        <w:rPr>
          <w:rFonts w:ascii="Arial" w:hAnsi="Arial" w:cs="Arial"/>
        </w:rPr>
        <w:t xml:space="preserve">- </w:t>
      </w:r>
      <w:r w:rsidR="00452B45" w:rsidRPr="007356D4">
        <w:rPr>
          <w:rFonts w:ascii="Arial" w:eastAsia="Times New Roman" w:hAnsi="Arial" w:cs="Arial"/>
          <w:lang w:val="en" w:eastAsia="en-AU"/>
        </w:rPr>
        <w:t>The Commonwealth Seniors Health Card is available to older Australians who are of age pension age</w:t>
      </w:r>
      <w:r w:rsidR="00452B45">
        <w:rPr>
          <w:rFonts w:ascii="Arial" w:eastAsia="Times New Roman" w:hAnsi="Arial" w:cs="Arial"/>
          <w:lang w:val="en" w:eastAsia="en-AU"/>
        </w:rPr>
        <w:t>, satisfy residence and some other requirements</w:t>
      </w:r>
      <w:r w:rsidR="00452B45" w:rsidRPr="007356D4">
        <w:rPr>
          <w:rFonts w:ascii="Arial" w:eastAsia="Times New Roman" w:hAnsi="Arial" w:cs="Arial"/>
          <w:lang w:val="en" w:eastAsia="en-AU"/>
        </w:rPr>
        <w:t xml:space="preserve"> and </w:t>
      </w:r>
      <w:r w:rsidR="00452B45">
        <w:rPr>
          <w:rFonts w:ascii="Arial" w:eastAsia="Times New Roman" w:hAnsi="Arial" w:cs="Arial"/>
          <w:lang w:val="en" w:eastAsia="en-AU"/>
        </w:rPr>
        <w:t xml:space="preserve">are </w:t>
      </w:r>
      <w:r w:rsidR="00452B45" w:rsidRPr="007356D4">
        <w:rPr>
          <w:rFonts w:ascii="Arial" w:eastAsia="Times New Roman" w:hAnsi="Arial" w:cs="Arial"/>
          <w:lang w:val="en" w:eastAsia="en-AU"/>
        </w:rPr>
        <w:t xml:space="preserve">not receiving an income support payment from </w:t>
      </w:r>
      <w:r w:rsidR="00452B45">
        <w:rPr>
          <w:rFonts w:ascii="Arial" w:eastAsia="Times New Roman" w:hAnsi="Arial" w:cs="Arial"/>
          <w:lang w:val="en" w:eastAsia="en-AU"/>
        </w:rPr>
        <w:t>the Department of Human Services</w:t>
      </w:r>
      <w:r w:rsidR="00452B45" w:rsidRPr="007356D4">
        <w:rPr>
          <w:rFonts w:ascii="Arial" w:eastAsia="Times New Roman" w:hAnsi="Arial" w:cs="Arial"/>
          <w:lang w:val="en" w:eastAsia="en-AU"/>
        </w:rPr>
        <w:t xml:space="preserve"> or from the Department of Veterans' Affairs.</w:t>
      </w:r>
    </w:p>
    <w:p w:rsidR="00FB1266" w:rsidRDefault="00FB1266" w:rsidP="007356D4">
      <w:pPr>
        <w:shd w:val="clear" w:color="auto" w:fill="FFFFFF"/>
        <w:rPr>
          <w:rFonts w:ascii="Arial" w:eastAsia="Times New Roman" w:hAnsi="Arial" w:cs="Arial"/>
          <w:lang w:val="en" w:eastAsia="en-AU"/>
        </w:rPr>
      </w:pPr>
      <w:r w:rsidRPr="007356D4">
        <w:rPr>
          <w:rFonts w:ascii="Arial" w:hAnsi="Arial" w:cs="Arial"/>
          <w:b/>
        </w:rPr>
        <w:t>(Low Income) Health Care Card</w:t>
      </w:r>
      <w:r w:rsidR="00452B45">
        <w:rPr>
          <w:rFonts w:ascii="Arial" w:hAnsi="Arial" w:cs="Arial"/>
        </w:rPr>
        <w:t xml:space="preserve"> - </w:t>
      </w:r>
      <w:r w:rsidR="00282B89" w:rsidRPr="007356D4">
        <w:rPr>
          <w:rFonts w:ascii="Arial" w:eastAsia="Times New Roman" w:hAnsi="Arial" w:cs="Arial"/>
          <w:lang w:val="en" w:eastAsia="en-AU"/>
        </w:rPr>
        <w:t xml:space="preserve">A Low Income Health Care Card is available to people with incomes below set levels. An income test applies to average gross income for the eight weeks immediately before </w:t>
      </w:r>
      <w:r w:rsidR="00282B89">
        <w:rPr>
          <w:rFonts w:ascii="Arial" w:eastAsia="Times New Roman" w:hAnsi="Arial" w:cs="Arial"/>
          <w:lang w:val="en" w:eastAsia="en-AU"/>
        </w:rPr>
        <w:t>an application for a new or renewed</w:t>
      </w:r>
      <w:r w:rsidR="00282B89" w:rsidRPr="007356D4">
        <w:rPr>
          <w:rFonts w:ascii="Arial" w:eastAsia="Times New Roman" w:hAnsi="Arial" w:cs="Arial"/>
          <w:lang w:val="en" w:eastAsia="en-AU"/>
        </w:rPr>
        <w:t xml:space="preserve"> card. The card is not subject to an assets test.</w:t>
      </w:r>
    </w:p>
    <w:p w:rsidR="00282B89" w:rsidRPr="00237D6B" w:rsidRDefault="00282B89" w:rsidP="00282B89">
      <w:pPr>
        <w:shd w:val="clear" w:color="auto" w:fill="FFFFFF"/>
        <w:rPr>
          <w:rFonts w:ascii="Arial" w:eastAsia="Times New Roman" w:hAnsi="Arial" w:cs="Arial"/>
          <w:lang w:val="en" w:eastAsia="en-AU"/>
        </w:rPr>
      </w:pPr>
      <w:r w:rsidRPr="00237D6B">
        <w:rPr>
          <w:rFonts w:ascii="Arial" w:hAnsi="Arial" w:cs="Arial"/>
          <w:b/>
        </w:rPr>
        <w:t>Health Care Card</w:t>
      </w:r>
      <w:r>
        <w:rPr>
          <w:rFonts w:ascii="Arial" w:hAnsi="Arial" w:cs="Arial"/>
        </w:rPr>
        <w:t xml:space="preserve"> - </w:t>
      </w:r>
      <w:r w:rsidRPr="00237D6B">
        <w:rPr>
          <w:rFonts w:ascii="Arial" w:eastAsia="Times New Roman" w:hAnsi="Arial" w:cs="Arial"/>
          <w:lang w:val="en" w:eastAsia="en-AU"/>
        </w:rPr>
        <w:t xml:space="preserve">A Health Care Card is available to people residing in Australia </w:t>
      </w:r>
      <w:r>
        <w:rPr>
          <w:rFonts w:ascii="Arial" w:eastAsia="Times New Roman" w:hAnsi="Arial" w:cs="Arial"/>
          <w:lang w:val="en" w:eastAsia="en-AU"/>
        </w:rPr>
        <w:t>and receiving</w:t>
      </w:r>
      <w:r w:rsidRPr="00282B89">
        <w:rPr>
          <w:rFonts w:ascii="Arial" w:eastAsia="Times New Roman" w:hAnsi="Arial" w:cs="Arial"/>
          <w:lang w:val="en" w:eastAsia="en-AU"/>
        </w:rPr>
        <w:t xml:space="preserve"> any of these payments</w:t>
      </w:r>
      <w:r w:rsidR="00C57C6A">
        <w:rPr>
          <w:rFonts w:ascii="Arial" w:eastAsia="Times New Roman" w:hAnsi="Arial" w:cs="Arial"/>
          <w:lang w:val="en" w:eastAsia="en-AU"/>
        </w:rPr>
        <w:t>:</w:t>
      </w:r>
      <w:r>
        <w:rPr>
          <w:rFonts w:ascii="Arial" w:eastAsia="Times New Roman" w:hAnsi="Arial" w:cs="Arial"/>
          <w:lang w:val="en" w:eastAsia="en-AU"/>
        </w:rPr>
        <w:t xml:space="preserve"> </w:t>
      </w:r>
      <w:hyperlink r:id="rId46" w:history="1">
        <w:r w:rsidRPr="00237D6B">
          <w:rPr>
            <w:rFonts w:ascii="Arial" w:eastAsia="Times New Roman" w:hAnsi="Arial" w:cs="Arial"/>
            <w:lang w:eastAsia="en-AU"/>
          </w:rPr>
          <w:t>Newstart Allowance</w:t>
        </w:r>
      </w:hyperlink>
      <w:r>
        <w:rPr>
          <w:rFonts w:ascii="Arial" w:eastAsia="Times New Roman" w:hAnsi="Arial" w:cs="Arial"/>
          <w:lang w:val="en" w:eastAsia="en-AU"/>
        </w:rPr>
        <w:t xml:space="preserve">, </w:t>
      </w:r>
      <w:hyperlink r:id="rId47" w:history="1">
        <w:r w:rsidRPr="00237D6B">
          <w:rPr>
            <w:rFonts w:ascii="Arial" w:eastAsia="Times New Roman" w:hAnsi="Arial" w:cs="Arial"/>
            <w:lang w:eastAsia="en-AU"/>
          </w:rPr>
          <w:t>Sickness Allowance</w:t>
        </w:r>
      </w:hyperlink>
      <w:r>
        <w:rPr>
          <w:rFonts w:ascii="Arial" w:eastAsia="Times New Roman" w:hAnsi="Arial" w:cs="Arial"/>
          <w:lang w:val="en" w:eastAsia="en-AU"/>
        </w:rPr>
        <w:t xml:space="preserve">, </w:t>
      </w:r>
      <w:hyperlink r:id="rId48" w:history="1">
        <w:r w:rsidRPr="00237D6B">
          <w:rPr>
            <w:rFonts w:ascii="Arial" w:eastAsia="Times New Roman" w:hAnsi="Arial" w:cs="Arial"/>
            <w:lang w:eastAsia="en-AU"/>
          </w:rPr>
          <w:t>Youth Allowance</w:t>
        </w:r>
      </w:hyperlink>
      <w:r w:rsidRPr="00237D6B">
        <w:rPr>
          <w:rFonts w:ascii="Arial" w:eastAsia="Times New Roman" w:hAnsi="Arial" w:cs="Arial"/>
          <w:lang w:val="en" w:eastAsia="en-AU"/>
        </w:rPr>
        <w:t xml:space="preserve"> (job seekers only)</w:t>
      </w:r>
      <w:r>
        <w:rPr>
          <w:rFonts w:ascii="Arial" w:eastAsia="Times New Roman" w:hAnsi="Arial" w:cs="Arial"/>
          <w:lang w:val="en" w:eastAsia="en-AU"/>
        </w:rPr>
        <w:t xml:space="preserve">, </w:t>
      </w:r>
      <w:hyperlink r:id="rId49" w:history="1">
        <w:r w:rsidRPr="00237D6B">
          <w:rPr>
            <w:rFonts w:ascii="Arial" w:eastAsia="Times New Roman" w:hAnsi="Arial" w:cs="Arial"/>
            <w:lang w:eastAsia="en-AU"/>
          </w:rPr>
          <w:t>Partner Allowance</w:t>
        </w:r>
      </w:hyperlink>
      <w:r>
        <w:rPr>
          <w:rFonts w:ascii="Arial" w:eastAsia="Times New Roman" w:hAnsi="Arial" w:cs="Arial"/>
          <w:lang w:val="en" w:eastAsia="en-AU"/>
        </w:rPr>
        <w:t xml:space="preserve">, </w:t>
      </w:r>
      <w:r w:rsidRPr="00237D6B">
        <w:rPr>
          <w:rFonts w:ascii="Arial" w:eastAsia="Times New Roman" w:hAnsi="Arial" w:cs="Arial"/>
          <w:lang w:eastAsia="en-AU"/>
        </w:rPr>
        <w:t>Parenting Payment</w:t>
      </w:r>
      <w:r w:rsidRPr="00237D6B">
        <w:rPr>
          <w:rFonts w:ascii="Arial" w:eastAsia="Times New Roman" w:hAnsi="Arial" w:cs="Arial"/>
          <w:lang w:val="en" w:eastAsia="en-AU"/>
        </w:rPr>
        <w:t xml:space="preserve"> (partnered)</w:t>
      </w:r>
      <w:r>
        <w:rPr>
          <w:rFonts w:ascii="Arial" w:eastAsia="Times New Roman" w:hAnsi="Arial" w:cs="Arial"/>
          <w:lang w:val="en" w:eastAsia="en-AU"/>
        </w:rPr>
        <w:t xml:space="preserve">, </w:t>
      </w:r>
      <w:hyperlink r:id="rId50" w:history="1">
        <w:r w:rsidRPr="00237D6B">
          <w:rPr>
            <w:rFonts w:ascii="Arial" w:eastAsia="Times New Roman" w:hAnsi="Arial" w:cs="Arial"/>
            <w:lang w:eastAsia="en-AU"/>
          </w:rPr>
          <w:t>Widow Allowance</w:t>
        </w:r>
      </w:hyperlink>
      <w:r>
        <w:rPr>
          <w:rFonts w:ascii="Arial" w:eastAsia="Times New Roman" w:hAnsi="Arial" w:cs="Arial"/>
          <w:lang w:val="en" w:eastAsia="en-AU"/>
        </w:rPr>
        <w:t xml:space="preserve">, </w:t>
      </w:r>
      <w:hyperlink r:id="rId51" w:history="1">
        <w:r w:rsidRPr="00237D6B">
          <w:rPr>
            <w:rFonts w:ascii="Arial" w:eastAsia="Times New Roman" w:hAnsi="Arial" w:cs="Arial"/>
            <w:lang w:eastAsia="en-AU"/>
          </w:rPr>
          <w:t>Special Benefit</w:t>
        </w:r>
      </w:hyperlink>
      <w:r>
        <w:rPr>
          <w:rFonts w:ascii="Arial" w:eastAsia="Times New Roman" w:hAnsi="Arial" w:cs="Arial"/>
          <w:lang w:val="en" w:eastAsia="en-AU"/>
        </w:rPr>
        <w:t xml:space="preserve">, </w:t>
      </w:r>
      <w:hyperlink r:id="rId52" w:history="1">
        <w:r w:rsidRPr="00237D6B">
          <w:rPr>
            <w:rFonts w:ascii="Arial" w:eastAsia="Times New Roman" w:hAnsi="Arial" w:cs="Arial"/>
            <w:lang w:eastAsia="en-AU"/>
          </w:rPr>
          <w:t>Carer Payment</w:t>
        </w:r>
      </w:hyperlink>
      <w:r w:rsidRPr="00237D6B">
        <w:rPr>
          <w:rFonts w:ascii="Arial" w:eastAsia="Times New Roman" w:hAnsi="Arial" w:cs="Arial"/>
          <w:lang w:val="en" w:eastAsia="en-AU"/>
        </w:rPr>
        <w:t xml:space="preserve"> for short-term or episodic care under six months</w:t>
      </w:r>
      <w:r>
        <w:rPr>
          <w:rFonts w:ascii="Arial" w:eastAsia="Times New Roman" w:hAnsi="Arial" w:cs="Arial"/>
          <w:lang w:val="en" w:eastAsia="en-AU"/>
        </w:rPr>
        <w:t xml:space="preserve">, </w:t>
      </w:r>
      <w:r w:rsidRPr="00237D6B">
        <w:rPr>
          <w:rFonts w:ascii="Arial" w:eastAsia="Times New Roman" w:hAnsi="Arial" w:cs="Arial"/>
          <w:lang w:val="en" w:eastAsia="en-AU"/>
        </w:rPr>
        <w:t>Exceptional Circumstances Relief Payment for farmers</w:t>
      </w:r>
      <w:r>
        <w:rPr>
          <w:rFonts w:ascii="Arial" w:eastAsia="Times New Roman" w:hAnsi="Arial" w:cs="Arial"/>
          <w:lang w:val="en" w:eastAsia="en-AU"/>
        </w:rPr>
        <w:t xml:space="preserve">, </w:t>
      </w:r>
      <w:hyperlink r:id="rId53" w:history="1">
        <w:r w:rsidRPr="00237D6B">
          <w:rPr>
            <w:rFonts w:ascii="Arial" w:eastAsia="Times New Roman" w:hAnsi="Arial" w:cs="Arial"/>
            <w:lang w:eastAsia="en-AU"/>
          </w:rPr>
          <w:t>Family Tax Benefit Part A</w:t>
        </w:r>
      </w:hyperlink>
      <w:r>
        <w:rPr>
          <w:rFonts w:ascii="Arial" w:eastAsia="Times New Roman" w:hAnsi="Arial" w:cs="Arial"/>
          <w:lang w:val="en" w:eastAsia="en-AU"/>
        </w:rPr>
        <w:t xml:space="preserve">, </w:t>
      </w:r>
      <w:r w:rsidRPr="00237D6B">
        <w:rPr>
          <w:rFonts w:ascii="Arial" w:eastAsia="Times New Roman" w:hAnsi="Arial" w:cs="Arial"/>
          <w:lang w:val="en" w:eastAsia="en-AU"/>
        </w:rPr>
        <w:t xml:space="preserve"> (maximum rate only)</w:t>
      </w:r>
      <w:r>
        <w:rPr>
          <w:rFonts w:ascii="Arial" w:eastAsia="Times New Roman" w:hAnsi="Arial" w:cs="Arial"/>
          <w:lang w:val="en" w:eastAsia="en-AU"/>
        </w:rPr>
        <w:t xml:space="preserve">, </w:t>
      </w:r>
      <w:hyperlink r:id="rId54" w:history="1">
        <w:r w:rsidRPr="00237D6B">
          <w:rPr>
            <w:rFonts w:ascii="Arial" w:eastAsia="Times New Roman" w:hAnsi="Arial" w:cs="Arial"/>
            <w:lang w:eastAsia="en-AU"/>
          </w:rPr>
          <w:t>Mobility Allowance</w:t>
        </w:r>
      </w:hyperlink>
      <w:r w:rsidRPr="00237D6B">
        <w:rPr>
          <w:rFonts w:ascii="Arial" w:eastAsia="Times New Roman" w:hAnsi="Arial" w:cs="Arial"/>
          <w:lang w:val="en" w:eastAsia="en-AU"/>
        </w:rPr>
        <w:t xml:space="preserve"> (</w:t>
      </w:r>
      <w:r>
        <w:rPr>
          <w:rFonts w:ascii="Arial" w:eastAsia="Times New Roman" w:hAnsi="Arial" w:cs="Arial"/>
          <w:lang w:val="en" w:eastAsia="en-AU"/>
        </w:rPr>
        <w:t xml:space="preserve">for persons </w:t>
      </w:r>
      <w:r w:rsidRPr="00237D6B">
        <w:rPr>
          <w:rFonts w:ascii="Arial" w:eastAsia="Times New Roman" w:hAnsi="Arial" w:cs="Arial"/>
          <w:lang w:val="en" w:eastAsia="en-AU"/>
        </w:rPr>
        <w:t xml:space="preserve">not receiving </w:t>
      </w:r>
      <w:hyperlink r:id="rId55" w:history="1">
        <w:r w:rsidRPr="00237D6B">
          <w:rPr>
            <w:rFonts w:ascii="Arial" w:eastAsia="Times New Roman" w:hAnsi="Arial" w:cs="Arial"/>
            <w:lang w:eastAsia="en-AU"/>
          </w:rPr>
          <w:t>Disability Support Pension</w:t>
        </w:r>
      </w:hyperlink>
      <w:r>
        <w:rPr>
          <w:rFonts w:ascii="Arial" w:eastAsia="Times New Roman" w:hAnsi="Arial" w:cs="Arial"/>
          <w:lang w:val="en" w:eastAsia="en-AU"/>
        </w:rPr>
        <w:t xml:space="preserve">), </w:t>
      </w:r>
      <w:hyperlink r:id="rId56" w:history="1">
        <w:r w:rsidRPr="00237D6B">
          <w:rPr>
            <w:rFonts w:ascii="Arial" w:eastAsia="Times New Roman" w:hAnsi="Arial" w:cs="Arial"/>
            <w:lang w:eastAsia="en-AU"/>
          </w:rPr>
          <w:t>Carer Allowance (caring for a child under 16 years)</w:t>
        </w:r>
      </w:hyperlink>
    </w:p>
    <w:p w:rsidR="00C57C6A" w:rsidRPr="007356D4" w:rsidRDefault="00FB1266" w:rsidP="007356D4">
      <w:pPr>
        <w:pStyle w:val="NormalWeb"/>
        <w:shd w:val="clear" w:color="auto" w:fill="FFFFFF"/>
        <w:spacing w:line="276" w:lineRule="auto"/>
        <w:rPr>
          <w:rFonts w:ascii="Arial" w:hAnsi="Arial" w:cs="Arial"/>
          <w:lang w:val="en"/>
        </w:rPr>
      </w:pPr>
      <w:r w:rsidRPr="007356D4">
        <w:rPr>
          <w:rFonts w:ascii="Arial" w:hAnsi="Arial" w:cs="Arial"/>
          <w:b/>
          <w:sz w:val="22"/>
          <w:szCs w:val="22"/>
        </w:rPr>
        <w:t>Pensioner Concession Card</w:t>
      </w:r>
      <w:r w:rsidR="00C57C6A" w:rsidRPr="007356D4">
        <w:rPr>
          <w:rFonts w:ascii="Arial" w:hAnsi="Arial" w:cs="Arial"/>
          <w:sz w:val="22"/>
          <w:szCs w:val="22"/>
        </w:rPr>
        <w:t xml:space="preserve"> - </w:t>
      </w:r>
      <w:r w:rsidR="00C57C6A">
        <w:rPr>
          <w:rFonts w:ascii="Arial" w:hAnsi="Arial" w:cs="Arial"/>
          <w:sz w:val="22"/>
          <w:szCs w:val="22"/>
          <w:lang w:val="en"/>
        </w:rPr>
        <w:t>A</w:t>
      </w:r>
      <w:r w:rsidR="00C57C6A" w:rsidRPr="007356D4">
        <w:rPr>
          <w:rFonts w:ascii="Arial" w:hAnsi="Arial" w:cs="Arial"/>
          <w:sz w:val="22"/>
          <w:szCs w:val="22"/>
          <w:lang w:val="en"/>
        </w:rPr>
        <w:t xml:space="preserve"> Pensioner Concession Card </w:t>
      </w:r>
      <w:r w:rsidR="00C57C6A">
        <w:rPr>
          <w:rFonts w:ascii="Arial" w:hAnsi="Arial" w:cs="Arial"/>
          <w:sz w:val="22"/>
          <w:szCs w:val="22"/>
          <w:lang w:val="en"/>
        </w:rPr>
        <w:t>is available to people in receipt of</w:t>
      </w:r>
      <w:r w:rsidR="00C57C6A" w:rsidRPr="007356D4">
        <w:rPr>
          <w:rFonts w:ascii="Arial" w:hAnsi="Arial" w:cs="Arial"/>
          <w:sz w:val="22"/>
          <w:szCs w:val="22"/>
          <w:lang w:val="en"/>
        </w:rPr>
        <w:t xml:space="preserve"> any of the following income-support payments:</w:t>
      </w:r>
      <w:r w:rsidR="00C57C6A">
        <w:rPr>
          <w:rFonts w:ascii="Arial" w:hAnsi="Arial" w:cs="Arial"/>
          <w:sz w:val="22"/>
          <w:szCs w:val="22"/>
          <w:lang w:val="en"/>
        </w:rPr>
        <w:t xml:space="preserve"> </w:t>
      </w:r>
      <w:r w:rsidR="00C57C6A" w:rsidRPr="007356D4">
        <w:rPr>
          <w:rFonts w:ascii="Arial" w:hAnsi="Arial" w:cs="Arial"/>
          <w:sz w:val="22"/>
          <w:szCs w:val="22"/>
          <w:lang w:val="en"/>
        </w:rPr>
        <w:t>Age Pension</w:t>
      </w:r>
      <w:r w:rsidR="00C57C6A">
        <w:rPr>
          <w:rFonts w:ascii="Arial" w:hAnsi="Arial" w:cs="Arial"/>
          <w:sz w:val="22"/>
          <w:szCs w:val="22"/>
          <w:lang w:val="en"/>
        </w:rPr>
        <w:t xml:space="preserve">, </w:t>
      </w:r>
      <w:r w:rsidR="00C57C6A" w:rsidRPr="007356D4">
        <w:rPr>
          <w:rFonts w:ascii="Arial" w:hAnsi="Arial" w:cs="Arial"/>
          <w:sz w:val="22"/>
          <w:szCs w:val="22"/>
          <w:lang w:val="en"/>
        </w:rPr>
        <w:t>Bereavement Allowance</w:t>
      </w:r>
      <w:r w:rsidR="00C57C6A">
        <w:rPr>
          <w:rFonts w:ascii="Arial" w:hAnsi="Arial" w:cs="Arial"/>
          <w:sz w:val="22"/>
          <w:szCs w:val="22"/>
          <w:lang w:val="en"/>
        </w:rPr>
        <w:t xml:space="preserve">, </w:t>
      </w:r>
      <w:r w:rsidR="00C57C6A" w:rsidRPr="007356D4">
        <w:rPr>
          <w:rFonts w:ascii="Arial" w:hAnsi="Arial" w:cs="Arial"/>
          <w:sz w:val="22"/>
          <w:szCs w:val="22"/>
          <w:lang w:val="en"/>
        </w:rPr>
        <w:t>Carer Payment</w:t>
      </w:r>
      <w:r w:rsidR="00C57C6A">
        <w:rPr>
          <w:rFonts w:ascii="Arial" w:hAnsi="Arial" w:cs="Arial"/>
          <w:sz w:val="22"/>
          <w:szCs w:val="22"/>
          <w:lang w:val="en"/>
        </w:rPr>
        <w:t xml:space="preserve">, </w:t>
      </w:r>
      <w:r w:rsidR="00C57C6A" w:rsidRPr="007356D4">
        <w:rPr>
          <w:rFonts w:ascii="Arial" w:hAnsi="Arial" w:cs="Arial"/>
          <w:sz w:val="22"/>
          <w:szCs w:val="22"/>
          <w:lang w:val="en"/>
        </w:rPr>
        <w:t>Disability Support Pension</w:t>
      </w:r>
      <w:r w:rsidR="00C57C6A">
        <w:rPr>
          <w:rFonts w:ascii="Arial" w:hAnsi="Arial" w:cs="Arial"/>
          <w:sz w:val="22"/>
          <w:szCs w:val="22"/>
          <w:lang w:val="en"/>
        </w:rPr>
        <w:t xml:space="preserve">, </w:t>
      </w:r>
      <w:r w:rsidR="00C57C6A" w:rsidRPr="007356D4">
        <w:rPr>
          <w:rFonts w:ascii="Arial" w:hAnsi="Arial" w:cs="Arial"/>
          <w:sz w:val="22"/>
          <w:szCs w:val="22"/>
          <w:lang w:val="en"/>
        </w:rPr>
        <w:t xml:space="preserve">Newstart Allowance </w:t>
      </w:r>
      <w:r w:rsidR="00C57C6A" w:rsidRPr="00C57C6A">
        <w:rPr>
          <w:rFonts w:ascii="Arial" w:hAnsi="Arial" w:cs="Arial"/>
          <w:sz w:val="22"/>
          <w:szCs w:val="22"/>
          <w:lang w:val="en"/>
        </w:rPr>
        <w:t>or Youth Allowance (job seeker)</w:t>
      </w:r>
      <w:r w:rsidR="00C57C6A">
        <w:rPr>
          <w:rFonts w:ascii="Arial" w:hAnsi="Arial" w:cs="Arial"/>
          <w:sz w:val="22"/>
          <w:szCs w:val="22"/>
          <w:lang w:val="en"/>
        </w:rPr>
        <w:t xml:space="preserve">, </w:t>
      </w:r>
      <w:r w:rsidR="00C57C6A" w:rsidRPr="007356D4">
        <w:rPr>
          <w:rFonts w:ascii="Arial" w:hAnsi="Arial" w:cs="Arial"/>
          <w:sz w:val="22"/>
          <w:szCs w:val="22"/>
          <w:lang w:val="en"/>
        </w:rPr>
        <w:t>Parenting Payment (single)</w:t>
      </w:r>
      <w:r w:rsidR="00C57C6A">
        <w:rPr>
          <w:rFonts w:ascii="Arial" w:hAnsi="Arial" w:cs="Arial"/>
          <w:sz w:val="22"/>
          <w:szCs w:val="22"/>
          <w:lang w:val="en"/>
        </w:rPr>
        <w:t>.  A</w:t>
      </w:r>
      <w:r w:rsidR="00C57C6A" w:rsidRPr="007356D4">
        <w:rPr>
          <w:rFonts w:ascii="Arial" w:hAnsi="Arial" w:cs="Arial"/>
          <w:sz w:val="22"/>
          <w:szCs w:val="22"/>
          <w:lang w:val="en"/>
        </w:rPr>
        <w:t xml:space="preserve"> Pensioner Concession Card </w:t>
      </w:r>
      <w:r w:rsidR="00C57C6A">
        <w:rPr>
          <w:rFonts w:ascii="Arial" w:hAnsi="Arial" w:cs="Arial"/>
          <w:sz w:val="22"/>
          <w:szCs w:val="22"/>
          <w:lang w:val="en"/>
        </w:rPr>
        <w:t>is also available to people who</w:t>
      </w:r>
      <w:r w:rsidR="00C57C6A" w:rsidRPr="007356D4">
        <w:rPr>
          <w:rFonts w:ascii="Arial" w:hAnsi="Arial" w:cs="Arial"/>
          <w:sz w:val="22"/>
          <w:szCs w:val="22"/>
          <w:lang w:val="en"/>
        </w:rPr>
        <w:t xml:space="preserve"> are aged over 60 and have been receiving other certain income-support payments for nine months or more.</w:t>
      </w:r>
      <w:r w:rsidR="00C57C6A">
        <w:rPr>
          <w:rFonts w:ascii="Arial" w:hAnsi="Arial" w:cs="Arial"/>
          <w:sz w:val="22"/>
          <w:szCs w:val="22"/>
          <w:lang w:val="en"/>
        </w:rPr>
        <w:t xml:space="preserve">  </w:t>
      </w:r>
      <w:r w:rsidR="00C57C6A" w:rsidRPr="007356D4">
        <w:rPr>
          <w:rFonts w:ascii="Arial" w:hAnsi="Arial" w:cs="Arial"/>
          <w:sz w:val="22"/>
          <w:szCs w:val="22"/>
          <w:lang w:val="en"/>
        </w:rPr>
        <w:t xml:space="preserve">A Pensioner Concession Card may also be </w:t>
      </w:r>
      <w:r w:rsidR="00C57C6A">
        <w:rPr>
          <w:rFonts w:ascii="Arial" w:hAnsi="Arial" w:cs="Arial"/>
          <w:sz w:val="22"/>
          <w:szCs w:val="22"/>
          <w:lang w:val="en"/>
        </w:rPr>
        <w:lastRenderedPageBreak/>
        <w:t>available for people who</w:t>
      </w:r>
      <w:r w:rsidR="00C57C6A" w:rsidRPr="007356D4">
        <w:rPr>
          <w:rFonts w:ascii="Arial" w:hAnsi="Arial" w:cs="Arial"/>
          <w:sz w:val="22"/>
          <w:szCs w:val="22"/>
          <w:lang w:val="en"/>
        </w:rPr>
        <w:t xml:space="preserve"> are receiving other income support payments and have a partial capacity to work because of a medical condition.</w:t>
      </w:r>
    </w:p>
    <w:p w:rsidR="006E7ADC" w:rsidRDefault="006E7ADC">
      <w:pPr>
        <w:spacing w:after="0" w:line="240" w:lineRule="auto"/>
        <w:rPr>
          <w:rFonts w:ascii="Arial" w:eastAsia="Times New Roman" w:hAnsi="Arial" w:cs="Arial"/>
          <w:b/>
          <w:bCs/>
          <w:color w:val="365F91"/>
          <w:sz w:val="24"/>
          <w:szCs w:val="24"/>
        </w:rPr>
      </w:pPr>
      <w:r>
        <w:rPr>
          <w:rFonts w:ascii="Arial" w:hAnsi="Arial" w:cs="Arial"/>
          <w:sz w:val="24"/>
          <w:szCs w:val="24"/>
        </w:rPr>
        <w:br w:type="page"/>
      </w:r>
    </w:p>
    <w:p w:rsidR="009B075E" w:rsidRPr="002F709C" w:rsidRDefault="009B075E" w:rsidP="002F709C">
      <w:pPr>
        <w:pStyle w:val="Heading1"/>
        <w:rPr>
          <w:rFonts w:ascii="Arial" w:hAnsi="Arial" w:cs="Arial"/>
          <w:sz w:val="24"/>
          <w:szCs w:val="24"/>
        </w:rPr>
      </w:pPr>
      <w:bookmarkStart w:id="80" w:name="_Toc357174844"/>
      <w:r w:rsidRPr="002F709C">
        <w:rPr>
          <w:rFonts w:ascii="Arial" w:hAnsi="Arial" w:cs="Arial"/>
          <w:sz w:val="24"/>
          <w:szCs w:val="24"/>
        </w:rPr>
        <w:lastRenderedPageBreak/>
        <w:t>Highly Specialised Drugs</w:t>
      </w:r>
      <w:r w:rsidR="009C78CB" w:rsidRPr="002F709C">
        <w:rPr>
          <w:rStyle w:val="FootnoteReference"/>
          <w:rFonts w:ascii="Arial" w:hAnsi="Arial" w:cs="Arial"/>
          <w:b w:val="0"/>
          <w:bCs w:val="0"/>
          <w:sz w:val="24"/>
          <w:szCs w:val="24"/>
        </w:rPr>
        <w:footnoteReference w:id="31"/>
      </w:r>
      <w:r w:rsidRPr="002F709C">
        <w:rPr>
          <w:rFonts w:ascii="Arial" w:hAnsi="Arial" w:cs="Arial"/>
          <w:sz w:val="24"/>
          <w:szCs w:val="24"/>
        </w:rPr>
        <w:t xml:space="preserve"> (HSD) Program - General Trends (2006-2011)</w:t>
      </w:r>
      <w:bookmarkEnd w:id="80"/>
    </w:p>
    <w:p w:rsidR="009B075E" w:rsidRPr="000123F8" w:rsidRDefault="009B075E" w:rsidP="00A86E78">
      <w:pPr>
        <w:spacing w:before="120" w:after="120" w:line="240" w:lineRule="auto"/>
        <w:rPr>
          <w:rFonts w:ascii="Arial" w:hAnsi="Arial" w:cs="Arial"/>
          <w:b/>
          <w:bCs/>
        </w:rPr>
      </w:pPr>
      <w:r w:rsidRPr="0099194B">
        <w:rPr>
          <w:rFonts w:ascii="Arial" w:hAnsi="Arial" w:cs="Arial"/>
        </w:rPr>
        <w:t>(reference Appendix :</w:t>
      </w:r>
      <w:r>
        <w:rPr>
          <w:rFonts w:ascii="Arial" w:hAnsi="Arial" w:cs="Arial"/>
        </w:rPr>
        <w:t xml:space="preserve"> </w:t>
      </w:r>
      <w:r w:rsidR="00855AAF">
        <w:rPr>
          <w:rFonts w:ascii="Arial" w:hAnsi="Arial" w:cs="Arial"/>
        </w:rPr>
        <w:fldChar w:fldCharType="begin"/>
      </w:r>
      <w:r w:rsidR="00A86E78">
        <w:rPr>
          <w:rFonts w:ascii="Arial" w:hAnsi="Arial" w:cs="Arial"/>
        </w:rPr>
        <w:instrText xml:space="preserve"> REF _Ref337032245 \h </w:instrText>
      </w:r>
      <w:r w:rsidR="00855AAF">
        <w:rPr>
          <w:rFonts w:ascii="Arial" w:hAnsi="Arial" w:cs="Arial"/>
        </w:rPr>
      </w:r>
      <w:r w:rsidR="00855AAF">
        <w:rPr>
          <w:rFonts w:ascii="Arial" w:hAnsi="Arial" w:cs="Arial"/>
        </w:rPr>
        <w:fldChar w:fldCharType="separate"/>
      </w:r>
      <w:r w:rsidR="00584343" w:rsidRPr="00B71ED4">
        <w:rPr>
          <w:rFonts w:ascii="Arial" w:hAnsi="Arial" w:cs="Arial"/>
        </w:rPr>
        <w:t xml:space="preserve">Table </w:t>
      </w:r>
      <w:r w:rsidR="00584343">
        <w:rPr>
          <w:rFonts w:ascii="Arial" w:hAnsi="Arial" w:cs="Arial"/>
          <w:noProof/>
        </w:rPr>
        <w:t>24</w:t>
      </w:r>
      <w:r w:rsidR="00855AAF">
        <w:rPr>
          <w:rFonts w:ascii="Arial" w:hAnsi="Arial" w:cs="Arial"/>
        </w:rPr>
        <w:fldChar w:fldCharType="end"/>
      </w:r>
      <w:r w:rsidR="00A86E78">
        <w:rPr>
          <w:rFonts w:ascii="Arial" w:hAnsi="Arial" w:cs="Arial"/>
        </w:rPr>
        <w:t xml:space="preserve">, </w:t>
      </w:r>
      <w:r w:rsidR="00855AAF">
        <w:rPr>
          <w:rFonts w:ascii="Arial" w:hAnsi="Arial" w:cs="Arial"/>
        </w:rPr>
        <w:fldChar w:fldCharType="begin"/>
      </w:r>
      <w:r w:rsidR="00A86E78">
        <w:rPr>
          <w:rFonts w:ascii="Arial" w:hAnsi="Arial" w:cs="Arial"/>
        </w:rPr>
        <w:instrText xml:space="preserve"> REF _Ref318378855 \h </w:instrText>
      </w:r>
      <w:r w:rsidR="00855AAF">
        <w:rPr>
          <w:rFonts w:ascii="Arial" w:hAnsi="Arial" w:cs="Arial"/>
        </w:rPr>
      </w:r>
      <w:r w:rsidR="00855AAF">
        <w:rPr>
          <w:rFonts w:ascii="Arial" w:hAnsi="Arial" w:cs="Arial"/>
        </w:rPr>
        <w:fldChar w:fldCharType="separate"/>
      </w:r>
      <w:r w:rsidR="00584343" w:rsidRPr="00B71ED4">
        <w:rPr>
          <w:rFonts w:ascii="Arial" w:hAnsi="Arial" w:cs="Arial"/>
        </w:rPr>
        <w:t xml:space="preserve">Table </w:t>
      </w:r>
      <w:r w:rsidR="00584343">
        <w:rPr>
          <w:rFonts w:ascii="Arial" w:hAnsi="Arial" w:cs="Arial"/>
          <w:noProof/>
        </w:rPr>
        <w:t>25</w:t>
      </w:r>
      <w:r w:rsidR="00855AAF">
        <w:rPr>
          <w:rFonts w:ascii="Arial" w:hAnsi="Arial" w:cs="Arial"/>
        </w:rPr>
        <w:fldChar w:fldCharType="end"/>
      </w:r>
      <w:r w:rsidR="00A86E78">
        <w:rPr>
          <w:rFonts w:ascii="Arial" w:hAnsi="Arial" w:cs="Arial"/>
        </w:rPr>
        <w:t xml:space="preserve"> and </w:t>
      </w:r>
      <w:r w:rsidR="00855AAF">
        <w:rPr>
          <w:rFonts w:ascii="Arial" w:hAnsi="Arial" w:cs="Arial"/>
        </w:rPr>
        <w:fldChar w:fldCharType="begin"/>
      </w:r>
      <w:r w:rsidR="00A86E78">
        <w:rPr>
          <w:rFonts w:ascii="Arial" w:hAnsi="Arial" w:cs="Arial"/>
        </w:rPr>
        <w:instrText xml:space="preserve"> REF _Ref318378860 \h </w:instrText>
      </w:r>
      <w:r w:rsidR="00855AAF">
        <w:rPr>
          <w:rFonts w:ascii="Arial" w:hAnsi="Arial" w:cs="Arial"/>
        </w:rPr>
      </w:r>
      <w:r w:rsidR="00855AAF">
        <w:rPr>
          <w:rFonts w:ascii="Arial" w:hAnsi="Arial" w:cs="Arial"/>
        </w:rPr>
        <w:fldChar w:fldCharType="separate"/>
      </w:r>
      <w:r w:rsidR="00584343" w:rsidRPr="00B71ED4">
        <w:rPr>
          <w:rFonts w:ascii="Arial" w:hAnsi="Arial" w:cs="Arial"/>
        </w:rPr>
        <w:t xml:space="preserve">Table </w:t>
      </w:r>
      <w:r w:rsidR="00584343">
        <w:rPr>
          <w:rFonts w:ascii="Arial" w:hAnsi="Arial" w:cs="Arial"/>
          <w:noProof/>
        </w:rPr>
        <w:t>26</w:t>
      </w:r>
      <w:r w:rsidR="00855AAF">
        <w:rPr>
          <w:rFonts w:ascii="Arial" w:hAnsi="Arial" w:cs="Arial"/>
        </w:rPr>
        <w:fldChar w:fldCharType="end"/>
      </w:r>
      <w:r w:rsidR="00A86E78">
        <w:rPr>
          <w:rFonts w:ascii="Arial" w:hAnsi="Arial" w:cs="Arial"/>
        </w:rPr>
        <w:t>)</w:t>
      </w:r>
    </w:p>
    <w:p w:rsidR="009B075E" w:rsidRPr="00400B66" w:rsidRDefault="009B075E" w:rsidP="00400B66">
      <w:pPr>
        <w:spacing w:before="60" w:after="60"/>
        <w:rPr>
          <w:rFonts w:ascii="Arial" w:hAnsi="Arial" w:cs="Arial"/>
        </w:rPr>
      </w:pPr>
      <w:r w:rsidRPr="00400B66">
        <w:rPr>
          <w:rFonts w:ascii="Arial" w:hAnsi="Arial" w:cs="Arial"/>
        </w:rPr>
        <w:t>The HSD program has grown from</w:t>
      </w:r>
      <w:r>
        <w:rPr>
          <w:rFonts w:ascii="Arial" w:hAnsi="Arial" w:cs="Arial"/>
        </w:rPr>
        <w:t xml:space="preserve"> expenditure of</w:t>
      </w:r>
      <w:r w:rsidRPr="00400B66">
        <w:rPr>
          <w:rFonts w:ascii="Arial" w:hAnsi="Arial" w:cs="Arial"/>
        </w:rPr>
        <w:t xml:space="preserve"> just over $600 million dollars in 2006-07 to over a billion dollars in 2010-11</w:t>
      </w:r>
      <w:r w:rsidRPr="00400B66">
        <w:rPr>
          <w:rStyle w:val="FootnoteReference"/>
          <w:rFonts w:ascii="Arial" w:hAnsi="Arial" w:cs="Arial"/>
        </w:rPr>
        <w:footnoteReference w:id="32"/>
      </w:r>
      <w:r w:rsidRPr="00400B66">
        <w:rPr>
          <w:rFonts w:ascii="Arial" w:hAnsi="Arial" w:cs="Arial"/>
        </w:rPr>
        <w:t xml:space="preserve">.  As shown in </w:t>
      </w:r>
      <w:r w:rsidR="00154097">
        <w:fldChar w:fldCharType="begin"/>
      </w:r>
      <w:r w:rsidR="00154097">
        <w:instrText xml:space="preserve"> REF _Ref311375411 \h  \* MERGEFORMAT </w:instrText>
      </w:r>
      <w:r w:rsidR="00154097">
        <w:fldChar w:fldCharType="separate"/>
      </w:r>
      <w:r w:rsidR="00584343" w:rsidRPr="00B410C8">
        <w:rPr>
          <w:rFonts w:ascii="Arial" w:hAnsi="Arial" w:cs="Arial"/>
        </w:rPr>
        <w:t xml:space="preserve">Figure </w:t>
      </w:r>
      <w:r w:rsidR="00584343">
        <w:rPr>
          <w:rFonts w:ascii="Arial" w:hAnsi="Arial" w:cs="Arial"/>
          <w:noProof/>
        </w:rPr>
        <w:t>24</w:t>
      </w:r>
      <w:r w:rsidR="00154097">
        <w:fldChar w:fldCharType="end"/>
      </w:r>
      <w:r w:rsidRPr="00400B66">
        <w:rPr>
          <w:rFonts w:ascii="Arial" w:hAnsi="Arial" w:cs="Arial"/>
        </w:rPr>
        <w:t xml:space="preserve">, the majority of the expenditure on the HSD program </w:t>
      </w:r>
      <w:r>
        <w:rPr>
          <w:rFonts w:ascii="Arial" w:hAnsi="Arial" w:cs="Arial"/>
        </w:rPr>
        <w:t xml:space="preserve">is through </w:t>
      </w:r>
      <w:r w:rsidR="006530A5">
        <w:rPr>
          <w:rFonts w:ascii="Arial" w:hAnsi="Arial" w:cs="Arial"/>
        </w:rPr>
        <w:t>p</w:t>
      </w:r>
      <w:r w:rsidR="006530A5" w:rsidRPr="00400B66">
        <w:rPr>
          <w:rFonts w:ascii="Arial" w:hAnsi="Arial" w:cs="Arial"/>
        </w:rPr>
        <w:t xml:space="preserve">ublic </w:t>
      </w:r>
      <w:r w:rsidRPr="00400B66">
        <w:rPr>
          <w:rFonts w:ascii="Arial" w:hAnsi="Arial" w:cs="Arial"/>
        </w:rPr>
        <w:t xml:space="preserve">hospitals (73%-78%).  This trend is consistent across the time period analysed (2006-2011).  </w:t>
      </w:r>
    </w:p>
    <w:tbl>
      <w:tblPr>
        <w:tblW w:w="5000" w:type="pct"/>
        <w:jc w:val="center"/>
        <w:tblLook w:val="0000" w:firstRow="0" w:lastRow="0" w:firstColumn="0" w:lastColumn="0" w:noHBand="0" w:noVBand="0"/>
      </w:tblPr>
      <w:tblGrid>
        <w:gridCol w:w="9242"/>
      </w:tblGrid>
      <w:tr w:rsidR="009B075E" w:rsidRPr="00B410C8" w:rsidTr="006C58D6">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9B075E" w:rsidRPr="00B410C8" w:rsidRDefault="009B075E" w:rsidP="00521975">
            <w:pPr>
              <w:pStyle w:val="Caption"/>
              <w:keepNext w:val="0"/>
              <w:rPr>
                <w:rFonts w:ascii="Arial" w:hAnsi="Arial" w:cs="Arial"/>
                <w:sz w:val="22"/>
                <w:szCs w:val="22"/>
              </w:rPr>
            </w:pPr>
            <w:bookmarkStart w:id="81" w:name="_Ref311375411"/>
            <w:bookmarkStart w:id="82" w:name="_Ref311375400"/>
            <w:r w:rsidRPr="00B410C8">
              <w:rPr>
                <w:rFonts w:ascii="Arial" w:hAnsi="Arial" w:cs="Arial"/>
                <w:sz w:val="22"/>
                <w:szCs w:val="22"/>
              </w:rPr>
              <w:t xml:space="preserve">Figure </w:t>
            </w:r>
            <w:r w:rsidR="00855AAF" w:rsidRPr="00B410C8">
              <w:rPr>
                <w:rFonts w:ascii="Arial" w:hAnsi="Arial" w:cs="Arial"/>
                <w:sz w:val="22"/>
                <w:szCs w:val="22"/>
              </w:rPr>
              <w:fldChar w:fldCharType="begin"/>
            </w:r>
            <w:r w:rsidRPr="00B410C8">
              <w:rPr>
                <w:rFonts w:ascii="Arial" w:hAnsi="Arial" w:cs="Arial"/>
                <w:sz w:val="22"/>
                <w:szCs w:val="22"/>
              </w:rPr>
              <w:instrText xml:space="preserve"> SEQ Figure \* ARABIC </w:instrText>
            </w:r>
            <w:r w:rsidR="00855AAF" w:rsidRPr="00B410C8">
              <w:rPr>
                <w:rFonts w:ascii="Arial" w:hAnsi="Arial" w:cs="Arial"/>
                <w:sz w:val="22"/>
                <w:szCs w:val="22"/>
              </w:rPr>
              <w:fldChar w:fldCharType="separate"/>
            </w:r>
            <w:r w:rsidR="00584343">
              <w:rPr>
                <w:rFonts w:ascii="Arial" w:hAnsi="Arial" w:cs="Arial"/>
                <w:noProof/>
                <w:sz w:val="22"/>
                <w:szCs w:val="22"/>
              </w:rPr>
              <w:t>24</w:t>
            </w:r>
            <w:r w:rsidR="00855AAF" w:rsidRPr="00B410C8">
              <w:rPr>
                <w:rFonts w:ascii="Arial" w:hAnsi="Arial" w:cs="Arial"/>
                <w:sz w:val="22"/>
                <w:szCs w:val="22"/>
              </w:rPr>
              <w:fldChar w:fldCharType="end"/>
            </w:r>
            <w:bookmarkEnd w:id="81"/>
            <w:r w:rsidRPr="00B410C8">
              <w:rPr>
                <w:rFonts w:ascii="Arial" w:hAnsi="Arial" w:cs="Arial"/>
                <w:sz w:val="22"/>
                <w:szCs w:val="22"/>
              </w:rPr>
              <w:t>: Expenditure on Highly Specialised Drugs Program in hospitals</w:t>
            </w:r>
            <w:bookmarkEnd w:id="82"/>
            <w:r w:rsidRPr="00B410C8">
              <w:rPr>
                <w:rFonts w:ascii="Arial" w:hAnsi="Arial" w:cs="Arial"/>
                <w:sz w:val="22"/>
                <w:szCs w:val="22"/>
              </w:rPr>
              <w:t xml:space="preserve"> </w:t>
            </w:r>
          </w:p>
        </w:tc>
      </w:tr>
      <w:tr w:rsidR="009B075E" w:rsidRPr="00DA1F5B" w:rsidTr="006C58D6">
        <w:trPr>
          <w:trHeight w:val="4510"/>
          <w:jc w:val="center"/>
        </w:trPr>
        <w:tc>
          <w:tcPr>
            <w:tcW w:w="5000" w:type="pct"/>
            <w:tcBorders>
              <w:top w:val="single" w:sz="4" w:space="0" w:color="auto"/>
              <w:left w:val="single" w:sz="4" w:space="0" w:color="auto"/>
              <w:bottom w:val="single" w:sz="4" w:space="0" w:color="auto"/>
              <w:right w:val="single" w:sz="4" w:space="0" w:color="auto"/>
            </w:tcBorders>
            <w:vAlign w:val="center"/>
          </w:tcPr>
          <w:p w:rsidR="009B075E" w:rsidRPr="00B410C8" w:rsidRDefault="005E0A95" w:rsidP="00521975">
            <w:pPr>
              <w:tabs>
                <w:tab w:val="left" w:pos="4708"/>
              </w:tabs>
              <w:jc w:val="center"/>
              <w:rPr>
                <w:rFonts w:ascii="Arial" w:hAnsi="Arial" w:cs="Arial"/>
                <w:b/>
                <w:bCs/>
              </w:rPr>
            </w:pPr>
            <w:r>
              <w:rPr>
                <w:rFonts w:ascii="Arial" w:hAnsi="Arial" w:cs="Arial"/>
                <w:b/>
                <w:noProof/>
                <w:lang w:eastAsia="en-AU"/>
              </w:rPr>
              <w:drawing>
                <wp:inline distT="0" distB="0" distL="0" distR="0" wp14:anchorId="4048B1FA" wp14:editId="3FE08EB6">
                  <wp:extent cx="4321810" cy="2717165"/>
                  <wp:effectExtent l="0" t="0" r="2540" b="6985"/>
                  <wp:docPr id="24" name="Picture 24" descr="Expenditure on Highly Specialised Drugs Program in hospitals" title="Fig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7"/>
                          <a:srcRect t="11722" r="3729"/>
                          <a:stretch>
                            <a:fillRect/>
                          </a:stretch>
                        </pic:blipFill>
                        <pic:spPr bwMode="auto">
                          <a:xfrm>
                            <a:off x="0" y="0"/>
                            <a:ext cx="4321810" cy="2717165"/>
                          </a:xfrm>
                          <a:prstGeom prst="rect">
                            <a:avLst/>
                          </a:prstGeom>
                          <a:noFill/>
                          <a:ln w="9525">
                            <a:noFill/>
                            <a:miter lim="800000"/>
                            <a:headEnd/>
                            <a:tailEnd/>
                          </a:ln>
                        </pic:spPr>
                      </pic:pic>
                    </a:graphicData>
                  </a:graphic>
                </wp:inline>
              </w:drawing>
            </w:r>
          </w:p>
        </w:tc>
      </w:tr>
    </w:tbl>
    <w:p w:rsidR="009B075E" w:rsidRDefault="009B075E" w:rsidP="00400B66">
      <w:pPr>
        <w:spacing w:after="0"/>
        <w:rPr>
          <w:rFonts w:ascii="Arial Narrow" w:hAnsi="Arial Narrow" w:cs="Arial"/>
          <w:sz w:val="16"/>
          <w:szCs w:val="16"/>
        </w:rPr>
      </w:pPr>
      <w:r w:rsidRPr="00152158">
        <w:rPr>
          <w:rFonts w:ascii="Arial Narrow" w:hAnsi="Arial Narrow" w:cs="Arial"/>
          <w:sz w:val="16"/>
          <w:szCs w:val="16"/>
        </w:rPr>
        <w:t>Source: PBPA annual reports, various years   (2006-07 to 2009-10), DoHA unpublished (2010-11)</w:t>
      </w:r>
    </w:p>
    <w:p w:rsidR="009B075E" w:rsidRDefault="009B075E" w:rsidP="00400B66">
      <w:pPr>
        <w:spacing w:before="60" w:after="60"/>
        <w:rPr>
          <w:rFonts w:ascii="Arial" w:hAnsi="Arial" w:cs="Arial"/>
        </w:rPr>
      </w:pPr>
    </w:p>
    <w:p w:rsidR="006530A5" w:rsidRDefault="009B075E" w:rsidP="003E5105">
      <w:pPr>
        <w:spacing w:before="120" w:after="120"/>
        <w:rPr>
          <w:rFonts w:ascii="Arial" w:hAnsi="Arial" w:cs="Arial"/>
        </w:rPr>
      </w:pPr>
      <w:r w:rsidRPr="006C58D6">
        <w:rPr>
          <w:rFonts w:ascii="Arial" w:hAnsi="Arial" w:cs="Arial"/>
        </w:rPr>
        <w:t xml:space="preserve">However, in terms of the contribution to growth, in the time periods analysed (2006-2011), the contribution to growth from </w:t>
      </w:r>
      <w:r w:rsidR="006530A5">
        <w:rPr>
          <w:rFonts w:ascii="Arial" w:hAnsi="Arial" w:cs="Arial"/>
        </w:rPr>
        <w:t>p</w:t>
      </w:r>
      <w:r w:rsidR="006530A5" w:rsidRPr="006C58D6">
        <w:rPr>
          <w:rFonts w:ascii="Arial" w:hAnsi="Arial" w:cs="Arial"/>
        </w:rPr>
        <w:t xml:space="preserve">ublic </w:t>
      </w:r>
      <w:r w:rsidRPr="006C58D6">
        <w:rPr>
          <w:rFonts w:ascii="Arial" w:hAnsi="Arial" w:cs="Arial"/>
        </w:rPr>
        <w:t xml:space="preserve">hospitals </w:t>
      </w:r>
      <w:r>
        <w:rPr>
          <w:rFonts w:ascii="Arial" w:hAnsi="Arial" w:cs="Arial"/>
        </w:rPr>
        <w:t>rose</w:t>
      </w:r>
      <w:r w:rsidRPr="006C58D6">
        <w:rPr>
          <w:rFonts w:ascii="Arial" w:hAnsi="Arial" w:cs="Arial"/>
        </w:rPr>
        <w:t xml:space="preserve"> from 43% in 2007-08 to 86% in 2010-11 whereas contribution to growth from </w:t>
      </w:r>
      <w:r w:rsidR="006530A5">
        <w:rPr>
          <w:rFonts w:ascii="Arial" w:hAnsi="Arial" w:cs="Arial"/>
        </w:rPr>
        <w:t>p</w:t>
      </w:r>
      <w:r w:rsidR="006530A5" w:rsidRPr="006C58D6">
        <w:rPr>
          <w:rFonts w:ascii="Arial" w:hAnsi="Arial" w:cs="Arial"/>
        </w:rPr>
        <w:t xml:space="preserve">rivate </w:t>
      </w:r>
      <w:r w:rsidRPr="006C58D6">
        <w:rPr>
          <w:rFonts w:ascii="Arial" w:hAnsi="Arial" w:cs="Arial"/>
        </w:rPr>
        <w:t xml:space="preserve">hospitals </w:t>
      </w:r>
      <w:r>
        <w:rPr>
          <w:rFonts w:ascii="Arial" w:hAnsi="Arial" w:cs="Arial"/>
        </w:rPr>
        <w:t>fell</w:t>
      </w:r>
      <w:r w:rsidRPr="006C58D6">
        <w:rPr>
          <w:rFonts w:ascii="Arial" w:hAnsi="Arial" w:cs="Arial"/>
        </w:rPr>
        <w:t xml:space="preserve"> from 57% in 2007-08 down to 14% in </w:t>
      </w:r>
      <w:r>
        <w:rPr>
          <w:rFonts w:ascii="Arial" w:hAnsi="Arial" w:cs="Arial"/>
        </w:rPr>
        <w:t>20</w:t>
      </w:r>
      <w:r w:rsidRPr="006C58D6">
        <w:rPr>
          <w:rFonts w:ascii="Arial" w:hAnsi="Arial" w:cs="Arial"/>
        </w:rPr>
        <w:t>10</w:t>
      </w:r>
      <w:r>
        <w:rPr>
          <w:rFonts w:ascii="Arial" w:hAnsi="Arial" w:cs="Arial"/>
        </w:rPr>
        <w:t xml:space="preserve">-11 (see </w:t>
      </w:r>
      <w:r w:rsidR="00855AAF">
        <w:rPr>
          <w:rFonts w:ascii="Arial" w:hAnsi="Arial" w:cs="Arial"/>
        </w:rPr>
        <w:fldChar w:fldCharType="begin"/>
      </w:r>
      <w:r>
        <w:rPr>
          <w:rFonts w:ascii="Arial" w:hAnsi="Arial" w:cs="Arial"/>
        </w:rPr>
        <w:instrText xml:space="preserve"> REF _Ref318731346 \h </w:instrText>
      </w:r>
      <w:r w:rsidR="00855AAF">
        <w:rPr>
          <w:rFonts w:ascii="Arial" w:hAnsi="Arial" w:cs="Arial"/>
        </w:rPr>
      </w:r>
      <w:r w:rsidR="00855AAF">
        <w:rPr>
          <w:rFonts w:ascii="Arial" w:hAnsi="Arial" w:cs="Arial"/>
        </w:rPr>
        <w:fldChar w:fldCharType="separate"/>
      </w:r>
      <w:r w:rsidR="00584343" w:rsidRPr="006C58D6">
        <w:rPr>
          <w:rFonts w:ascii="Arial" w:hAnsi="Arial" w:cs="Arial"/>
        </w:rPr>
        <w:t xml:space="preserve">Figure </w:t>
      </w:r>
      <w:r w:rsidR="00584343">
        <w:rPr>
          <w:rFonts w:ascii="Arial" w:hAnsi="Arial" w:cs="Arial"/>
          <w:noProof/>
        </w:rPr>
        <w:t>25</w:t>
      </w:r>
      <w:r w:rsidR="00855AAF">
        <w:rPr>
          <w:rFonts w:ascii="Arial" w:hAnsi="Arial" w:cs="Arial"/>
        </w:rPr>
        <w:fldChar w:fldCharType="end"/>
      </w:r>
      <w:r>
        <w:rPr>
          <w:rFonts w:ascii="Arial" w:hAnsi="Arial" w:cs="Arial"/>
        </w:rPr>
        <w:t>)</w:t>
      </w:r>
      <w:r w:rsidRPr="006C58D6">
        <w:rPr>
          <w:rFonts w:ascii="Arial" w:hAnsi="Arial" w:cs="Arial"/>
        </w:rPr>
        <w:t xml:space="preserve">.   </w:t>
      </w:r>
      <w:r>
        <w:rPr>
          <w:rFonts w:ascii="Arial" w:hAnsi="Arial" w:cs="Arial"/>
        </w:rPr>
        <w:t xml:space="preserve">This is a large increase and to some extent is accounted for by the fact that three quarters (75%) of all HSD expenditure is in public hospitals.  </w:t>
      </w:r>
    </w:p>
    <w:p w:rsidR="009B075E" w:rsidRDefault="006530A5" w:rsidP="003E5105">
      <w:pPr>
        <w:spacing w:before="120" w:after="120"/>
        <w:rPr>
          <w:rFonts w:ascii="Arial" w:hAnsi="Arial" w:cs="Arial"/>
        </w:rPr>
      </w:pPr>
      <w:r>
        <w:rPr>
          <w:rFonts w:ascii="Arial" w:hAnsi="Arial" w:cs="Arial"/>
        </w:rPr>
        <w:t>D</w:t>
      </w:r>
      <w:r w:rsidR="009B075E">
        <w:rPr>
          <w:rFonts w:ascii="Arial" w:hAnsi="Arial" w:cs="Arial"/>
        </w:rPr>
        <w:t>ue to some tightening of the counting rules applied to the allocation of HSD expenditure to public vs private hospitals, 2009-10 and 2010-11 may not be directly comparable.</w:t>
      </w:r>
    </w:p>
    <w:p w:rsidR="009B075E" w:rsidRPr="006C58D6" w:rsidRDefault="009B075E" w:rsidP="00400B66">
      <w:pPr>
        <w:spacing w:before="60" w:after="60"/>
        <w:rPr>
          <w:rFonts w:ascii="Arial" w:hAnsi="Arial" w:cs="Arial"/>
        </w:rPr>
      </w:pPr>
      <w:r>
        <w:rPr>
          <w:rFonts w:ascii="Arial" w:hAnsi="Arial" w:cs="Arial"/>
        </w:rPr>
        <w:br w:type="page"/>
      </w:r>
    </w:p>
    <w:tbl>
      <w:tblPr>
        <w:tblW w:w="0" w:type="auto"/>
        <w:jc w:val="center"/>
        <w:tblInd w:w="304" w:type="dxa"/>
        <w:tblLook w:val="0000" w:firstRow="0" w:lastRow="0" w:firstColumn="0" w:lastColumn="0" w:noHBand="0" w:noVBand="0"/>
      </w:tblPr>
      <w:tblGrid>
        <w:gridCol w:w="8357"/>
      </w:tblGrid>
      <w:tr w:rsidR="009B075E" w:rsidRPr="006C58D6" w:rsidTr="0052197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6C58D6" w:rsidRDefault="009B075E" w:rsidP="00521975">
            <w:pPr>
              <w:pStyle w:val="Caption"/>
              <w:keepNext w:val="0"/>
              <w:rPr>
                <w:rFonts w:ascii="Arial" w:hAnsi="Arial" w:cs="Arial"/>
                <w:sz w:val="22"/>
                <w:szCs w:val="22"/>
              </w:rPr>
            </w:pPr>
            <w:bookmarkStart w:id="83" w:name="_Ref318731346"/>
            <w:r w:rsidRPr="006C58D6">
              <w:rPr>
                <w:rFonts w:ascii="Arial" w:hAnsi="Arial" w:cs="Arial"/>
                <w:sz w:val="22"/>
                <w:szCs w:val="22"/>
              </w:rPr>
              <w:lastRenderedPageBreak/>
              <w:t xml:space="preserve">Figure </w:t>
            </w:r>
            <w:r w:rsidR="00855AAF" w:rsidRPr="006C58D6">
              <w:rPr>
                <w:rFonts w:ascii="Arial" w:hAnsi="Arial" w:cs="Arial"/>
                <w:sz w:val="22"/>
                <w:szCs w:val="22"/>
              </w:rPr>
              <w:fldChar w:fldCharType="begin"/>
            </w:r>
            <w:r w:rsidRPr="006C58D6">
              <w:rPr>
                <w:rFonts w:ascii="Arial" w:hAnsi="Arial" w:cs="Arial"/>
                <w:sz w:val="22"/>
                <w:szCs w:val="22"/>
              </w:rPr>
              <w:instrText xml:space="preserve"> SEQ Figure \* ARABIC </w:instrText>
            </w:r>
            <w:r w:rsidR="00855AAF" w:rsidRPr="006C58D6">
              <w:rPr>
                <w:rFonts w:ascii="Arial" w:hAnsi="Arial" w:cs="Arial"/>
                <w:sz w:val="22"/>
                <w:szCs w:val="22"/>
              </w:rPr>
              <w:fldChar w:fldCharType="separate"/>
            </w:r>
            <w:r w:rsidR="00584343">
              <w:rPr>
                <w:rFonts w:ascii="Arial" w:hAnsi="Arial" w:cs="Arial"/>
                <w:noProof/>
                <w:sz w:val="22"/>
                <w:szCs w:val="22"/>
              </w:rPr>
              <w:t>25</w:t>
            </w:r>
            <w:r w:rsidR="00855AAF" w:rsidRPr="006C58D6">
              <w:rPr>
                <w:rFonts w:ascii="Arial" w:hAnsi="Arial" w:cs="Arial"/>
                <w:sz w:val="22"/>
                <w:szCs w:val="22"/>
              </w:rPr>
              <w:fldChar w:fldCharType="end"/>
            </w:r>
            <w:bookmarkEnd w:id="83"/>
            <w:r w:rsidRPr="006C58D6">
              <w:rPr>
                <w:rFonts w:ascii="Arial" w:hAnsi="Arial" w:cs="Arial"/>
                <w:sz w:val="22"/>
                <w:szCs w:val="22"/>
              </w:rPr>
              <w:t xml:space="preserve">: Percent contribution to overall growth in HSD program expenditure </w:t>
            </w:r>
          </w:p>
        </w:tc>
      </w:tr>
      <w:tr w:rsidR="009B075E" w:rsidRPr="00DA1F5B" w:rsidTr="00521975">
        <w:trPr>
          <w:trHeight w:val="4305"/>
          <w:jc w:val="center"/>
        </w:trPr>
        <w:tc>
          <w:tcPr>
            <w:tcW w:w="0" w:type="auto"/>
            <w:tcBorders>
              <w:top w:val="single" w:sz="4" w:space="0" w:color="auto"/>
              <w:left w:val="single" w:sz="4" w:space="0" w:color="auto"/>
              <w:bottom w:val="single" w:sz="4" w:space="0" w:color="auto"/>
              <w:right w:val="single" w:sz="4" w:space="0" w:color="auto"/>
            </w:tcBorders>
            <w:vAlign w:val="center"/>
          </w:tcPr>
          <w:p w:rsidR="009B075E" w:rsidRPr="006C58D6" w:rsidRDefault="005E0A95" w:rsidP="00521975">
            <w:pPr>
              <w:tabs>
                <w:tab w:val="left" w:pos="4708"/>
              </w:tabs>
              <w:rPr>
                <w:rFonts w:ascii="Arial" w:hAnsi="Arial" w:cs="Arial"/>
                <w:b/>
                <w:bCs/>
              </w:rPr>
            </w:pPr>
            <w:r>
              <w:rPr>
                <w:rFonts w:ascii="Arial" w:hAnsi="Arial" w:cs="Arial"/>
                <w:b/>
                <w:noProof/>
                <w:lang w:eastAsia="en-AU"/>
              </w:rPr>
              <w:drawing>
                <wp:inline distT="0" distB="0" distL="0" distR="0" wp14:anchorId="24CFB7D5" wp14:editId="4FCC2671">
                  <wp:extent cx="4684395" cy="2769235"/>
                  <wp:effectExtent l="0" t="0" r="1905" b="0"/>
                  <wp:docPr id="25" name="Picture 25" descr="Percent contribution to overall growth in HSD program expenditure " title="Fig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a:srcRect t="9734"/>
                          <a:stretch>
                            <a:fillRect/>
                          </a:stretch>
                        </pic:blipFill>
                        <pic:spPr bwMode="auto">
                          <a:xfrm>
                            <a:off x="0" y="0"/>
                            <a:ext cx="4684395" cy="2769235"/>
                          </a:xfrm>
                          <a:prstGeom prst="rect">
                            <a:avLst/>
                          </a:prstGeom>
                          <a:noFill/>
                          <a:ln w="9525">
                            <a:noFill/>
                            <a:miter lim="800000"/>
                            <a:headEnd/>
                            <a:tailEnd/>
                          </a:ln>
                        </pic:spPr>
                      </pic:pic>
                    </a:graphicData>
                  </a:graphic>
                </wp:inline>
              </w:drawing>
            </w:r>
          </w:p>
        </w:tc>
      </w:tr>
    </w:tbl>
    <w:p w:rsidR="009B075E" w:rsidRDefault="009B075E" w:rsidP="00C90EF3">
      <w:pPr>
        <w:spacing w:after="0" w:line="240" w:lineRule="auto"/>
        <w:rPr>
          <w:rFonts w:ascii="Arial" w:hAnsi="Arial" w:cs="Arial"/>
          <w:b/>
          <w:bCs/>
          <w:color w:val="365F91"/>
          <w:sz w:val="24"/>
          <w:szCs w:val="24"/>
        </w:rPr>
      </w:pPr>
    </w:p>
    <w:p w:rsidR="008670E5" w:rsidRDefault="008670E5" w:rsidP="006E7ADC">
      <w:pPr>
        <w:rPr>
          <w:rFonts w:ascii="Arial" w:hAnsi="Arial" w:cs="Arial"/>
          <w:b/>
        </w:rPr>
      </w:pPr>
    </w:p>
    <w:p w:rsidR="009B075E" w:rsidRPr="006E7ADC" w:rsidRDefault="009B075E" w:rsidP="006E7ADC">
      <w:pPr>
        <w:rPr>
          <w:rFonts w:ascii="Arial" w:hAnsi="Arial" w:cs="Arial"/>
          <w:b/>
        </w:rPr>
      </w:pPr>
      <w:r w:rsidRPr="006E7ADC">
        <w:rPr>
          <w:rFonts w:ascii="Arial" w:hAnsi="Arial" w:cs="Arial"/>
          <w:b/>
        </w:rPr>
        <w:t>Indication groupings</w:t>
      </w:r>
    </w:p>
    <w:p w:rsidR="009B075E" w:rsidRPr="007357B2" w:rsidRDefault="009B075E" w:rsidP="007356D4">
      <w:pPr>
        <w:spacing w:before="120" w:after="120"/>
        <w:rPr>
          <w:rFonts w:ascii="Arial" w:hAnsi="Arial" w:cs="Arial"/>
        </w:rPr>
      </w:pPr>
      <w:r>
        <w:rPr>
          <w:rFonts w:ascii="Arial" w:hAnsi="Arial" w:cs="Arial"/>
        </w:rPr>
        <w:t xml:space="preserve">All the medicines listed on the HSD program are classified into 12 indication groupings.  </w:t>
      </w:r>
      <w:r w:rsidRPr="007357B2">
        <w:rPr>
          <w:rFonts w:ascii="Arial" w:hAnsi="Arial" w:cs="Arial"/>
        </w:rPr>
        <w:t xml:space="preserve">Between 2006 and 2010, 17 new medicines were added to the HSD program across the 12 indications groupings.  The top 5 indications groups by value include HIV/AIDS antiretrovirals, Haemopoietic, malignancy, immunosuppressive and Hepatitis B or C agents.  Together these categories contributed the vast majority of the expenditure on the HSD program (68%-75%) in the time period analysed (2006-2010).   </w:t>
      </w:r>
    </w:p>
    <w:tbl>
      <w:tblPr>
        <w:tblW w:w="9276" w:type="dxa"/>
        <w:jc w:val="center"/>
        <w:tblInd w:w="304" w:type="dxa"/>
        <w:tblLook w:val="0000" w:firstRow="0" w:lastRow="0" w:firstColumn="0" w:lastColumn="0" w:noHBand="0" w:noVBand="0"/>
      </w:tblPr>
      <w:tblGrid>
        <w:gridCol w:w="9276"/>
      </w:tblGrid>
      <w:tr w:rsidR="009B075E" w:rsidRPr="007357B2" w:rsidTr="00521975">
        <w:trPr>
          <w:jc w:val="center"/>
        </w:trPr>
        <w:tc>
          <w:tcPr>
            <w:tcW w:w="9276" w:type="dxa"/>
            <w:tcBorders>
              <w:top w:val="single" w:sz="4" w:space="0" w:color="auto"/>
              <w:left w:val="single" w:sz="4" w:space="0" w:color="auto"/>
              <w:bottom w:val="single" w:sz="4" w:space="0" w:color="auto"/>
              <w:right w:val="single" w:sz="4" w:space="0" w:color="auto"/>
            </w:tcBorders>
            <w:vAlign w:val="center"/>
          </w:tcPr>
          <w:p w:rsidR="009B075E" w:rsidRPr="007357B2" w:rsidRDefault="009B075E" w:rsidP="006F6817">
            <w:pPr>
              <w:pStyle w:val="Caption"/>
              <w:keepNext w:val="0"/>
              <w:rPr>
                <w:rFonts w:ascii="Arial" w:hAnsi="Arial" w:cs="Arial"/>
                <w:sz w:val="22"/>
                <w:szCs w:val="22"/>
              </w:rPr>
            </w:pPr>
            <w:r w:rsidRPr="007357B2">
              <w:rPr>
                <w:rFonts w:ascii="Arial" w:hAnsi="Arial" w:cs="Arial"/>
                <w:sz w:val="22"/>
                <w:szCs w:val="22"/>
              </w:rPr>
              <w:t xml:space="preserve">Figure </w:t>
            </w:r>
            <w:r w:rsidR="00855AAF" w:rsidRPr="007357B2">
              <w:rPr>
                <w:rFonts w:ascii="Arial" w:hAnsi="Arial" w:cs="Arial"/>
                <w:sz w:val="22"/>
                <w:szCs w:val="22"/>
              </w:rPr>
              <w:fldChar w:fldCharType="begin"/>
            </w:r>
            <w:r w:rsidRPr="007357B2">
              <w:rPr>
                <w:rFonts w:ascii="Arial" w:hAnsi="Arial" w:cs="Arial"/>
                <w:sz w:val="22"/>
                <w:szCs w:val="22"/>
              </w:rPr>
              <w:instrText xml:space="preserve"> SEQ Figure \* ARABIC </w:instrText>
            </w:r>
            <w:r w:rsidR="00855AAF" w:rsidRPr="007357B2">
              <w:rPr>
                <w:rFonts w:ascii="Arial" w:hAnsi="Arial" w:cs="Arial"/>
                <w:sz w:val="22"/>
                <w:szCs w:val="22"/>
              </w:rPr>
              <w:fldChar w:fldCharType="separate"/>
            </w:r>
            <w:r w:rsidR="00584343">
              <w:rPr>
                <w:rFonts w:ascii="Arial" w:hAnsi="Arial" w:cs="Arial"/>
                <w:noProof/>
                <w:sz w:val="22"/>
                <w:szCs w:val="22"/>
              </w:rPr>
              <w:t>26</w:t>
            </w:r>
            <w:r w:rsidR="00855AAF" w:rsidRPr="007357B2">
              <w:rPr>
                <w:rFonts w:ascii="Arial" w:hAnsi="Arial" w:cs="Arial"/>
                <w:sz w:val="22"/>
                <w:szCs w:val="22"/>
              </w:rPr>
              <w:fldChar w:fldCharType="end"/>
            </w:r>
            <w:r w:rsidRPr="007357B2">
              <w:rPr>
                <w:rFonts w:ascii="Arial" w:hAnsi="Arial" w:cs="Arial"/>
                <w:sz w:val="22"/>
                <w:szCs w:val="22"/>
              </w:rPr>
              <w:t xml:space="preserve">: Percent contribution to expenditure in Highly Specialised Drugs Program </w:t>
            </w:r>
            <w:r w:rsidRPr="007357B2">
              <w:rPr>
                <w:rFonts w:ascii="Arial" w:hAnsi="Arial" w:cs="Arial"/>
                <w:sz w:val="22"/>
                <w:szCs w:val="22"/>
              </w:rPr>
              <w:br/>
              <w:t xml:space="preserve">by indications groupings </w:t>
            </w:r>
          </w:p>
        </w:tc>
      </w:tr>
      <w:tr w:rsidR="009B075E" w:rsidRPr="00DA1F5B" w:rsidTr="00521975">
        <w:trPr>
          <w:trHeight w:val="4510"/>
          <w:jc w:val="center"/>
        </w:trPr>
        <w:tc>
          <w:tcPr>
            <w:tcW w:w="9276" w:type="dxa"/>
            <w:tcBorders>
              <w:top w:val="single" w:sz="4" w:space="0" w:color="auto"/>
              <w:left w:val="single" w:sz="4" w:space="0" w:color="auto"/>
              <w:bottom w:val="single" w:sz="4" w:space="0" w:color="auto"/>
              <w:right w:val="single" w:sz="4" w:space="0" w:color="auto"/>
            </w:tcBorders>
            <w:vAlign w:val="center"/>
          </w:tcPr>
          <w:p w:rsidR="009B075E" w:rsidRPr="007357B2" w:rsidRDefault="005E0A95" w:rsidP="00521975">
            <w:pPr>
              <w:tabs>
                <w:tab w:val="left" w:pos="4708"/>
              </w:tabs>
              <w:jc w:val="center"/>
              <w:rPr>
                <w:rFonts w:ascii="Arial" w:hAnsi="Arial" w:cs="Arial"/>
                <w:b/>
                <w:bCs/>
              </w:rPr>
            </w:pPr>
            <w:r>
              <w:rPr>
                <w:rFonts w:ascii="Arial" w:hAnsi="Arial" w:cs="Arial"/>
                <w:b/>
                <w:noProof/>
                <w:lang w:eastAsia="en-AU"/>
              </w:rPr>
              <w:drawing>
                <wp:inline distT="0" distB="0" distL="0" distR="0" wp14:anchorId="65EBA280" wp14:editId="1BC60675">
                  <wp:extent cx="4321810" cy="2820670"/>
                  <wp:effectExtent l="0" t="0" r="2540" b="0"/>
                  <wp:docPr id="26" name="Picture 26" descr="Percent contribution to expenditure in Highly Specialised Drugs Program by indications groupings &#10;" title="Fig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
                          <a:srcRect/>
                          <a:stretch>
                            <a:fillRect/>
                          </a:stretch>
                        </pic:blipFill>
                        <pic:spPr bwMode="auto">
                          <a:xfrm>
                            <a:off x="0" y="0"/>
                            <a:ext cx="4321810" cy="2820670"/>
                          </a:xfrm>
                          <a:prstGeom prst="rect">
                            <a:avLst/>
                          </a:prstGeom>
                          <a:noFill/>
                          <a:ln w="9525">
                            <a:noFill/>
                            <a:miter lim="800000"/>
                            <a:headEnd/>
                            <a:tailEnd/>
                          </a:ln>
                        </pic:spPr>
                      </pic:pic>
                    </a:graphicData>
                  </a:graphic>
                </wp:inline>
              </w:drawing>
            </w:r>
          </w:p>
        </w:tc>
      </w:tr>
    </w:tbl>
    <w:p w:rsidR="009B075E" w:rsidRPr="008A65BB" w:rsidRDefault="009B075E" w:rsidP="008A65BB">
      <w:pPr>
        <w:spacing w:before="120" w:after="120" w:line="240" w:lineRule="auto"/>
        <w:rPr>
          <w:rFonts w:ascii="Arial Narrow" w:hAnsi="Arial Narrow" w:cs="Arial"/>
          <w:sz w:val="16"/>
          <w:szCs w:val="16"/>
        </w:rPr>
      </w:pPr>
      <w:r w:rsidRPr="008A65BB">
        <w:rPr>
          <w:rFonts w:ascii="Arial Narrow" w:hAnsi="Arial Narrow" w:cs="Arial"/>
          <w:sz w:val="16"/>
          <w:szCs w:val="16"/>
        </w:rPr>
        <w:t>Note: HSD Expenditure data by indication groupings is currently not available for 2010-11.</w:t>
      </w:r>
    </w:p>
    <w:p w:rsidR="009B075E" w:rsidRDefault="009B075E" w:rsidP="003E5105">
      <w:pPr>
        <w:spacing w:before="120" w:after="240"/>
        <w:rPr>
          <w:rFonts w:ascii="Arial" w:hAnsi="Arial" w:cs="Arial"/>
        </w:rPr>
      </w:pPr>
      <w:r w:rsidRPr="00C90EF3">
        <w:rPr>
          <w:rFonts w:ascii="Arial" w:hAnsi="Arial" w:cs="Arial"/>
        </w:rPr>
        <w:lastRenderedPageBreak/>
        <w:t xml:space="preserve">In terms of contribution to </w:t>
      </w:r>
      <w:r>
        <w:rPr>
          <w:rFonts w:ascii="Arial" w:hAnsi="Arial" w:cs="Arial"/>
        </w:rPr>
        <w:t xml:space="preserve">year on year </w:t>
      </w:r>
      <w:r w:rsidRPr="00C90EF3">
        <w:rPr>
          <w:rFonts w:ascii="Arial" w:hAnsi="Arial" w:cs="Arial"/>
        </w:rPr>
        <w:t xml:space="preserve">growth, there were variations across the time period.  </w:t>
      </w:r>
      <w:r>
        <w:rPr>
          <w:rFonts w:ascii="Arial" w:hAnsi="Arial" w:cs="Arial"/>
        </w:rPr>
        <w:t>In terms of trends, Immunosuppressive agents, HIV/AIDS anti</w:t>
      </w:r>
      <w:r w:rsidR="00387A55">
        <w:rPr>
          <w:rFonts w:ascii="Arial" w:hAnsi="Arial" w:cs="Arial"/>
        </w:rPr>
        <w:t>-</w:t>
      </w:r>
      <w:r>
        <w:rPr>
          <w:rFonts w:ascii="Arial" w:hAnsi="Arial" w:cs="Arial"/>
        </w:rPr>
        <w:t xml:space="preserve">retrovirals continued to contribute to overall growth throughout the time period, whereas the contribution of Antiarthritic agents and Haemopoetic agents to HSD growth fell throughout in the same time period.  </w:t>
      </w:r>
    </w:p>
    <w:p w:rsidR="009B075E" w:rsidRDefault="009B075E" w:rsidP="0020542D">
      <w:pPr>
        <w:pStyle w:val="Caption"/>
        <w:spacing w:before="0" w:after="0"/>
      </w:pPr>
      <w:r w:rsidRPr="0020542D">
        <w:rPr>
          <w:rFonts w:ascii="Arial" w:hAnsi="Arial" w:cs="Arial"/>
          <w:sz w:val="22"/>
          <w:szCs w:val="22"/>
        </w:rPr>
        <w:t xml:space="preserve">Table </w:t>
      </w:r>
      <w:r w:rsidR="00855AAF" w:rsidRPr="0020542D">
        <w:rPr>
          <w:rFonts w:ascii="Arial" w:hAnsi="Arial" w:cs="Arial"/>
          <w:sz w:val="22"/>
          <w:szCs w:val="22"/>
        </w:rPr>
        <w:fldChar w:fldCharType="begin"/>
      </w:r>
      <w:r w:rsidRPr="0020542D">
        <w:rPr>
          <w:rFonts w:ascii="Arial" w:hAnsi="Arial" w:cs="Arial"/>
          <w:sz w:val="22"/>
          <w:szCs w:val="22"/>
        </w:rPr>
        <w:instrText xml:space="preserve"> SEQ Table \* ARABIC </w:instrText>
      </w:r>
      <w:r w:rsidR="00855AAF" w:rsidRPr="0020542D">
        <w:rPr>
          <w:rFonts w:ascii="Arial" w:hAnsi="Arial" w:cs="Arial"/>
          <w:sz w:val="22"/>
          <w:szCs w:val="22"/>
        </w:rPr>
        <w:fldChar w:fldCharType="separate"/>
      </w:r>
      <w:r w:rsidR="00584343">
        <w:rPr>
          <w:rFonts w:ascii="Arial" w:hAnsi="Arial" w:cs="Arial"/>
          <w:noProof/>
          <w:sz w:val="22"/>
          <w:szCs w:val="22"/>
        </w:rPr>
        <w:t>4</w:t>
      </w:r>
      <w:r w:rsidR="00855AAF" w:rsidRPr="0020542D">
        <w:rPr>
          <w:rFonts w:ascii="Arial" w:hAnsi="Arial" w:cs="Arial"/>
          <w:sz w:val="22"/>
          <w:szCs w:val="22"/>
        </w:rPr>
        <w:fldChar w:fldCharType="end"/>
      </w:r>
      <w:r w:rsidRPr="0020542D">
        <w:rPr>
          <w:rFonts w:ascii="Arial" w:hAnsi="Arial" w:cs="Arial"/>
          <w:sz w:val="22"/>
          <w:szCs w:val="22"/>
        </w:rPr>
        <w:t xml:space="preserve">: </w:t>
      </w:r>
      <w:r w:rsidRPr="00BE5198">
        <w:rPr>
          <w:rFonts w:ascii="Arial" w:hAnsi="Arial" w:cs="Arial"/>
          <w:sz w:val="22"/>
          <w:szCs w:val="22"/>
        </w:rPr>
        <w:t xml:space="preserve">Contribution to total growth </w:t>
      </w:r>
      <w:r w:rsidRPr="007357B2">
        <w:rPr>
          <w:rFonts w:ascii="Arial" w:hAnsi="Arial" w:cs="Arial"/>
          <w:sz w:val="22"/>
          <w:szCs w:val="22"/>
        </w:rPr>
        <w:t xml:space="preserve">in Highly Specialised Drugs Program </w:t>
      </w:r>
      <w:r w:rsidRPr="007357B2">
        <w:rPr>
          <w:rFonts w:ascii="Arial" w:hAnsi="Arial" w:cs="Arial"/>
          <w:sz w:val="22"/>
          <w:szCs w:val="22"/>
        </w:rPr>
        <w:br/>
        <w:t>by indications groupings</w:t>
      </w:r>
    </w:p>
    <w:tbl>
      <w:tblPr>
        <w:tblW w:w="8673"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4413"/>
        <w:gridCol w:w="1420"/>
        <w:gridCol w:w="1420"/>
        <w:gridCol w:w="1420"/>
      </w:tblGrid>
      <w:tr w:rsidR="009B075E" w:rsidRPr="00C90EF3" w:rsidTr="0040541B">
        <w:trPr>
          <w:trHeight w:val="255"/>
        </w:trPr>
        <w:tc>
          <w:tcPr>
            <w:tcW w:w="4413" w:type="dxa"/>
            <w:tcBorders>
              <w:top w:val="single" w:sz="8" w:space="0" w:color="4F81BD"/>
            </w:tcBorders>
            <w:shd w:val="clear" w:color="auto" w:fill="4F81BD"/>
            <w:noWrap/>
          </w:tcPr>
          <w:p w:rsidR="009B075E" w:rsidRPr="0040541B" w:rsidRDefault="009B075E" w:rsidP="0040541B">
            <w:pPr>
              <w:spacing w:after="0" w:line="240" w:lineRule="auto"/>
              <w:rPr>
                <w:rFonts w:ascii="Arial" w:hAnsi="Arial" w:cs="Arial"/>
                <w:b/>
                <w:bCs/>
                <w:color w:val="FFFFFF"/>
                <w:sz w:val="20"/>
                <w:szCs w:val="20"/>
                <w:lang w:eastAsia="en-AU"/>
              </w:rPr>
            </w:pPr>
          </w:p>
        </w:tc>
        <w:tc>
          <w:tcPr>
            <w:tcW w:w="1420" w:type="dxa"/>
            <w:tcBorders>
              <w:top w:val="single" w:sz="8" w:space="0" w:color="4F81BD"/>
            </w:tcBorders>
            <w:shd w:val="clear" w:color="auto" w:fill="4F81BD"/>
            <w:noWrap/>
            <w:vAlign w:val="center"/>
          </w:tcPr>
          <w:p w:rsidR="009B075E" w:rsidRPr="0040541B" w:rsidRDefault="009B075E" w:rsidP="0040541B">
            <w:pPr>
              <w:spacing w:after="0" w:line="240" w:lineRule="auto"/>
              <w:jc w:val="center"/>
              <w:rPr>
                <w:rFonts w:ascii="Arial" w:hAnsi="Arial" w:cs="Arial"/>
                <w:b/>
                <w:bCs/>
                <w:color w:val="FFFFFF"/>
                <w:sz w:val="20"/>
                <w:szCs w:val="20"/>
                <w:lang w:eastAsia="en-AU"/>
              </w:rPr>
            </w:pPr>
            <w:r w:rsidRPr="0040541B">
              <w:rPr>
                <w:rFonts w:ascii="Arial" w:hAnsi="Arial" w:cs="Arial"/>
                <w:b/>
                <w:bCs/>
                <w:color w:val="FFFFFF"/>
                <w:sz w:val="20"/>
                <w:szCs w:val="20"/>
                <w:lang w:eastAsia="en-AU"/>
              </w:rPr>
              <w:t>2007-08</w:t>
            </w:r>
          </w:p>
        </w:tc>
        <w:tc>
          <w:tcPr>
            <w:tcW w:w="1420" w:type="dxa"/>
            <w:tcBorders>
              <w:top w:val="single" w:sz="8" w:space="0" w:color="4F81BD"/>
            </w:tcBorders>
            <w:shd w:val="clear" w:color="auto" w:fill="4F81BD"/>
            <w:noWrap/>
            <w:vAlign w:val="center"/>
          </w:tcPr>
          <w:p w:rsidR="009B075E" w:rsidRPr="0040541B" w:rsidRDefault="009B075E" w:rsidP="0040541B">
            <w:pPr>
              <w:spacing w:after="0" w:line="240" w:lineRule="auto"/>
              <w:jc w:val="center"/>
              <w:rPr>
                <w:rFonts w:ascii="Arial" w:hAnsi="Arial" w:cs="Arial"/>
                <w:b/>
                <w:bCs/>
                <w:color w:val="FFFFFF"/>
                <w:sz w:val="20"/>
                <w:szCs w:val="20"/>
                <w:lang w:eastAsia="en-AU"/>
              </w:rPr>
            </w:pPr>
            <w:r w:rsidRPr="0040541B">
              <w:rPr>
                <w:rFonts w:ascii="Arial" w:hAnsi="Arial" w:cs="Arial"/>
                <w:b/>
                <w:bCs/>
                <w:color w:val="FFFFFF"/>
                <w:sz w:val="20"/>
                <w:szCs w:val="20"/>
                <w:lang w:eastAsia="en-AU"/>
              </w:rPr>
              <w:t>2008-09</w:t>
            </w:r>
          </w:p>
        </w:tc>
        <w:tc>
          <w:tcPr>
            <w:tcW w:w="1420" w:type="dxa"/>
            <w:tcBorders>
              <w:top w:val="single" w:sz="8" w:space="0" w:color="4F81BD"/>
            </w:tcBorders>
            <w:shd w:val="clear" w:color="auto" w:fill="4F81BD"/>
            <w:noWrap/>
            <w:vAlign w:val="center"/>
          </w:tcPr>
          <w:p w:rsidR="009B075E" w:rsidRPr="0040541B" w:rsidRDefault="009B075E" w:rsidP="0040541B">
            <w:pPr>
              <w:spacing w:after="0" w:line="240" w:lineRule="auto"/>
              <w:jc w:val="center"/>
              <w:rPr>
                <w:rFonts w:ascii="Arial" w:hAnsi="Arial" w:cs="Arial"/>
                <w:b/>
                <w:bCs/>
                <w:color w:val="FFFFFF"/>
                <w:sz w:val="20"/>
                <w:szCs w:val="20"/>
                <w:lang w:eastAsia="en-AU"/>
              </w:rPr>
            </w:pPr>
            <w:r w:rsidRPr="0040541B">
              <w:rPr>
                <w:rFonts w:ascii="Arial" w:hAnsi="Arial" w:cs="Arial"/>
                <w:b/>
                <w:bCs/>
                <w:color w:val="FFFFFF"/>
                <w:sz w:val="20"/>
                <w:szCs w:val="20"/>
                <w:lang w:eastAsia="en-AU"/>
              </w:rPr>
              <w:t>2009-10</w:t>
            </w:r>
          </w:p>
        </w:tc>
      </w:tr>
      <w:tr w:rsidR="009B075E" w:rsidRPr="00C90EF3" w:rsidTr="0040541B">
        <w:trPr>
          <w:trHeight w:val="285"/>
        </w:trPr>
        <w:tc>
          <w:tcPr>
            <w:tcW w:w="4413" w:type="dxa"/>
            <w:tcBorders>
              <w:top w:val="single" w:sz="8" w:space="0" w:color="4F81BD"/>
              <w:bottom w:val="single" w:sz="8" w:space="0" w:color="4F81BD"/>
            </w:tcBorders>
            <w:noWrap/>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sz w:val="20"/>
                <w:szCs w:val="20"/>
                <w:lang w:eastAsia="en-AU"/>
              </w:rPr>
              <w:t xml:space="preserve"> </w:t>
            </w:r>
            <w:r w:rsidRPr="0040541B">
              <w:rPr>
                <w:rFonts w:ascii="Arial" w:hAnsi="Arial" w:cs="Arial"/>
                <w:bCs/>
                <w:color w:val="000000"/>
                <w:lang w:eastAsia="en-AU"/>
              </w:rPr>
              <w:t xml:space="preserve">Immunosuppressive Agents </w:t>
            </w:r>
            <w:r w:rsidRPr="0040541B">
              <w:rPr>
                <w:rFonts w:ascii="Arial" w:hAnsi="Arial" w:cs="Arial"/>
                <w:bCs/>
                <w:sz w:val="20"/>
                <w:szCs w:val="20"/>
                <w:lang w:eastAsia="en-AU"/>
              </w:rPr>
              <w:t xml:space="preserve"> </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3.8%</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5.5%</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22.2%</w:t>
            </w:r>
          </w:p>
        </w:tc>
      </w:tr>
      <w:tr w:rsidR="009B075E" w:rsidRPr="00C90EF3" w:rsidTr="0040541B">
        <w:trPr>
          <w:trHeight w:val="285"/>
        </w:trPr>
        <w:tc>
          <w:tcPr>
            <w:tcW w:w="4413" w:type="dxa"/>
            <w:noWrap/>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sz w:val="20"/>
                <w:szCs w:val="20"/>
                <w:lang w:eastAsia="en-AU"/>
              </w:rPr>
              <w:t xml:space="preserve"> </w:t>
            </w:r>
            <w:r w:rsidRPr="0040541B">
              <w:rPr>
                <w:rFonts w:ascii="Arial" w:hAnsi="Arial" w:cs="Arial"/>
                <w:bCs/>
                <w:color w:val="000000"/>
                <w:lang w:eastAsia="en-AU"/>
              </w:rPr>
              <w:t xml:space="preserve">HIV/AIDS Antiretroviral Agents </w:t>
            </w:r>
            <w:r w:rsidRPr="0040541B">
              <w:rPr>
                <w:rFonts w:ascii="Arial" w:hAnsi="Arial" w:cs="Arial"/>
                <w:bCs/>
                <w:sz w:val="20"/>
                <w:szCs w:val="20"/>
                <w:lang w:eastAsia="en-AU"/>
              </w:rPr>
              <w:t xml:space="preserve"> </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11.0%</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19.6%</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20.8%</w:t>
            </w:r>
          </w:p>
        </w:tc>
      </w:tr>
      <w:tr w:rsidR="009B075E" w:rsidRPr="00C90EF3" w:rsidTr="0040541B">
        <w:trPr>
          <w:trHeight w:val="285"/>
        </w:trPr>
        <w:tc>
          <w:tcPr>
            <w:tcW w:w="4413" w:type="dxa"/>
            <w:tcBorders>
              <w:top w:val="single" w:sz="8" w:space="0" w:color="4F81BD"/>
              <w:bottom w:val="single" w:sz="8" w:space="0" w:color="4F81BD"/>
            </w:tcBorders>
            <w:noWrap/>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sz w:val="20"/>
                <w:szCs w:val="20"/>
                <w:lang w:eastAsia="en-AU"/>
              </w:rPr>
              <w:t xml:space="preserve"> </w:t>
            </w:r>
            <w:r w:rsidRPr="0040541B">
              <w:rPr>
                <w:rFonts w:ascii="Arial" w:hAnsi="Arial" w:cs="Arial"/>
                <w:bCs/>
                <w:color w:val="000000"/>
                <w:lang w:eastAsia="en-AU"/>
              </w:rPr>
              <w:t xml:space="preserve">Pulmonary Arterial Hypertension Agents </w:t>
            </w:r>
            <w:r w:rsidRPr="0040541B">
              <w:rPr>
                <w:rFonts w:ascii="Arial" w:hAnsi="Arial" w:cs="Arial"/>
                <w:bCs/>
                <w:sz w:val="20"/>
                <w:szCs w:val="20"/>
                <w:lang w:eastAsia="en-AU"/>
              </w:rPr>
              <w:t xml:space="preserve"> </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10.2%</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6.6%</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13.2%</w:t>
            </w:r>
          </w:p>
        </w:tc>
      </w:tr>
      <w:tr w:rsidR="009B075E" w:rsidRPr="00C90EF3" w:rsidTr="0040541B">
        <w:trPr>
          <w:trHeight w:val="300"/>
        </w:trPr>
        <w:tc>
          <w:tcPr>
            <w:tcW w:w="4413" w:type="dxa"/>
            <w:noWrap/>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sz w:val="20"/>
                <w:szCs w:val="20"/>
                <w:lang w:eastAsia="en-AU"/>
              </w:rPr>
              <w:t xml:space="preserve"> </w:t>
            </w:r>
            <w:r w:rsidRPr="0040541B">
              <w:rPr>
                <w:rFonts w:ascii="Arial" w:hAnsi="Arial" w:cs="Arial"/>
                <w:bCs/>
                <w:color w:val="000000"/>
                <w:lang w:eastAsia="en-AU"/>
              </w:rPr>
              <w:t xml:space="preserve">Antiarthritic Agents </w:t>
            </w:r>
            <w:r w:rsidRPr="0040541B">
              <w:rPr>
                <w:rFonts w:ascii="Arial" w:hAnsi="Arial" w:cs="Arial"/>
                <w:bCs/>
                <w:sz w:val="20"/>
                <w:szCs w:val="20"/>
                <w:lang w:eastAsia="en-AU"/>
              </w:rPr>
              <w:t xml:space="preserve"> </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19.5%</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27.6%</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8.9%</w:t>
            </w:r>
          </w:p>
        </w:tc>
      </w:tr>
      <w:tr w:rsidR="009B075E" w:rsidRPr="00C90EF3" w:rsidTr="0040541B">
        <w:trPr>
          <w:trHeight w:val="300"/>
        </w:trPr>
        <w:tc>
          <w:tcPr>
            <w:tcW w:w="4413" w:type="dxa"/>
            <w:tcBorders>
              <w:top w:val="single" w:sz="8" w:space="0" w:color="4F81BD"/>
              <w:bottom w:val="single" w:sz="8" w:space="0" w:color="4F81BD"/>
            </w:tcBorders>
            <w:noWrap/>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sz w:val="20"/>
                <w:szCs w:val="20"/>
                <w:lang w:eastAsia="en-AU"/>
              </w:rPr>
              <w:t xml:space="preserve"> </w:t>
            </w:r>
            <w:r w:rsidRPr="0040541B">
              <w:rPr>
                <w:rFonts w:ascii="Arial" w:hAnsi="Arial" w:cs="Arial"/>
                <w:bCs/>
                <w:color w:val="000000"/>
                <w:lang w:eastAsia="en-AU"/>
              </w:rPr>
              <w:t xml:space="preserve">Hepatitis B or C Agents </w:t>
            </w:r>
            <w:r w:rsidRPr="0040541B">
              <w:rPr>
                <w:rFonts w:ascii="Arial" w:hAnsi="Arial" w:cs="Arial"/>
                <w:bCs/>
                <w:sz w:val="20"/>
                <w:szCs w:val="20"/>
                <w:lang w:eastAsia="en-AU"/>
              </w:rPr>
              <w:t xml:space="preserve"> </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12.4%</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4.0%</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8.4%</w:t>
            </w:r>
          </w:p>
        </w:tc>
      </w:tr>
      <w:tr w:rsidR="009B075E" w:rsidRPr="00C90EF3" w:rsidTr="0040541B">
        <w:trPr>
          <w:trHeight w:val="300"/>
        </w:trPr>
        <w:tc>
          <w:tcPr>
            <w:tcW w:w="4413" w:type="dxa"/>
            <w:noWrap/>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sz w:val="20"/>
                <w:szCs w:val="20"/>
                <w:lang w:eastAsia="en-AU"/>
              </w:rPr>
              <w:t xml:space="preserve"> </w:t>
            </w:r>
            <w:r w:rsidRPr="0040541B">
              <w:rPr>
                <w:rFonts w:ascii="Arial" w:hAnsi="Arial" w:cs="Arial"/>
                <w:bCs/>
                <w:color w:val="000000"/>
                <w:lang w:eastAsia="en-AU"/>
              </w:rPr>
              <w:t xml:space="preserve">Haemopoietic Agents </w:t>
            </w:r>
            <w:r w:rsidRPr="0040541B">
              <w:rPr>
                <w:rFonts w:ascii="Arial" w:hAnsi="Arial" w:cs="Arial"/>
                <w:bCs/>
                <w:sz w:val="20"/>
                <w:szCs w:val="20"/>
                <w:lang w:eastAsia="en-AU"/>
              </w:rPr>
              <w:t xml:space="preserve"> </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1.7%</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9.7%</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5.7%</w:t>
            </w:r>
          </w:p>
        </w:tc>
      </w:tr>
      <w:tr w:rsidR="009B075E" w:rsidRPr="00C90EF3" w:rsidTr="0040541B">
        <w:trPr>
          <w:trHeight w:val="300"/>
        </w:trPr>
        <w:tc>
          <w:tcPr>
            <w:tcW w:w="4413" w:type="dxa"/>
            <w:tcBorders>
              <w:top w:val="single" w:sz="8" w:space="0" w:color="4F81BD"/>
              <w:bottom w:val="single" w:sz="8" w:space="0" w:color="4F81BD"/>
            </w:tcBorders>
            <w:noWrap/>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sz w:val="20"/>
                <w:szCs w:val="20"/>
                <w:lang w:eastAsia="en-AU"/>
              </w:rPr>
              <w:t xml:space="preserve"> </w:t>
            </w:r>
            <w:r w:rsidRPr="0040541B">
              <w:rPr>
                <w:rFonts w:ascii="Arial" w:hAnsi="Arial" w:cs="Arial"/>
                <w:bCs/>
                <w:color w:val="000000"/>
                <w:lang w:eastAsia="en-AU"/>
              </w:rPr>
              <w:t xml:space="preserve">Malignancy Agents </w:t>
            </w:r>
            <w:r w:rsidRPr="0040541B">
              <w:rPr>
                <w:rFonts w:ascii="Arial" w:hAnsi="Arial" w:cs="Arial"/>
                <w:bCs/>
                <w:sz w:val="20"/>
                <w:szCs w:val="20"/>
                <w:lang w:eastAsia="en-AU"/>
              </w:rPr>
              <w:t xml:space="preserve"> </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19.7%</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3.7%</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5.0%</w:t>
            </w:r>
          </w:p>
        </w:tc>
      </w:tr>
      <w:tr w:rsidR="009B075E" w:rsidRPr="00C90EF3" w:rsidTr="0040541B">
        <w:trPr>
          <w:trHeight w:val="300"/>
        </w:trPr>
        <w:tc>
          <w:tcPr>
            <w:tcW w:w="4413" w:type="dxa"/>
            <w:noWrap/>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sz w:val="20"/>
                <w:szCs w:val="20"/>
                <w:lang w:eastAsia="en-AU"/>
              </w:rPr>
              <w:t xml:space="preserve"> </w:t>
            </w:r>
            <w:r w:rsidRPr="0040541B">
              <w:rPr>
                <w:rFonts w:ascii="Arial" w:hAnsi="Arial" w:cs="Arial"/>
                <w:bCs/>
                <w:color w:val="000000"/>
                <w:lang w:eastAsia="en-AU"/>
              </w:rPr>
              <w:t xml:space="preserve">Acromegaly Agents </w:t>
            </w:r>
            <w:r w:rsidRPr="0040541B">
              <w:rPr>
                <w:rFonts w:ascii="Arial" w:hAnsi="Arial" w:cs="Arial"/>
                <w:bCs/>
                <w:sz w:val="20"/>
                <w:szCs w:val="20"/>
                <w:lang w:eastAsia="en-AU"/>
              </w:rPr>
              <w:t xml:space="preserve"> </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2.7%</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1.8%</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2.9%</w:t>
            </w:r>
          </w:p>
        </w:tc>
      </w:tr>
      <w:tr w:rsidR="009B075E" w:rsidRPr="00C90EF3" w:rsidTr="0040541B">
        <w:trPr>
          <w:trHeight w:val="300"/>
        </w:trPr>
        <w:tc>
          <w:tcPr>
            <w:tcW w:w="4413" w:type="dxa"/>
            <w:tcBorders>
              <w:top w:val="single" w:sz="8" w:space="0" w:color="4F81BD"/>
              <w:bottom w:val="single" w:sz="8" w:space="0" w:color="4F81BD"/>
            </w:tcBorders>
            <w:noWrap/>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sz w:val="20"/>
                <w:szCs w:val="20"/>
                <w:lang w:eastAsia="en-AU"/>
              </w:rPr>
              <w:t xml:space="preserve"> </w:t>
            </w:r>
            <w:r w:rsidRPr="0040541B">
              <w:rPr>
                <w:rFonts w:ascii="Arial" w:hAnsi="Arial" w:cs="Arial"/>
                <w:bCs/>
                <w:color w:val="000000"/>
                <w:lang w:eastAsia="en-AU"/>
              </w:rPr>
              <w:t xml:space="preserve">Immunocompromised Conditions </w:t>
            </w:r>
            <w:r w:rsidRPr="0040541B">
              <w:rPr>
                <w:rFonts w:ascii="Arial" w:hAnsi="Arial" w:cs="Arial"/>
                <w:bCs/>
                <w:sz w:val="20"/>
                <w:szCs w:val="20"/>
                <w:lang w:eastAsia="en-AU"/>
              </w:rPr>
              <w:t xml:space="preserve"> </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2.7%</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0.6%</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1.0%</w:t>
            </w:r>
          </w:p>
        </w:tc>
      </w:tr>
      <w:tr w:rsidR="009B075E" w:rsidRPr="00C90EF3" w:rsidTr="0040541B">
        <w:trPr>
          <w:trHeight w:val="300"/>
        </w:trPr>
        <w:tc>
          <w:tcPr>
            <w:tcW w:w="4413" w:type="dxa"/>
            <w:noWrap/>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sz w:val="20"/>
                <w:szCs w:val="20"/>
                <w:lang w:eastAsia="en-AU"/>
              </w:rPr>
              <w:t xml:space="preserve"> </w:t>
            </w:r>
            <w:r w:rsidRPr="0040541B">
              <w:rPr>
                <w:rFonts w:ascii="Arial" w:hAnsi="Arial" w:cs="Arial"/>
                <w:bCs/>
                <w:color w:val="000000"/>
                <w:lang w:eastAsia="en-AU"/>
              </w:rPr>
              <w:t xml:space="preserve">Bisphosphonate Agents </w:t>
            </w:r>
            <w:r w:rsidRPr="0040541B">
              <w:rPr>
                <w:rFonts w:ascii="Arial" w:hAnsi="Arial" w:cs="Arial"/>
                <w:bCs/>
                <w:sz w:val="20"/>
                <w:szCs w:val="20"/>
                <w:lang w:eastAsia="en-AU"/>
              </w:rPr>
              <w:t xml:space="preserve"> </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-1.7%</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0.6%</w:t>
            </w:r>
          </w:p>
        </w:tc>
        <w:tc>
          <w:tcPr>
            <w:tcW w:w="1420" w:type="dxa"/>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0.2%</w:t>
            </w:r>
          </w:p>
        </w:tc>
      </w:tr>
      <w:tr w:rsidR="009B075E" w:rsidRPr="00C90EF3" w:rsidTr="0040541B">
        <w:trPr>
          <w:trHeight w:val="300"/>
        </w:trPr>
        <w:tc>
          <w:tcPr>
            <w:tcW w:w="4413" w:type="dxa"/>
            <w:tcBorders>
              <w:top w:val="single" w:sz="8" w:space="0" w:color="4F81BD"/>
              <w:bottom w:val="single" w:sz="8" w:space="0" w:color="4F81BD"/>
            </w:tcBorders>
            <w:noWrap/>
            <w:vAlign w:val="center"/>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color w:val="000000"/>
                <w:lang w:eastAsia="en-AU"/>
              </w:rPr>
              <w:t>Iron Overload Agents</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10.0%</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0.9%</w:t>
            </w:r>
          </w:p>
        </w:tc>
        <w:tc>
          <w:tcPr>
            <w:tcW w:w="1420" w:type="dxa"/>
            <w:tcBorders>
              <w:top w:val="single" w:sz="8" w:space="0" w:color="4F81BD"/>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0.0%</w:t>
            </w:r>
          </w:p>
        </w:tc>
      </w:tr>
      <w:tr w:rsidR="009B075E" w:rsidRPr="00C90EF3" w:rsidTr="0040541B">
        <w:trPr>
          <w:trHeight w:val="300"/>
        </w:trPr>
        <w:tc>
          <w:tcPr>
            <w:tcW w:w="4413" w:type="dxa"/>
            <w:tcBorders>
              <w:bottom w:val="single" w:sz="8" w:space="0" w:color="4F81BD"/>
            </w:tcBorders>
            <w:noWrap/>
          </w:tcPr>
          <w:p w:rsidR="009B075E" w:rsidRPr="0040541B" w:rsidRDefault="009B075E" w:rsidP="0040541B">
            <w:pPr>
              <w:spacing w:after="0" w:line="240" w:lineRule="auto"/>
              <w:rPr>
                <w:rFonts w:ascii="Arial" w:hAnsi="Arial" w:cs="Arial"/>
                <w:b/>
                <w:bCs/>
                <w:sz w:val="20"/>
                <w:szCs w:val="20"/>
                <w:lang w:eastAsia="en-AU"/>
              </w:rPr>
            </w:pPr>
            <w:r w:rsidRPr="0040541B">
              <w:rPr>
                <w:rFonts w:ascii="Arial" w:hAnsi="Arial" w:cs="Arial"/>
                <w:bCs/>
                <w:sz w:val="20"/>
                <w:szCs w:val="20"/>
                <w:lang w:eastAsia="en-AU"/>
              </w:rPr>
              <w:t xml:space="preserve"> </w:t>
            </w:r>
            <w:r w:rsidRPr="0040541B">
              <w:rPr>
                <w:rFonts w:ascii="Arial" w:hAnsi="Arial" w:cs="Arial"/>
                <w:bCs/>
                <w:color w:val="000000"/>
                <w:lang w:eastAsia="en-AU"/>
              </w:rPr>
              <w:t xml:space="preserve">Other Conditions </w:t>
            </w:r>
            <w:r w:rsidRPr="0040541B">
              <w:rPr>
                <w:rFonts w:ascii="Arial" w:hAnsi="Arial" w:cs="Arial"/>
                <w:bCs/>
                <w:sz w:val="20"/>
                <w:szCs w:val="20"/>
                <w:lang w:eastAsia="en-AU"/>
              </w:rPr>
              <w:t xml:space="preserve"> </w:t>
            </w:r>
          </w:p>
        </w:tc>
        <w:tc>
          <w:tcPr>
            <w:tcW w:w="1420" w:type="dxa"/>
            <w:tcBorders>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8.0%</w:t>
            </w:r>
          </w:p>
        </w:tc>
        <w:tc>
          <w:tcPr>
            <w:tcW w:w="1420" w:type="dxa"/>
            <w:tcBorders>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19.2%</w:t>
            </w:r>
          </w:p>
        </w:tc>
        <w:tc>
          <w:tcPr>
            <w:tcW w:w="1420" w:type="dxa"/>
            <w:tcBorders>
              <w:bottom w:val="single" w:sz="8" w:space="0" w:color="4F81BD"/>
            </w:tcBorders>
            <w:noWrap/>
            <w:vAlign w:val="center"/>
          </w:tcPr>
          <w:p w:rsidR="009B075E" w:rsidRPr="0040541B" w:rsidRDefault="009B075E" w:rsidP="0040541B">
            <w:pPr>
              <w:spacing w:after="0" w:line="240" w:lineRule="auto"/>
              <w:jc w:val="center"/>
              <w:rPr>
                <w:rFonts w:ascii="Arial" w:hAnsi="Arial" w:cs="Arial"/>
                <w:sz w:val="20"/>
                <w:szCs w:val="20"/>
                <w:lang w:eastAsia="en-AU"/>
              </w:rPr>
            </w:pPr>
            <w:r w:rsidRPr="0040541B">
              <w:rPr>
                <w:rFonts w:ascii="Arial" w:hAnsi="Arial" w:cs="Arial"/>
                <w:sz w:val="20"/>
                <w:szCs w:val="20"/>
                <w:lang w:eastAsia="en-AU"/>
              </w:rPr>
              <w:t>11.7%</w:t>
            </w:r>
          </w:p>
        </w:tc>
      </w:tr>
    </w:tbl>
    <w:p w:rsidR="009B075E" w:rsidRPr="007356D4" w:rsidRDefault="009B075E">
      <w:pPr>
        <w:spacing w:after="0" w:line="240" w:lineRule="auto"/>
        <w:rPr>
          <w:rFonts w:ascii="Arial Narrow" w:hAnsi="Arial Narrow" w:cs="Arial"/>
          <w:bCs/>
          <w:sz w:val="16"/>
          <w:szCs w:val="16"/>
        </w:rPr>
      </w:pPr>
      <w:r w:rsidRPr="007356D4">
        <w:rPr>
          <w:rFonts w:ascii="Arial Narrow" w:hAnsi="Arial Narrow" w:cs="Arial"/>
          <w:bCs/>
          <w:sz w:val="16"/>
          <w:szCs w:val="16"/>
        </w:rPr>
        <w:t>Note: HSD Expenditure data by indication groupings is currently not available for 2010-11.</w:t>
      </w:r>
    </w:p>
    <w:p w:rsidR="008670E5" w:rsidRDefault="008670E5">
      <w:pPr>
        <w:spacing w:after="0" w:line="240" w:lineRule="auto"/>
        <w:rPr>
          <w:rFonts w:ascii="Arial" w:eastAsia="Times New Roman" w:hAnsi="Arial" w:cs="Arial"/>
          <w:b/>
          <w:bCs/>
          <w:color w:val="365F91"/>
          <w:sz w:val="24"/>
          <w:szCs w:val="24"/>
        </w:rPr>
      </w:pPr>
      <w:r>
        <w:rPr>
          <w:rFonts w:ascii="Arial" w:hAnsi="Arial" w:cs="Arial"/>
          <w:sz w:val="24"/>
          <w:szCs w:val="24"/>
        </w:rPr>
        <w:br w:type="page"/>
      </w:r>
    </w:p>
    <w:p w:rsidR="009B075E" w:rsidRPr="00292067" w:rsidRDefault="009B075E" w:rsidP="00292067">
      <w:pPr>
        <w:pStyle w:val="Heading1"/>
        <w:rPr>
          <w:rFonts w:ascii="Arial" w:hAnsi="Arial" w:cs="Arial"/>
          <w:sz w:val="24"/>
          <w:szCs w:val="24"/>
        </w:rPr>
      </w:pPr>
      <w:bookmarkStart w:id="84" w:name="_Toc357174845"/>
      <w:r w:rsidRPr="00292067">
        <w:rPr>
          <w:rFonts w:ascii="Arial" w:hAnsi="Arial" w:cs="Arial"/>
          <w:sz w:val="24"/>
          <w:szCs w:val="24"/>
        </w:rPr>
        <w:lastRenderedPageBreak/>
        <w:t>Conclusions</w:t>
      </w:r>
      <w:bookmarkEnd w:id="84"/>
    </w:p>
    <w:p w:rsidR="009B075E" w:rsidRDefault="009B075E" w:rsidP="00E81AE1">
      <w:pPr>
        <w:rPr>
          <w:rFonts w:ascii="Arial" w:hAnsi="Arial" w:cs="Arial"/>
        </w:rPr>
      </w:pPr>
      <w:r w:rsidRPr="00E505FE">
        <w:rPr>
          <w:rFonts w:ascii="Arial" w:hAnsi="Arial" w:cs="Arial"/>
        </w:rPr>
        <w:t>Based on the analysis</w:t>
      </w:r>
      <w:r>
        <w:rPr>
          <w:rFonts w:ascii="Arial" w:hAnsi="Arial" w:cs="Arial"/>
        </w:rPr>
        <w:t xml:space="preserve"> in this report</w:t>
      </w:r>
      <w:r w:rsidRPr="00E505FE">
        <w:rPr>
          <w:rFonts w:ascii="Arial" w:hAnsi="Arial" w:cs="Arial"/>
        </w:rPr>
        <w:t xml:space="preserve">, the DWG conclude that </w:t>
      </w:r>
      <w:r>
        <w:rPr>
          <w:rFonts w:ascii="Arial" w:hAnsi="Arial" w:cs="Arial"/>
        </w:rPr>
        <w:t xml:space="preserve">the ageing profile of the Australian population has a significant impact on </w:t>
      </w:r>
      <w:r w:rsidRPr="00E505FE">
        <w:rPr>
          <w:rFonts w:ascii="Arial" w:hAnsi="Arial" w:cs="Arial"/>
        </w:rPr>
        <w:t xml:space="preserve">PBS expenditure and growth.  This is demonstrated by the </w:t>
      </w:r>
      <w:r>
        <w:rPr>
          <w:rFonts w:ascii="Arial" w:hAnsi="Arial" w:cs="Arial"/>
        </w:rPr>
        <w:t xml:space="preserve">proportion of PBS expenditure and growth accounted for by patients aged 55 years and over and the increasing proportion of the population aged 55 years and over.  Linked to the ageing of the patient population, most older patients are concessional  </w:t>
      </w:r>
      <w:r w:rsidR="00BF31EB">
        <w:rPr>
          <w:rFonts w:ascii="Arial" w:hAnsi="Arial" w:cs="Arial"/>
        </w:rPr>
        <w:t>(</w:t>
      </w:r>
      <w:r w:rsidR="00C81F55">
        <w:rPr>
          <w:rFonts w:ascii="Arial" w:hAnsi="Arial" w:cs="Arial"/>
        </w:rPr>
        <w:t>90</w:t>
      </w:r>
      <w:r w:rsidR="00BF31EB">
        <w:rPr>
          <w:rFonts w:ascii="Arial" w:hAnsi="Arial" w:cs="Arial"/>
        </w:rPr>
        <w:t xml:space="preserve">% of </w:t>
      </w:r>
      <w:r w:rsidR="00C81F55">
        <w:rPr>
          <w:rFonts w:ascii="Arial" w:hAnsi="Arial" w:cs="Arial"/>
        </w:rPr>
        <w:t>patients</w:t>
      </w:r>
      <w:r w:rsidR="00BF31EB">
        <w:rPr>
          <w:rFonts w:ascii="Arial" w:hAnsi="Arial" w:cs="Arial"/>
        </w:rPr>
        <w:t xml:space="preserve"> aged 65 years </w:t>
      </w:r>
      <w:r w:rsidR="00C81F55">
        <w:rPr>
          <w:rFonts w:ascii="Arial" w:hAnsi="Arial" w:cs="Arial"/>
        </w:rPr>
        <w:t xml:space="preserve">and over </w:t>
      </w:r>
      <w:r w:rsidR="008C57DF">
        <w:rPr>
          <w:rFonts w:ascii="Arial" w:hAnsi="Arial" w:cs="Arial"/>
        </w:rPr>
        <w:t>were</w:t>
      </w:r>
      <w:r w:rsidR="00BF31EB">
        <w:rPr>
          <w:rFonts w:ascii="Arial" w:hAnsi="Arial" w:cs="Arial"/>
        </w:rPr>
        <w:t xml:space="preserve"> concessional</w:t>
      </w:r>
      <w:r w:rsidR="00C81F55">
        <w:rPr>
          <w:rFonts w:ascii="Arial" w:hAnsi="Arial" w:cs="Arial"/>
        </w:rPr>
        <w:t xml:space="preserve"> in 2010-11</w:t>
      </w:r>
      <w:r w:rsidR="008C57DF">
        <w:rPr>
          <w:rStyle w:val="FootnoteReference"/>
        </w:rPr>
        <w:footnoteReference w:id="33"/>
      </w:r>
      <w:r w:rsidR="00BF31EB">
        <w:rPr>
          <w:rFonts w:ascii="Arial" w:hAnsi="Arial" w:cs="Arial"/>
        </w:rPr>
        <w:t xml:space="preserve">) </w:t>
      </w:r>
      <w:r>
        <w:rPr>
          <w:rFonts w:ascii="Arial" w:hAnsi="Arial" w:cs="Arial"/>
        </w:rPr>
        <w:t>and the Government pays a higher proportion of the total cost of medicines for concessional patients</w:t>
      </w:r>
      <w:r w:rsidR="00BF31EB">
        <w:rPr>
          <w:rFonts w:ascii="Arial" w:hAnsi="Arial" w:cs="Arial"/>
        </w:rPr>
        <w:t xml:space="preserve"> (</w:t>
      </w:r>
      <w:r w:rsidR="00C81F55">
        <w:rPr>
          <w:rFonts w:ascii="Arial" w:hAnsi="Arial" w:cs="Arial"/>
        </w:rPr>
        <w:t>89</w:t>
      </w:r>
      <w:r w:rsidR="00BF31EB">
        <w:rPr>
          <w:rFonts w:ascii="Arial" w:hAnsi="Arial" w:cs="Arial"/>
        </w:rPr>
        <w:t xml:space="preserve">% </w:t>
      </w:r>
      <w:r w:rsidR="00C81F55">
        <w:rPr>
          <w:rFonts w:ascii="Arial" w:hAnsi="Arial" w:cs="Arial"/>
        </w:rPr>
        <w:t xml:space="preserve">for concessional patients as opposed to 69% for general patients </w:t>
      </w:r>
      <w:r w:rsidR="00BF31EB">
        <w:rPr>
          <w:rFonts w:ascii="Arial" w:hAnsi="Arial" w:cs="Arial"/>
        </w:rPr>
        <w:t>in 2010-11)</w:t>
      </w:r>
      <w:r>
        <w:rPr>
          <w:rFonts w:ascii="Arial" w:hAnsi="Arial" w:cs="Arial"/>
        </w:rPr>
        <w:t>.</w:t>
      </w:r>
      <w:r w:rsidRPr="00E505FE">
        <w:rPr>
          <w:rFonts w:ascii="Arial" w:hAnsi="Arial" w:cs="Arial"/>
        </w:rPr>
        <w:t xml:space="preserve">   </w:t>
      </w:r>
    </w:p>
    <w:p w:rsidR="009B075E" w:rsidRDefault="00C81F55" w:rsidP="00E81AE1">
      <w:pPr>
        <w:spacing w:after="120"/>
        <w:rPr>
          <w:rFonts w:ascii="Arial" w:hAnsi="Arial" w:cs="Arial"/>
        </w:rPr>
      </w:pPr>
      <w:r>
        <w:rPr>
          <w:rFonts w:ascii="Arial" w:hAnsi="Arial" w:cs="Arial"/>
        </w:rPr>
        <w:t xml:space="preserve">The </w:t>
      </w:r>
      <w:r w:rsidR="009B075E">
        <w:rPr>
          <w:rFonts w:ascii="Arial" w:hAnsi="Arial" w:cs="Arial"/>
        </w:rPr>
        <w:t>DWG notes t</w:t>
      </w:r>
      <w:r w:rsidR="009B075E" w:rsidRPr="00E505FE">
        <w:rPr>
          <w:rFonts w:ascii="Arial" w:hAnsi="Arial" w:cs="Arial"/>
        </w:rPr>
        <w:t xml:space="preserve">he significant impact of the change in volume of existing medicines </w:t>
      </w:r>
      <w:r w:rsidR="006530A5">
        <w:rPr>
          <w:rFonts w:ascii="Arial" w:hAnsi="Arial" w:cs="Arial"/>
        </w:rPr>
        <w:t xml:space="preserve">and new medicines in the four years after they were listed </w:t>
      </w:r>
      <w:r w:rsidR="009B075E">
        <w:rPr>
          <w:rFonts w:ascii="Arial" w:hAnsi="Arial" w:cs="Arial"/>
        </w:rPr>
        <w:t xml:space="preserve">on </w:t>
      </w:r>
      <w:r w:rsidR="006530A5">
        <w:rPr>
          <w:rFonts w:ascii="Arial" w:hAnsi="Arial" w:cs="Arial"/>
        </w:rPr>
        <w:t xml:space="preserve">changes in PBS </w:t>
      </w:r>
      <w:r w:rsidR="009B075E">
        <w:rPr>
          <w:rFonts w:ascii="Arial" w:hAnsi="Arial" w:cs="Arial"/>
        </w:rPr>
        <w:t xml:space="preserve">expenditure.  </w:t>
      </w:r>
      <w:r w:rsidR="009B075E" w:rsidRPr="00E505FE">
        <w:rPr>
          <w:rFonts w:ascii="Arial" w:hAnsi="Arial" w:cs="Arial"/>
        </w:rPr>
        <w:t xml:space="preserve">The high prevalence of chronic diseases among Australians together with the ageing of the population is likely to continue to increase the demand for prescription medicines in Australia.  Currently, </w:t>
      </w:r>
      <w:r w:rsidR="009B075E">
        <w:rPr>
          <w:rFonts w:ascii="Arial" w:hAnsi="Arial" w:cs="Arial"/>
        </w:rPr>
        <w:t>a</w:t>
      </w:r>
      <w:r w:rsidR="009B075E" w:rsidRPr="00E505FE">
        <w:rPr>
          <w:rFonts w:ascii="Arial" w:hAnsi="Arial" w:cs="Arial"/>
        </w:rPr>
        <w:t xml:space="preserve">ntineoplastics and immunomodulating agents, along with </w:t>
      </w:r>
      <w:r w:rsidR="002A4B6C">
        <w:rPr>
          <w:rFonts w:ascii="Arial" w:hAnsi="Arial" w:cs="Arial"/>
        </w:rPr>
        <w:t>medicines</w:t>
      </w:r>
      <w:r w:rsidR="002A4B6C" w:rsidRPr="00E505FE">
        <w:rPr>
          <w:rFonts w:ascii="Arial" w:hAnsi="Arial" w:cs="Arial"/>
        </w:rPr>
        <w:t xml:space="preserve"> </w:t>
      </w:r>
      <w:r w:rsidR="009B075E" w:rsidRPr="00E505FE">
        <w:rPr>
          <w:rFonts w:ascii="Arial" w:hAnsi="Arial" w:cs="Arial"/>
        </w:rPr>
        <w:t xml:space="preserve">that act on nervous system and sensory organs are the key contributors to PBS growth.  </w:t>
      </w:r>
    </w:p>
    <w:p w:rsidR="009B075E" w:rsidRDefault="009B075E" w:rsidP="00E81AE1">
      <w:pPr>
        <w:spacing w:after="120"/>
        <w:rPr>
          <w:rFonts w:ascii="Arial" w:hAnsi="Arial" w:cs="Arial"/>
        </w:rPr>
      </w:pPr>
      <w:r>
        <w:rPr>
          <w:rFonts w:ascii="Arial" w:hAnsi="Arial" w:cs="Arial"/>
        </w:rPr>
        <w:t xml:space="preserve">The combined impact of high disease prevalence and ageing of the population is further magnified by concessional entitlements. The majority of Australian patients accessing government subsidised medicines have concessional entitlements which allows them access to pharmaceuticals at highly subsidised rates ($5.80 in 2012).  As a result, the Government continues to pay a large share of expenditure </w:t>
      </w:r>
      <w:r w:rsidR="00C81F55">
        <w:rPr>
          <w:rFonts w:ascii="Arial" w:hAnsi="Arial" w:cs="Arial"/>
        </w:rPr>
        <w:t xml:space="preserve">for PBS subsidised medicines </w:t>
      </w:r>
      <w:r>
        <w:rPr>
          <w:rFonts w:ascii="Arial" w:hAnsi="Arial" w:cs="Arial"/>
        </w:rPr>
        <w:t>in Australia</w:t>
      </w:r>
      <w:r w:rsidR="00BF31EB">
        <w:rPr>
          <w:rFonts w:ascii="Arial" w:hAnsi="Arial" w:cs="Arial"/>
        </w:rPr>
        <w:t xml:space="preserve"> (</w:t>
      </w:r>
      <w:r w:rsidR="00C81F55">
        <w:rPr>
          <w:rFonts w:ascii="Arial" w:hAnsi="Arial" w:cs="Arial"/>
        </w:rPr>
        <w:t>84</w:t>
      </w:r>
      <w:r w:rsidR="00BF31EB">
        <w:rPr>
          <w:rFonts w:ascii="Arial" w:hAnsi="Arial" w:cs="Arial"/>
        </w:rPr>
        <w:t xml:space="preserve">% </w:t>
      </w:r>
      <w:r w:rsidR="00C81F55">
        <w:rPr>
          <w:rFonts w:ascii="Arial" w:hAnsi="Arial" w:cs="Arial"/>
        </w:rPr>
        <w:t xml:space="preserve">for general and concessional patients </w:t>
      </w:r>
      <w:r w:rsidR="00BF31EB">
        <w:rPr>
          <w:rFonts w:ascii="Arial" w:hAnsi="Arial" w:cs="Arial"/>
        </w:rPr>
        <w:t>in 2010-11)</w:t>
      </w:r>
      <w:r>
        <w:rPr>
          <w:rFonts w:ascii="Arial" w:hAnsi="Arial" w:cs="Arial"/>
        </w:rPr>
        <w:t>.</w:t>
      </w:r>
    </w:p>
    <w:p w:rsidR="0007303B" w:rsidDel="0007303B" w:rsidRDefault="00415B4A" w:rsidP="0007303B">
      <w:pPr>
        <w:rPr>
          <w:rFonts w:ascii="Arial" w:hAnsi="Arial" w:cs="Arial"/>
        </w:rPr>
      </w:pPr>
      <w:r>
        <w:rPr>
          <w:rFonts w:ascii="Arial" w:hAnsi="Arial" w:cs="Arial"/>
        </w:rPr>
        <w:t>As noted above, l</w:t>
      </w:r>
      <w:r w:rsidR="009B075E" w:rsidRPr="00E505FE">
        <w:rPr>
          <w:rFonts w:ascii="Arial" w:hAnsi="Arial" w:cs="Arial"/>
        </w:rPr>
        <w:t>isting</w:t>
      </w:r>
      <w:r w:rsidR="008209E9">
        <w:rPr>
          <w:rFonts w:ascii="Arial" w:hAnsi="Arial" w:cs="Arial"/>
        </w:rPr>
        <w:t>s</w:t>
      </w:r>
      <w:r w:rsidR="009B075E" w:rsidRPr="00E505FE">
        <w:rPr>
          <w:rFonts w:ascii="Arial" w:hAnsi="Arial" w:cs="Arial"/>
        </w:rPr>
        <w:t xml:space="preserve"> of new medicines</w:t>
      </w:r>
      <w:r w:rsidR="009B075E">
        <w:rPr>
          <w:rFonts w:ascii="Arial" w:hAnsi="Arial" w:cs="Arial"/>
        </w:rPr>
        <w:t xml:space="preserve"> along with increased usage of existing medicines </w:t>
      </w:r>
      <w:r w:rsidR="00EB4482">
        <w:rPr>
          <w:rFonts w:ascii="Arial" w:hAnsi="Arial" w:cs="Arial"/>
        </w:rPr>
        <w:t>are</w:t>
      </w:r>
      <w:r w:rsidR="009B075E">
        <w:rPr>
          <w:rFonts w:ascii="Arial" w:hAnsi="Arial" w:cs="Arial"/>
        </w:rPr>
        <w:t xml:space="preserve"> contributing to</w:t>
      </w:r>
      <w:r w:rsidR="008209E9">
        <w:rPr>
          <w:rFonts w:ascii="Arial" w:hAnsi="Arial" w:cs="Arial"/>
        </w:rPr>
        <w:t xml:space="preserve"> the</w:t>
      </w:r>
      <w:r w:rsidR="009B075E">
        <w:rPr>
          <w:rFonts w:ascii="Arial" w:hAnsi="Arial" w:cs="Arial"/>
        </w:rPr>
        <w:t xml:space="preserve"> increase</w:t>
      </w:r>
      <w:r w:rsidR="002060A8">
        <w:rPr>
          <w:rFonts w:ascii="Arial" w:hAnsi="Arial" w:cs="Arial"/>
        </w:rPr>
        <w:t>s</w:t>
      </w:r>
      <w:r w:rsidR="009B075E">
        <w:rPr>
          <w:rFonts w:ascii="Arial" w:hAnsi="Arial" w:cs="Arial"/>
        </w:rPr>
        <w:t xml:space="preserve"> in</w:t>
      </w:r>
      <w:r>
        <w:rPr>
          <w:rFonts w:ascii="Arial" w:hAnsi="Arial" w:cs="Arial"/>
        </w:rPr>
        <w:t xml:space="preserve"> PBS</w:t>
      </w:r>
      <w:r w:rsidR="009B075E">
        <w:rPr>
          <w:rFonts w:ascii="Arial" w:hAnsi="Arial" w:cs="Arial"/>
        </w:rPr>
        <w:t xml:space="preserve"> growth and expenditure.  This </w:t>
      </w:r>
      <w:r w:rsidR="00EB4482">
        <w:rPr>
          <w:rFonts w:ascii="Arial" w:hAnsi="Arial" w:cs="Arial"/>
        </w:rPr>
        <w:t>is</w:t>
      </w:r>
      <w:r w:rsidR="0007303B">
        <w:rPr>
          <w:rFonts w:ascii="Arial" w:hAnsi="Arial" w:cs="Arial"/>
        </w:rPr>
        <w:t xml:space="preserve"> </w:t>
      </w:r>
      <w:r w:rsidR="009B075E">
        <w:rPr>
          <w:rFonts w:ascii="Arial" w:hAnsi="Arial" w:cs="Arial"/>
        </w:rPr>
        <w:t xml:space="preserve">balanced to some extent by </w:t>
      </w:r>
      <w:r>
        <w:rPr>
          <w:rFonts w:ascii="Arial" w:hAnsi="Arial" w:cs="Arial"/>
        </w:rPr>
        <w:t xml:space="preserve">changes in the average cost to Government, which may reflect </w:t>
      </w:r>
      <w:r w:rsidR="009B075E" w:rsidRPr="00E505FE">
        <w:rPr>
          <w:rFonts w:ascii="Arial" w:hAnsi="Arial" w:cs="Arial"/>
        </w:rPr>
        <w:t xml:space="preserve">price changes instituted </w:t>
      </w:r>
      <w:r w:rsidR="009B075E">
        <w:rPr>
          <w:rFonts w:ascii="Arial" w:hAnsi="Arial" w:cs="Arial"/>
        </w:rPr>
        <w:t xml:space="preserve">by Government policies </w:t>
      </w:r>
      <w:r w:rsidR="00EB4482">
        <w:rPr>
          <w:rFonts w:ascii="Arial" w:hAnsi="Arial" w:cs="Arial"/>
        </w:rPr>
        <w:t>such as the</w:t>
      </w:r>
      <w:r w:rsidR="00CF696F">
        <w:rPr>
          <w:rFonts w:ascii="Arial" w:hAnsi="Arial" w:cs="Arial"/>
        </w:rPr>
        <w:t xml:space="preserve"> </w:t>
      </w:r>
      <w:r w:rsidR="00EB4482">
        <w:rPr>
          <w:rFonts w:ascii="Arial" w:hAnsi="Arial" w:cs="Arial"/>
        </w:rPr>
        <w:t>2007</w:t>
      </w:r>
      <w:r w:rsidR="009B075E" w:rsidRPr="00E505FE">
        <w:rPr>
          <w:rFonts w:ascii="Arial" w:hAnsi="Arial" w:cs="Arial"/>
        </w:rPr>
        <w:t xml:space="preserve"> PBS reforms</w:t>
      </w:r>
      <w:r w:rsidR="00EB4482">
        <w:rPr>
          <w:rFonts w:ascii="Arial" w:hAnsi="Arial" w:cs="Arial"/>
        </w:rPr>
        <w:t xml:space="preserve"> and the </w:t>
      </w:r>
      <w:r w:rsidR="008209E9">
        <w:rPr>
          <w:rFonts w:ascii="Arial" w:hAnsi="Arial" w:cs="Arial"/>
        </w:rPr>
        <w:t>2010 further</w:t>
      </w:r>
      <w:r w:rsidR="00EB4482">
        <w:rPr>
          <w:rFonts w:ascii="Arial" w:hAnsi="Arial" w:cs="Arial"/>
        </w:rPr>
        <w:t xml:space="preserve"> PBS reforms. Further analysis of the relative </w:t>
      </w:r>
      <w:r w:rsidR="00FE6E42">
        <w:rPr>
          <w:rFonts w:ascii="Arial" w:hAnsi="Arial" w:cs="Arial"/>
        </w:rPr>
        <w:t xml:space="preserve">impact </w:t>
      </w:r>
      <w:r w:rsidR="00EB4482">
        <w:rPr>
          <w:rFonts w:ascii="Arial" w:hAnsi="Arial" w:cs="Arial"/>
        </w:rPr>
        <w:t xml:space="preserve">of new listings and existing listings across a longer time period confirms this finding. </w:t>
      </w:r>
    </w:p>
    <w:p w:rsidR="009B075E" w:rsidRPr="00E505FE" w:rsidRDefault="009B075E" w:rsidP="00E81AE1">
      <w:pPr>
        <w:rPr>
          <w:rFonts w:ascii="Arial" w:hAnsi="Arial" w:cs="Arial"/>
        </w:rPr>
      </w:pPr>
      <w:r>
        <w:rPr>
          <w:rFonts w:ascii="Arial" w:hAnsi="Arial" w:cs="Arial"/>
        </w:rPr>
        <w:t xml:space="preserve">There are a number of welfare policies that have an impact on the eligibility and entitlements of individuals to subsidised PBS medicines; the DWG has made cursory attempts to examine some of these policies but the complexity of relationships and lack of data </w:t>
      </w:r>
      <w:r w:rsidR="0048360F">
        <w:rPr>
          <w:rFonts w:ascii="Arial" w:hAnsi="Arial" w:cs="Arial"/>
        </w:rPr>
        <w:t>remain</w:t>
      </w:r>
      <w:r w:rsidR="00C31A1C">
        <w:rPr>
          <w:rFonts w:ascii="Arial" w:hAnsi="Arial" w:cs="Arial"/>
        </w:rPr>
        <w:t>s</w:t>
      </w:r>
      <w:r w:rsidR="0048360F">
        <w:rPr>
          <w:rFonts w:ascii="Arial" w:hAnsi="Arial" w:cs="Arial"/>
        </w:rPr>
        <w:t xml:space="preserve"> </w:t>
      </w:r>
      <w:r w:rsidR="004571C3">
        <w:rPr>
          <w:rFonts w:ascii="Arial" w:hAnsi="Arial" w:cs="Arial"/>
        </w:rPr>
        <w:t>a challenge</w:t>
      </w:r>
      <w:r>
        <w:rPr>
          <w:rFonts w:ascii="Arial" w:hAnsi="Arial" w:cs="Arial"/>
        </w:rPr>
        <w:t xml:space="preserve">. </w:t>
      </w:r>
    </w:p>
    <w:p w:rsidR="0048360F" w:rsidRDefault="009B075E" w:rsidP="002356AE">
      <w:pPr>
        <w:spacing w:before="120" w:after="120"/>
        <w:rPr>
          <w:rFonts w:ascii="Arial" w:hAnsi="Arial" w:cs="Arial"/>
        </w:rPr>
      </w:pPr>
      <w:r>
        <w:rPr>
          <w:rFonts w:ascii="Arial" w:hAnsi="Arial" w:cs="Arial"/>
        </w:rPr>
        <w:t xml:space="preserve">DWG further notes that the F2 formulary is currently driving growth in PBS expenditure and that the </w:t>
      </w:r>
      <w:r w:rsidRPr="00527928">
        <w:rPr>
          <w:rFonts w:ascii="Arial" w:hAnsi="Arial" w:cs="Arial"/>
        </w:rPr>
        <w:t>split in government expenditure of F1 and F2 are</w:t>
      </w:r>
      <w:r>
        <w:rPr>
          <w:rFonts w:ascii="Arial" w:hAnsi="Arial" w:cs="Arial"/>
          <w:sz w:val="20"/>
          <w:szCs w:val="20"/>
        </w:rPr>
        <w:t xml:space="preserve"> </w:t>
      </w:r>
      <w:r w:rsidRPr="00527928">
        <w:rPr>
          <w:rFonts w:ascii="Arial" w:hAnsi="Arial" w:cs="Arial"/>
        </w:rPr>
        <w:t>constant over time</w:t>
      </w:r>
      <w:r w:rsidRPr="00BE4DEA">
        <w:rPr>
          <w:rFonts w:ascii="Arial" w:hAnsi="Arial" w:cs="Arial"/>
        </w:rPr>
        <w:t xml:space="preserve">. </w:t>
      </w:r>
      <w:r w:rsidR="009950B2">
        <w:rPr>
          <w:rFonts w:ascii="Arial" w:hAnsi="Arial" w:cs="Arial"/>
        </w:rPr>
        <w:t xml:space="preserve">The </w:t>
      </w:r>
      <w:r w:rsidR="002B60CA">
        <w:rPr>
          <w:rFonts w:ascii="Arial" w:hAnsi="Arial" w:cs="Arial"/>
        </w:rPr>
        <w:t xml:space="preserve">F1 formulary’s contribution to growth should be seen in the context of </w:t>
      </w:r>
      <w:r>
        <w:rPr>
          <w:rFonts w:ascii="Arial" w:hAnsi="Arial" w:cs="Arial"/>
        </w:rPr>
        <w:t xml:space="preserve">the rebated prices </w:t>
      </w:r>
      <w:r w:rsidR="00415B4A">
        <w:rPr>
          <w:rFonts w:ascii="Arial" w:hAnsi="Arial" w:cs="Arial"/>
        </w:rPr>
        <w:t xml:space="preserve">for some medicines </w:t>
      </w:r>
      <w:r>
        <w:rPr>
          <w:rFonts w:ascii="Arial" w:hAnsi="Arial" w:cs="Arial"/>
        </w:rPr>
        <w:t xml:space="preserve">as a result of the special pricing arrangements in place.  </w:t>
      </w:r>
      <w:r w:rsidR="002B60CA">
        <w:rPr>
          <w:rFonts w:ascii="Arial" w:hAnsi="Arial" w:cs="Arial"/>
        </w:rPr>
        <w:t xml:space="preserve">Although the special pricing arrangements do not impact the administered PBS cost </w:t>
      </w:r>
      <w:r w:rsidR="003D7743">
        <w:rPr>
          <w:rFonts w:ascii="Arial" w:hAnsi="Arial" w:cs="Arial"/>
        </w:rPr>
        <w:t>directly</w:t>
      </w:r>
      <w:r w:rsidR="00AB77CF">
        <w:rPr>
          <w:rFonts w:ascii="Arial" w:hAnsi="Arial" w:cs="Arial"/>
        </w:rPr>
        <w:t>,</w:t>
      </w:r>
      <w:r w:rsidR="003D7743">
        <w:rPr>
          <w:rFonts w:ascii="Arial" w:hAnsi="Arial" w:cs="Arial"/>
        </w:rPr>
        <w:t xml:space="preserve"> </w:t>
      </w:r>
      <w:r w:rsidR="002B60CA">
        <w:rPr>
          <w:rFonts w:ascii="Arial" w:hAnsi="Arial" w:cs="Arial"/>
        </w:rPr>
        <w:t>they do impact</w:t>
      </w:r>
      <w:r w:rsidR="00415B4A">
        <w:rPr>
          <w:rFonts w:ascii="Arial" w:hAnsi="Arial" w:cs="Arial"/>
        </w:rPr>
        <w:t>, to a small degree,</w:t>
      </w:r>
      <w:r w:rsidR="002B60CA">
        <w:rPr>
          <w:rFonts w:ascii="Arial" w:hAnsi="Arial" w:cs="Arial"/>
        </w:rPr>
        <w:t xml:space="preserve"> </w:t>
      </w:r>
      <w:r w:rsidR="003D7743">
        <w:rPr>
          <w:rFonts w:ascii="Arial" w:hAnsi="Arial" w:cs="Arial"/>
        </w:rPr>
        <w:t>overall Government expenditure on the PBS indirectly</w:t>
      </w:r>
      <w:r w:rsidR="002B60CA">
        <w:rPr>
          <w:rFonts w:ascii="Arial" w:hAnsi="Arial" w:cs="Arial"/>
        </w:rPr>
        <w:t xml:space="preserve">.  </w:t>
      </w:r>
    </w:p>
    <w:p w:rsidR="0007303B" w:rsidRDefault="009B075E" w:rsidP="008319B8">
      <w:pPr>
        <w:spacing w:before="120" w:after="120"/>
        <w:rPr>
          <w:rFonts w:ascii="Arial" w:hAnsi="Arial" w:cs="Arial"/>
        </w:rPr>
      </w:pPr>
      <w:r w:rsidRPr="00BE4DEA">
        <w:rPr>
          <w:rFonts w:ascii="Arial" w:hAnsi="Arial" w:cs="Arial"/>
        </w:rPr>
        <w:t xml:space="preserve">Based on DWG analysis, medicines on the F2 formulary contributed to nearly half of all the change in PBS expenditure and two-thirds of the change in </w:t>
      </w:r>
      <w:r>
        <w:rPr>
          <w:rFonts w:ascii="Arial" w:hAnsi="Arial" w:cs="Arial"/>
        </w:rPr>
        <w:t xml:space="preserve">the </w:t>
      </w:r>
      <w:r w:rsidRPr="00BE4DEA">
        <w:rPr>
          <w:rFonts w:ascii="Arial" w:hAnsi="Arial" w:cs="Arial"/>
        </w:rPr>
        <w:t xml:space="preserve">volume of PBS medicines in 2010-11.  </w:t>
      </w:r>
      <w:r w:rsidR="008319B8">
        <w:rPr>
          <w:rFonts w:ascii="Arial" w:hAnsi="Arial" w:cs="Arial"/>
        </w:rPr>
        <w:t xml:space="preserve">Further </w:t>
      </w:r>
      <w:r w:rsidR="008319B8" w:rsidRPr="00BE4DEA">
        <w:rPr>
          <w:rFonts w:ascii="Arial" w:hAnsi="Arial" w:cs="Arial"/>
        </w:rPr>
        <w:t xml:space="preserve">analysis </w:t>
      </w:r>
      <w:r w:rsidR="008319B8">
        <w:rPr>
          <w:rFonts w:ascii="Arial" w:hAnsi="Arial" w:cs="Arial"/>
        </w:rPr>
        <w:t>suggests</w:t>
      </w:r>
      <w:r w:rsidR="008319B8" w:rsidRPr="00BE4DEA">
        <w:rPr>
          <w:rFonts w:ascii="Arial" w:hAnsi="Arial" w:cs="Arial"/>
        </w:rPr>
        <w:t xml:space="preserve"> that the </w:t>
      </w:r>
      <w:r w:rsidR="008319B8">
        <w:rPr>
          <w:rFonts w:ascii="Arial" w:hAnsi="Arial" w:cs="Arial"/>
        </w:rPr>
        <w:t xml:space="preserve">2007 </w:t>
      </w:r>
      <w:r w:rsidR="008319B8" w:rsidRPr="00BE4DEA">
        <w:rPr>
          <w:rFonts w:ascii="Arial" w:hAnsi="Arial" w:cs="Arial"/>
        </w:rPr>
        <w:t xml:space="preserve">PBS reforms </w:t>
      </w:r>
      <w:r w:rsidR="008319B8">
        <w:rPr>
          <w:rFonts w:ascii="Arial" w:hAnsi="Arial" w:cs="Arial"/>
        </w:rPr>
        <w:t xml:space="preserve">had a negative impact on costs per script in the F2 formulary in 2008-09 (falling by 5%).  However, </w:t>
      </w:r>
      <w:r w:rsidR="0007303B">
        <w:rPr>
          <w:rFonts w:ascii="Arial" w:hAnsi="Arial" w:cs="Arial"/>
        </w:rPr>
        <w:t xml:space="preserve">since then </w:t>
      </w:r>
      <w:r w:rsidR="008319B8">
        <w:rPr>
          <w:rFonts w:ascii="Arial" w:hAnsi="Arial" w:cs="Arial"/>
        </w:rPr>
        <w:t xml:space="preserve">the </w:t>
      </w:r>
      <w:r w:rsidR="008319B8" w:rsidRPr="00BE4DEA">
        <w:rPr>
          <w:rFonts w:ascii="Arial" w:hAnsi="Arial" w:cs="Arial"/>
        </w:rPr>
        <w:t xml:space="preserve">average </w:t>
      </w:r>
      <w:r w:rsidR="008319B8">
        <w:rPr>
          <w:rFonts w:ascii="Arial" w:hAnsi="Arial" w:cs="Arial"/>
        </w:rPr>
        <w:t xml:space="preserve">growth in Government </w:t>
      </w:r>
      <w:r w:rsidR="008319B8" w:rsidRPr="00BE4DEA">
        <w:rPr>
          <w:rFonts w:ascii="Arial" w:hAnsi="Arial" w:cs="Arial"/>
        </w:rPr>
        <w:t xml:space="preserve">cost per script for medicines </w:t>
      </w:r>
      <w:r w:rsidR="008319B8">
        <w:rPr>
          <w:rFonts w:ascii="Arial" w:hAnsi="Arial" w:cs="Arial"/>
        </w:rPr>
        <w:t>in the</w:t>
      </w:r>
      <w:r w:rsidR="008319B8" w:rsidRPr="00BE4DEA">
        <w:rPr>
          <w:rFonts w:ascii="Arial" w:hAnsi="Arial" w:cs="Arial"/>
        </w:rPr>
        <w:t xml:space="preserve"> F</w:t>
      </w:r>
      <w:r w:rsidR="008319B8">
        <w:rPr>
          <w:rFonts w:ascii="Arial" w:hAnsi="Arial" w:cs="Arial"/>
        </w:rPr>
        <w:t>2</w:t>
      </w:r>
      <w:r w:rsidR="008319B8" w:rsidRPr="00BE4DEA">
        <w:rPr>
          <w:rFonts w:ascii="Arial" w:hAnsi="Arial" w:cs="Arial"/>
        </w:rPr>
        <w:t xml:space="preserve"> formulary</w:t>
      </w:r>
      <w:r w:rsidR="008319B8">
        <w:rPr>
          <w:rFonts w:ascii="Arial" w:hAnsi="Arial" w:cs="Arial"/>
        </w:rPr>
        <w:t xml:space="preserve"> has remained fairly stable.  </w:t>
      </w:r>
    </w:p>
    <w:p w:rsidR="00A57852" w:rsidRDefault="008319B8" w:rsidP="008319B8">
      <w:pPr>
        <w:spacing w:before="120" w:after="120"/>
        <w:rPr>
          <w:rFonts w:ascii="Arial" w:hAnsi="Arial" w:cs="Arial"/>
        </w:rPr>
      </w:pPr>
      <w:r>
        <w:rPr>
          <w:rFonts w:ascii="Arial" w:hAnsi="Arial" w:cs="Arial"/>
        </w:rPr>
        <w:lastRenderedPageBreak/>
        <w:t>The DWG also noted that the average Government cost per F1 script remains higher than F2 scripts</w:t>
      </w:r>
      <w:r w:rsidR="00705B50">
        <w:rPr>
          <w:rFonts w:ascii="Arial" w:hAnsi="Arial" w:cs="Arial"/>
        </w:rPr>
        <w:t xml:space="preserve"> ($71 compared to $21 in 2010-11</w:t>
      </w:r>
      <w:r w:rsidR="00246DC5">
        <w:rPr>
          <w:rFonts w:ascii="Arial" w:hAnsi="Arial" w:cs="Arial"/>
        </w:rPr>
        <w:t xml:space="preserve"> </w:t>
      </w:r>
      <w:r w:rsidR="00705B50">
        <w:rPr>
          <w:rFonts w:ascii="Arial" w:hAnsi="Arial" w:cs="Arial"/>
        </w:rPr>
        <w:t xml:space="preserve">- </w:t>
      </w:r>
      <w:r w:rsidR="0007303B">
        <w:rPr>
          <w:rFonts w:ascii="Arial" w:hAnsi="Arial" w:cs="Arial"/>
        </w:rPr>
        <w:t>t</w:t>
      </w:r>
      <w:r>
        <w:rPr>
          <w:rFonts w:ascii="Arial" w:hAnsi="Arial" w:cs="Arial"/>
        </w:rPr>
        <w:t xml:space="preserve">his is </w:t>
      </w:r>
      <w:r w:rsidR="00705B50">
        <w:rPr>
          <w:rFonts w:ascii="Arial" w:hAnsi="Arial" w:cs="Arial"/>
        </w:rPr>
        <w:t>not unexpected</w:t>
      </w:r>
      <w:r>
        <w:rPr>
          <w:rFonts w:ascii="Arial" w:hAnsi="Arial" w:cs="Arial"/>
        </w:rPr>
        <w:t xml:space="preserve"> given F1 and F2 medicines exist in different markets with </w:t>
      </w:r>
      <w:r w:rsidR="00B62B86">
        <w:rPr>
          <w:rFonts w:ascii="Arial" w:hAnsi="Arial" w:cs="Arial"/>
        </w:rPr>
        <w:t>separate</w:t>
      </w:r>
      <w:r>
        <w:rPr>
          <w:rFonts w:ascii="Arial" w:hAnsi="Arial" w:cs="Arial"/>
        </w:rPr>
        <w:t xml:space="preserve"> pricing mechanisms</w:t>
      </w:r>
      <w:r>
        <w:rPr>
          <w:rStyle w:val="FootnoteReference"/>
          <w:rFonts w:ascii="Arial" w:hAnsi="Arial" w:cs="Arial"/>
        </w:rPr>
        <w:footnoteReference w:id="34"/>
      </w:r>
      <w:r w:rsidR="0007303B">
        <w:rPr>
          <w:rFonts w:ascii="Arial" w:hAnsi="Arial" w:cs="Arial"/>
        </w:rPr>
        <w:t>)</w:t>
      </w:r>
      <w:r>
        <w:rPr>
          <w:rFonts w:ascii="Arial" w:hAnsi="Arial" w:cs="Arial"/>
        </w:rPr>
        <w:t xml:space="preserve">.  </w:t>
      </w:r>
    </w:p>
    <w:p w:rsidR="008319B8" w:rsidRDefault="008319B8" w:rsidP="008319B8">
      <w:pPr>
        <w:spacing w:before="120" w:after="120"/>
        <w:rPr>
          <w:rFonts w:ascii="Arial" w:hAnsi="Arial" w:cs="Arial"/>
        </w:rPr>
      </w:pPr>
      <w:r>
        <w:rPr>
          <w:rFonts w:ascii="Arial" w:hAnsi="Arial" w:cs="Arial"/>
        </w:rPr>
        <w:t xml:space="preserve">Although falling, F1 medicines continue to contribute </w:t>
      </w:r>
      <w:r w:rsidR="00A57852">
        <w:rPr>
          <w:rFonts w:ascii="Arial" w:hAnsi="Arial" w:cs="Arial"/>
        </w:rPr>
        <w:t xml:space="preserve">a </w:t>
      </w:r>
      <w:r w:rsidR="0007303B">
        <w:rPr>
          <w:rFonts w:ascii="Arial" w:hAnsi="Arial" w:cs="Arial"/>
        </w:rPr>
        <w:t>significant</w:t>
      </w:r>
      <w:r w:rsidR="00A57852">
        <w:rPr>
          <w:rFonts w:ascii="Arial" w:hAnsi="Arial" w:cs="Arial"/>
        </w:rPr>
        <w:t xml:space="preserve"> minority of</w:t>
      </w:r>
      <w:r w:rsidR="003E5105">
        <w:rPr>
          <w:rFonts w:ascii="Arial" w:hAnsi="Arial" w:cs="Arial"/>
        </w:rPr>
        <w:t xml:space="preserve"> </w:t>
      </w:r>
      <w:r>
        <w:rPr>
          <w:rFonts w:ascii="Arial" w:hAnsi="Arial" w:cs="Arial"/>
        </w:rPr>
        <w:t xml:space="preserve">PBS expenditure growth </w:t>
      </w:r>
      <w:r w:rsidR="00B62B86">
        <w:rPr>
          <w:rFonts w:ascii="Arial" w:hAnsi="Arial" w:cs="Arial"/>
        </w:rPr>
        <w:t>(</w:t>
      </w:r>
      <w:r>
        <w:rPr>
          <w:rFonts w:ascii="Arial" w:hAnsi="Arial" w:cs="Arial"/>
        </w:rPr>
        <w:t>26%</w:t>
      </w:r>
      <w:r w:rsidR="00B62B86">
        <w:rPr>
          <w:rFonts w:ascii="Arial" w:hAnsi="Arial" w:cs="Arial"/>
        </w:rPr>
        <w:t xml:space="preserve"> in 2010-11</w:t>
      </w:r>
      <w:r>
        <w:rPr>
          <w:rFonts w:ascii="Arial" w:hAnsi="Arial" w:cs="Arial"/>
        </w:rPr>
        <w:t>, down from 68% in 2009-10) while F1 scripts contributed to 5% of total PBS script growth</w:t>
      </w:r>
      <w:r w:rsidR="00B62B86">
        <w:rPr>
          <w:rFonts w:ascii="Arial" w:hAnsi="Arial" w:cs="Arial"/>
        </w:rPr>
        <w:t xml:space="preserve"> in </w:t>
      </w:r>
      <w:r w:rsidR="00705B50">
        <w:rPr>
          <w:rFonts w:ascii="Arial" w:hAnsi="Arial" w:cs="Arial"/>
        </w:rPr>
        <w:t>2010-11 (down from 51% in 2009-10)</w:t>
      </w:r>
      <w:r>
        <w:rPr>
          <w:rFonts w:ascii="Arial" w:hAnsi="Arial" w:cs="Arial"/>
        </w:rPr>
        <w:t xml:space="preserve">. </w:t>
      </w:r>
    </w:p>
    <w:p w:rsidR="00F66113" w:rsidRPr="00571897" w:rsidRDefault="009B075E" w:rsidP="00F66113">
      <w:pPr>
        <w:spacing w:before="120" w:after="120"/>
        <w:rPr>
          <w:rFonts w:ascii="Arial" w:hAnsi="Arial" w:cs="Arial"/>
        </w:rPr>
      </w:pPr>
      <w:r w:rsidRPr="00C31A1C">
        <w:rPr>
          <w:rFonts w:ascii="Arial" w:hAnsi="Arial" w:cs="Arial"/>
        </w:rPr>
        <w:t xml:space="preserve">DWG also notes that wholesale and pharmacy remuneration </w:t>
      </w:r>
      <w:r w:rsidR="00571897" w:rsidRPr="00C31A1C">
        <w:rPr>
          <w:rFonts w:ascii="Arial" w:hAnsi="Arial" w:cs="Arial"/>
        </w:rPr>
        <w:t xml:space="preserve">has the potential to contribute to </w:t>
      </w:r>
      <w:r w:rsidRPr="00C31A1C">
        <w:rPr>
          <w:rFonts w:ascii="Arial" w:hAnsi="Arial" w:cs="Arial"/>
        </w:rPr>
        <w:t xml:space="preserve">PBS S85 expenditure. </w:t>
      </w:r>
      <w:r w:rsidR="008A36BF" w:rsidRPr="00C31A1C">
        <w:rPr>
          <w:rFonts w:ascii="Arial" w:hAnsi="Arial" w:cs="Arial"/>
        </w:rPr>
        <w:t>For instance, in</w:t>
      </w:r>
      <w:r w:rsidRPr="00C31A1C">
        <w:rPr>
          <w:rFonts w:ascii="Arial" w:hAnsi="Arial" w:cs="Arial"/>
        </w:rPr>
        <w:t xml:space="preserve"> </w:t>
      </w:r>
      <w:r w:rsidR="00B62C57" w:rsidRPr="00C31A1C">
        <w:rPr>
          <w:rFonts w:ascii="Arial" w:hAnsi="Arial" w:cs="Arial"/>
        </w:rPr>
        <w:t>2008-09</w:t>
      </w:r>
      <w:r w:rsidRPr="00C31A1C">
        <w:rPr>
          <w:rFonts w:ascii="Arial" w:hAnsi="Arial" w:cs="Arial"/>
        </w:rPr>
        <w:t>, supply chain remuneration accounted for nearly two-fifths (39%) of all the growth in PBS expenditure.</w:t>
      </w:r>
      <w:r w:rsidR="00571897">
        <w:rPr>
          <w:rFonts w:ascii="Arial" w:hAnsi="Arial" w:cs="Arial"/>
        </w:rPr>
        <w:t xml:space="preserve"> </w:t>
      </w:r>
      <w:r>
        <w:rPr>
          <w:rFonts w:ascii="Arial" w:hAnsi="Arial" w:cs="Arial"/>
        </w:rPr>
        <w:t xml:space="preserve"> </w:t>
      </w:r>
    </w:p>
    <w:p w:rsidR="009B075E" w:rsidRDefault="00F66113" w:rsidP="002356AE">
      <w:pPr>
        <w:spacing w:before="120" w:after="120"/>
        <w:rPr>
          <w:rFonts w:ascii="Arial" w:hAnsi="Arial" w:cs="Arial"/>
        </w:rPr>
      </w:pPr>
      <w:r w:rsidRPr="00C31A1C">
        <w:rPr>
          <w:rFonts w:ascii="Arial" w:hAnsi="Arial" w:cs="Arial"/>
        </w:rPr>
        <w:t>The DWG will continue to monitor the impact of indexed dispensing fee (ready prepared), the wholesale and pharmacy retail markups on overall PBS expenditure and growth over time.</w:t>
      </w:r>
      <w:r>
        <w:rPr>
          <w:rFonts w:ascii="Arial" w:hAnsi="Arial" w:cs="Arial"/>
        </w:rPr>
        <w:t xml:space="preserve">    </w:t>
      </w:r>
    </w:p>
    <w:p w:rsidR="009B075E" w:rsidRDefault="009B075E" w:rsidP="00E81AE1">
      <w:pPr>
        <w:spacing w:after="120"/>
        <w:rPr>
          <w:rFonts w:ascii="Arial" w:hAnsi="Arial" w:cs="Arial"/>
        </w:rPr>
      </w:pPr>
      <w:r>
        <w:rPr>
          <w:rFonts w:ascii="Arial" w:hAnsi="Arial" w:cs="Arial"/>
        </w:rPr>
        <w:t xml:space="preserve">Overall, the DWG concludes that following key drivers of PBS expenditure should be </w:t>
      </w:r>
      <w:r w:rsidR="0048360F">
        <w:rPr>
          <w:rFonts w:ascii="Arial" w:hAnsi="Arial" w:cs="Arial"/>
        </w:rPr>
        <w:t xml:space="preserve">analysed </w:t>
      </w:r>
      <w:r w:rsidR="00126F5A">
        <w:rPr>
          <w:rFonts w:ascii="Arial" w:hAnsi="Arial" w:cs="Arial"/>
        </w:rPr>
        <w:t xml:space="preserve">and reported </w:t>
      </w:r>
      <w:r w:rsidR="0048360F">
        <w:rPr>
          <w:rFonts w:ascii="Arial" w:hAnsi="Arial" w:cs="Arial"/>
        </w:rPr>
        <w:t xml:space="preserve">with policy context </w:t>
      </w:r>
      <w:r w:rsidR="00126F5A">
        <w:rPr>
          <w:rFonts w:ascii="Arial" w:hAnsi="Arial" w:cs="Arial"/>
        </w:rPr>
        <w:t xml:space="preserve">on </w:t>
      </w:r>
      <w:r w:rsidR="002356AE">
        <w:rPr>
          <w:rFonts w:ascii="Arial" w:hAnsi="Arial" w:cs="Arial"/>
        </w:rPr>
        <w:t xml:space="preserve">a </w:t>
      </w:r>
      <w:r>
        <w:rPr>
          <w:rFonts w:ascii="Arial" w:hAnsi="Arial" w:cs="Arial"/>
        </w:rPr>
        <w:t>regular</w:t>
      </w:r>
      <w:r w:rsidR="002356AE">
        <w:rPr>
          <w:rFonts w:ascii="Arial" w:hAnsi="Arial" w:cs="Arial"/>
        </w:rPr>
        <w:t xml:space="preserve"> basis to the AMWG:</w:t>
      </w:r>
      <w:r>
        <w:rPr>
          <w:rFonts w:ascii="Arial" w:hAnsi="Arial" w:cs="Arial"/>
        </w:rPr>
        <w:t xml:space="preserve"> </w:t>
      </w:r>
    </w:p>
    <w:p w:rsidR="0048360F" w:rsidRDefault="0048360F" w:rsidP="0098384D">
      <w:pPr>
        <w:pStyle w:val="ListParagraph"/>
        <w:numPr>
          <w:ilvl w:val="0"/>
          <w:numId w:val="7"/>
        </w:numPr>
        <w:spacing w:before="120" w:after="120"/>
        <w:ind w:left="426" w:hanging="426"/>
        <w:rPr>
          <w:rFonts w:ascii="Arial" w:hAnsi="Arial" w:cs="Arial"/>
        </w:rPr>
      </w:pPr>
      <w:r w:rsidRPr="000D36B2">
        <w:rPr>
          <w:rFonts w:ascii="Arial" w:hAnsi="Arial" w:cs="Arial"/>
        </w:rPr>
        <w:t xml:space="preserve">ageing of the Australian population and in particular the PBS medicines usage in </w:t>
      </w:r>
      <w:r>
        <w:rPr>
          <w:rFonts w:ascii="Arial" w:hAnsi="Arial" w:cs="Arial"/>
        </w:rPr>
        <w:t>older Australians;</w:t>
      </w:r>
    </w:p>
    <w:p w:rsidR="0048360F" w:rsidRDefault="0048360F" w:rsidP="0098384D">
      <w:pPr>
        <w:pStyle w:val="ListParagraph"/>
        <w:numPr>
          <w:ilvl w:val="0"/>
          <w:numId w:val="7"/>
        </w:numPr>
        <w:spacing w:before="120" w:after="120"/>
        <w:ind w:left="426" w:hanging="426"/>
        <w:rPr>
          <w:rFonts w:ascii="Arial" w:hAnsi="Arial" w:cs="Arial"/>
        </w:rPr>
      </w:pPr>
      <w:r w:rsidRPr="000D36B2">
        <w:rPr>
          <w:rFonts w:ascii="Arial" w:hAnsi="Arial" w:cs="Arial"/>
        </w:rPr>
        <w:t>price changes – both policy related or otherwise</w:t>
      </w:r>
      <w:r w:rsidR="00BF31EB">
        <w:rPr>
          <w:rFonts w:ascii="Arial" w:hAnsi="Arial" w:cs="Arial"/>
        </w:rPr>
        <w:t xml:space="preserve"> (including the impact of successive Price Disclosure rounds)</w:t>
      </w:r>
      <w:r w:rsidRPr="000D36B2">
        <w:rPr>
          <w:rFonts w:ascii="Arial" w:hAnsi="Arial" w:cs="Arial"/>
        </w:rPr>
        <w:t>;</w:t>
      </w:r>
    </w:p>
    <w:p w:rsidR="0048360F" w:rsidRPr="000D36B2" w:rsidRDefault="0048360F" w:rsidP="0098384D">
      <w:pPr>
        <w:pStyle w:val="ListParagraph"/>
        <w:numPr>
          <w:ilvl w:val="0"/>
          <w:numId w:val="7"/>
        </w:numPr>
        <w:spacing w:before="120" w:after="120"/>
        <w:ind w:left="426" w:hanging="426"/>
        <w:rPr>
          <w:rFonts w:ascii="Arial" w:hAnsi="Arial" w:cs="Arial"/>
        </w:rPr>
      </w:pPr>
      <w:r w:rsidRPr="000D36B2">
        <w:rPr>
          <w:rFonts w:ascii="Arial" w:hAnsi="Arial" w:cs="Arial"/>
        </w:rPr>
        <w:t>the overall disease burden, in particular of chronic diseases and age related diseases such as neurological and sense disorders;</w:t>
      </w:r>
    </w:p>
    <w:p w:rsidR="0048360F" w:rsidRDefault="0048360F" w:rsidP="0098384D">
      <w:pPr>
        <w:pStyle w:val="ListParagraph"/>
        <w:numPr>
          <w:ilvl w:val="0"/>
          <w:numId w:val="7"/>
        </w:numPr>
        <w:spacing w:before="120" w:after="120"/>
        <w:ind w:left="426" w:hanging="426"/>
        <w:rPr>
          <w:rFonts w:ascii="Arial" w:hAnsi="Arial" w:cs="Arial"/>
        </w:rPr>
      </w:pPr>
      <w:r>
        <w:rPr>
          <w:rFonts w:ascii="Arial" w:hAnsi="Arial" w:cs="Arial"/>
        </w:rPr>
        <w:t>usage of</w:t>
      </w:r>
      <w:r w:rsidRPr="00DD05CF">
        <w:rPr>
          <w:rFonts w:ascii="Arial" w:hAnsi="Arial" w:cs="Arial"/>
        </w:rPr>
        <w:t xml:space="preserve"> existing and new medicines</w:t>
      </w:r>
      <w:r>
        <w:rPr>
          <w:rFonts w:ascii="Arial" w:hAnsi="Arial" w:cs="Arial"/>
        </w:rPr>
        <w:t>; and</w:t>
      </w:r>
    </w:p>
    <w:p w:rsidR="0048360F" w:rsidRPr="00473091" w:rsidRDefault="0048360F" w:rsidP="0098384D">
      <w:pPr>
        <w:pStyle w:val="ListParagraph"/>
        <w:numPr>
          <w:ilvl w:val="0"/>
          <w:numId w:val="7"/>
        </w:numPr>
        <w:spacing w:before="120" w:after="120"/>
        <w:ind w:left="426" w:hanging="426"/>
        <w:rPr>
          <w:rFonts w:ascii="Arial" w:hAnsi="Arial" w:cs="Arial"/>
        </w:rPr>
      </w:pPr>
      <w:r>
        <w:rPr>
          <w:rFonts w:ascii="Arial" w:hAnsi="Arial" w:cs="Arial"/>
        </w:rPr>
        <w:t xml:space="preserve">Highly </w:t>
      </w:r>
      <w:r w:rsidR="00BF31EB">
        <w:rPr>
          <w:rFonts w:ascii="Arial" w:hAnsi="Arial" w:cs="Arial"/>
        </w:rPr>
        <w:t xml:space="preserve">Specialised Drugs </w:t>
      </w:r>
      <w:r w:rsidR="00A57852">
        <w:rPr>
          <w:rFonts w:ascii="Arial" w:hAnsi="Arial" w:cs="Arial"/>
        </w:rPr>
        <w:t xml:space="preserve">(HSD) </w:t>
      </w:r>
      <w:r>
        <w:rPr>
          <w:rFonts w:ascii="Arial" w:hAnsi="Arial" w:cs="Arial"/>
        </w:rPr>
        <w:t>program.</w:t>
      </w:r>
    </w:p>
    <w:p w:rsidR="00705B50" w:rsidRDefault="00705B50" w:rsidP="002356AE">
      <w:pPr>
        <w:spacing w:after="120"/>
        <w:rPr>
          <w:rFonts w:ascii="Arial" w:hAnsi="Arial" w:cs="Arial"/>
        </w:rPr>
      </w:pPr>
    </w:p>
    <w:p w:rsidR="00C56F51" w:rsidRPr="002356AE" w:rsidRDefault="0048360F" w:rsidP="002356AE">
      <w:pPr>
        <w:spacing w:after="120"/>
        <w:rPr>
          <w:rFonts w:ascii="Arial" w:hAnsi="Arial" w:cs="Arial"/>
        </w:rPr>
      </w:pPr>
      <w:r w:rsidRPr="0048360F">
        <w:rPr>
          <w:rFonts w:ascii="Arial" w:hAnsi="Arial" w:cs="Arial"/>
        </w:rPr>
        <w:t>It is envisaged that t</w:t>
      </w:r>
      <w:r w:rsidR="002356AE" w:rsidRPr="0048360F">
        <w:rPr>
          <w:rFonts w:ascii="Arial" w:hAnsi="Arial" w:cs="Arial"/>
        </w:rPr>
        <w:t>he DWG will continue to monitor the remaining drivers on a regular basis</w:t>
      </w:r>
      <w:r w:rsidR="008A36BF" w:rsidRPr="0048360F">
        <w:rPr>
          <w:rFonts w:ascii="Arial" w:hAnsi="Arial" w:cs="Arial"/>
        </w:rPr>
        <w:t>.  I</w:t>
      </w:r>
      <w:r w:rsidR="002356AE" w:rsidRPr="0048360F">
        <w:rPr>
          <w:rFonts w:ascii="Arial" w:hAnsi="Arial" w:cs="Arial"/>
        </w:rPr>
        <w:t xml:space="preserve">n </w:t>
      </w:r>
      <w:r w:rsidR="008A36BF" w:rsidRPr="0048360F">
        <w:rPr>
          <w:rFonts w:ascii="Arial" w:hAnsi="Arial" w:cs="Arial"/>
        </w:rPr>
        <w:t xml:space="preserve">an </w:t>
      </w:r>
      <w:r w:rsidR="002356AE" w:rsidRPr="0048360F">
        <w:rPr>
          <w:rFonts w:ascii="Arial" w:hAnsi="Arial" w:cs="Arial"/>
        </w:rPr>
        <w:t xml:space="preserve">event of a significant </w:t>
      </w:r>
      <w:r w:rsidR="008A36BF" w:rsidRPr="0048360F">
        <w:rPr>
          <w:rFonts w:ascii="Arial" w:hAnsi="Arial" w:cs="Arial"/>
        </w:rPr>
        <w:t xml:space="preserve">shift </w:t>
      </w:r>
      <w:r w:rsidR="002356AE" w:rsidRPr="0048360F">
        <w:rPr>
          <w:rFonts w:ascii="Arial" w:hAnsi="Arial" w:cs="Arial"/>
        </w:rPr>
        <w:t xml:space="preserve">in </w:t>
      </w:r>
      <w:r w:rsidR="008A36BF" w:rsidRPr="0048360F">
        <w:rPr>
          <w:rFonts w:ascii="Arial" w:hAnsi="Arial" w:cs="Arial"/>
        </w:rPr>
        <w:t>contribution to growth from other drivers, the DWG will bring the analysis to AMWG sub-group’s attention in the first instance and based on their advice escalate the analysis further to the AMWG at the next available opportunity.</w:t>
      </w:r>
      <w:r w:rsidR="008A36BF">
        <w:rPr>
          <w:rFonts w:ascii="Arial" w:hAnsi="Arial" w:cs="Arial"/>
        </w:rPr>
        <w:t xml:space="preserve"> </w:t>
      </w:r>
    </w:p>
    <w:p w:rsidR="002F709C" w:rsidRDefault="002F709C">
      <w:pPr>
        <w:spacing w:after="0" w:line="240" w:lineRule="auto"/>
        <w:rPr>
          <w:rFonts w:ascii="Arial" w:eastAsia="Times New Roman" w:hAnsi="Arial" w:cs="Arial"/>
          <w:b/>
          <w:bCs/>
          <w:color w:val="365F91"/>
          <w:sz w:val="24"/>
          <w:szCs w:val="24"/>
        </w:rPr>
      </w:pPr>
      <w:bookmarkStart w:id="85" w:name="_Toc337033199"/>
      <w:r>
        <w:rPr>
          <w:rFonts w:ascii="Arial" w:hAnsi="Arial" w:cs="Arial"/>
          <w:sz w:val="24"/>
          <w:szCs w:val="24"/>
        </w:rPr>
        <w:br w:type="page"/>
      </w:r>
    </w:p>
    <w:p w:rsidR="009B075E" w:rsidRPr="00292067" w:rsidRDefault="009B075E" w:rsidP="00292067">
      <w:pPr>
        <w:pStyle w:val="Heading1"/>
        <w:rPr>
          <w:rFonts w:ascii="Arial" w:hAnsi="Arial" w:cs="Arial"/>
          <w:sz w:val="24"/>
          <w:szCs w:val="24"/>
        </w:rPr>
      </w:pPr>
      <w:bookmarkStart w:id="86" w:name="_Toc357174846"/>
      <w:r w:rsidRPr="00292067">
        <w:rPr>
          <w:rFonts w:ascii="Arial" w:hAnsi="Arial" w:cs="Arial"/>
          <w:sz w:val="24"/>
          <w:szCs w:val="24"/>
        </w:rPr>
        <w:lastRenderedPageBreak/>
        <w:t>Appendix</w:t>
      </w:r>
      <w:r w:rsidR="008670E5">
        <w:rPr>
          <w:rFonts w:ascii="Arial" w:hAnsi="Arial" w:cs="Arial"/>
          <w:sz w:val="24"/>
          <w:szCs w:val="24"/>
        </w:rPr>
        <w:t xml:space="preserve"> </w:t>
      </w:r>
      <w:r w:rsidRPr="00292067">
        <w:rPr>
          <w:rFonts w:ascii="Arial" w:hAnsi="Arial" w:cs="Arial"/>
          <w:sz w:val="24"/>
          <w:szCs w:val="24"/>
        </w:rPr>
        <w:t>1: Background definitional and methodological information</w:t>
      </w:r>
      <w:bookmarkEnd w:id="85"/>
      <w:bookmarkEnd w:id="86"/>
    </w:p>
    <w:p w:rsidR="009B075E" w:rsidRPr="00CF4F10" w:rsidRDefault="009B075E" w:rsidP="009F642D">
      <w:pPr>
        <w:rPr>
          <w:rFonts w:ascii="Arial" w:hAnsi="Arial" w:cs="Arial"/>
        </w:rPr>
      </w:pPr>
    </w:p>
    <w:p w:rsidR="009B075E" w:rsidRPr="00CF4F10" w:rsidRDefault="009B075E" w:rsidP="009F642D">
      <w:pPr>
        <w:rPr>
          <w:rFonts w:ascii="Arial" w:hAnsi="Arial" w:cs="Arial"/>
          <w:b/>
          <w:bCs/>
          <w:color w:val="1F497D"/>
        </w:rPr>
      </w:pPr>
      <w:r>
        <w:rPr>
          <w:rFonts w:ascii="Arial" w:hAnsi="Arial" w:cs="Arial"/>
          <w:b/>
          <w:bCs/>
          <w:color w:val="1F497D"/>
        </w:rPr>
        <w:t>S85</w:t>
      </w:r>
      <w:r w:rsidRPr="00CF4F10">
        <w:rPr>
          <w:rFonts w:ascii="Arial" w:hAnsi="Arial" w:cs="Arial"/>
          <w:b/>
          <w:bCs/>
          <w:color w:val="1F497D"/>
        </w:rPr>
        <w:t xml:space="preserve"> expenditure and prescriptions</w:t>
      </w:r>
    </w:p>
    <w:p w:rsidR="009B075E" w:rsidRPr="00CF4F10" w:rsidRDefault="009B075E" w:rsidP="009F642D">
      <w:pPr>
        <w:rPr>
          <w:rFonts w:ascii="Arial" w:hAnsi="Arial" w:cs="Arial"/>
        </w:rPr>
      </w:pPr>
      <w:r w:rsidRPr="00CF4F10">
        <w:rPr>
          <w:rFonts w:ascii="Arial" w:hAnsi="Arial" w:cs="Arial"/>
        </w:rPr>
        <w:t>Unless otherwise indicated throughout the analysis, expenditure and prescriptions are Section 85 general and concessional government expenditure and prescriptions, excluding Doctors Bag prescriptions, processed through Medicare Australia.</w:t>
      </w:r>
    </w:p>
    <w:p w:rsidR="009B075E" w:rsidRPr="00CF4F10" w:rsidRDefault="009B075E" w:rsidP="009F642D">
      <w:pPr>
        <w:rPr>
          <w:rFonts w:ascii="Arial" w:hAnsi="Arial" w:cs="Arial"/>
        </w:rPr>
      </w:pPr>
      <w:r w:rsidRPr="00CF4F10">
        <w:rPr>
          <w:rFonts w:ascii="Arial" w:hAnsi="Arial" w:cs="Arial"/>
        </w:rPr>
        <w:t>All data (unless the indicated source is DUSC, BEACH or S100) is date of processing data.  This means that the scripts and expenditure reported in a particular year relate to the scripts processed by Medicare Australia in that year, and not scripts dispensed by pharmacies in that year.</w:t>
      </w:r>
    </w:p>
    <w:p w:rsidR="009B075E" w:rsidRPr="00CF4F10" w:rsidRDefault="009B075E" w:rsidP="009F642D">
      <w:pPr>
        <w:rPr>
          <w:rFonts w:ascii="Arial" w:hAnsi="Arial" w:cs="Arial"/>
          <w:b/>
          <w:bCs/>
          <w:color w:val="1F497D"/>
        </w:rPr>
      </w:pPr>
      <w:r w:rsidRPr="00CF4F10">
        <w:rPr>
          <w:rFonts w:ascii="Arial" w:hAnsi="Arial" w:cs="Arial"/>
          <w:b/>
          <w:bCs/>
          <w:color w:val="1F497D"/>
        </w:rPr>
        <w:t xml:space="preserve">Analysis by patient age </w:t>
      </w:r>
    </w:p>
    <w:p w:rsidR="009B075E" w:rsidRPr="00CF4F10" w:rsidRDefault="009B075E" w:rsidP="009F642D">
      <w:pPr>
        <w:rPr>
          <w:rFonts w:ascii="Arial" w:hAnsi="Arial" w:cs="Arial"/>
        </w:rPr>
      </w:pPr>
      <w:r w:rsidRPr="00CF4F10">
        <w:rPr>
          <w:rFonts w:ascii="Arial" w:hAnsi="Arial" w:cs="Arial"/>
        </w:rPr>
        <w:t xml:space="preserve">In counting patients by age in a year </w:t>
      </w:r>
      <w:r w:rsidRPr="003D7743">
        <w:rPr>
          <w:rFonts w:ascii="Arial" w:hAnsi="Arial" w:cs="Arial"/>
        </w:rPr>
        <w:t>(</w:t>
      </w:r>
      <w:r w:rsidR="00644F37" w:rsidRPr="00332203">
        <w:fldChar w:fldCharType="begin"/>
      </w:r>
      <w:r w:rsidR="00644F37" w:rsidRPr="00644F37">
        <w:instrText xml:space="preserve"> REF _Ref338340301 \h </w:instrText>
      </w:r>
      <w:r w:rsidR="00644F37" w:rsidRPr="007356D4">
        <w:instrText xml:space="preserve"> \* MERGEFORMAT </w:instrText>
      </w:r>
      <w:r w:rsidR="00644F37" w:rsidRPr="00332203">
        <w:fldChar w:fldCharType="separate"/>
      </w:r>
      <w:r w:rsidR="00584343" w:rsidRPr="00584343">
        <w:rPr>
          <w:rFonts w:ascii="Arial" w:hAnsi="Arial" w:cs="Arial"/>
        </w:rPr>
        <w:t xml:space="preserve">Table </w:t>
      </w:r>
      <w:r w:rsidR="00584343" w:rsidRPr="00584343">
        <w:rPr>
          <w:rFonts w:ascii="Arial" w:hAnsi="Arial" w:cs="Arial"/>
          <w:noProof/>
        </w:rPr>
        <w:t>12</w:t>
      </w:r>
      <w:r w:rsidR="00644F37" w:rsidRPr="00332203">
        <w:fldChar w:fldCharType="end"/>
      </w:r>
      <w:r w:rsidR="00644F37">
        <w:t xml:space="preserve"> </w:t>
      </w:r>
      <w:r w:rsidR="00644F37" w:rsidRPr="007356D4">
        <w:rPr>
          <w:rFonts w:ascii="Arial" w:hAnsi="Arial" w:cs="Arial"/>
        </w:rPr>
        <w:t>and</w:t>
      </w:r>
      <w:r w:rsidR="00644F37">
        <w:t xml:space="preserve"> </w:t>
      </w:r>
      <w:r w:rsidR="00644F37" w:rsidRPr="008C57DF">
        <w:fldChar w:fldCharType="begin"/>
      </w:r>
      <w:r w:rsidR="00644F37" w:rsidRPr="00644F37">
        <w:instrText xml:space="preserve"> REF _Ref318377584 \h </w:instrText>
      </w:r>
      <w:r w:rsidR="00644F37" w:rsidRPr="007356D4">
        <w:instrText xml:space="preserve"> \* MERGEFORMAT </w:instrText>
      </w:r>
      <w:r w:rsidR="00644F37" w:rsidRPr="008C57DF">
        <w:fldChar w:fldCharType="separate"/>
      </w:r>
      <w:r w:rsidR="00584343" w:rsidRPr="00584343">
        <w:rPr>
          <w:rFonts w:ascii="Arial" w:hAnsi="Arial" w:cs="Arial"/>
        </w:rPr>
        <w:t xml:space="preserve">Table </w:t>
      </w:r>
      <w:r w:rsidR="00584343" w:rsidRPr="00584343">
        <w:rPr>
          <w:rFonts w:ascii="Arial" w:hAnsi="Arial" w:cs="Arial"/>
          <w:noProof/>
        </w:rPr>
        <w:t>13</w:t>
      </w:r>
      <w:r w:rsidR="00644F37" w:rsidRPr="008C57DF">
        <w:fldChar w:fldCharType="end"/>
      </w:r>
      <w:r w:rsidRPr="00BF12CF">
        <w:rPr>
          <w:rFonts w:ascii="Arial" w:hAnsi="Arial" w:cs="Arial"/>
        </w:rPr>
        <w:t>)</w:t>
      </w:r>
      <w:r w:rsidRPr="003D7743">
        <w:rPr>
          <w:rFonts w:ascii="Arial" w:hAnsi="Arial" w:cs="Arial"/>
        </w:rPr>
        <w:t>,</w:t>
      </w:r>
      <w:r w:rsidRPr="00CF4F10">
        <w:rPr>
          <w:rFonts w:ascii="Arial" w:hAnsi="Arial" w:cs="Arial"/>
        </w:rPr>
        <w:t xml:space="preserve"> the patients latest age in the year is used so as to avoid double counting patients as they age throughout the year.</w:t>
      </w:r>
    </w:p>
    <w:p w:rsidR="009B075E" w:rsidRPr="00CF4F10" w:rsidRDefault="009B075E" w:rsidP="00FA6137">
      <w:pPr>
        <w:rPr>
          <w:rFonts w:ascii="Arial" w:hAnsi="Arial" w:cs="Arial"/>
          <w:b/>
          <w:bCs/>
          <w:color w:val="1F497D"/>
        </w:rPr>
      </w:pPr>
      <w:r w:rsidRPr="00CF4F10">
        <w:rPr>
          <w:rFonts w:ascii="Arial" w:hAnsi="Arial" w:cs="Arial"/>
          <w:b/>
          <w:bCs/>
          <w:color w:val="1F497D"/>
        </w:rPr>
        <w:t>Supply chain</w:t>
      </w:r>
    </w:p>
    <w:p w:rsidR="00D43353" w:rsidRDefault="009B075E">
      <w:pPr>
        <w:spacing w:after="0"/>
        <w:rPr>
          <w:rFonts w:ascii="Arial" w:hAnsi="Arial" w:cs="Arial"/>
        </w:rPr>
      </w:pPr>
      <w:r w:rsidRPr="00CF4F10">
        <w:rPr>
          <w:rFonts w:ascii="Arial" w:hAnsi="Arial" w:cs="Arial"/>
        </w:rPr>
        <w:t>The supply chain expenditure includes an estimate of the amount the government pays for the supply chain remuneration components:</w:t>
      </w:r>
    </w:p>
    <w:p w:rsidR="009B075E" w:rsidRPr="00CF4F10" w:rsidRDefault="009B075E" w:rsidP="00FA6137">
      <w:pPr>
        <w:rPr>
          <w:rFonts w:ascii="Arial" w:hAnsi="Arial" w:cs="Arial"/>
        </w:rPr>
      </w:pPr>
      <w:r w:rsidRPr="00CF4F10">
        <w:rPr>
          <w:rFonts w:ascii="Arial" w:hAnsi="Arial" w:cs="Arial"/>
        </w:rPr>
        <w:t>dispensing fee, pharmacy retail markup, container fee, dangerous drug fee, wastage fee and wholesaler markup.</w:t>
      </w:r>
    </w:p>
    <w:p w:rsidR="009B075E" w:rsidRPr="00CF4F10" w:rsidRDefault="009B075E" w:rsidP="009F642D">
      <w:pPr>
        <w:rPr>
          <w:rFonts w:ascii="Arial" w:hAnsi="Arial" w:cs="Arial"/>
        </w:rPr>
      </w:pPr>
      <w:r w:rsidRPr="00CF4F10">
        <w:rPr>
          <w:rFonts w:ascii="Arial" w:hAnsi="Arial" w:cs="Arial"/>
        </w:rPr>
        <w:t>It does not include Community Service Obligation, Premium Free Dispensing Incentive or PBS Online Incentive expenditure as this expenditure is not included in the PBS expenditure normally reported in the Annual Report or Budget papers.</w:t>
      </w:r>
    </w:p>
    <w:p w:rsidR="009B075E" w:rsidRPr="00CF4F10" w:rsidRDefault="009B075E" w:rsidP="009F642D">
      <w:pPr>
        <w:rPr>
          <w:rFonts w:ascii="Arial" w:hAnsi="Arial" w:cs="Arial"/>
          <w:b/>
          <w:bCs/>
          <w:color w:val="1F497D"/>
        </w:rPr>
      </w:pPr>
      <w:r w:rsidRPr="00CF4F10">
        <w:rPr>
          <w:rFonts w:ascii="Arial" w:hAnsi="Arial" w:cs="Arial"/>
          <w:b/>
          <w:bCs/>
          <w:color w:val="1F497D"/>
        </w:rPr>
        <w:t>Analysis by Formulary</w:t>
      </w:r>
    </w:p>
    <w:p w:rsidR="009B075E" w:rsidRPr="00CF4F10" w:rsidRDefault="009B075E">
      <w:pPr>
        <w:rPr>
          <w:rFonts w:ascii="Arial" w:hAnsi="Arial" w:cs="Arial"/>
        </w:rPr>
      </w:pPr>
      <w:r w:rsidRPr="00CF4F10">
        <w:rPr>
          <w:rFonts w:ascii="Arial" w:hAnsi="Arial" w:cs="Arial"/>
        </w:rPr>
        <w:t xml:space="preserve">The formulary data is provided on a slightly different basis to the data used in other tables.  The data in Tables </w:t>
      </w:r>
      <w:r w:rsidR="00F66113">
        <w:rPr>
          <w:rFonts w:ascii="Arial" w:hAnsi="Arial" w:cs="Arial"/>
        </w:rPr>
        <w:t>3, 17 and 18</w:t>
      </w:r>
      <w:r w:rsidRPr="00CF4F10">
        <w:rPr>
          <w:rFonts w:ascii="Arial" w:hAnsi="Arial" w:cs="Arial"/>
        </w:rPr>
        <w:t xml:space="preserve"> is PBS </w:t>
      </w:r>
      <w:r>
        <w:rPr>
          <w:rFonts w:ascii="Arial" w:hAnsi="Arial" w:cs="Arial"/>
        </w:rPr>
        <w:t>S85</w:t>
      </w:r>
      <w:r w:rsidRPr="00CF4F10">
        <w:rPr>
          <w:rFonts w:ascii="Arial" w:hAnsi="Arial" w:cs="Arial"/>
        </w:rPr>
        <w:t xml:space="preserve"> general and concessional INCLUDING Doctors Bag, but excluding extemporaneously prepared items.  All other PBS expenditure includes extemporaneously prepared items.</w:t>
      </w:r>
    </w:p>
    <w:p w:rsidR="009B075E" w:rsidRPr="00CC0138" w:rsidRDefault="009B075E" w:rsidP="00186A55">
      <w:pPr>
        <w:rPr>
          <w:rFonts w:ascii="Arial" w:hAnsi="Arial" w:cs="Arial"/>
          <w:b/>
          <w:bCs/>
          <w:color w:val="1F497D"/>
        </w:rPr>
      </w:pPr>
      <w:r>
        <w:rPr>
          <w:rFonts w:ascii="Arial" w:hAnsi="Arial" w:cs="Arial"/>
          <w:b/>
          <w:bCs/>
          <w:color w:val="1F497D"/>
        </w:rPr>
        <w:t>Highly Specialised Drugs</w:t>
      </w:r>
    </w:p>
    <w:p w:rsidR="001D0481" w:rsidRDefault="001D0481" w:rsidP="00FA6137">
      <w:pPr>
        <w:spacing w:after="0"/>
        <w:rPr>
          <w:rFonts w:ascii="Arial" w:hAnsi="Arial" w:cs="Arial"/>
        </w:rPr>
      </w:pPr>
      <w:r w:rsidRPr="007356D4">
        <w:rPr>
          <w:rFonts w:ascii="Arial" w:hAnsi="Arial" w:cs="Arial"/>
        </w:rPr>
        <w:t>Highly Specialised Drugs (HSD) are subsidised through the PBS. These medicines are for the treatment of chronic conditions that, because of their clinical use or other special features, are restricted to supply through public and private hospitals that have appropriate specialist facilities.</w:t>
      </w:r>
    </w:p>
    <w:p w:rsidR="001D0481" w:rsidRDefault="001D0481" w:rsidP="00FA6137">
      <w:pPr>
        <w:spacing w:after="0"/>
        <w:rPr>
          <w:rFonts w:ascii="Arial" w:hAnsi="Arial" w:cs="Arial"/>
        </w:rPr>
      </w:pPr>
    </w:p>
    <w:p w:rsidR="009B075E" w:rsidRDefault="009B075E" w:rsidP="00FA6137">
      <w:pPr>
        <w:spacing w:after="0"/>
        <w:rPr>
          <w:rFonts w:ascii="Arial" w:hAnsi="Arial" w:cs="Arial"/>
        </w:rPr>
      </w:pPr>
      <w:r>
        <w:rPr>
          <w:rFonts w:ascii="Arial" w:hAnsi="Arial" w:cs="Arial"/>
        </w:rPr>
        <w:t>Figures for the public and private hospital disaggregation of Highly Specialised Drugs (HSDs) were produced on a slightly different basis in 2010-11 to previous years so figures are not directly comparable.  The revised methodology tightens up counting rules around what is public and what is private expenditure, however the difference is not large and total HSD expenditure remains consistent and comparable across all time periods</w:t>
      </w:r>
      <w:r w:rsidRPr="00CC0138">
        <w:rPr>
          <w:rFonts w:ascii="Arial" w:hAnsi="Arial" w:cs="Arial"/>
        </w:rPr>
        <w:t>.</w:t>
      </w:r>
    </w:p>
    <w:p w:rsidR="00563501" w:rsidRDefault="00563501" w:rsidP="00FA6137">
      <w:pPr>
        <w:spacing w:after="0"/>
        <w:rPr>
          <w:rFonts w:ascii="Arial" w:hAnsi="Arial" w:cs="Arial"/>
        </w:rPr>
      </w:pPr>
    </w:p>
    <w:p w:rsidR="00563501" w:rsidRPr="00DC51D5" w:rsidRDefault="00563501" w:rsidP="00FA6137">
      <w:pPr>
        <w:spacing w:after="0"/>
        <w:rPr>
          <w:rFonts w:ascii="Arial" w:hAnsi="Arial" w:cs="Arial"/>
          <w:highlight w:val="yellow"/>
        </w:rPr>
        <w:sectPr w:rsidR="00563501" w:rsidRPr="00DC51D5" w:rsidSect="007357B2">
          <w:headerReference w:type="first" r:id="rId60"/>
          <w:footerReference w:type="first" r:id="rId61"/>
          <w:pgSz w:w="11906" w:h="16838"/>
          <w:pgMar w:top="851" w:right="1440" w:bottom="1440" w:left="1440" w:header="708" w:footer="708" w:gutter="0"/>
          <w:cols w:space="708"/>
          <w:titlePg/>
          <w:docGrid w:linePitch="360"/>
        </w:sectPr>
      </w:pPr>
    </w:p>
    <w:p w:rsidR="009B075E" w:rsidRPr="00292067" w:rsidRDefault="009B075E" w:rsidP="00292067">
      <w:pPr>
        <w:pStyle w:val="Heading1"/>
        <w:rPr>
          <w:rFonts w:ascii="Arial" w:hAnsi="Arial" w:cs="Arial"/>
          <w:sz w:val="24"/>
          <w:szCs w:val="24"/>
        </w:rPr>
      </w:pPr>
      <w:bookmarkStart w:id="87" w:name="_Toc337033200"/>
      <w:bookmarkStart w:id="88" w:name="_Hlk301455381"/>
      <w:bookmarkStart w:id="89" w:name="_Toc357174847"/>
      <w:r w:rsidRPr="00292067">
        <w:rPr>
          <w:rFonts w:ascii="Arial" w:hAnsi="Arial" w:cs="Arial"/>
          <w:sz w:val="24"/>
          <w:szCs w:val="24"/>
        </w:rPr>
        <w:lastRenderedPageBreak/>
        <w:t>Appendix 2: Supporting tables</w:t>
      </w:r>
      <w:bookmarkEnd w:id="87"/>
      <w:bookmarkEnd w:id="89"/>
      <w:r w:rsidRPr="00292067">
        <w:rPr>
          <w:rFonts w:ascii="Arial" w:hAnsi="Arial" w:cs="Arial"/>
          <w:sz w:val="24"/>
          <w:szCs w:val="24"/>
        </w:rPr>
        <w:t xml:space="preserve"> </w:t>
      </w:r>
    </w:p>
    <w:p w:rsidR="009B075E" w:rsidRPr="00DF5EB1" w:rsidRDefault="009B075E" w:rsidP="00CD48FC">
      <w:pPr>
        <w:pStyle w:val="Caption"/>
        <w:jc w:val="left"/>
        <w:rPr>
          <w:rFonts w:ascii="Arial" w:hAnsi="Arial" w:cs="Arial"/>
          <w:sz w:val="22"/>
          <w:szCs w:val="22"/>
        </w:rPr>
      </w:pPr>
      <w:bookmarkStart w:id="90" w:name="_Ref318375908"/>
      <w:r w:rsidRPr="00BE1265">
        <w:rPr>
          <w:rFonts w:ascii="Arial" w:hAnsi="Arial" w:cs="Arial"/>
          <w:sz w:val="22"/>
          <w:szCs w:val="22"/>
        </w:rPr>
        <w:t xml:space="preserve">Table </w:t>
      </w:r>
      <w:r w:rsidR="00855AAF" w:rsidRPr="00BE1265">
        <w:rPr>
          <w:rFonts w:ascii="Arial" w:hAnsi="Arial" w:cs="Arial"/>
          <w:sz w:val="22"/>
          <w:szCs w:val="22"/>
        </w:rPr>
        <w:fldChar w:fldCharType="begin"/>
      </w:r>
      <w:r w:rsidRPr="00BE1265">
        <w:rPr>
          <w:rFonts w:ascii="Arial" w:hAnsi="Arial" w:cs="Arial"/>
          <w:sz w:val="22"/>
          <w:szCs w:val="22"/>
        </w:rPr>
        <w:instrText xml:space="preserve"> SEQ Table \* ARABIC </w:instrText>
      </w:r>
      <w:r w:rsidR="00855AAF" w:rsidRPr="00BE1265">
        <w:rPr>
          <w:rFonts w:ascii="Arial" w:hAnsi="Arial" w:cs="Arial"/>
          <w:sz w:val="22"/>
          <w:szCs w:val="22"/>
        </w:rPr>
        <w:fldChar w:fldCharType="separate"/>
      </w:r>
      <w:r w:rsidR="00584343">
        <w:rPr>
          <w:rFonts w:ascii="Arial" w:hAnsi="Arial" w:cs="Arial"/>
          <w:noProof/>
          <w:sz w:val="22"/>
          <w:szCs w:val="22"/>
        </w:rPr>
        <w:t>5</w:t>
      </w:r>
      <w:r w:rsidR="00855AAF" w:rsidRPr="00BE1265">
        <w:rPr>
          <w:rFonts w:ascii="Arial" w:hAnsi="Arial" w:cs="Arial"/>
          <w:sz w:val="22"/>
          <w:szCs w:val="22"/>
        </w:rPr>
        <w:fldChar w:fldCharType="end"/>
      </w:r>
      <w:bookmarkEnd w:id="90"/>
      <w:r w:rsidRPr="00BE1265">
        <w:rPr>
          <w:rFonts w:ascii="Arial" w:hAnsi="Arial" w:cs="Arial"/>
          <w:sz w:val="22"/>
          <w:szCs w:val="22"/>
        </w:rPr>
        <w:t xml:space="preserve"> : </w:t>
      </w:r>
      <w:r w:rsidRPr="00DF5EB1">
        <w:rPr>
          <w:rFonts w:ascii="Arial" w:hAnsi="Arial" w:cs="Arial"/>
          <w:sz w:val="22"/>
          <w:szCs w:val="22"/>
        </w:rPr>
        <w:t>Pharmaceutical Benefits expenditure on accrual accounting basis, by category of expenditure</w:t>
      </w:r>
    </w:p>
    <w:tbl>
      <w:tblPr>
        <w:tblW w:w="13527" w:type="dxa"/>
        <w:tblInd w:w="93" w:type="dxa"/>
        <w:tblLook w:val="00A0" w:firstRow="1" w:lastRow="0" w:firstColumn="1" w:lastColumn="0" w:noHBand="0" w:noVBand="0"/>
      </w:tblPr>
      <w:tblGrid>
        <w:gridCol w:w="2551"/>
        <w:gridCol w:w="1496"/>
        <w:gridCol w:w="1580"/>
        <w:gridCol w:w="1580"/>
        <w:gridCol w:w="1580"/>
        <w:gridCol w:w="1580"/>
        <w:gridCol w:w="1580"/>
        <w:gridCol w:w="1580"/>
      </w:tblGrid>
      <w:tr w:rsidR="009B075E" w:rsidRPr="008636E1" w:rsidTr="00F72C57">
        <w:trPr>
          <w:trHeight w:val="255"/>
        </w:trPr>
        <w:tc>
          <w:tcPr>
            <w:tcW w:w="2551" w:type="dxa"/>
            <w:tcBorders>
              <w:top w:val="single" w:sz="8" w:space="0" w:color="auto"/>
              <w:left w:val="single" w:sz="8" w:space="0" w:color="auto"/>
              <w:bottom w:val="single" w:sz="4" w:space="0" w:color="auto"/>
              <w:right w:val="single" w:sz="4" w:space="0" w:color="auto"/>
            </w:tcBorders>
            <w:noWrap/>
            <w:vAlign w:val="bottom"/>
          </w:tcPr>
          <w:p w:rsidR="009B075E" w:rsidRPr="008636E1" w:rsidRDefault="009B075E" w:rsidP="00DF5EB1">
            <w:pPr>
              <w:spacing w:after="0" w:line="240" w:lineRule="auto"/>
              <w:rPr>
                <w:rFonts w:ascii="Arial Narrow" w:hAnsi="Arial Narrow" w:cs="Arial"/>
                <w:sz w:val="16"/>
                <w:szCs w:val="16"/>
                <w:lang w:eastAsia="en-AU"/>
              </w:rPr>
            </w:pPr>
            <w:r w:rsidRPr="008636E1">
              <w:rPr>
                <w:rFonts w:ascii="Arial Narrow" w:hAnsi="Arial Narrow" w:cs="Arial"/>
                <w:sz w:val="16"/>
                <w:szCs w:val="16"/>
                <w:lang w:eastAsia="en-AU"/>
              </w:rPr>
              <w:t> </w:t>
            </w:r>
          </w:p>
        </w:tc>
        <w:tc>
          <w:tcPr>
            <w:tcW w:w="1496" w:type="dxa"/>
            <w:tcBorders>
              <w:top w:val="single" w:sz="8" w:space="0" w:color="auto"/>
              <w:left w:val="nil"/>
              <w:bottom w:val="single" w:sz="4" w:space="0" w:color="auto"/>
              <w:right w:val="single" w:sz="4" w:space="0" w:color="auto"/>
            </w:tcBorders>
            <w:noWrap/>
            <w:vAlign w:val="bottom"/>
          </w:tcPr>
          <w:p w:rsidR="009B075E" w:rsidRPr="008636E1" w:rsidRDefault="009B075E" w:rsidP="00DF5EB1">
            <w:pPr>
              <w:spacing w:after="0" w:line="240" w:lineRule="auto"/>
              <w:jc w:val="center"/>
              <w:rPr>
                <w:rFonts w:ascii="Arial Narrow" w:hAnsi="Arial Narrow" w:cs="Arial"/>
                <w:b/>
                <w:bCs/>
                <w:sz w:val="16"/>
                <w:szCs w:val="16"/>
                <w:lang w:eastAsia="en-AU"/>
              </w:rPr>
            </w:pPr>
            <w:r w:rsidRPr="008636E1">
              <w:rPr>
                <w:rFonts w:ascii="Arial Narrow" w:hAnsi="Arial Narrow" w:cs="Arial"/>
                <w:b/>
                <w:bCs/>
                <w:sz w:val="16"/>
                <w:szCs w:val="16"/>
                <w:lang w:eastAsia="en-AU"/>
              </w:rPr>
              <w:t>2004-05</w:t>
            </w:r>
          </w:p>
        </w:tc>
        <w:tc>
          <w:tcPr>
            <w:tcW w:w="1580" w:type="dxa"/>
            <w:tcBorders>
              <w:top w:val="single" w:sz="8" w:space="0" w:color="auto"/>
              <w:left w:val="nil"/>
              <w:bottom w:val="single" w:sz="4" w:space="0" w:color="auto"/>
              <w:right w:val="single" w:sz="4" w:space="0" w:color="auto"/>
            </w:tcBorders>
            <w:noWrap/>
            <w:vAlign w:val="bottom"/>
          </w:tcPr>
          <w:p w:rsidR="009B075E" w:rsidRPr="008636E1" w:rsidRDefault="009B075E" w:rsidP="00DF5EB1">
            <w:pPr>
              <w:spacing w:after="0" w:line="240" w:lineRule="auto"/>
              <w:jc w:val="center"/>
              <w:rPr>
                <w:rFonts w:ascii="Arial Narrow" w:hAnsi="Arial Narrow" w:cs="Arial"/>
                <w:b/>
                <w:bCs/>
                <w:sz w:val="16"/>
                <w:szCs w:val="16"/>
                <w:lang w:eastAsia="en-AU"/>
              </w:rPr>
            </w:pPr>
            <w:r w:rsidRPr="008636E1">
              <w:rPr>
                <w:rFonts w:ascii="Arial Narrow" w:hAnsi="Arial Narrow" w:cs="Arial"/>
                <w:b/>
                <w:bCs/>
                <w:sz w:val="16"/>
                <w:szCs w:val="16"/>
                <w:lang w:eastAsia="en-AU"/>
              </w:rPr>
              <w:t>2005-06</w:t>
            </w:r>
          </w:p>
        </w:tc>
        <w:tc>
          <w:tcPr>
            <w:tcW w:w="1580" w:type="dxa"/>
            <w:tcBorders>
              <w:top w:val="single" w:sz="8" w:space="0" w:color="auto"/>
              <w:left w:val="nil"/>
              <w:bottom w:val="single" w:sz="4" w:space="0" w:color="auto"/>
              <w:right w:val="single" w:sz="4" w:space="0" w:color="auto"/>
            </w:tcBorders>
            <w:noWrap/>
            <w:vAlign w:val="bottom"/>
          </w:tcPr>
          <w:p w:rsidR="009B075E" w:rsidRPr="008636E1" w:rsidRDefault="009B075E" w:rsidP="00DF5EB1">
            <w:pPr>
              <w:spacing w:after="0" w:line="240" w:lineRule="auto"/>
              <w:jc w:val="center"/>
              <w:rPr>
                <w:rFonts w:ascii="Arial Narrow" w:hAnsi="Arial Narrow" w:cs="Arial"/>
                <w:b/>
                <w:bCs/>
                <w:sz w:val="16"/>
                <w:szCs w:val="16"/>
                <w:lang w:eastAsia="en-AU"/>
              </w:rPr>
            </w:pPr>
            <w:r w:rsidRPr="008636E1">
              <w:rPr>
                <w:rFonts w:ascii="Arial Narrow" w:hAnsi="Arial Narrow" w:cs="Arial"/>
                <w:b/>
                <w:bCs/>
                <w:sz w:val="16"/>
                <w:szCs w:val="16"/>
                <w:lang w:eastAsia="en-AU"/>
              </w:rPr>
              <w:t>2006-07</w:t>
            </w:r>
          </w:p>
        </w:tc>
        <w:tc>
          <w:tcPr>
            <w:tcW w:w="1580" w:type="dxa"/>
            <w:tcBorders>
              <w:top w:val="single" w:sz="8" w:space="0" w:color="auto"/>
              <w:left w:val="nil"/>
              <w:bottom w:val="single" w:sz="4" w:space="0" w:color="auto"/>
              <w:right w:val="single" w:sz="4" w:space="0" w:color="auto"/>
            </w:tcBorders>
            <w:noWrap/>
            <w:vAlign w:val="bottom"/>
          </w:tcPr>
          <w:p w:rsidR="009B075E" w:rsidRPr="008636E1" w:rsidRDefault="009B075E" w:rsidP="00DF5EB1">
            <w:pPr>
              <w:spacing w:after="0" w:line="240" w:lineRule="auto"/>
              <w:jc w:val="center"/>
              <w:rPr>
                <w:rFonts w:ascii="Arial Narrow" w:hAnsi="Arial Narrow" w:cs="Arial"/>
                <w:b/>
                <w:bCs/>
                <w:sz w:val="16"/>
                <w:szCs w:val="16"/>
                <w:lang w:eastAsia="en-AU"/>
              </w:rPr>
            </w:pPr>
            <w:r w:rsidRPr="008636E1">
              <w:rPr>
                <w:rFonts w:ascii="Arial Narrow" w:hAnsi="Arial Narrow" w:cs="Arial"/>
                <w:b/>
                <w:bCs/>
                <w:sz w:val="16"/>
                <w:szCs w:val="16"/>
                <w:lang w:eastAsia="en-AU"/>
              </w:rPr>
              <w:t>2007-08</w:t>
            </w:r>
          </w:p>
        </w:tc>
        <w:tc>
          <w:tcPr>
            <w:tcW w:w="1580" w:type="dxa"/>
            <w:tcBorders>
              <w:top w:val="single" w:sz="8" w:space="0" w:color="auto"/>
              <w:left w:val="nil"/>
              <w:bottom w:val="single" w:sz="4" w:space="0" w:color="auto"/>
              <w:right w:val="single" w:sz="4" w:space="0" w:color="auto"/>
            </w:tcBorders>
            <w:noWrap/>
            <w:vAlign w:val="bottom"/>
          </w:tcPr>
          <w:p w:rsidR="009B075E" w:rsidRPr="008636E1" w:rsidRDefault="009B075E" w:rsidP="00DF5EB1">
            <w:pPr>
              <w:spacing w:after="0" w:line="240" w:lineRule="auto"/>
              <w:jc w:val="center"/>
              <w:rPr>
                <w:rFonts w:ascii="Arial Narrow" w:hAnsi="Arial Narrow" w:cs="Arial"/>
                <w:b/>
                <w:bCs/>
                <w:sz w:val="16"/>
                <w:szCs w:val="16"/>
                <w:lang w:eastAsia="en-AU"/>
              </w:rPr>
            </w:pPr>
            <w:r w:rsidRPr="008636E1">
              <w:rPr>
                <w:rFonts w:ascii="Arial Narrow" w:hAnsi="Arial Narrow" w:cs="Arial"/>
                <w:b/>
                <w:bCs/>
                <w:sz w:val="16"/>
                <w:szCs w:val="16"/>
                <w:lang w:eastAsia="en-AU"/>
              </w:rPr>
              <w:t>2008-09</w:t>
            </w:r>
          </w:p>
        </w:tc>
        <w:tc>
          <w:tcPr>
            <w:tcW w:w="1580" w:type="dxa"/>
            <w:tcBorders>
              <w:top w:val="single" w:sz="8" w:space="0" w:color="auto"/>
              <w:left w:val="nil"/>
              <w:bottom w:val="single" w:sz="4" w:space="0" w:color="auto"/>
              <w:right w:val="single" w:sz="4" w:space="0" w:color="auto"/>
            </w:tcBorders>
            <w:noWrap/>
            <w:vAlign w:val="bottom"/>
          </w:tcPr>
          <w:p w:rsidR="009B075E" w:rsidRPr="008636E1" w:rsidRDefault="009B075E" w:rsidP="00DF5EB1">
            <w:pPr>
              <w:spacing w:after="0" w:line="240" w:lineRule="auto"/>
              <w:jc w:val="center"/>
              <w:rPr>
                <w:rFonts w:ascii="Arial Narrow" w:hAnsi="Arial Narrow" w:cs="Arial"/>
                <w:b/>
                <w:bCs/>
                <w:sz w:val="16"/>
                <w:szCs w:val="16"/>
                <w:lang w:eastAsia="en-AU"/>
              </w:rPr>
            </w:pPr>
            <w:r w:rsidRPr="008636E1">
              <w:rPr>
                <w:rFonts w:ascii="Arial Narrow" w:hAnsi="Arial Narrow" w:cs="Arial"/>
                <w:b/>
                <w:bCs/>
                <w:sz w:val="16"/>
                <w:szCs w:val="16"/>
                <w:lang w:eastAsia="en-AU"/>
              </w:rPr>
              <w:t>2009-10</w:t>
            </w:r>
          </w:p>
        </w:tc>
        <w:tc>
          <w:tcPr>
            <w:tcW w:w="1580" w:type="dxa"/>
            <w:tcBorders>
              <w:top w:val="single" w:sz="8" w:space="0" w:color="auto"/>
              <w:left w:val="nil"/>
              <w:bottom w:val="single" w:sz="4" w:space="0" w:color="auto"/>
              <w:right w:val="single" w:sz="8" w:space="0" w:color="auto"/>
            </w:tcBorders>
            <w:noWrap/>
            <w:vAlign w:val="bottom"/>
          </w:tcPr>
          <w:p w:rsidR="009B075E" w:rsidRPr="008636E1" w:rsidRDefault="009B075E" w:rsidP="00DF5EB1">
            <w:pPr>
              <w:spacing w:after="0" w:line="240" w:lineRule="auto"/>
              <w:jc w:val="center"/>
              <w:rPr>
                <w:rFonts w:ascii="Arial Narrow" w:hAnsi="Arial Narrow" w:cs="Arial"/>
                <w:b/>
                <w:bCs/>
                <w:sz w:val="16"/>
                <w:szCs w:val="16"/>
                <w:lang w:eastAsia="en-AU"/>
              </w:rPr>
            </w:pPr>
            <w:r w:rsidRPr="008636E1">
              <w:rPr>
                <w:rFonts w:ascii="Arial Narrow" w:hAnsi="Arial Narrow" w:cs="Arial"/>
                <w:b/>
                <w:bCs/>
                <w:sz w:val="16"/>
                <w:szCs w:val="16"/>
                <w:lang w:eastAsia="en-AU"/>
              </w:rPr>
              <w:t>2010-11</w:t>
            </w:r>
          </w:p>
        </w:tc>
      </w:tr>
      <w:tr w:rsidR="009B075E" w:rsidRPr="008636E1" w:rsidTr="00F72C57">
        <w:trPr>
          <w:trHeight w:val="255"/>
        </w:trPr>
        <w:tc>
          <w:tcPr>
            <w:tcW w:w="2551" w:type="dxa"/>
            <w:tcBorders>
              <w:top w:val="nil"/>
              <w:left w:val="single" w:sz="8" w:space="0" w:color="auto"/>
              <w:bottom w:val="single" w:sz="4" w:space="0" w:color="auto"/>
              <w:right w:val="single" w:sz="4" w:space="0" w:color="auto"/>
            </w:tcBorders>
            <w:noWrap/>
            <w:vAlign w:val="bottom"/>
          </w:tcPr>
          <w:p w:rsidR="009B075E" w:rsidRPr="008636E1" w:rsidRDefault="009B075E" w:rsidP="00DF5EB1">
            <w:pPr>
              <w:spacing w:after="0" w:line="240" w:lineRule="auto"/>
              <w:rPr>
                <w:rFonts w:ascii="Arial Narrow" w:hAnsi="Arial Narrow" w:cs="Arial"/>
                <w:sz w:val="16"/>
                <w:szCs w:val="16"/>
                <w:lang w:eastAsia="en-AU"/>
              </w:rPr>
            </w:pPr>
            <w:r w:rsidRPr="008636E1">
              <w:rPr>
                <w:rFonts w:ascii="Arial Narrow" w:hAnsi="Arial Narrow" w:cs="Arial"/>
                <w:sz w:val="16"/>
                <w:szCs w:val="16"/>
                <w:lang w:eastAsia="en-AU"/>
              </w:rPr>
              <w:t>Concessional</w:t>
            </w:r>
          </w:p>
        </w:tc>
        <w:tc>
          <w:tcPr>
            <w:tcW w:w="1496"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4,252,756,142</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4,320,976,347</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4,445,205,256</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4,814,338,331</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5,198,031,063</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5,642,410,001</w:t>
            </w:r>
          </w:p>
        </w:tc>
        <w:tc>
          <w:tcPr>
            <w:tcW w:w="1580" w:type="dxa"/>
            <w:tcBorders>
              <w:top w:val="nil"/>
              <w:left w:val="nil"/>
              <w:bottom w:val="single" w:sz="4" w:space="0" w:color="auto"/>
              <w:right w:val="single" w:sz="8"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5,872,450,153</w:t>
            </w:r>
          </w:p>
        </w:tc>
      </w:tr>
      <w:tr w:rsidR="009B075E" w:rsidRPr="008636E1" w:rsidTr="00F72C57">
        <w:trPr>
          <w:trHeight w:val="255"/>
        </w:trPr>
        <w:tc>
          <w:tcPr>
            <w:tcW w:w="2551" w:type="dxa"/>
            <w:tcBorders>
              <w:top w:val="nil"/>
              <w:left w:val="single" w:sz="8" w:space="0" w:color="auto"/>
              <w:bottom w:val="single" w:sz="4" w:space="0" w:color="auto"/>
              <w:right w:val="single" w:sz="4" w:space="0" w:color="auto"/>
            </w:tcBorders>
            <w:noWrap/>
            <w:vAlign w:val="bottom"/>
          </w:tcPr>
          <w:p w:rsidR="009B075E" w:rsidRPr="008636E1" w:rsidRDefault="009B075E" w:rsidP="00DF5EB1">
            <w:pPr>
              <w:spacing w:after="0" w:line="240" w:lineRule="auto"/>
              <w:rPr>
                <w:rFonts w:ascii="Arial Narrow" w:hAnsi="Arial Narrow" w:cs="Arial"/>
                <w:sz w:val="16"/>
                <w:szCs w:val="16"/>
                <w:lang w:eastAsia="en-AU"/>
              </w:rPr>
            </w:pPr>
            <w:r w:rsidRPr="008636E1">
              <w:rPr>
                <w:rFonts w:ascii="Arial Narrow" w:hAnsi="Arial Narrow" w:cs="Arial"/>
                <w:sz w:val="16"/>
                <w:szCs w:val="16"/>
                <w:lang w:eastAsia="en-AU"/>
              </w:rPr>
              <w:t>General</w:t>
            </w:r>
          </w:p>
        </w:tc>
        <w:tc>
          <w:tcPr>
            <w:tcW w:w="1496"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1,075,476,316</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1,074,263,041</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1,048,209,419</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1,243,133,352</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1,395,610,392</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1,516,879,746</w:t>
            </w:r>
          </w:p>
        </w:tc>
        <w:tc>
          <w:tcPr>
            <w:tcW w:w="1580" w:type="dxa"/>
            <w:tcBorders>
              <w:top w:val="nil"/>
              <w:left w:val="nil"/>
              <w:bottom w:val="single" w:sz="4" w:space="0" w:color="auto"/>
              <w:right w:val="single" w:sz="8"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1,596,541,406</w:t>
            </w:r>
          </w:p>
        </w:tc>
      </w:tr>
      <w:tr w:rsidR="009B075E" w:rsidRPr="008636E1" w:rsidTr="00F72C57">
        <w:trPr>
          <w:trHeight w:val="255"/>
        </w:trPr>
        <w:tc>
          <w:tcPr>
            <w:tcW w:w="2551" w:type="dxa"/>
            <w:tcBorders>
              <w:top w:val="nil"/>
              <w:left w:val="single" w:sz="8" w:space="0" w:color="auto"/>
              <w:bottom w:val="single" w:sz="4" w:space="0" w:color="auto"/>
              <w:right w:val="single" w:sz="4" w:space="0" w:color="auto"/>
            </w:tcBorders>
            <w:noWrap/>
            <w:vAlign w:val="bottom"/>
          </w:tcPr>
          <w:p w:rsidR="009B075E" w:rsidRPr="008636E1" w:rsidRDefault="009B075E" w:rsidP="00DF5EB1">
            <w:pPr>
              <w:spacing w:after="0" w:line="240" w:lineRule="auto"/>
              <w:rPr>
                <w:rFonts w:ascii="Arial Narrow" w:hAnsi="Arial Narrow" w:cs="Arial"/>
                <w:sz w:val="16"/>
                <w:szCs w:val="16"/>
                <w:lang w:eastAsia="en-AU"/>
              </w:rPr>
            </w:pPr>
            <w:r w:rsidRPr="008636E1">
              <w:rPr>
                <w:rFonts w:ascii="Arial Narrow" w:hAnsi="Arial Narrow" w:cs="Arial"/>
                <w:sz w:val="16"/>
                <w:szCs w:val="16"/>
                <w:lang w:eastAsia="en-AU"/>
              </w:rPr>
              <w:t>Highly Specialised Drugs</w:t>
            </w:r>
          </w:p>
        </w:tc>
        <w:tc>
          <w:tcPr>
            <w:tcW w:w="1496"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462,244,297</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527,631,676</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627,881,969</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653,078,415</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750,749,744</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858,451,556</w:t>
            </w:r>
          </w:p>
        </w:tc>
        <w:tc>
          <w:tcPr>
            <w:tcW w:w="1580" w:type="dxa"/>
            <w:tcBorders>
              <w:top w:val="nil"/>
              <w:left w:val="nil"/>
              <w:bottom w:val="single" w:sz="4" w:space="0" w:color="auto"/>
              <w:right w:val="single" w:sz="8"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1,014,835,508</w:t>
            </w:r>
          </w:p>
        </w:tc>
      </w:tr>
      <w:tr w:rsidR="009B075E" w:rsidRPr="008636E1" w:rsidTr="00F72C57">
        <w:trPr>
          <w:trHeight w:val="255"/>
        </w:trPr>
        <w:tc>
          <w:tcPr>
            <w:tcW w:w="2551" w:type="dxa"/>
            <w:tcBorders>
              <w:top w:val="nil"/>
              <w:left w:val="single" w:sz="8" w:space="0" w:color="auto"/>
              <w:bottom w:val="single" w:sz="4" w:space="0" w:color="auto"/>
              <w:right w:val="single" w:sz="4" w:space="0" w:color="auto"/>
            </w:tcBorders>
            <w:noWrap/>
            <w:vAlign w:val="bottom"/>
          </w:tcPr>
          <w:p w:rsidR="009B075E" w:rsidRPr="008636E1" w:rsidRDefault="009B075E" w:rsidP="00DF5EB1">
            <w:pPr>
              <w:spacing w:after="0" w:line="240" w:lineRule="auto"/>
              <w:rPr>
                <w:rFonts w:ascii="Arial Narrow" w:hAnsi="Arial Narrow" w:cs="Arial"/>
                <w:sz w:val="16"/>
                <w:szCs w:val="16"/>
                <w:lang w:eastAsia="en-AU"/>
              </w:rPr>
            </w:pPr>
            <w:r w:rsidRPr="008636E1">
              <w:rPr>
                <w:rFonts w:ascii="Arial Narrow" w:hAnsi="Arial Narrow" w:cs="Arial"/>
                <w:sz w:val="16"/>
                <w:szCs w:val="16"/>
                <w:lang w:eastAsia="en-AU"/>
              </w:rPr>
              <w:t>Drs Bag</w:t>
            </w:r>
          </w:p>
        </w:tc>
        <w:tc>
          <w:tcPr>
            <w:tcW w:w="1496"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9,462,425</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10,382,160</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12,145,525</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14,807,842</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15,950,231</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14,987,649</w:t>
            </w:r>
          </w:p>
        </w:tc>
        <w:tc>
          <w:tcPr>
            <w:tcW w:w="1580" w:type="dxa"/>
            <w:tcBorders>
              <w:top w:val="nil"/>
              <w:left w:val="nil"/>
              <w:bottom w:val="single" w:sz="4" w:space="0" w:color="auto"/>
              <w:right w:val="single" w:sz="8"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15,617,141</w:t>
            </w:r>
          </w:p>
        </w:tc>
      </w:tr>
      <w:tr w:rsidR="009B075E" w:rsidRPr="008636E1" w:rsidTr="00F72C57">
        <w:trPr>
          <w:trHeight w:val="255"/>
        </w:trPr>
        <w:tc>
          <w:tcPr>
            <w:tcW w:w="2551" w:type="dxa"/>
            <w:tcBorders>
              <w:top w:val="nil"/>
              <w:left w:val="single" w:sz="8" w:space="0" w:color="auto"/>
              <w:bottom w:val="single" w:sz="4" w:space="0" w:color="auto"/>
              <w:right w:val="single" w:sz="4" w:space="0" w:color="auto"/>
            </w:tcBorders>
            <w:noWrap/>
            <w:vAlign w:val="bottom"/>
          </w:tcPr>
          <w:p w:rsidR="009B075E" w:rsidRPr="008636E1" w:rsidRDefault="009B075E" w:rsidP="00DF5EB1">
            <w:pPr>
              <w:spacing w:after="0" w:line="240" w:lineRule="auto"/>
              <w:rPr>
                <w:rFonts w:ascii="Arial Narrow" w:hAnsi="Arial Narrow" w:cs="Arial"/>
                <w:sz w:val="16"/>
                <w:szCs w:val="16"/>
                <w:lang w:eastAsia="en-AU"/>
              </w:rPr>
            </w:pPr>
            <w:r w:rsidRPr="008636E1">
              <w:rPr>
                <w:rFonts w:ascii="Arial Narrow" w:hAnsi="Arial Narrow" w:cs="Arial"/>
                <w:sz w:val="16"/>
                <w:szCs w:val="16"/>
                <w:lang w:eastAsia="en-AU"/>
              </w:rPr>
              <w:t>Section 100</w:t>
            </w:r>
          </w:p>
        </w:tc>
        <w:tc>
          <w:tcPr>
            <w:tcW w:w="1496"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193,262,310</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221,993,462</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286,975,503</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300,455,526</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310,585,936</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350,462,616</w:t>
            </w:r>
          </w:p>
        </w:tc>
        <w:tc>
          <w:tcPr>
            <w:tcW w:w="1580" w:type="dxa"/>
            <w:tcBorders>
              <w:top w:val="nil"/>
              <w:left w:val="nil"/>
              <w:bottom w:val="single" w:sz="4" w:space="0" w:color="auto"/>
              <w:right w:val="single" w:sz="8"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364,327,645</w:t>
            </w:r>
          </w:p>
        </w:tc>
      </w:tr>
      <w:tr w:rsidR="009B075E" w:rsidRPr="008636E1" w:rsidTr="00F72C57">
        <w:trPr>
          <w:trHeight w:val="255"/>
        </w:trPr>
        <w:tc>
          <w:tcPr>
            <w:tcW w:w="2551" w:type="dxa"/>
            <w:tcBorders>
              <w:top w:val="nil"/>
              <w:left w:val="single" w:sz="8" w:space="0" w:color="auto"/>
              <w:bottom w:val="single" w:sz="4" w:space="0" w:color="auto"/>
              <w:right w:val="single" w:sz="4" w:space="0" w:color="auto"/>
            </w:tcBorders>
            <w:noWrap/>
            <w:vAlign w:val="bottom"/>
          </w:tcPr>
          <w:p w:rsidR="009B075E" w:rsidRPr="008636E1" w:rsidRDefault="009B075E" w:rsidP="00DF5EB1">
            <w:pPr>
              <w:spacing w:after="0" w:line="240" w:lineRule="auto"/>
              <w:rPr>
                <w:rFonts w:ascii="Arial Narrow" w:hAnsi="Arial Narrow" w:cs="Arial"/>
                <w:sz w:val="16"/>
                <w:szCs w:val="16"/>
                <w:lang w:eastAsia="en-AU"/>
              </w:rPr>
            </w:pPr>
            <w:r>
              <w:rPr>
                <w:rFonts w:ascii="Arial Narrow" w:hAnsi="Arial Narrow" w:cs="Arial"/>
                <w:sz w:val="16"/>
                <w:szCs w:val="16"/>
                <w:lang w:eastAsia="en-AU"/>
              </w:rPr>
              <w:t>Safety Net</w:t>
            </w:r>
            <w:r w:rsidRPr="008636E1">
              <w:rPr>
                <w:rFonts w:ascii="Arial Narrow" w:hAnsi="Arial Narrow" w:cs="Arial"/>
                <w:sz w:val="16"/>
                <w:szCs w:val="16"/>
                <w:lang w:eastAsia="en-AU"/>
              </w:rPr>
              <w:t xml:space="preserve"> Cards</w:t>
            </w:r>
          </w:p>
        </w:tc>
        <w:tc>
          <w:tcPr>
            <w:tcW w:w="1496"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7,981,556</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7,882,853</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7,880,972</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8,002,110</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8,345,075</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8,486,678</w:t>
            </w:r>
          </w:p>
        </w:tc>
        <w:tc>
          <w:tcPr>
            <w:tcW w:w="1580" w:type="dxa"/>
            <w:tcBorders>
              <w:top w:val="nil"/>
              <w:left w:val="nil"/>
              <w:bottom w:val="single" w:sz="4" w:space="0" w:color="auto"/>
              <w:right w:val="single" w:sz="8" w:space="0" w:color="auto"/>
            </w:tcBorders>
            <w:noWrap/>
            <w:vAlign w:val="bottom"/>
          </w:tcPr>
          <w:p w:rsidR="009B075E" w:rsidRPr="008636E1" w:rsidRDefault="009B075E" w:rsidP="00DF5EB1">
            <w:pPr>
              <w:spacing w:after="0" w:line="240" w:lineRule="auto"/>
              <w:jc w:val="right"/>
              <w:rPr>
                <w:rFonts w:ascii="Arial Narrow" w:hAnsi="Arial Narrow" w:cs="Arial"/>
                <w:sz w:val="16"/>
                <w:szCs w:val="16"/>
                <w:lang w:eastAsia="en-AU"/>
              </w:rPr>
            </w:pPr>
            <w:r w:rsidRPr="008636E1">
              <w:rPr>
                <w:rFonts w:ascii="Arial Narrow" w:hAnsi="Arial Narrow" w:cs="Arial"/>
                <w:sz w:val="16"/>
                <w:szCs w:val="16"/>
                <w:lang w:eastAsia="en-AU"/>
              </w:rPr>
              <w:t>8,895,477</w:t>
            </w:r>
          </w:p>
        </w:tc>
      </w:tr>
      <w:tr w:rsidR="009B075E" w:rsidRPr="008636E1" w:rsidTr="00F72C57">
        <w:trPr>
          <w:trHeight w:val="270"/>
        </w:trPr>
        <w:tc>
          <w:tcPr>
            <w:tcW w:w="2551" w:type="dxa"/>
            <w:tcBorders>
              <w:top w:val="nil"/>
              <w:left w:val="single" w:sz="8" w:space="0" w:color="auto"/>
              <w:bottom w:val="single" w:sz="8" w:space="0" w:color="auto"/>
              <w:right w:val="single" w:sz="4" w:space="0" w:color="auto"/>
            </w:tcBorders>
            <w:noWrap/>
            <w:vAlign w:val="bottom"/>
          </w:tcPr>
          <w:p w:rsidR="009B075E" w:rsidRPr="008636E1" w:rsidRDefault="009B075E" w:rsidP="00DF5EB1">
            <w:pPr>
              <w:spacing w:after="0" w:line="240" w:lineRule="auto"/>
              <w:rPr>
                <w:rFonts w:ascii="Arial Narrow" w:hAnsi="Arial Narrow" w:cs="Arial"/>
                <w:sz w:val="16"/>
                <w:szCs w:val="16"/>
                <w:lang w:eastAsia="en-AU"/>
              </w:rPr>
            </w:pPr>
            <w:r w:rsidRPr="008636E1">
              <w:rPr>
                <w:rFonts w:ascii="Arial Narrow" w:hAnsi="Arial Narrow" w:cs="Arial"/>
                <w:sz w:val="16"/>
                <w:szCs w:val="16"/>
                <w:lang w:eastAsia="en-AU"/>
              </w:rPr>
              <w:t>Total</w:t>
            </w:r>
          </w:p>
        </w:tc>
        <w:tc>
          <w:tcPr>
            <w:tcW w:w="1496"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b/>
                <w:bCs/>
                <w:sz w:val="16"/>
                <w:szCs w:val="16"/>
                <w:lang w:eastAsia="en-AU"/>
              </w:rPr>
            </w:pPr>
            <w:r w:rsidRPr="008636E1">
              <w:rPr>
                <w:rFonts w:ascii="Arial Narrow" w:hAnsi="Arial Narrow" w:cs="Arial"/>
                <w:b/>
                <w:bCs/>
                <w:sz w:val="16"/>
                <w:szCs w:val="16"/>
                <w:lang w:eastAsia="en-AU"/>
              </w:rPr>
              <w:t>6,001,183,045</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b/>
                <w:bCs/>
                <w:sz w:val="16"/>
                <w:szCs w:val="16"/>
                <w:lang w:eastAsia="en-AU"/>
              </w:rPr>
            </w:pPr>
            <w:r w:rsidRPr="008636E1">
              <w:rPr>
                <w:rFonts w:ascii="Arial Narrow" w:hAnsi="Arial Narrow" w:cs="Arial"/>
                <w:b/>
                <w:bCs/>
                <w:sz w:val="16"/>
                <w:szCs w:val="16"/>
                <w:lang w:eastAsia="en-AU"/>
              </w:rPr>
              <w:t>6,163,129,539</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b/>
                <w:bCs/>
                <w:sz w:val="16"/>
                <w:szCs w:val="16"/>
                <w:lang w:eastAsia="en-AU"/>
              </w:rPr>
            </w:pPr>
            <w:r w:rsidRPr="008636E1">
              <w:rPr>
                <w:rFonts w:ascii="Arial Narrow" w:hAnsi="Arial Narrow" w:cs="Arial"/>
                <w:b/>
                <w:bCs/>
                <w:sz w:val="16"/>
                <w:szCs w:val="16"/>
                <w:lang w:eastAsia="en-AU"/>
              </w:rPr>
              <w:t>6,428,298,644</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b/>
                <w:bCs/>
                <w:sz w:val="16"/>
                <w:szCs w:val="16"/>
                <w:lang w:eastAsia="en-AU"/>
              </w:rPr>
            </w:pPr>
            <w:r w:rsidRPr="008636E1">
              <w:rPr>
                <w:rFonts w:ascii="Arial Narrow" w:hAnsi="Arial Narrow" w:cs="Arial"/>
                <w:b/>
                <w:bCs/>
                <w:sz w:val="16"/>
                <w:szCs w:val="16"/>
                <w:lang w:eastAsia="en-AU"/>
              </w:rPr>
              <w:t>7,033,815,575</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b/>
                <w:bCs/>
                <w:sz w:val="16"/>
                <w:szCs w:val="16"/>
                <w:lang w:eastAsia="en-AU"/>
              </w:rPr>
            </w:pPr>
            <w:r w:rsidRPr="008636E1">
              <w:rPr>
                <w:rFonts w:ascii="Arial Narrow" w:hAnsi="Arial Narrow" w:cs="Arial"/>
                <w:b/>
                <w:bCs/>
                <w:sz w:val="16"/>
                <w:szCs w:val="16"/>
                <w:lang w:eastAsia="en-AU"/>
              </w:rPr>
              <w:t>7,679,272,440</w:t>
            </w:r>
          </w:p>
        </w:tc>
        <w:tc>
          <w:tcPr>
            <w:tcW w:w="1580" w:type="dxa"/>
            <w:tcBorders>
              <w:top w:val="nil"/>
              <w:left w:val="nil"/>
              <w:bottom w:val="single" w:sz="4" w:space="0" w:color="auto"/>
              <w:right w:val="single" w:sz="4" w:space="0" w:color="auto"/>
            </w:tcBorders>
            <w:noWrap/>
            <w:vAlign w:val="bottom"/>
          </w:tcPr>
          <w:p w:rsidR="009B075E" w:rsidRPr="008636E1" w:rsidRDefault="009B075E" w:rsidP="00DF5EB1">
            <w:pPr>
              <w:spacing w:after="0" w:line="240" w:lineRule="auto"/>
              <w:jc w:val="right"/>
              <w:rPr>
                <w:rFonts w:ascii="Arial Narrow" w:hAnsi="Arial Narrow" w:cs="Arial"/>
                <w:b/>
                <w:bCs/>
                <w:sz w:val="16"/>
                <w:szCs w:val="16"/>
                <w:lang w:eastAsia="en-AU"/>
              </w:rPr>
            </w:pPr>
            <w:r w:rsidRPr="008636E1">
              <w:rPr>
                <w:rFonts w:ascii="Arial Narrow" w:hAnsi="Arial Narrow" w:cs="Arial"/>
                <w:b/>
                <w:bCs/>
                <w:sz w:val="16"/>
                <w:szCs w:val="16"/>
                <w:lang w:eastAsia="en-AU"/>
              </w:rPr>
              <w:t>8,391,678,245</w:t>
            </w:r>
          </w:p>
        </w:tc>
        <w:tc>
          <w:tcPr>
            <w:tcW w:w="1580" w:type="dxa"/>
            <w:tcBorders>
              <w:top w:val="nil"/>
              <w:left w:val="nil"/>
              <w:bottom w:val="single" w:sz="4" w:space="0" w:color="auto"/>
              <w:right w:val="single" w:sz="8" w:space="0" w:color="auto"/>
            </w:tcBorders>
            <w:noWrap/>
            <w:vAlign w:val="bottom"/>
          </w:tcPr>
          <w:p w:rsidR="009B075E" w:rsidRPr="008636E1" w:rsidRDefault="009B075E" w:rsidP="00DF5EB1">
            <w:pPr>
              <w:spacing w:after="0" w:line="240" w:lineRule="auto"/>
              <w:jc w:val="right"/>
              <w:rPr>
                <w:rFonts w:ascii="Arial Narrow" w:hAnsi="Arial Narrow" w:cs="Arial"/>
                <w:b/>
                <w:bCs/>
                <w:sz w:val="16"/>
                <w:szCs w:val="16"/>
                <w:lang w:eastAsia="en-AU"/>
              </w:rPr>
            </w:pPr>
            <w:r w:rsidRPr="008636E1">
              <w:rPr>
                <w:rFonts w:ascii="Arial Narrow" w:hAnsi="Arial Narrow" w:cs="Arial"/>
                <w:b/>
                <w:bCs/>
                <w:sz w:val="16"/>
                <w:szCs w:val="16"/>
                <w:lang w:eastAsia="en-AU"/>
              </w:rPr>
              <w:t>8,872,667,330</w:t>
            </w:r>
          </w:p>
        </w:tc>
      </w:tr>
    </w:tbl>
    <w:p w:rsidR="009B075E" w:rsidRPr="00DF5EB1" w:rsidRDefault="009B075E" w:rsidP="00CD48FC">
      <w:pPr>
        <w:pStyle w:val="FootnoteText"/>
        <w:rPr>
          <w:rFonts w:ascii="Arial" w:hAnsi="Arial" w:cs="Arial"/>
          <w:sz w:val="16"/>
          <w:szCs w:val="16"/>
        </w:rPr>
      </w:pPr>
    </w:p>
    <w:p w:rsidR="009B075E" w:rsidRPr="00DF5EB1" w:rsidRDefault="009B075E" w:rsidP="00CD48FC">
      <w:pPr>
        <w:pStyle w:val="FootnoteText"/>
        <w:rPr>
          <w:rFonts w:ascii="Arial" w:hAnsi="Arial" w:cs="Arial"/>
          <w:sz w:val="16"/>
          <w:szCs w:val="16"/>
        </w:rPr>
      </w:pPr>
      <w:r w:rsidRPr="00DF5EB1">
        <w:rPr>
          <w:rFonts w:ascii="Arial" w:hAnsi="Arial" w:cs="Arial"/>
          <w:sz w:val="16"/>
          <w:szCs w:val="16"/>
        </w:rPr>
        <w:t>Source: DoHA Expenditure and Prescriptions reports</w:t>
      </w:r>
      <w:r>
        <w:rPr>
          <w:rFonts w:ascii="Arial" w:hAnsi="Arial" w:cs="Arial"/>
          <w:sz w:val="16"/>
          <w:szCs w:val="16"/>
        </w:rPr>
        <w:t xml:space="preserve"> between June 2005 and June 2011</w:t>
      </w:r>
      <w:r w:rsidRPr="00DF5EB1">
        <w:rPr>
          <w:rFonts w:ascii="Arial" w:hAnsi="Arial" w:cs="Arial"/>
          <w:sz w:val="16"/>
          <w:szCs w:val="16"/>
        </w:rPr>
        <w:t xml:space="preserve">, Table 1(a)  </w:t>
      </w:r>
    </w:p>
    <w:p w:rsidR="009B075E" w:rsidRPr="00DC51D5" w:rsidRDefault="009B075E" w:rsidP="00CD48FC">
      <w:pPr>
        <w:pStyle w:val="Caption"/>
        <w:jc w:val="left"/>
        <w:rPr>
          <w:rFonts w:ascii="Arial" w:hAnsi="Arial" w:cs="Arial"/>
          <w:sz w:val="22"/>
          <w:szCs w:val="22"/>
          <w:highlight w:val="yellow"/>
        </w:rPr>
      </w:pPr>
    </w:p>
    <w:p w:rsidR="009B075E" w:rsidRPr="00146CFA" w:rsidRDefault="009B075E" w:rsidP="00CD48FC">
      <w:pPr>
        <w:pStyle w:val="Caption"/>
        <w:jc w:val="left"/>
        <w:rPr>
          <w:rFonts w:ascii="Arial" w:hAnsi="Arial" w:cs="Arial"/>
          <w:sz w:val="22"/>
          <w:szCs w:val="22"/>
        </w:rPr>
      </w:pPr>
      <w:bookmarkStart w:id="91" w:name="_Ref301528735"/>
      <w:r w:rsidRPr="00146CFA">
        <w:rPr>
          <w:rFonts w:ascii="Arial" w:hAnsi="Arial" w:cs="Arial"/>
          <w:sz w:val="22"/>
          <w:szCs w:val="22"/>
        </w:rPr>
        <w:t xml:space="preserve">Table </w:t>
      </w:r>
      <w:r w:rsidR="00855AAF">
        <w:rPr>
          <w:rFonts w:ascii="Arial" w:hAnsi="Arial" w:cs="Arial"/>
          <w:sz w:val="22"/>
          <w:szCs w:val="22"/>
        </w:rPr>
        <w:fldChar w:fldCharType="begin"/>
      </w:r>
      <w:r>
        <w:rPr>
          <w:rFonts w:ascii="Arial" w:hAnsi="Arial" w:cs="Arial"/>
          <w:sz w:val="22"/>
          <w:szCs w:val="22"/>
        </w:rPr>
        <w:instrText xml:space="preserve"> SEQ Table \* ARABIC </w:instrText>
      </w:r>
      <w:r w:rsidR="00855AAF">
        <w:rPr>
          <w:rFonts w:ascii="Arial" w:hAnsi="Arial" w:cs="Arial"/>
          <w:sz w:val="22"/>
          <w:szCs w:val="22"/>
        </w:rPr>
        <w:fldChar w:fldCharType="separate"/>
      </w:r>
      <w:r w:rsidR="00584343">
        <w:rPr>
          <w:rFonts w:ascii="Arial" w:hAnsi="Arial" w:cs="Arial"/>
          <w:noProof/>
          <w:sz w:val="22"/>
          <w:szCs w:val="22"/>
        </w:rPr>
        <w:t>6</w:t>
      </w:r>
      <w:r w:rsidR="00855AAF">
        <w:rPr>
          <w:rFonts w:ascii="Arial" w:hAnsi="Arial" w:cs="Arial"/>
          <w:sz w:val="22"/>
          <w:szCs w:val="22"/>
        </w:rPr>
        <w:fldChar w:fldCharType="end"/>
      </w:r>
      <w:bookmarkEnd w:id="91"/>
      <w:r w:rsidRPr="00146CFA">
        <w:rPr>
          <w:rFonts w:ascii="Arial" w:hAnsi="Arial" w:cs="Arial"/>
          <w:sz w:val="22"/>
          <w:szCs w:val="22"/>
        </w:rPr>
        <w:t>: Contribution to Pharmaceutical Benefits expenditure growth, by category of expenditure</w:t>
      </w:r>
    </w:p>
    <w:tbl>
      <w:tblPr>
        <w:tblW w:w="12031" w:type="dxa"/>
        <w:tblInd w:w="93" w:type="dxa"/>
        <w:tblLook w:val="00A0" w:firstRow="1" w:lastRow="0" w:firstColumn="1" w:lastColumn="0" w:noHBand="0" w:noVBand="0"/>
      </w:tblPr>
      <w:tblGrid>
        <w:gridCol w:w="2551"/>
        <w:gridCol w:w="1580"/>
        <w:gridCol w:w="1580"/>
        <w:gridCol w:w="1580"/>
        <w:gridCol w:w="1580"/>
        <w:gridCol w:w="1580"/>
        <w:gridCol w:w="1580"/>
      </w:tblGrid>
      <w:tr w:rsidR="009B075E" w:rsidRPr="008636E1" w:rsidTr="00146CFA">
        <w:trPr>
          <w:trHeight w:val="255"/>
        </w:trPr>
        <w:tc>
          <w:tcPr>
            <w:tcW w:w="2551" w:type="dxa"/>
            <w:tcBorders>
              <w:top w:val="single" w:sz="8" w:space="0" w:color="auto"/>
              <w:left w:val="single" w:sz="8" w:space="0" w:color="auto"/>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 </w:t>
            </w:r>
          </w:p>
        </w:tc>
        <w:tc>
          <w:tcPr>
            <w:tcW w:w="1580" w:type="dxa"/>
            <w:tcBorders>
              <w:top w:val="single" w:sz="8" w:space="0" w:color="auto"/>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b/>
                <w:bCs/>
                <w:sz w:val="16"/>
                <w:szCs w:val="16"/>
                <w:lang w:eastAsia="en-AU"/>
              </w:rPr>
            </w:pPr>
            <w:r w:rsidRPr="008636E1">
              <w:rPr>
                <w:rFonts w:ascii="Arial" w:hAnsi="Arial" w:cs="Arial"/>
                <w:b/>
                <w:bCs/>
                <w:sz w:val="16"/>
                <w:szCs w:val="16"/>
                <w:lang w:eastAsia="en-AU"/>
              </w:rPr>
              <w:t>2005-06</w:t>
            </w:r>
          </w:p>
        </w:tc>
        <w:tc>
          <w:tcPr>
            <w:tcW w:w="1580" w:type="dxa"/>
            <w:tcBorders>
              <w:top w:val="single" w:sz="8" w:space="0" w:color="auto"/>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b/>
                <w:bCs/>
                <w:sz w:val="16"/>
                <w:szCs w:val="16"/>
                <w:lang w:eastAsia="en-AU"/>
              </w:rPr>
            </w:pPr>
            <w:r w:rsidRPr="008636E1">
              <w:rPr>
                <w:rFonts w:ascii="Arial" w:hAnsi="Arial" w:cs="Arial"/>
                <w:b/>
                <w:bCs/>
                <w:sz w:val="16"/>
                <w:szCs w:val="16"/>
                <w:lang w:eastAsia="en-AU"/>
              </w:rPr>
              <w:t>2006-07</w:t>
            </w:r>
          </w:p>
        </w:tc>
        <w:tc>
          <w:tcPr>
            <w:tcW w:w="1580" w:type="dxa"/>
            <w:tcBorders>
              <w:top w:val="single" w:sz="8" w:space="0" w:color="auto"/>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b/>
                <w:bCs/>
                <w:sz w:val="16"/>
                <w:szCs w:val="16"/>
                <w:lang w:eastAsia="en-AU"/>
              </w:rPr>
            </w:pPr>
            <w:r w:rsidRPr="008636E1">
              <w:rPr>
                <w:rFonts w:ascii="Arial" w:hAnsi="Arial" w:cs="Arial"/>
                <w:b/>
                <w:bCs/>
                <w:sz w:val="16"/>
                <w:szCs w:val="16"/>
                <w:lang w:eastAsia="en-AU"/>
              </w:rPr>
              <w:t>2007-08</w:t>
            </w:r>
          </w:p>
        </w:tc>
        <w:tc>
          <w:tcPr>
            <w:tcW w:w="1580" w:type="dxa"/>
            <w:tcBorders>
              <w:top w:val="single" w:sz="8" w:space="0" w:color="auto"/>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b/>
                <w:bCs/>
                <w:sz w:val="16"/>
                <w:szCs w:val="16"/>
                <w:lang w:eastAsia="en-AU"/>
              </w:rPr>
            </w:pPr>
            <w:r w:rsidRPr="008636E1">
              <w:rPr>
                <w:rFonts w:ascii="Arial" w:hAnsi="Arial" w:cs="Arial"/>
                <w:b/>
                <w:bCs/>
                <w:sz w:val="16"/>
                <w:szCs w:val="16"/>
                <w:lang w:eastAsia="en-AU"/>
              </w:rPr>
              <w:t>2008-09</w:t>
            </w:r>
          </w:p>
        </w:tc>
        <w:tc>
          <w:tcPr>
            <w:tcW w:w="1580" w:type="dxa"/>
            <w:tcBorders>
              <w:top w:val="single" w:sz="8" w:space="0" w:color="auto"/>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b/>
                <w:bCs/>
                <w:sz w:val="16"/>
                <w:szCs w:val="16"/>
                <w:lang w:eastAsia="en-AU"/>
              </w:rPr>
            </w:pPr>
            <w:r w:rsidRPr="008636E1">
              <w:rPr>
                <w:rFonts w:ascii="Arial" w:hAnsi="Arial" w:cs="Arial"/>
                <w:b/>
                <w:bCs/>
                <w:sz w:val="16"/>
                <w:szCs w:val="16"/>
                <w:lang w:eastAsia="en-AU"/>
              </w:rPr>
              <w:t>2009-10</w:t>
            </w:r>
          </w:p>
        </w:tc>
        <w:tc>
          <w:tcPr>
            <w:tcW w:w="1580" w:type="dxa"/>
            <w:tcBorders>
              <w:top w:val="single" w:sz="8" w:space="0" w:color="auto"/>
              <w:left w:val="nil"/>
              <w:bottom w:val="single" w:sz="4" w:space="0" w:color="auto"/>
              <w:right w:val="single" w:sz="8" w:space="0" w:color="auto"/>
            </w:tcBorders>
            <w:noWrap/>
            <w:vAlign w:val="center"/>
          </w:tcPr>
          <w:p w:rsidR="009B075E" w:rsidRPr="008636E1" w:rsidRDefault="009B075E" w:rsidP="00146CFA">
            <w:pPr>
              <w:spacing w:after="0" w:line="240" w:lineRule="auto"/>
              <w:jc w:val="center"/>
              <w:rPr>
                <w:rFonts w:ascii="Arial" w:hAnsi="Arial" w:cs="Arial"/>
                <w:b/>
                <w:bCs/>
                <w:sz w:val="16"/>
                <w:szCs w:val="16"/>
                <w:lang w:eastAsia="en-AU"/>
              </w:rPr>
            </w:pPr>
            <w:r w:rsidRPr="008636E1">
              <w:rPr>
                <w:rFonts w:ascii="Arial" w:hAnsi="Arial" w:cs="Arial"/>
                <w:b/>
                <w:bCs/>
                <w:sz w:val="16"/>
                <w:szCs w:val="16"/>
                <w:lang w:eastAsia="en-AU"/>
              </w:rPr>
              <w:t>2010-11</w:t>
            </w:r>
          </w:p>
        </w:tc>
      </w:tr>
      <w:tr w:rsidR="009B075E" w:rsidRPr="008636E1" w:rsidTr="00146CFA">
        <w:trPr>
          <w:trHeight w:val="255"/>
        </w:trPr>
        <w:tc>
          <w:tcPr>
            <w:tcW w:w="2551" w:type="dxa"/>
            <w:tcBorders>
              <w:top w:val="nil"/>
              <w:left w:val="single" w:sz="8" w:space="0" w:color="auto"/>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Concessional</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42%</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47%</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61%</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59%</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62%</w:t>
            </w:r>
          </w:p>
        </w:tc>
        <w:tc>
          <w:tcPr>
            <w:tcW w:w="1580" w:type="dxa"/>
            <w:tcBorders>
              <w:top w:val="nil"/>
              <w:left w:val="nil"/>
              <w:bottom w:val="single" w:sz="4" w:space="0" w:color="auto"/>
              <w:right w:val="single" w:sz="8"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48%</w:t>
            </w:r>
          </w:p>
        </w:tc>
      </w:tr>
      <w:tr w:rsidR="009B075E" w:rsidRPr="008636E1" w:rsidTr="00146CFA">
        <w:trPr>
          <w:trHeight w:val="255"/>
        </w:trPr>
        <w:tc>
          <w:tcPr>
            <w:tcW w:w="2551" w:type="dxa"/>
            <w:tcBorders>
              <w:top w:val="nil"/>
              <w:left w:val="single" w:sz="8" w:space="0" w:color="auto"/>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General</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-10%</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32%</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24%</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17%</w:t>
            </w:r>
          </w:p>
        </w:tc>
        <w:tc>
          <w:tcPr>
            <w:tcW w:w="1580" w:type="dxa"/>
            <w:tcBorders>
              <w:top w:val="nil"/>
              <w:left w:val="nil"/>
              <w:bottom w:val="single" w:sz="4" w:space="0" w:color="auto"/>
              <w:right w:val="single" w:sz="8"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17%</w:t>
            </w:r>
          </w:p>
        </w:tc>
      </w:tr>
      <w:tr w:rsidR="009B075E" w:rsidRPr="008636E1" w:rsidTr="00146CFA">
        <w:trPr>
          <w:trHeight w:val="255"/>
        </w:trPr>
        <w:tc>
          <w:tcPr>
            <w:tcW w:w="2551" w:type="dxa"/>
            <w:tcBorders>
              <w:top w:val="nil"/>
              <w:left w:val="single" w:sz="8" w:space="0" w:color="auto"/>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Highly Specialised Drugs</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40%</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38%</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4%</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15%</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15%</w:t>
            </w:r>
          </w:p>
        </w:tc>
        <w:tc>
          <w:tcPr>
            <w:tcW w:w="1580" w:type="dxa"/>
            <w:tcBorders>
              <w:top w:val="nil"/>
              <w:left w:val="nil"/>
              <w:bottom w:val="single" w:sz="4" w:space="0" w:color="auto"/>
              <w:right w:val="single" w:sz="8"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33%</w:t>
            </w:r>
          </w:p>
        </w:tc>
      </w:tr>
      <w:tr w:rsidR="009B075E" w:rsidRPr="008636E1" w:rsidTr="00146CFA">
        <w:trPr>
          <w:trHeight w:val="255"/>
        </w:trPr>
        <w:tc>
          <w:tcPr>
            <w:tcW w:w="2551" w:type="dxa"/>
            <w:tcBorders>
              <w:top w:val="nil"/>
              <w:left w:val="single" w:sz="8" w:space="0" w:color="auto"/>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Drs Bag</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0.6%</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0.7%</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0.4%</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0.2%</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-0.1%</w:t>
            </w:r>
          </w:p>
        </w:tc>
        <w:tc>
          <w:tcPr>
            <w:tcW w:w="1580" w:type="dxa"/>
            <w:tcBorders>
              <w:top w:val="nil"/>
              <w:left w:val="nil"/>
              <w:bottom w:val="single" w:sz="4" w:space="0" w:color="auto"/>
              <w:right w:val="single" w:sz="8"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w:t>
            </w:r>
          </w:p>
        </w:tc>
      </w:tr>
      <w:tr w:rsidR="009B075E" w:rsidRPr="008636E1" w:rsidTr="00146CFA">
        <w:trPr>
          <w:trHeight w:val="255"/>
        </w:trPr>
        <w:tc>
          <w:tcPr>
            <w:tcW w:w="2551" w:type="dxa"/>
            <w:tcBorders>
              <w:top w:val="nil"/>
              <w:left w:val="single" w:sz="8" w:space="0" w:color="auto"/>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Section 100</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18%</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25%</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2%</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2%</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6%</w:t>
            </w:r>
          </w:p>
        </w:tc>
        <w:tc>
          <w:tcPr>
            <w:tcW w:w="1580" w:type="dxa"/>
            <w:tcBorders>
              <w:top w:val="nil"/>
              <w:left w:val="nil"/>
              <w:bottom w:val="single" w:sz="4" w:space="0" w:color="auto"/>
              <w:right w:val="single" w:sz="8"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3%</w:t>
            </w:r>
          </w:p>
        </w:tc>
      </w:tr>
      <w:tr w:rsidR="009B075E" w:rsidRPr="008636E1" w:rsidTr="00146CFA">
        <w:trPr>
          <w:trHeight w:val="255"/>
        </w:trPr>
        <w:tc>
          <w:tcPr>
            <w:tcW w:w="2551" w:type="dxa"/>
            <w:tcBorders>
              <w:top w:val="nil"/>
              <w:left w:val="single" w:sz="8" w:space="0" w:color="auto"/>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Pr>
                <w:rFonts w:ascii="Arial" w:hAnsi="Arial" w:cs="Arial"/>
                <w:sz w:val="16"/>
                <w:szCs w:val="16"/>
                <w:lang w:eastAsia="en-AU"/>
              </w:rPr>
              <w:t>Safety Net</w:t>
            </w:r>
            <w:r w:rsidRPr="008636E1">
              <w:rPr>
                <w:rFonts w:ascii="Arial" w:hAnsi="Arial" w:cs="Arial"/>
                <w:sz w:val="16"/>
                <w:szCs w:val="16"/>
                <w:lang w:eastAsia="en-AU"/>
              </w:rPr>
              <w:t xml:space="preserve"> Cards</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-0.1%</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0.0%</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0.0%</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0.1%</w:t>
            </w:r>
          </w:p>
        </w:tc>
        <w:tc>
          <w:tcPr>
            <w:tcW w:w="1580" w:type="dxa"/>
            <w:tcBorders>
              <w:top w:val="nil"/>
              <w:left w:val="nil"/>
              <w:bottom w:val="single" w:sz="4"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0.02%</w:t>
            </w:r>
          </w:p>
        </w:tc>
        <w:tc>
          <w:tcPr>
            <w:tcW w:w="1580" w:type="dxa"/>
            <w:tcBorders>
              <w:top w:val="nil"/>
              <w:left w:val="nil"/>
              <w:bottom w:val="single" w:sz="4" w:space="0" w:color="auto"/>
              <w:right w:val="single" w:sz="8"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0.1%</w:t>
            </w:r>
          </w:p>
        </w:tc>
      </w:tr>
      <w:tr w:rsidR="009B075E" w:rsidRPr="008636E1" w:rsidTr="00146CFA">
        <w:trPr>
          <w:trHeight w:val="270"/>
        </w:trPr>
        <w:tc>
          <w:tcPr>
            <w:tcW w:w="2551" w:type="dxa"/>
            <w:tcBorders>
              <w:top w:val="nil"/>
              <w:left w:val="single" w:sz="8" w:space="0" w:color="auto"/>
              <w:bottom w:val="single" w:sz="8"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Total</w:t>
            </w:r>
          </w:p>
        </w:tc>
        <w:tc>
          <w:tcPr>
            <w:tcW w:w="1580" w:type="dxa"/>
            <w:tcBorders>
              <w:top w:val="nil"/>
              <w:left w:val="nil"/>
              <w:bottom w:val="single" w:sz="8"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100%</w:t>
            </w:r>
          </w:p>
        </w:tc>
        <w:tc>
          <w:tcPr>
            <w:tcW w:w="1580" w:type="dxa"/>
            <w:tcBorders>
              <w:top w:val="nil"/>
              <w:left w:val="nil"/>
              <w:bottom w:val="single" w:sz="8"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100%</w:t>
            </w:r>
          </w:p>
        </w:tc>
        <w:tc>
          <w:tcPr>
            <w:tcW w:w="1580" w:type="dxa"/>
            <w:tcBorders>
              <w:top w:val="nil"/>
              <w:left w:val="nil"/>
              <w:bottom w:val="single" w:sz="8"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100%</w:t>
            </w:r>
          </w:p>
        </w:tc>
        <w:tc>
          <w:tcPr>
            <w:tcW w:w="1580" w:type="dxa"/>
            <w:tcBorders>
              <w:top w:val="nil"/>
              <w:left w:val="nil"/>
              <w:bottom w:val="single" w:sz="8"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100%</w:t>
            </w:r>
          </w:p>
        </w:tc>
        <w:tc>
          <w:tcPr>
            <w:tcW w:w="1580" w:type="dxa"/>
            <w:tcBorders>
              <w:top w:val="nil"/>
              <w:left w:val="nil"/>
              <w:bottom w:val="single" w:sz="8" w:space="0" w:color="auto"/>
              <w:right w:val="single" w:sz="4"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100%</w:t>
            </w:r>
          </w:p>
        </w:tc>
        <w:tc>
          <w:tcPr>
            <w:tcW w:w="1580" w:type="dxa"/>
            <w:tcBorders>
              <w:top w:val="nil"/>
              <w:left w:val="nil"/>
              <w:bottom w:val="single" w:sz="8" w:space="0" w:color="auto"/>
              <w:right w:val="single" w:sz="8" w:space="0" w:color="auto"/>
            </w:tcBorders>
            <w:noWrap/>
            <w:vAlign w:val="center"/>
          </w:tcPr>
          <w:p w:rsidR="009B075E" w:rsidRPr="008636E1" w:rsidRDefault="009B075E" w:rsidP="00146CFA">
            <w:pPr>
              <w:spacing w:after="0" w:line="240" w:lineRule="auto"/>
              <w:jc w:val="center"/>
              <w:rPr>
                <w:rFonts w:ascii="Arial" w:hAnsi="Arial" w:cs="Arial"/>
                <w:sz w:val="16"/>
                <w:szCs w:val="16"/>
                <w:lang w:eastAsia="en-AU"/>
              </w:rPr>
            </w:pPr>
            <w:r w:rsidRPr="008636E1">
              <w:rPr>
                <w:rFonts w:ascii="Arial" w:hAnsi="Arial" w:cs="Arial"/>
                <w:sz w:val="16"/>
                <w:szCs w:val="16"/>
                <w:lang w:eastAsia="en-AU"/>
              </w:rPr>
              <w:t>100%</w:t>
            </w:r>
          </w:p>
        </w:tc>
      </w:tr>
    </w:tbl>
    <w:p w:rsidR="009B075E" w:rsidRPr="00146CFA" w:rsidRDefault="009B075E" w:rsidP="00CD48FC">
      <w:pPr>
        <w:pStyle w:val="FootnoteText"/>
        <w:rPr>
          <w:rFonts w:ascii="Arial" w:hAnsi="Arial" w:cs="Arial"/>
          <w:sz w:val="16"/>
          <w:szCs w:val="16"/>
        </w:rPr>
      </w:pPr>
    </w:p>
    <w:p w:rsidR="009B075E" w:rsidRPr="00146CFA" w:rsidRDefault="009B075E" w:rsidP="00CD48FC">
      <w:pPr>
        <w:pStyle w:val="FootnoteText"/>
        <w:rPr>
          <w:rFonts w:ascii="Arial" w:hAnsi="Arial" w:cs="Arial"/>
          <w:sz w:val="16"/>
          <w:szCs w:val="16"/>
        </w:rPr>
      </w:pPr>
      <w:r w:rsidRPr="00146CFA">
        <w:rPr>
          <w:rFonts w:ascii="Arial" w:hAnsi="Arial" w:cs="Arial"/>
          <w:sz w:val="16"/>
          <w:szCs w:val="16"/>
        </w:rPr>
        <w:t>Source: Based on data from DoHA Expenditure and Prescriptions reports between June 2005 and June 201</w:t>
      </w:r>
      <w:r>
        <w:rPr>
          <w:rFonts w:ascii="Arial" w:hAnsi="Arial" w:cs="Arial"/>
          <w:sz w:val="16"/>
          <w:szCs w:val="16"/>
        </w:rPr>
        <w:t>1</w:t>
      </w:r>
      <w:r w:rsidRPr="00146CFA">
        <w:rPr>
          <w:rFonts w:ascii="Arial" w:hAnsi="Arial" w:cs="Arial"/>
          <w:sz w:val="16"/>
          <w:szCs w:val="16"/>
        </w:rPr>
        <w:t>, Table 1(a)</w:t>
      </w:r>
    </w:p>
    <w:p w:rsidR="009B075E" w:rsidRPr="00DC51D5" w:rsidRDefault="009B075E" w:rsidP="00CD48FC">
      <w:pPr>
        <w:rPr>
          <w:rFonts w:ascii="Arial" w:hAnsi="Arial" w:cs="Arial"/>
          <w:highlight w:val="yellow"/>
        </w:rPr>
      </w:pPr>
    </w:p>
    <w:p w:rsidR="009B075E" w:rsidRDefault="009B075E">
      <w:pPr>
        <w:spacing w:after="0" w:line="240" w:lineRule="auto"/>
        <w:rPr>
          <w:rFonts w:ascii="Arial" w:hAnsi="Arial" w:cs="Arial"/>
          <w:b/>
          <w:bCs/>
          <w:highlight w:val="yellow"/>
        </w:rPr>
      </w:pPr>
      <w:bookmarkStart w:id="92" w:name="_Ref301528761"/>
      <w:r>
        <w:rPr>
          <w:rFonts w:ascii="Arial" w:hAnsi="Arial" w:cs="Arial"/>
          <w:highlight w:val="yellow"/>
        </w:rPr>
        <w:br w:type="page"/>
      </w:r>
    </w:p>
    <w:p w:rsidR="009B075E" w:rsidRPr="00706DC1" w:rsidRDefault="009B075E" w:rsidP="00CD48FC">
      <w:pPr>
        <w:pStyle w:val="Caption"/>
        <w:jc w:val="left"/>
        <w:rPr>
          <w:rFonts w:ascii="Arial" w:hAnsi="Arial" w:cs="Arial"/>
          <w:sz w:val="22"/>
          <w:szCs w:val="22"/>
        </w:rPr>
      </w:pPr>
      <w:bookmarkStart w:id="93" w:name="_Ref318375937"/>
      <w:r w:rsidRPr="00706DC1">
        <w:rPr>
          <w:rFonts w:ascii="Arial" w:hAnsi="Arial" w:cs="Arial"/>
          <w:sz w:val="22"/>
          <w:szCs w:val="22"/>
        </w:rPr>
        <w:lastRenderedPageBreak/>
        <w:t xml:space="preserve">Table </w:t>
      </w:r>
      <w:r w:rsidR="00855AAF" w:rsidRPr="00706DC1">
        <w:rPr>
          <w:rFonts w:ascii="Arial" w:hAnsi="Arial" w:cs="Arial"/>
          <w:sz w:val="22"/>
          <w:szCs w:val="22"/>
        </w:rPr>
        <w:fldChar w:fldCharType="begin"/>
      </w:r>
      <w:r w:rsidRPr="00706DC1">
        <w:rPr>
          <w:rFonts w:ascii="Arial" w:hAnsi="Arial" w:cs="Arial"/>
          <w:sz w:val="22"/>
          <w:szCs w:val="22"/>
        </w:rPr>
        <w:instrText xml:space="preserve"> SEQ Table \* ARABIC </w:instrText>
      </w:r>
      <w:r w:rsidR="00855AAF" w:rsidRPr="00706DC1">
        <w:rPr>
          <w:rFonts w:ascii="Arial" w:hAnsi="Arial" w:cs="Arial"/>
          <w:sz w:val="22"/>
          <w:szCs w:val="22"/>
        </w:rPr>
        <w:fldChar w:fldCharType="separate"/>
      </w:r>
      <w:r w:rsidR="00584343">
        <w:rPr>
          <w:rFonts w:ascii="Arial" w:hAnsi="Arial" w:cs="Arial"/>
          <w:noProof/>
          <w:sz w:val="22"/>
          <w:szCs w:val="22"/>
        </w:rPr>
        <w:t>7</w:t>
      </w:r>
      <w:r w:rsidR="00855AAF" w:rsidRPr="00706DC1">
        <w:rPr>
          <w:rFonts w:ascii="Arial" w:hAnsi="Arial" w:cs="Arial"/>
          <w:sz w:val="22"/>
          <w:szCs w:val="22"/>
        </w:rPr>
        <w:fldChar w:fldCharType="end"/>
      </w:r>
      <w:bookmarkEnd w:id="92"/>
      <w:bookmarkEnd w:id="93"/>
      <w:r w:rsidRPr="00706DC1">
        <w:rPr>
          <w:rFonts w:ascii="Arial" w:hAnsi="Arial" w:cs="Arial"/>
          <w:sz w:val="22"/>
          <w:szCs w:val="22"/>
        </w:rPr>
        <w:t>: Key Drivers and their contribution to PBS growth ($m)</w:t>
      </w:r>
      <w:r w:rsidR="003A33E3">
        <w:rPr>
          <w:rFonts w:ascii="Arial" w:hAnsi="Arial" w:cs="Arial"/>
          <w:sz w:val="22"/>
          <w:szCs w:val="22"/>
        </w:rPr>
        <w:t xml:space="preserve"> – 1 year analysis</w:t>
      </w:r>
    </w:p>
    <w:tbl>
      <w:tblPr>
        <w:tblW w:w="0" w:type="auto"/>
        <w:tblInd w:w="94" w:type="dxa"/>
        <w:tblLook w:val="04A0" w:firstRow="1" w:lastRow="0" w:firstColumn="1" w:lastColumn="0" w:noHBand="0" w:noVBand="1"/>
      </w:tblPr>
      <w:tblGrid>
        <w:gridCol w:w="4478"/>
        <w:gridCol w:w="1027"/>
        <w:gridCol w:w="1067"/>
        <w:gridCol w:w="1027"/>
        <w:gridCol w:w="1027"/>
        <w:gridCol w:w="1027"/>
        <w:gridCol w:w="1027"/>
        <w:gridCol w:w="1017"/>
        <w:gridCol w:w="1067"/>
        <w:gridCol w:w="1067"/>
        <w:gridCol w:w="1067"/>
      </w:tblGrid>
      <w:tr w:rsidR="003A33E3" w:rsidRPr="000C79A4" w:rsidTr="003A33E3">
        <w:trPr>
          <w:trHeight w:val="33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jc w:val="center"/>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2001-02</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jc w:val="center"/>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2002-03</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jc w:val="center"/>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2003-04</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jc w:val="center"/>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2004-05</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jc w:val="center"/>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2005-06</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jc w:val="center"/>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2006-07</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jc w:val="center"/>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2007-08</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jc w:val="center"/>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2008-09</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jc w:val="center"/>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2009-10</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3A33E3" w:rsidRPr="000C79A4" w:rsidRDefault="003A33E3" w:rsidP="003A33E3">
            <w:pPr>
              <w:spacing w:after="0" w:line="240" w:lineRule="auto"/>
              <w:jc w:val="center"/>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2010-11</w:t>
            </w:r>
          </w:p>
        </w:tc>
      </w:tr>
      <w:tr w:rsidR="003A33E3" w:rsidRPr="000C79A4" w:rsidTr="003A33E3">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Net new listings (new listings less delisted medicines)</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0C79A4">
            <w:pPr>
              <w:spacing w:after="0" w:line="240" w:lineRule="auto"/>
              <w:ind w:left="-398" w:firstLine="398"/>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22.32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82.63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0C79A4">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42.48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0C79A4">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29.37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0C79A4">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22.07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0C79A4">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88.26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170.55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50.06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92.21 </w:t>
            </w:r>
          </w:p>
        </w:tc>
        <w:tc>
          <w:tcPr>
            <w:tcW w:w="0" w:type="auto"/>
            <w:tcBorders>
              <w:top w:val="nil"/>
              <w:left w:val="nil"/>
              <w:bottom w:val="single" w:sz="4" w:space="0" w:color="auto"/>
              <w:right w:val="single" w:sz="8"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34.43 </w:t>
            </w:r>
          </w:p>
        </w:tc>
      </w:tr>
      <w:tr w:rsidR="003A33E3" w:rsidRPr="000C79A4" w:rsidTr="003A33E3">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Effect of change in price of existing medicines</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168.02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27.83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24.02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119.18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198.36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267.15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0C79A4">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67.76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162.25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34.86 </w:t>
            </w:r>
          </w:p>
        </w:tc>
        <w:tc>
          <w:tcPr>
            <w:tcW w:w="0" w:type="auto"/>
            <w:tcBorders>
              <w:top w:val="nil"/>
              <w:left w:val="nil"/>
              <w:bottom w:val="single" w:sz="4" w:space="0" w:color="auto"/>
              <w:right w:val="single" w:sz="8"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184.97 </w:t>
            </w:r>
          </w:p>
        </w:tc>
      </w:tr>
      <w:tr w:rsidR="003A33E3" w:rsidRPr="000C79A4" w:rsidTr="003A33E3">
        <w:trPr>
          <w:trHeight w:val="33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Impact of change in volume of existing medicines</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542.01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306.72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450.23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335.03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299.57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265.19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466.39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619.77 </w:t>
            </w:r>
          </w:p>
        </w:tc>
        <w:tc>
          <w:tcPr>
            <w:tcW w:w="0" w:type="auto"/>
            <w:tcBorders>
              <w:top w:val="nil"/>
              <w:left w:val="nil"/>
              <w:bottom w:val="single" w:sz="4"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513.99 </w:t>
            </w:r>
          </w:p>
        </w:tc>
        <w:tc>
          <w:tcPr>
            <w:tcW w:w="0" w:type="auto"/>
            <w:tcBorders>
              <w:top w:val="nil"/>
              <w:left w:val="nil"/>
              <w:bottom w:val="single" w:sz="4" w:space="0" w:color="auto"/>
              <w:right w:val="single" w:sz="8"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color w:val="000000"/>
                <w:sz w:val="18"/>
                <w:szCs w:val="18"/>
                <w:lang w:eastAsia="en-AU"/>
              </w:rPr>
            </w:pPr>
            <w:r w:rsidRPr="000C79A4">
              <w:rPr>
                <w:rFonts w:ascii="Arial" w:eastAsia="Times New Roman" w:hAnsi="Arial" w:cs="Arial"/>
                <w:color w:val="000000"/>
                <w:sz w:val="18"/>
                <w:szCs w:val="18"/>
                <w:lang w:eastAsia="en-AU"/>
              </w:rPr>
              <w:t xml:space="preserve"> $  521.22 </w:t>
            </w:r>
          </w:p>
        </w:tc>
      </w:tr>
      <w:tr w:rsidR="003A33E3" w:rsidRPr="000C79A4" w:rsidTr="003A33E3">
        <w:trPr>
          <w:trHeight w:val="34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3A33E3" w:rsidRPr="000C79A4" w:rsidRDefault="003A33E3" w:rsidP="003A33E3">
            <w:pPr>
              <w:spacing w:after="0" w:line="240" w:lineRule="auto"/>
              <w:jc w:val="right"/>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 xml:space="preserve">Total change </w:t>
            </w:r>
          </w:p>
        </w:tc>
        <w:tc>
          <w:tcPr>
            <w:tcW w:w="0" w:type="auto"/>
            <w:tcBorders>
              <w:top w:val="nil"/>
              <w:left w:val="nil"/>
              <w:bottom w:val="single" w:sz="8"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 xml:space="preserve"> $  396.32 </w:t>
            </w:r>
          </w:p>
        </w:tc>
        <w:tc>
          <w:tcPr>
            <w:tcW w:w="0" w:type="auto"/>
            <w:tcBorders>
              <w:top w:val="nil"/>
              <w:left w:val="nil"/>
              <w:bottom w:val="single" w:sz="8"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 xml:space="preserve"> $  361.52 </w:t>
            </w:r>
          </w:p>
        </w:tc>
        <w:tc>
          <w:tcPr>
            <w:tcW w:w="0" w:type="auto"/>
            <w:tcBorders>
              <w:top w:val="nil"/>
              <w:left w:val="nil"/>
              <w:bottom w:val="single" w:sz="8"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 xml:space="preserve"> $  468.68 </w:t>
            </w:r>
          </w:p>
        </w:tc>
        <w:tc>
          <w:tcPr>
            <w:tcW w:w="0" w:type="auto"/>
            <w:tcBorders>
              <w:top w:val="nil"/>
              <w:left w:val="nil"/>
              <w:bottom w:val="single" w:sz="8"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 xml:space="preserve"> $  245.21 </w:t>
            </w:r>
          </w:p>
        </w:tc>
        <w:tc>
          <w:tcPr>
            <w:tcW w:w="0" w:type="auto"/>
            <w:tcBorders>
              <w:top w:val="nil"/>
              <w:left w:val="nil"/>
              <w:bottom w:val="single" w:sz="8"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 xml:space="preserve"> $  123.28 </w:t>
            </w:r>
          </w:p>
        </w:tc>
        <w:tc>
          <w:tcPr>
            <w:tcW w:w="0" w:type="auto"/>
            <w:tcBorders>
              <w:top w:val="nil"/>
              <w:left w:val="nil"/>
              <w:bottom w:val="single" w:sz="8" w:space="0" w:color="auto"/>
              <w:right w:val="single" w:sz="4" w:space="0" w:color="auto"/>
            </w:tcBorders>
            <w:shd w:val="clear" w:color="auto" w:fill="auto"/>
            <w:noWrap/>
            <w:vAlign w:val="bottom"/>
            <w:hideMark/>
          </w:tcPr>
          <w:p w:rsidR="003A33E3" w:rsidRPr="000C79A4" w:rsidRDefault="003A33E3" w:rsidP="000C79A4">
            <w:pPr>
              <w:spacing w:after="0" w:line="240" w:lineRule="auto"/>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 xml:space="preserve"> $   86.30 </w:t>
            </w:r>
          </w:p>
        </w:tc>
        <w:tc>
          <w:tcPr>
            <w:tcW w:w="0" w:type="auto"/>
            <w:tcBorders>
              <w:top w:val="nil"/>
              <w:left w:val="nil"/>
              <w:bottom w:val="single" w:sz="8"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 xml:space="preserve"> $  569.17 </w:t>
            </w:r>
          </w:p>
        </w:tc>
        <w:tc>
          <w:tcPr>
            <w:tcW w:w="0" w:type="auto"/>
            <w:tcBorders>
              <w:top w:val="nil"/>
              <w:left w:val="nil"/>
              <w:bottom w:val="single" w:sz="8"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 xml:space="preserve"> $  507.58 </w:t>
            </w:r>
          </w:p>
        </w:tc>
        <w:tc>
          <w:tcPr>
            <w:tcW w:w="0" w:type="auto"/>
            <w:tcBorders>
              <w:top w:val="nil"/>
              <w:left w:val="nil"/>
              <w:bottom w:val="single" w:sz="8" w:space="0" w:color="auto"/>
              <w:right w:val="single" w:sz="4"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 xml:space="preserve"> $  571.34 </w:t>
            </w:r>
          </w:p>
        </w:tc>
        <w:tc>
          <w:tcPr>
            <w:tcW w:w="0" w:type="auto"/>
            <w:tcBorders>
              <w:top w:val="nil"/>
              <w:left w:val="nil"/>
              <w:bottom w:val="single" w:sz="8" w:space="0" w:color="auto"/>
              <w:right w:val="single" w:sz="8" w:space="0" w:color="auto"/>
            </w:tcBorders>
            <w:shd w:val="clear" w:color="auto" w:fill="auto"/>
            <w:noWrap/>
            <w:vAlign w:val="bottom"/>
            <w:hideMark/>
          </w:tcPr>
          <w:p w:rsidR="003A33E3" w:rsidRPr="000C79A4" w:rsidRDefault="003A33E3" w:rsidP="003A33E3">
            <w:pPr>
              <w:spacing w:after="0" w:line="240" w:lineRule="auto"/>
              <w:rPr>
                <w:rFonts w:ascii="Arial" w:eastAsia="Times New Roman" w:hAnsi="Arial" w:cs="Arial"/>
                <w:b/>
                <w:bCs/>
                <w:color w:val="000000"/>
                <w:sz w:val="18"/>
                <w:szCs w:val="18"/>
                <w:lang w:eastAsia="en-AU"/>
              </w:rPr>
            </w:pPr>
            <w:r w:rsidRPr="000C79A4">
              <w:rPr>
                <w:rFonts w:ascii="Arial" w:eastAsia="Times New Roman" w:hAnsi="Arial" w:cs="Arial"/>
                <w:b/>
                <w:bCs/>
                <w:color w:val="000000"/>
                <w:sz w:val="18"/>
                <w:szCs w:val="18"/>
                <w:lang w:eastAsia="en-AU"/>
              </w:rPr>
              <w:t xml:space="preserve"> $  370.68 </w:t>
            </w:r>
          </w:p>
        </w:tc>
      </w:tr>
    </w:tbl>
    <w:p w:rsidR="003A33E3" w:rsidRDefault="003A33E3" w:rsidP="00CD48FC">
      <w:pPr>
        <w:pStyle w:val="FootnoteText"/>
        <w:rPr>
          <w:rFonts w:ascii="Arial Narrow" w:eastAsia="Calibri" w:hAnsi="Arial Narrow" w:cs="Arial"/>
          <w:lang w:eastAsia="en-AU"/>
        </w:rPr>
      </w:pPr>
    </w:p>
    <w:p w:rsidR="009B075E" w:rsidRPr="00706DC1" w:rsidRDefault="009B075E" w:rsidP="00CD48FC">
      <w:pPr>
        <w:pStyle w:val="FootnoteText"/>
        <w:rPr>
          <w:rFonts w:ascii="Arial" w:hAnsi="Arial" w:cs="Arial"/>
        </w:rPr>
      </w:pPr>
      <w:r w:rsidRPr="00706DC1">
        <w:rPr>
          <w:rFonts w:ascii="Arial" w:hAnsi="Arial" w:cs="Arial"/>
          <w:sz w:val="16"/>
          <w:szCs w:val="16"/>
        </w:rPr>
        <w:t>This analysis is based on Drug Utilisation estimates as provided by the Drug Utilisation Sub-Committee in various years.</w:t>
      </w:r>
    </w:p>
    <w:bookmarkEnd w:id="88"/>
    <w:p w:rsidR="009B075E" w:rsidRPr="00706DC1" w:rsidRDefault="009B075E" w:rsidP="00CD48FC">
      <w:pPr>
        <w:pStyle w:val="Caption"/>
        <w:rPr>
          <w:rFonts w:ascii="Arial" w:hAnsi="Arial" w:cs="Arial"/>
          <w:sz w:val="22"/>
          <w:szCs w:val="22"/>
        </w:rPr>
      </w:pPr>
    </w:p>
    <w:p w:rsidR="003A33E3" w:rsidRPr="00706DC1" w:rsidRDefault="003A33E3" w:rsidP="003A33E3">
      <w:pPr>
        <w:pStyle w:val="Caption"/>
        <w:jc w:val="left"/>
        <w:rPr>
          <w:rFonts w:ascii="Arial" w:hAnsi="Arial" w:cs="Arial"/>
          <w:sz w:val="22"/>
          <w:szCs w:val="22"/>
        </w:rPr>
      </w:pPr>
      <w:r w:rsidRPr="00706DC1">
        <w:rPr>
          <w:rFonts w:ascii="Arial" w:hAnsi="Arial" w:cs="Arial"/>
          <w:sz w:val="22"/>
          <w:szCs w:val="22"/>
        </w:rPr>
        <w:t xml:space="preserve">Table </w:t>
      </w:r>
      <w:r w:rsidR="00855AAF" w:rsidRPr="00706DC1">
        <w:rPr>
          <w:rFonts w:ascii="Arial" w:hAnsi="Arial" w:cs="Arial"/>
          <w:sz w:val="22"/>
          <w:szCs w:val="22"/>
        </w:rPr>
        <w:fldChar w:fldCharType="begin"/>
      </w:r>
      <w:r w:rsidRPr="00706DC1">
        <w:rPr>
          <w:rFonts w:ascii="Arial" w:hAnsi="Arial" w:cs="Arial"/>
          <w:sz w:val="22"/>
          <w:szCs w:val="22"/>
        </w:rPr>
        <w:instrText xml:space="preserve"> SEQ Table \* ARABIC </w:instrText>
      </w:r>
      <w:r w:rsidR="00855AAF" w:rsidRPr="00706DC1">
        <w:rPr>
          <w:rFonts w:ascii="Arial" w:hAnsi="Arial" w:cs="Arial"/>
          <w:sz w:val="22"/>
          <w:szCs w:val="22"/>
        </w:rPr>
        <w:fldChar w:fldCharType="separate"/>
      </w:r>
      <w:r w:rsidR="00584343">
        <w:rPr>
          <w:rFonts w:ascii="Arial" w:hAnsi="Arial" w:cs="Arial"/>
          <w:noProof/>
          <w:sz w:val="22"/>
          <w:szCs w:val="22"/>
        </w:rPr>
        <w:t>8</w:t>
      </w:r>
      <w:r w:rsidR="00855AAF" w:rsidRPr="00706DC1">
        <w:rPr>
          <w:rFonts w:ascii="Arial" w:hAnsi="Arial" w:cs="Arial"/>
          <w:sz w:val="22"/>
          <w:szCs w:val="22"/>
        </w:rPr>
        <w:fldChar w:fldCharType="end"/>
      </w:r>
      <w:r w:rsidRPr="00706DC1">
        <w:rPr>
          <w:rFonts w:ascii="Arial" w:hAnsi="Arial" w:cs="Arial"/>
          <w:sz w:val="22"/>
          <w:szCs w:val="22"/>
        </w:rPr>
        <w:t>: Key Drivers and their contribution to PBS growth ($m)</w:t>
      </w:r>
      <w:r>
        <w:rPr>
          <w:rFonts w:ascii="Arial" w:hAnsi="Arial" w:cs="Arial"/>
          <w:sz w:val="22"/>
          <w:szCs w:val="22"/>
        </w:rPr>
        <w:t xml:space="preserve"> - 4 year analysis</w:t>
      </w:r>
    </w:p>
    <w:tbl>
      <w:tblPr>
        <w:tblW w:w="0" w:type="auto"/>
        <w:tblInd w:w="94" w:type="dxa"/>
        <w:tblLook w:val="04A0" w:firstRow="1" w:lastRow="0" w:firstColumn="1" w:lastColumn="0" w:noHBand="0" w:noVBand="1"/>
      </w:tblPr>
      <w:tblGrid>
        <w:gridCol w:w="4488"/>
        <w:gridCol w:w="1069"/>
        <w:gridCol w:w="1069"/>
        <w:gridCol w:w="1029"/>
        <w:gridCol w:w="1029"/>
        <w:gridCol w:w="1029"/>
        <w:gridCol w:w="1029"/>
      </w:tblGrid>
      <w:tr w:rsidR="003A33E3" w:rsidRPr="003A33E3" w:rsidTr="003A33E3">
        <w:trPr>
          <w:trHeight w:val="330"/>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b/>
                <w:bCs/>
                <w:color w:val="000000"/>
                <w:lang w:eastAsia="en-AU"/>
              </w:rPr>
            </w:pPr>
            <w:r w:rsidRPr="003A33E3">
              <w:rPr>
                <w:rFonts w:ascii="Arial Narrow" w:eastAsia="Times New Roman" w:hAnsi="Arial Narrow" w:cs="Calibri"/>
                <w:b/>
                <w:bCs/>
                <w:color w:val="000000"/>
                <w:lang w:eastAsia="en-AU"/>
              </w:rPr>
              <w:t>2005-06</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b/>
                <w:bCs/>
                <w:color w:val="000000"/>
                <w:lang w:eastAsia="en-AU"/>
              </w:rPr>
            </w:pPr>
            <w:r w:rsidRPr="003A33E3">
              <w:rPr>
                <w:rFonts w:ascii="Arial Narrow" w:eastAsia="Times New Roman" w:hAnsi="Arial Narrow" w:cs="Calibri"/>
                <w:b/>
                <w:bCs/>
                <w:color w:val="000000"/>
                <w:lang w:eastAsia="en-AU"/>
              </w:rPr>
              <w:t>2006-07</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b/>
                <w:bCs/>
                <w:color w:val="000000"/>
                <w:lang w:eastAsia="en-AU"/>
              </w:rPr>
            </w:pPr>
            <w:r w:rsidRPr="003A33E3">
              <w:rPr>
                <w:rFonts w:ascii="Arial Narrow" w:eastAsia="Times New Roman" w:hAnsi="Arial Narrow" w:cs="Calibri"/>
                <w:b/>
                <w:bCs/>
                <w:color w:val="000000"/>
                <w:lang w:eastAsia="en-AU"/>
              </w:rPr>
              <w:t>2007-08</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b/>
                <w:bCs/>
                <w:color w:val="000000"/>
                <w:lang w:eastAsia="en-AU"/>
              </w:rPr>
            </w:pPr>
            <w:r w:rsidRPr="003A33E3">
              <w:rPr>
                <w:rFonts w:ascii="Arial Narrow" w:eastAsia="Times New Roman" w:hAnsi="Arial Narrow" w:cs="Calibri"/>
                <w:b/>
                <w:bCs/>
                <w:color w:val="000000"/>
                <w:lang w:eastAsia="en-AU"/>
              </w:rPr>
              <w:t>2008-09</w:t>
            </w:r>
          </w:p>
        </w:tc>
        <w:tc>
          <w:tcPr>
            <w:tcW w:w="0" w:type="auto"/>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b/>
                <w:bCs/>
                <w:color w:val="000000"/>
                <w:lang w:eastAsia="en-AU"/>
              </w:rPr>
            </w:pPr>
            <w:r w:rsidRPr="003A33E3">
              <w:rPr>
                <w:rFonts w:ascii="Arial Narrow" w:eastAsia="Times New Roman" w:hAnsi="Arial Narrow" w:cs="Calibri"/>
                <w:b/>
                <w:bCs/>
                <w:color w:val="000000"/>
                <w:lang w:eastAsia="en-AU"/>
              </w:rPr>
              <w:t>2009-10</w:t>
            </w:r>
          </w:p>
        </w:tc>
        <w:tc>
          <w:tcPr>
            <w:tcW w:w="0" w:type="auto"/>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b/>
                <w:bCs/>
                <w:color w:val="000000"/>
                <w:lang w:eastAsia="en-AU"/>
              </w:rPr>
            </w:pPr>
            <w:r w:rsidRPr="003A33E3">
              <w:rPr>
                <w:rFonts w:ascii="Arial Narrow" w:eastAsia="Times New Roman" w:hAnsi="Arial Narrow" w:cs="Calibri"/>
                <w:b/>
                <w:bCs/>
                <w:color w:val="000000"/>
                <w:lang w:eastAsia="en-AU"/>
              </w:rPr>
              <w:t>2010-11</w:t>
            </w:r>
          </w:p>
        </w:tc>
      </w:tr>
      <w:tr w:rsidR="003A33E3" w:rsidRPr="003A33E3" w:rsidTr="003A33E3">
        <w:trPr>
          <w:trHeight w:val="3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Net new listings (new listings less delisted medicines)</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88.32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158.29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351.01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350.92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334.71 </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227.23 </w:t>
            </w:r>
          </w:p>
        </w:tc>
      </w:tr>
      <w:tr w:rsidR="003A33E3" w:rsidRPr="003A33E3" w:rsidTr="003A33E3">
        <w:trPr>
          <w:trHeight w:val="3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Effect of change in price of existing medicines</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141.31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234.97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24.35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117.09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25.67 </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188.18 </w:t>
            </w:r>
          </w:p>
        </w:tc>
      </w:tr>
      <w:tr w:rsidR="003A33E3" w:rsidRPr="003A33E3" w:rsidTr="003A33E3">
        <w:trPr>
          <w:trHeight w:val="33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Impact of change in volume of existing medicines</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176.27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162.98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242.51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273.75 </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262.29 </w:t>
            </w:r>
          </w:p>
        </w:tc>
        <w:tc>
          <w:tcPr>
            <w:tcW w:w="0" w:type="auto"/>
            <w:tcBorders>
              <w:top w:val="nil"/>
              <w:left w:val="single" w:sz="8" w:space="0" w:color="auto"/>
              <w:bottom w:val="single" w:sz="4" w:space="0" w:color="auto"/>
              <w:right w:val="single" w:sz="8"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331.63 </w:t>
            </w:r>
          </w:p>
        </w:tc>
      </w:tr>
      <w:tr w:rsidR="003A33E3" w:rsidRPr="003A33E3" w:rsidTr="003A33E3">
        <w:trPr>
          <w:trHeight w:val="34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b/>
                <w:bCs/>
                <w:color w:val="000000"/>
                <w:lang w:eastAsia="en-AU"/>
              </w:rPr>
            </w:pPr>
            <w:r w:rsidRPr="003A33E3">
              <w:rPr>
                <w:rFonts w:ascii="Arial Narrow" w:eastAsia="Times New Roman" w:hAnsi="Arial Narrow" w:cs="Calibri"/>
                <w:b/>
                <w:bCs/>
                <w:color w:val="000000"/>
                <w:lang w:eastAsia="en-AU"/>
              </w:rPr>
              <w:t xml:space="preserve">Total change </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123.28 </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86.30 </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569.17 </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507.58 </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571.34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3A33E3" w:rsidRPr="003A33E3" w:rsidRDefault="003A33E3" w:rsidP="003A33E3">
            <w:pPr>
              <w:spacing w:after="0" w:line="240" w:lineRule="auto"/>
              <w:jc w:val="center"/>
              <w:rPr>
                <w:rFonts w:ascii="Arial Narrow" w:eastAsia="Times New Roman" w:hAnsi="Arial Narrow" w:cs="Calibri"/>
                <w:color w:val="000000"/>
                <w:lang w:eastAsia="en-AU"/>
              </w:rPr>
            </w:pPr>
            <w:r w:rsidRPr="003A33E3">
              <w:rPr>
                <w:rFonts w:ascii="Arial Narrow" w:eastAsia="Times New Roman" w:hAnsi="Arial Narrow" w:cs="Calibri"/>
                <w:color w:val="000000"/>
                <w:lang w:eastAsia="en-AU"/>
              </w:rPr>
              <w:t xml:space="preserve"> $  370.68 </w:t>
            </w:r>
          </w:p>
        </w:tc>
      </w:tr>
    </w:tbl>
    <w:p w:rsidR="009B075E" w:rsidRPr="003F577D" w:rsidRDefault="009B075E" w:rsidP="00CD48FC">
      <w:pPr>
        <w:pStyle w:val="Caption"/>
        <w:jc w:val="left"/>
        <w:rPr>
          <w:rFonts w:ascii="Arial" w:hAnsi="Arial" w:cs="Arial"/>
          <w:sz w:val="22"/>
          <w:szCs w:val="22"/>
        </w:rPr>
      </w:pPr>
    </w:p>
    <w:p w:rsidR="009B075E" w:rsidRDefault="009B075E">
      <w:pPr>
        <w:spacing w:after="0" w:line="240" w:lineRule="auto"/>
        <w:rPr>
          <w:rFonts w:ascii="Arial" w:hAnsi="Arial" w:cs="Arial"/>
          <w:b/>
          <w:bCs/>
        </w:rPr>
      </w:pPr>
      <w:bookmarkStart w:id="94" w:name="_Ref301528773"/>
      <w:r>
        <w:rPr>
          <w:rFonts w:ascii="Arial" w:hAnsi="Arial" w:cs="Arial"/>
        </w:rPr>
        <w:br w:type="page"/>
      </w:r>
    </w:p>
    <w:p w:rsidR="009B075E" w:rsidRPr="00410F0D" w:rsidRDefault="009B075E" w:rsidP="003D4B28">
      <w:pPr>
        <w:pStyle w:val="Caption"/>
        <w:jc w:val="left"/>
        <w:rPr>
          <w:rFonts w:ascii="Arial" w:hAnsi="Arial" w:cs="Arial"/>
          <w:sz w:val="22"/>
          <w:szCs w:val="22"/>
        </w:rPr>
      </w:pPr>
      <w:bookmarkStart w:id="95" w:name="_Ref318375963"/>
      <w:r w:rsidRPr="00410F0D">
        <w:rPr>
          <w:rFonts w:ascii="Arial" w:hAnsi="Arial" w:cs="Arial"/>
          <w:sz w:val="22"/>
          <w:szCs w:val="22"/>
        </w:rPr>
        <w:lastRenderedPageBreak/>
        <w:t xml:space="preserve">Table </w:t>
      </w:r>
      <w:r w:rsidR="00855AAF">
        <w:rPr>
          <w:rFonts w:ascii="Arial" w:hAnsi="Arial" w:cs="Arial"/>
          <w:sz w:val="22"/>
          <w:szCs w:val="22"/>
        </w:rPr>
        <w:fldChar w:fldCharType="begin"/>
      </w:r>
      <w:r>
        <w:rPr>
          <w:rFonts w:ascii="Arial" w:hAnsi="Arial" w:cs="Arial"/>
          <w:sz w:val="22"/>
          <w:szCs w:val="22"/>
        </w:rPr>
        <w:instrText xml:space="preserve"> SEQ Table \* ARABIC </w:instrText>
      </w:r>
      <w:r w:rsidR="00855AAF">
        <w:rPr>
          <w:rFonts w:ascii="Arial" w:hAnsi="Arial" w:cs="Arial"/>
          <w:sz w:val="22"/>
          <w:szCs w:val="22"/>
        </w:rPr>
        <w:fldChar w:fldCharType="separate"/>
      </w:r>
      <w:r w:rsidR="00584343">
        <w:rPr>
          <w:rFonts w:ascii="Arial" w:hAnsi="Arial" w:cs="Arial"/>
          <w:noProof/>
          <w:sz w:val="22"/>
          <w:szCs w:val="22"/>
        </w:rPr>
        <w:t>9</w:t>
      </w:r>
      <w:r w:rsidR="00855AAF">
        <w:rPr>
          <w:rFonts w:ascii="Arial" w:hAnsi="Arial" w:cs="Arial"/>
          <w:sz w:val="22"/>
          <w:szCs w:val="22"/>
        </w:rPr>
        <w:fldChar w:fldCharType="end"/>
      </w:r>
      <w:bookmarkEnd w:id="94"/>
      <w:bookmarkEnd w:id="95"/>
      <w:r w:rsidRPr="00410F0D">
        <w:rPr>
          <w:rFonts w:ascii="Arial" w:hAnsi="Arial" w:cs="Arial"/>
          <w:sz w:val="22"/>
          <w:szCs w:val="22"/>
        </w:rPr>
        <w:t>: Trends in PBS section 85 expenditure, by ATC level 1.</w:t>
      </w:r>
    </w:p>
    <w:tbl>
      <w:tblPr>
        <w:tblW w:w="0" w:type="auto"/>
        <w:tblLook w:val="00A0" w:firstRow="1" w:lastRow="0" w:firstColumn="1" w:lastColumn="0" w:noHBand="0" w:noVBand="0"/>
      </w:tblPr>
      <w:tblGrid>
        <w:gridCol w:w="3301"/>
        <w:gridCol w:w="2004"/>
        <w:gridCol w:w="1493"/>
        <w:gridCol w:w="1493"/>
        <w:gridCol w:w="1493"/>
        <w:gridCol w:w="1493"/>
        <w:gridCol w:w="1348"/>
      </w:tblGrid>
      <w:tr w:rsidR="009B075E" w:rsidRPr="005959C4" w:rsidTr="00803E93">
        <w:trPr>
          <w:trHeight w:val="300"/>
        </w:trPr>
        <w:tc>
          <w:tcPr>
            <w:tcW w:w="0" w:type="auto"/>
            <w:tcBorders>
              <w:top w:val="single" w:sz="4" w:space="0" w:color="95B3D7"/>
              <w:left w:val="single" w:sz="4" w:space="0" w:color="95B3D7"/>
              <w:bottom w:val="single" w:sz="4" w:space="0" w:color="95B3D7"/>
              <w:right w:val="nil"/>
            </w:tcBorders>
            <w:shd w:val="clear" w:color="4F81BD" w:fill="4F81BD"/>
            <w:noWrap/>
            <w:vAlign w:val="center"/>
          </w:tcPr>
          <w:p w:rsidR="009B075E" w:rsidRPr="005959C4" w:rsidRDefault="009B075E" w:rsidP="00410F0D">
            <w:pPr>
              <w:spacing w:after="0" w:line="240" w:lineRule="auto"/>
              <w:jc w:val="center"/>
              <w:rPr>
                <w:rFonts w:ascii="Arial Narrow" w:hAnsi="Arial Narrow" w:cs="Calibri"/>
                <w:b/>
                <w:bCs/>
                <w:color w:val="FFFFFF"/>
                <w:sz w:val="16"/>
                <w:szCs w:val="16"/>
                <w:lang w:eastAsia="en-AU"/>
              </w:rPr>
            </w:pPr>
          </w:p>
        </w:tc>
        <w:tc>
          <w:tcPr>
            <w:tcW w:w="0" w:type="auto"/>
            <w:tcBorders>
              <w:top w:val="single" w:sz="4" w:space="0" w:color="95B3D7"/>
              <w:left w:val="nil"/>
              <w:bottom w:val="single" w:sz="4" w:space="0" w:color="95B3D7"/>
              <w:right w:val="nil"/>
            </w:tcBorders>
            <w:shd w:val="clear" w:color="4F81BD" w:fill="4F81BD"/>
            <w:noWrap/>
            <w:vAlign w:val="center"/>
          </w:tcPr>
          <w:p w:rsidR="009B075E" w:rsidRPr="005959C4" w:rsidRDefault="009B075E" w:rsidP="00410F0D">
            <w:pPr>
              <w:spacing w:after="0" w:line="240" w:lineRule="auto"/>
              <w:jc w:val="center"/>
              <w:rPr>
                <w:rFonts w:ascii="Arial Narrow" w:hAnsi="Arial Narrow" w:cs="Calibri"/>
                <w:b/>
                <w:bCs/>
                <w:color w:val="FFFFFF"/>
                <w:sz w:val="16"/>
                <w:szCs w:val="16"/>
                <w:lang w:eastAsia="en-AU"/>
              </w:rPr>
            </w:pPr>
            <w:r w:rsidRPr="005959C4">
              <w:rPr>
                <w:rFonts w:ascii="Arial Narrow" w:hAnsi="Arial Narrow" w:cs="Calibri"/>
                <w:b/>
                <w:bCs/>
                <w:color w:val="FFFFFF"/>
                <w:sz w:val="16"/>
                <w:szCs w:val="16"/>
                <w:lang w:eastAsia="en-AU"/>
              </w:rPr>
              <w:t>2005-06</w:t>
            </w:r>
          </w:p>
        </w:tc>
        <w:tc>
          <w:tcPr>
            <w:tcW w:w="0" w:type="auto"/>
            <w:tcBorders>
              <w:top w:val="single" w:sz="4" w:space="0" w:color="95B3D7"/>
              <w:left w:val="nil"/>
              <w:bottom w:val="single" w:sz="4" w:space="0" w:color="95B3D7"/>
              <w:right w:val="nil"/>
            </w:tcBorders>
            <w:shd w:val="clear" w:color="4F81BD" w:fill="4F81BD"/>
            <w:noWrap/>
            <w:vAlign w:val="center"/>
          </w:tcPr>
          <w:p w:rsidR="009B075E" w:rsidRPr="005959C4" w:rsidRDefault="009B075E" w:rsidP="00410F0D">
            <w:pPr>
              <w:spacing w:after="0" w:line="240" w:lineRule="auto"/>
              <w:jc w:val="center"/>
              <w:rPr>
                <w:rFonts w:ascii="Arial Narrow" w:hAnsi="Arial Narrow" w:cs="Calibri"/>
                <w:b/>
                <w:bCs/>
                <w:color w:val="FFFFFF"/>
                <w:sz w:val="16"/>
                <w:szCs w:val="16"/>
                <w:lang w:eastAsia="en-AU"/>
              </w:rPr>
            </w:pPr>
            <w:r w:rsidRPr="005959C4">
              <w:rPr>
                <w:rFonts w:ascii="Arial Narrow" w:hAnsi="Arial Narrow" w:cs="Calibri"/>
                <w:b/>
                <w:bCs/>
                <w:color w:val="FFFFFF"/>
                <w:sz w:val="16"/>
                <w:szCs w:val="16"/>
                <w:lang w:eastAsia="en-AU"/>
              </w:rPr>
              <w:t>2006-07</w:t>
            </w:r>
          </w:p>
        </w:tc>
        <w:tc>
          <w:tcPr>
            <w:tcW w:w="0" w:type="auto"/>
            <w:tcBorders>
              <w:top w:val="single" w:sz="4" w:space="0" w:color="95B3D7"/>
              <w:left w:val="nil"/>
              <w:bottom w:val="single" w:sz="4" w:space="0" w:color="95B3D7"/>
              <w:right w:val="nil"/>
            </w:tcBorders>
            <w:shd w:val="clear" w:color="4F81BD" w:fill="4F81BD"/>
            <w:noWrap/>
            <w:vAlign w:val="center"/>
          </w:tcPr>
          <w:p w:rsidR="009B075E" w:rsidRPr="005959C4" w:rsidRDefault="009B075E" w:rsidP="00410F0D">
            <w:pPr>
              <w:spacing w:after="0" w:line="240" w:lineRule="auto"/>
              <w:jc w:val="center"/>
              <w:rPr>
                <w:rFonts w:ascii="Arial Narrow" w:hAnsi="Arial Narrow" w:cs="Calibri"/>
                <w:b/>
                <w:bCs/>
                <w:color w:val="FFFFFF"/>
                <w:sz w:val="16"/>
                <w:szCs w:val="16"/>
                <w:lang w:eastAsia="en-AU"/>
              </w:rPr>
            </w:pPr>
            <w:r w:rsidRPr="005959C4">
              <w:rPr>
                <w:rFonts w:ascii="Arial Narrow" w:hAnsi="Arial Narrow" w:cs="Calibri"/>
                <w:b/>
                <w:bCs/>
                <w:color w:val="FFFFFF"/>
                <w:sz w:val="16"/>
                <w:szCs w:val="16"/>
                <w:lang w:eastAsia="en-AU"/>
              </w:rPr>
              <w:t>2007-08</w:t>
            </w:r>
          </w:p>
        </w:tc>
        <w:tc>
          <w:tcPr>
            <w:tcW w:w="0" w:type="auto"/>
            <w:tcBorders>
              <w:top w:val="single" w:sz="4" w:space="0" w:color="95B3D7"/>
              <w:left w:val="nil"/>
              <w:bottom w:val="single" w:sz="4" w:space="0" w:color="95B3D7"/>
              <w:right w:val="nil"/>
            </w:tcBorders>
            <w:shd w:val="clear" w:color="4F81BD" w:fill="4F81BD"/>
            <w:noWrap/>
            <w:vAlign w:val="center"/>
          </w:tcPr>
          <w:p w:rsidR="009B075E" w:rsidRPr="005959C4" w:rsidRDefault="009B075E" w:rsidP="00410F0D">
            <w:pPr>
              <w:spacing w:after="0" w:line="240" w:lineRule="auto"/>
              <w:jc w:val="center"/>
              <w:rPr>
                <w:rFonts w:ascii="Arial Narrow" w:hAnsi="Arial Narrow" w:cs="Calibri"/>
                <w:b/>
                <w:bCs/>
                <w:color w:val="FFFFFF"/>
                <w:sz w:val="16"/>
                <w:szCs w:val="16"/>
                <w:lang w:eastAsia="en-AU"/>
              </w:rPr>
            </w:pPr>
            <w:r w:rsidRPr="005959C4">
              <w:rPr>
                <w:rFonts w:ascii="Arial Narrow" w:hAnsi="Arial Narrow" w:cs="Calibri"/>
                <w:b/>
                <w:bCs/>
                <w:color w:val="FFFFFF"/>
                <w:sz w:val="16"/>
                <w:szCs w:val="16"/>
                <w:lang w:eastAsia="en-AU"/>
              </w:rPr>
              <w:t>2008-09</w:t>
            </w:r>
          </w:p>
        </w:tc>
        <w:tc>
          <w:tcPr>
            <w:tcW w:w="0" w:type="auto"/>
            <w:tcBorders>
              <w:top w:val="single" w:sz="4" w:space="0" w:color="95B3D7"/>
              <w:left w:val="nil"/>
              <w:bottom w:val="single" w:sz="4" w:space="0" w:color="95B3D7"/>
              <w:right w:val="nil"/>
            </w:tcBorders>
            <w:shd w:val="clear" w:color="4F81BD" w:fill="4F81BD"/>
            <w:noWrap/>
            <w:vAlign w:val="center"/>
          </w:tcPr>
          <w:p w:rsidR="009B075E" w:rsidRPr="005959C4" w:rsidRDefault="009B075E" w:rsidP="00410F0D">
            <w:pPr>
              <w:spacing w:after="0" w:line="240" w:lineRule="auto"/>
              <w:jc w:val="center"/>
              <w:rPr>
                <w:rFonts w:ascii="Arial Narrow" w:hAnsi="Arial Narrow" w:cs="Calibri"/>
                <w:b/>
                <w:bCs/>
                <w:color w:val="FFFFFF"/>
                <w:sz w:val="16"/>
                <w:szCs w:val="16"/>
                <w:lang w:eastAsia="en-AU"/>
              </w:rPr>
            </w:pPr>
            <w:r w:rsidRPr="005959C4">
              <w:rPr>
                <w:rFonts w:ascii="Arial Narrow" w:hAnsi="Arial Narrow" w:cs="Calibri"/>
                <w:b/>
                <w:bCs/>
                <w:color w:val="FFFFFF"/>
                <w:sz w:val="16"/>
                <w:szCs w:val="16"/>
                <w:lang w:eastAsia="en-AU"/>
              </w:rPr>
              <w:t>2009-10</w:t>
            </w:r>
          </w:p>
        </w:tc>
        <w:tc>
          <w:tcPr>
            <w:tcW w:w="0" w:type="auto"/>
            <w:tcBorders>
              <w:top w:val="single" w:sz="4" w:space="0" w:color="95B3D7"/>
              <w:left w:val="nil"/>
              <w:bottom w:val="single" w:sz="4" w:space="0" w:color="95B3D7"/>
              <w:right w:val="single" w:sz="4" w:space="0" w:color="95B3D7"/>
            </w:tcBorders>
            <w:shd w:val="clear" w:color="4F81BD" w:fill="4F81BD"/>
            <w:noWrap/>
            <w:vAlign w:val="center"/>
          </w:tcPr>
          <w:p w:rsidR="009B075E" w:rsidRPr="005959C4" w:rsidRDefault="009B075E" w:rsidP="00410F0D">
            <w:pPr>
              <w:spacing w:after="0" w:line="240" w:lineRule="auto"/>
              <w:jc w:val="center"/>
              <w:rPr>
                <w:rFonts w:ascii="Arial Narrow" w:hAnsi="Arial Narrow" w:cs="Calibri"/>
                <w:b/>
                <w:bCs/>
                <w:color w:val="FFFFFF"/>
                <w:sz w:val="16"/>
                <w:szCs w:val="16"/>
                <w:lang w:eastAsia="en-AU"/>
              </w:rPr>
            </w:pPr>
            <w:r w:rsidRPr="005959C4">
              <w:rPr>
                <w:rFonts w:ascii="Arial Narrow" w:hAnsi="Arial Narrow" w:cs="Calibri"/>
                <w:b/>
                <w:bCs/>
                <w:color w:val="FFFFFF"/>
                <w:sz w:val="16"/>
                <w:szCs w:val="16"/>
                <w:lang w:eastAsia="en-AU"/>
              </w:rPr>
              <w:t>2010-11</w:t>
            </w:r>
          </w:p>
        </w:tc>
      </w:tr>
      <w:tr w:rsidR="009B075E" w:rsidRPr="005959C4" w:rsidTr="00803E93">
        <w:trPr>
          <w:trHeight w:val="300"/>
        </w:trPr>
        <w:tc>
          <w:tcPr>
            <w:tcW w:w="0" w:type="auto"/>
            <w:tcBorders>
              <w:top w:val="nil"/>
              <w:left w:val="single" w:sz="4" w:space="0" w:color="95B3D7"/>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Alimentary tract and metabolism</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0C79A4">
            <w:pPr>
              <w:spacing w:after="0" w:line="240" w:lineRule="auto"/>
              <w:jc w:val="right"/>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xml:space="preserve">$ </w:t>
            </w:r>
            <w:r w:rsidR="000C79A4">
              <w:rPr>
                <w:rFonts w:ascii="Arial Narrow" w:hAnsi="Arial Narrow" w:cs="Calibri"/>
                <w:color w:val="000000"/>
                <w:sz w:val="16"/>
                <w:szCs w:val="16"/>
                <w:lang w:eastAsia="en-AU"/>
              </w:rPr>
              <w:t xml:space="preserve">                        </w:t>
            </w:r>
            <w:r w:rsidRPr="005959C4">
              <w:rPr>
                <w:rFonts w:ascii="Arial Narrow" w:hAnsi="Arial Narrow" w:cs="Calibri"/>
                <w:color w:val="000000"/>
                <w:sz w:val="16"/>
                <w:szCs w:val="16"/>
                <w:lang w:eastAsia="en-AU"/>
              </w:rPr>
              <w:t xml:space="preserve">  810,942,845</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771,683,522</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827,530,870</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890,847,263</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926,699,120</w:t>
            </w:r>
          </w:p>
        </w:tc>
        <w:tc>
          <w:tcPr>
            <w:tcW w:w="0" w:type="auto"/>
            <w:tcBorders>
              <w:top w:val="nil"/>
              <w:left w:val="nil"/>
              <w:bottom w:val="single" w:sz="4" w:space="0" w:color="95B3D7"/>
              <w:right w:val="single" w:sz="4" w:space="0" w:color="95B3D7"/>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923,799,439</w:t>
            </w:r>
          </w:p>
        </w:tc>
      </w:tr>
      <w:tr w:rsidR="009B075E" w:rsidRPr="005959C4" w:rsidTr="00803E93">
        <w:trPr>
          <w:trHeight w:val="300"/>
        </w:trPr>
        <w:tc>
          <w:tcPr>
            <w:tcW w:w="0" w:type="auto"/>
            <w:tcBorders>
              <w:top w:val="nil"/>
              <w:left w:val="single" w:sz="4" w:space="0" w:color="95B3D7"/>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Blood and blood forming organs</w:t>
            </w:r>
          </w:p>
        </w:tc>
        <w:tc>
          <w:tcPr>
            <w:tcW w:w="0" w:type="auto"/>
            <w:tcBorders>
              <w:top w:val="nil"/>
              <w:left w:val="nil"/>
              <w:bottom w:val="single" w:sz="4" w:space="0" w:color="95B3D7"/>
              <w:right w:val="nil"/>
            </w:tcBorders>
            <w:noWrap/>
            <w:vAlign w:val="center"/>
          </w:tcPr>
          <w:p w:rsidR="009B075E" w:rsidRPr="005959C4" w:rsidRDefault="009B075E" w:rsidP="000C79A4">
            <w:pPr>
              <w:spacing w:after="0" w:line="240" w:lineRule="auto"/>
              <w:jc w:val="right"/>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xml:space="preserve">$      </w:t>
            </w:r>
            <w:r w:rsidR="000C79A4">
              <w:rPr>
                <w:rFonts w:ascii="Arial Narrow" w:hAnsi="Arial Narrow" w:cs="Calibri"/>
                <w:color w:val="000000"/>
                <w:sz w:val="16"/>
                <w:szCs w:val="16"/>
                <w:lang w:eastAsia="en-AU"/>
              </w:rPr>
              <w:t xml:space="preserve">                  </w:t>
            </w:r>
            <w:r w:rsidRPr="005959C4">
              <w:rPr>
                <w:rFonts w:ascii="Arial Narrow" w:hAnsi="Arial Narrow" w:cs="Calibri"/>
                <w:color w:val="000000"/>
                <w:sz w:val="16"/>
                <w:szCs w:val="16"/>
                <w:lang w:eastAsia="en-AU"/>
              </w:rPr>
              <w:t xml:space="preserve">   202,273,505</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215,943,807</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239,879,460</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270,168,496</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281,844,190</w:t>
            </w:r>
          </w:p>
        </w:tc>
        <w:tc>
          <w:tcPr>
            <w:tcW w:w="0" w:type="auto"/>
            <w:tcBorders>
              <w:top w:val="nil"/>
              <w:left w:val="nil"/>
              <w:bottom w:val="single" w:sz="4" w:space="0" w:color="95B3D7"/>
              <w:right w:val="single" w:sz="4" w:space="0" w:color="95B3D7"/>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272,833,540</w:t>
            </w:r>
          </w:p>
        </w:tc>
      </w:tr>
      <w:tr w:rsidR="009B075E" w:rsidRPr="005959C4" w:rsidTr="00803E93">
        <w:trPr>
          <w:trHeight w:val="300"/>
        </w:trPr>
        <w:tc>
          <w:tcPr>
            <w:tcW w:w="0" w:type="auto"/>
            <w:tcBorders>
              <w:top w:val="nil"/>
              <w:left w:val="single" w:sz="4" w:space="0" w:color="95B3D7"/>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Cardiovascular system</w:t>
            </w:r>
          </w:p>
        </w:tc>
        <w:tc>
          <w:tcPr>
            <w:tcW w:w="0" w:type="auto"/>
            <w:tcBorders>
              <w:top w:val="nil"/>
              <w:left w:val="nil"/>
              <w:bottom w:val="single" w:sz="4" w:space="0" w:color="95B3D7"/>
              <w:right w:val="nil"/>
            </w:tcBorders>
            <w:shd w:val="clear" w:color="DBE5F1" w:fill="DBE5F1"/>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1,682,559,715</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1,712,647,730</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1,776,782,680</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1,888,147,756</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1,992,102,108</w:t>
            </w:r>
          </w:p>
        </w:tc>
        <w:tc>
          <w:tcPr>
            <w:tcW w:w="0" w:type="auto"/>
            <w:tcBorders>
              <w:top w:val="nil"/>
              <w:left w:val="nil"/>
              <w:bottom w:val="single" w:sz="4" w:space="0" w:color="95B3D7"/>
              <w:right w:val="single" w:sz="4" w:space="0" w:color="95B3D7"/>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2,033,188,679</w:t>
            </w:r>
          </w:p>
        </w:tc>
      </w:tr>
      <w:tr w:rsidR="009B075E" w:rsidRPr="005959C4" w:rsidTr="00803E93">
        <w:trPr>
          <w:trHeight w:val="300"/>
        </w:trPr>
        <w:tc>
          <w:tcPr>
            <w:tcW w:w="0" w:type="auto"/>
            <w:tcBorders>
              <w:top w:val="nil"/>
              <w:left w:val="single" w:sz="4" w:space="0" w:color="95B3D7"/>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Dermatologicals</w:t>
            </w:r>
          </w:p>
        </w:tc>
        <w:tc>
          <w:tcPr>
            <w:tcW w:w="0" w:type="auto"/>
            <w:tcBorders>
              <w:top w:val="nil"/>
              <w:left w:val="nil"/>
              <w:bottom w:val="single" w:sz="4" w:space="0" w:color="95B3D7"/>
              <w:right w:val="nil"/>
            </w:tcBorders>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56,209,465</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55,063,836</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59,997,886</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68,444,605</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72,282,298</w:t>
            </w:r>
          </w:p>
        </w:tc>
        <w:tc>
          <w:tcPr>
            <w:tcW w:w="0" w:type="auto"/>
            <w:tcBorders>
              <w:top w:val="nil"/>
              <w:left w:val="nil"/>
              <w:bottom w:val="single" w:sz="4" w:space="0" w:color="95B3D7"/>
              <w:right w:val="single" w:sz="4" w:space="0" w:color="95B3D7"/>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74,064,623</w:t>
            </w:r>
          </w:p>
        </w:tc>
      </w:tr>
      <w:tr w:rsidR="009B075E" w:rsidRPr="005959C4" w:rsidTr="00803E93">
        <w:trPr>
          <w:trHeight w:val="300"/>
        </w:trPr>
        <w:tc>
          <w:tcPr>
            <w:tcW w:w="0" w:type="auto"/>
            <w:tcBorders>
              <w:top w:val="nil"/>
              <w:left w:val="single" w:sz="4" w:space="0" w:color="95B3D7"/>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Genito urinary system and sex hormones</w:t>
            </w:r>
          </w:p>
        </w:tc>
        <w:tc>
          <w:tcPr>
            <w:tcW w:w="0" w:type="auto"/>
            <w:tcBorders>
              <w:top w:val="nil"/>
              <w:left w:val="nil"/>
              <w:bottom w:val="single" w:sz="4" w:space="0" w:color="95B3D7"/>
              <w:right w:val="nil"/>
            </w:tcBorders>
            <w:shd w:val="clear" w:color="DBE5F1" w:fill="DBE5F1"/>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85,351,856</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83,125,428</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85,393,440</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90,449,888</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87,343,723</w:t>
            </w:r>
          </w:p>
        </w:tc>
        <w:tc>
          <w:tcPr>
            <w:tcW w:w="0" w:type="auto"/>
            <w:tcBorders>
              <w:top w:val="nil"/>
              <w:left w:val="nil"/>
              <w:bottom w:val="single" w:sz="4" w:space="0" w:color="95B3D7"/>
              <w:right w:val="single" w:sz="4" w:space="0" w:color="95B3D7"/>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90,374,996</w:t>
            </w:r>
          </w:p>
        </w:tc>
      </w:tr>
      <w:tr w:rsidR="009B075E" w:rsidRPr="005959C4" w:rsidTr="00803E93">
        <w:trPr>
          <w:trHeight w:val="300"/>
        </w:trPr>
        <w:tc>
          <w:tcPr>
            <w:tcW w:w="0" w:type="auto"/>
            <w:tcBorders>
              <w:top w:val="nil"/>
              <w:left w:val="single" w:sz="4" w:space="0" w:color="95B3D7"/>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Systemic hormonal preparations, excl. sex hormones</w:t>
            </w:r>
          </w:p>
        </w:tc>
        <w:tc>
          <w:tcPr>
            <w:tcW w:w="0" w:type="auto"/>
            <w:tcBorders>
              <w:top w:val="nil"/>
              <w:left w:val="nil"/>
              <w:bottom w:val="single" w:sz="4" w:space="0" w:color="95B3D7"/>
              <w:right w:val="nil"/>
            </w:tcBorders>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28,390,815</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31,425,135</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33,360,719</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40,441,756</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45,629,958</w:t>
            </w:r>
          </w:p>
        </w:tc>
        <w:tc>
          <w:tcPr>
            <w:tcW w:w="0" w:type="auto"/>
            <w:tcBorders>
              <w:top w:val="nil"/>
              <w:left w:val="nil"/>
              <w:bottom w:val="single" w:sz="4" w:space="0" w:color="95B3D7"/>
              <w:right w:val="single" w:sz="4" w:space="0" w:color="95B3D7"/>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50,366,163</w:t>
            </w:r>
          </w:p>
        </w:tc>
      </w:tr>
      <w:tr w:rsidR="009B075E" w:rsidRPr="005959C4" w:rsidTr="00803E93">
        <w:trPr>
          <w:trHeight w:val="300"/>
        </w:trPr>
        <w:tc>
          <w:tcPr>
            <w:tcW w:w="0" w:type="auto"/>
            <w:tcBorders>
              <w:top w:val="nil"/>
              <w:left w:val="single" w:sz="4" w:space="0" w:color="95B3D7"/>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Antiinfectives for systemic use</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0C79A4">
            <w:pPr>
              <w:spacing w:after="0" w:line="240" w:lineRule="auto"/>
              <w:jc w:val="right"/>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xml:space="preserve">$     </w:t>
            </w:r>
            <w:r w:rsidR="000C79A4">
              <w:rPr>
                <w:rFonts w:ascii="Arial Narrow" w:hAnsi="Arial Narrow" w:cs="Calibri"/>
                <w:color w:val="000000"/>
                <w:sz w:val="16"/>
                <w:szCs w:val="16"/>
                <w:lang w:eastAsia="en-AU"/>
              </w:rPr>
              <w:t xml:space="preserve">        </w:t>
            </w:r>
            <w:r w:rsidRPr="005959C4">
              <w:rPr>
                <w:rFonts w:ascii="Arial Narrow" w:hAnsi="Arial Narrow" w:cs="Calibri"/>
                <w:color w:val="000000"/>
                <w:sz w:val="16"/>
                <w:szCs w:val="16"/>
                <w:lang w:eastAsia="en-AU"/>
              </w:rPr>
              <w:t xml:space="preserve">              231,520,481</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212,097,020</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219,536,515</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227,729,048</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232,170,089</w:t>
            </w:r>
          </w:p>
        </w:tc>
        <w:tc>
          <w:tcPr>
            <w:tcW w:w="0" w:type="auto"/>
            <w:tcBorders>
              <w:top w:val="nil"/>
              <w:left w:val="nil"/>
              <w:bottom w:val="single" w:sz="4" w:space="0" w:color="95B3D7"/>
              <w:right w:val="single" w:sz="4" w:space="0" w:color="95B3D7"/>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244,419,139</w:t>
            </w:r>
          </w:p>
        </w:tc>
      </w:tr>
      <w:tr w:rsidR="009B075E" w:rsidRPr="005959C4" w:rsidTr="00803E93">
        <w:trPr>
          <w:trHeight w:val="300"/>
        </w:trPr>
        <w:tc>
          <w:tcPr>
            <w:tcW w:w="0" w:type="auto"/>
            <w:tcBorders>
              <w:top w:val="nil"/>
              <w:left w:val="single" w:sz="4" w:space="0" w:color="95B3D7"/>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Antineoplastic and immunomodulating agents</w:t>
            </w:r>
          </w:p>
        </w:tc>
        <w:tc>
          <w:tcPr>
            <w:tcW w:w="0" w:type="auto"/>
            <w:tcBorders>
              <w:top w:val="nil"/>
              <w:left w:val="nil"/>
              <w:bottom w:val="single" w:sz="4" w:space="0" w:color="95B3D7"/>
              <w:right w:val="nil"/>
            </w:tcBorders>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539,426,177</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609,924,113</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743,198,405</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940,337,930</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1,078,638,710</w:t>
            </w:r>
          </w:p>
        </w:tc>
        <w:tc>
          <w:tcPr>
            <w:tcW w:w="0" w:type="auto"/>
            <w:tcBorders>
              <w:top w:val="nil"/>
              <w:left w:val="nil"/>
              <w:bottom w:val="single" w:sz="4" w:space="0" w:color="95B3D7"/>
              <w:right w:val="single" w:sz="4" w:space="0" w:color="95B3D7"/>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1,193,303,228</w:t>
            </w:r>
          </w:p>
        </w:tc>
      </w:tr>
      <w:tr w:rsidR="009B075E" w:rsidRPr="005959C4" w:rsidTr="00803E93">
        <w:trPr>
          <w:trHeight w:val="300"/>
        </w:trPr>
        <w:tc>
          <w:tcPr>
            <w:tcW w:w="0" w:type="auto"/>
            <w:tcBorders>
              <w:top w:val="nil"/>
              <w:left w:val="single" w:sz="4" w:space="0" w:color="95B3D7"/>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Musculo-skeletal system</w:t>
            </w:r>
          </w:p>
        </w:tc>
        <w:tc>
          <w:tcPr>
            <w:tcW w:w="0" w:type="auto"/>
            <w:tcBorders>
              <w:top w:val="nil"/>
              <w:left w:val="nil"/>
              <w:bottom w:val="single" w:sz="4" w:space="0" w:color="95B3D7"/>
              <w:right w:val="nil"/>
            </w:tcBorders>
            <w:shd w:val="clear" w:color="DBE5F1" w:fill="DBE5F1"/>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278,024,622</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271,112,984</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258,332,651</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257,241,203</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255,780,910</w:t>
            </w:r>
          </w:p>
        </w:tc>
        <w:tc>
          <w:tcPr>
            <w:tcW w:w="0" w:type="auto"/>
            <w:tcBorders>
              <w:top w:val="nil"/>
              <w:left w:val="nil"/>
              <w:bottom w:val="single" w:sz="4" w:space="0" w:color="95B3D7"/>
              <w:right w:val="single" w:sz="4" w:space="0" w:color="95B3D7"/>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246,393,974</w:t>
            </w:r>
          </w:p>
        </w:tc>
      </w:tr>
      <w:tr w:rsidR="009B075E" w:rsidRPr="005959C4" w:rsidTr="00803E93">
        <w:trPr>
          <w:trHeight w:val="300"/>
        </w:trPr>
        <w:tc>
          <w:tcPr>
            <w:tcW w:w="0" w:type="auto"/>
            <w:tcBorders>
              <w:top w:val="nil"/>
              <w:left w:val="single" w:sz="4" w:space="0" w:color="95B3D7"/>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Nervous system</w:t>
            </w:r>
          </w:p>
        </w:tc>
        <w:tc>
          <w:tcPr>
            <w:tcW w:w="0" w:type="auto"/>
            <w:tcBorders>
              <w:top w:val="nil"/>
              <w:left w:val="nil"/>
              <w:bottom w:val="single" w:sz="4" w:space="0" w:color="95B3D7"/>
              <w:right w:val="nil"/>
            </w:tcBorders>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953,859,572</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994,521,388</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1,070,812,805</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1,193,415,674</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1,260,397,485</w:t>
            </w:r>
          </w:p>
        </w:tc>
        <w:tc>
          <w:tcPr>
            <w:tcW w:w="0" w:type="auto"/>
            <w:tcBorders>
              <w:top w:val="nil"/>
              <w:left w:val="nil"/>
              <w:bottom w:val="single" w:sz="4" w:space="0" w:color="95B3D7"/>
              <w:right w:val="single" w:sz="4" w:space="0" w:color="95B3D7"/>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1,339,658,439</w:t>
            </w:r>
          </w:p>
        </w:tc>
      </w:tr>
      <w:tr w:rsidR="009B075E" w:rsidRPr="005959C4" w:rsidTr="00803E93">
        <w:trPr>
          <w:trHeight w:val="300"/>
        </w:trPr>
        <w:tc>
          <w:tcPr>
            <w:tcW w:w="0" w:type="auto"/>
            <w:tcBorders>
              <w:top w:val="nil"/>
              <w:left w:val="single" w:sz="4" w:space="0" w:color="95B3D7"/>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Antiparasitic products, insecticides and repellents</w:t>
            </w:r>
          </w:p>
        </w:tc>
        <w:tc>
          <w:tcPr>
            <w:tcW w:w="0" w:type="auto"/>
            <w:tcBorders>
              <w:top w:val="nil"/>
              <w:left w:val="nil"/>
              <w:bottom w:val="single" w:sz="4" w:space="0" w:color="95B3D7"/>
              <w:right w:val="nil"/>
            </w:tcBorders>
            <w:shd w:val="clear" w:color="DBE5F1" w:fill="DBE5F1"/>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1,348,679</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546,303</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608,891</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735,934</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929,134</w:t>
            </w:r>
          </w:p>
        </w:tc>
        <w:tc>
          <w:tcPr>
            <w:tcW w:w="0" w:type="auto"/>
            <w:tcBorders>
              <w:top w:val="nil"/>
              <w:left w:val="nil"/>
              <w:bottom w:val="single" w:sz="4" w:space="0" w:color="95B3D7"/>
              <w:right w:val="single" w:sz="4" w:space="0" w:color="95B3D7"/>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1,077,571</w:t>
            </w:r>
          </w:p>
        </w:tc>
      </w:tr>
      <w:tr w:rsidR="009B075E" w:rsidRPr="005959C4" w:rsidTr="00803E93">
        <w:trPr>
          <w:trHeight w:val="300"/>
        </w:trPr>
        <w:tc>
          <w:tcPr>
            <w:tcW w:w="0" w:type="auto"/>
            <w:tcBorders>
              <w:top w:val="nil"/>
              <w:left w:val="single" w:sz="4" w:space="0" w:color="95B3D7"/>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Respiratory system</w:t>
            </w:r>
          </w:p>
        </w:tc>
        <w:tc>
          <w:tcPr>
            <w:tcW w:w="0" w:type="auto"/>
            <w:tcBorders>
              <w:top w:val="nil"/>
              <w:left w:val="nil"/>
              <w:bottom w:val="single" w:sz="4" w:space="0" w:color="95B3D7"/>
              <w:right w:val="nil"/>
            </w:tcBorders>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w:t>
            </w: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364,813,421</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352,993,685</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369,361,313</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387,481,628</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397,300,921</w:t>
            </w:r>
          </w:p>
        </w:tc>
        <w:tc>
          <w:tcPr>
            <w:tcW w:w="0" w:type="auto"/>
            <w:tcBorders>
              <w:top w:val="nil"/>
              <w:left w:val="nil"/>
              <w:bottom w:val="single" w:sz="4" w:space="0" w:color="95B3D7"/>
              <w:right w:val="single" w:sz="4" w:space="0" w:color="95B3D7"/>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415,867,759</w:t>
            </w:r>
          </w:p>
        </w:tc>
      </w:tr>
      <w:tr w:rsidR="009B075E" w:rsidRPr="005959C4" w:rsidTr="00803E93">
        <w:trPr>
          <w:trHeight w:val="300"/>
        </w:trPr>
        <w:tc>
          <w:tcPr>
            <w:tcW w:w="0" w:type="auto"/>
            <w:tcBorders>
              <w:top w:val="nil"/>
              <w:left w:val="single" w:sz="4" w:space="0" w:color="95B3D7"/>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Sensory organs</w:t>
            </w:r>
          </w:p>
        </w:tc>
        <w:tc>
          <w:tcPr>
            <w:tcW w:w="0" w:type="auto"/>
            <w:tcBorders>
              <w:top w:val="nil"/>
              <w:left w:val="nil"/>
              <w:bottom w:val="single" w:sz="4" w:space="0" w:color="95B3D7"/>
              <w:right w:val="nil"/>
            </w:tcBorders>
            <w:shd w:val="clear" w:color="DBE5F1" w:fill="DBE5F1"/>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98,624,379</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103,990,868</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172,949,367</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245,064,929</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321,195,495</w:t>
            </w:r>
          </w:p>
        </w:tc>
        <w:tc>
          <w:tcPr>
            <w:tcW w:w="0" w:type="auto"/>
            <w:tcBorders>
              <w:top w:val="nil"/>
              <w:left w:val="nil"/>
              <w:bottom w:val="single" w:sz="4" w:space="0" w:color="95B3D7"/>
              <w:right w:val="single" w:sz="4" w:space="0" w:color="95B3D7"/>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384,176,609</w:t>
            </w:r>
          </w:p>
        </w:tc>
      </w:tr>
      <w:tr w:rsidR="009B075E" w:rsidRPr="005959C4" w:rsidTr="00803E93">
        <w:trPr>
          <w:trHeight w:val="300"/>
        </w:trPr>
        <w:tc>
          <w:tcPr>
            <w:tcW w:w="0" w:type="auto"/>
            <w:tcBorders>
              <w:top w:val="nil"/>
              <w:left w:val="single" w:sz="4" w:space="0" w:color="95B3D7"/>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Various</w:t>
            </w:r>
          </w:p>
        </w:tc>
        <w:tc>
          <w:tcPr>
            <w:tcW w:w="0" w:type="auto"/>
            <w:tcBorders>
              <w:top w:val="nil"/>
              <w:left w:val="nil"/>
              <w:bottom w:val="single" w:sz="4" w:space="0" w:color="95B3D7"/>
              <w:right w:val="nil"/>
            </w:tcBorders>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47,386,611</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47,286,604</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51,202,938</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59,192,540</w:t>
            </w:r>
          </w:p>
        </w:tc>
        <w:tc>
          <w:tcPr>
            <w:tcW w:w="0" w:type="auto"/>
            <w:tcBorders>
              <w:top w:val="nil"/>
              <w:left w:val="nil"/>
              <w:bottom w:val="single" w:sz="4" w:space="0" w:color="95B3D7"/>
              <w:right w:val="nil"/>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62,153,685</w:t>
            </w:r>
          </w:p>
        </w:tc>
        <w:tc>
          <w:tcPr>
            <w:tcW w:w="0" w:type="auto"/>
            <w:tcBorders>
              <w:top w:val="nil"/>
              <w:left w:val="nil"/>
              <w:bottom w:val="single" w:sz="4" w:space="0" w:color="95B3D7"/>
              <w:right w:val="single" w:sz="4" w:space="0" w:color="95B3D7"/>
            </w:tcBorders>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64,844,193</w:t>
            </w:r>
          </w:p>
        </w:tc>
      </w:tr>
      <w:tr w:rsidR="009B075E" w:rsidRPr="005959C4" w:rsidTr="00803E93">
        <w:trPr>
          <w:trHeight w:val="300"/>
        </w:trPr>
        <w:tc>
          <w:tcPr>
            <w:tcW w:w="0" w:type="auto"/>
            <w:tcBorders>
              <w:top w:val="nil"/>
              <w:left w:val="single" w:sz="4" w:space="0" w:color="95B3D7"/>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Total</w:t>
            </w:r>
          </w:p>
        </w:tc>
        <w:tc>
          <w:tcPr>
            <w:tcW w:w="0" w:type="auto"/>
            <w:tcBorders>
              <w:top w:val="nil"/>
              <w:left w:val="nil"/>
              <w:bottom w:val="single" w:sz="4" w:space="0" w:color="95B3D7"/>
              <w:right w:val="nil"/>
            </w:tcBorders>
            <w:shd w:val="clear" w:color="DBE5F1" w:fill="DBE5F1"/>
            <w:noWrap/>
            <w:vAlign w:val="center"/>
          </w:tcPr>
          <w:p w:rsidR="009B075E" w:rsidRPr="005959C4" w:rsidRDefault="000C79A4" w:rsidP="000C79A4">
            <w:pPr>
              <w:spacing w:after="0" w:line="240" w:lineRule="auto"/>
              <w:jc w:val="right"/>
              <w:rPr>
                <w:rFonts w:ascii="Arial Narrow" w:hAnsi="Arial Narrow" w:cs="Calibri"/>
                <w:color w:val="000000"/>
                <w:sz w:val="16"/>
                <w:szCs w:val="16"/>
                <w:lang w:eastAsia="en-AU"/>
              </w:rPr>
            </w:pPr>
            <w:r>
              <w:rPr>
                <w:rFonts w:ascii="Arial Narrow" w:hAnsi="Arial Narrow" w:cs="Calibri"/>
                <w:color w:val="000000"/>
                <w:sz w:val="16"/>
                <w:szCs w:val="16"/>
                <w:lang w:eastAsia="en-AU"/>
              </w:rPr>
              <w:t xml:space="preserve">$           </w:t>
            </w:r>
            <w:r w:rsidR="009B075E" w:rsidRPr="005959C4">
              <w:rPr>
                <w:rFonts w:ascii="Arial Narrow" w:hAnsi="Arial Narrow" w:cs="Calibri"/>
                <w:color w:val="000000"/>
                <w:sz w:val="16"/>
                <w:szCs w:val="16"/>
                <w:lang w:eastAsia="en-AU"/>
              </w:rPr>
              <w:t xml:space="preserve">             5,380,732,143</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5,462,362,424</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5,908,947,938</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6,559,698,651</w:t>
            </w:r>
          </w:p>
        </w:tc>
        <w:tc>
          <w:tcPr>
            <w:tcW w:w="0" w:type="auto"/>
            <w:tcBorders>
              <w:top w:val="nil"/>
              <w:left w:val="nil"/>
              <w:bottom w:val="single" w:sz="4" w:space="0" w:color="95B3D7"/>
              <w:right w:val="nil"/>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7,014,467,825</w:t>
            </w:r>
          </w:p>
        </w:tc>
        <w:tc>
          <w:tcPr>
            <w:tcW w:w="0" w:type="auto"/>
            <w:tcBorders>
              <w:top w:val="nil"/>
              <w:left w:val="nil"/>
              <w:bottom w:val="single" w:sz="4" w:space="0" w:color="95B3D7"/>
              <w:right w:val="single" w:sz="4" w:space="0" w:color="95B3D7"/>
            </w:tcBorders>
            <w:shd w:val="clear" w:color="DBE5F1" w:fill="DBE5F1"/>
            <w:noWrap/>
            <w:vAlign w:val="center"/>
          </w:tcPr>
          <w:p w:rsidR="009B075E" w:rsidRPr="005959C4" w:rsidRDefault="009B075E" w:rsidP="00410F0D">
            <w:pPr>
              <w:spacing w:after="0" w:line="240" w:lineRule="auto"/>
              <w:jc w:val="center"/>
              <w:rPr>
                <w:rFonts w:ascii="Arial Narrow" w:hAnsi="Arial Narrow" w:cs="Calibri"/>
                <w:color w:val="000000"/>
                <w:sz w:val="16"/>
                <w:szCs w:val="16"/>
                <w:lang w:eastAsia="en-AU"/>
              </w:rPr>
            </w:pPr>
            <w:r w:rsidRPr="005959C4">
              <w:rPr>
                <w:rFonts w:ascii="Arial Narrow" w:hAnsi="Arial Narrow" w:cs="Calibri"/>
                <w:color w:val="000000"/>
                <w:sz w:val="16"/>
                <w:szCs w:val="16"/>
                <w:lang w:eastAsia="en-AU"/>
              </w:rPr>
              <w:t>$    7,334,368,352</w:t>
            </w:r>
          </w:p>
        </w:tc>
      </w:tr>
    </w:tbl>
    <w:p w:rsidR="009B075E" w:rsidRPr="00DC51D5" w:rsidRDefault="009B075E" w:rsidP="00CD48FC">
      <w:pPr>
        <w:rPr>
          <w:rFonts w:ascii="Arial" w:hAnsi="Arial" w:cs="Arial"/>
          <w:highlight w:val="yellow"/>
        </w:rPr>
      </w:pPr>
    </w:p>
    <w:p w:rsidR="008316DF" w:rsidRDefault="008316DF" w:rsidP="002E4878">
      <w:pPr>
        <w:rPr>
          <w:rFonts w:ascii="Arial" w:hAnsi="Arial" w:cs="Arial"/>
          <w:highlight w:val="yellow"/>
        </w:rPr>
        <w:sectPr w:rsidR="008316DF" w:rsidSect="00CE582A">
          <w:headerReference w:type="default" r:id="rId62"/>
          <w:footerReference w:type="default" r:id="rId63"/>
          <w:pgSz w:w="16838" w:h="11906" w:orient="landscape"/>
          <w:pgMar w:top="1191" w:right="1021" w:bottom="1191" w:left="1021" w:header="709" w:footer="709" w:gutter="0"/>
          <w:cols w:space="708"/>
          <w:docGrid w:linePitch="360"/>
        </w:sectPr>
      </w:pPr>
    </w:p>
    <w:p w:rsidR="009B075E" w:rsidRDefault="009B075E" w:rsidP="002E4878">
      <w:pPr>
        <w:rPr>
          <w:rFonts w:ascii="Arial" w:hAnsi="Arial" w:cs="Arial"/>
          <w:b/>
        </w:rPr>
      </w:pPr>
      <w:bookmarkStart w:id="96" w:name="_Ref318376277"/>
      <w:bookmarkStart w:id="97" w:name="_Ref301528818"/>
      <w:r w:rsidRPr="002E4878">
        <w:rPr>
          <w:rFonts w:ascii="Arial" w:hAnsi="Arial" w:cs="Arial"/>
          <w:b/>
        </w:rPr>
        <w:lastRenderedPageBreak/>
        <w:t xml:space="preserve">Table </w:t>
      </w:r>
      <w:r w:rsidR="00855AAF" w:rsidRPr="002E4878">
        <w:rPr>
          <w:rFonts w:ascii="Arial" w:hAnsi="Arial" w:cs="Arial"/>
          <w:b/>
        </w:rPr>
        <w:fldChar w:fldCharType="begin"/>
      </w:r>
      <w:r w:rsidRPr="002E4878">
        <w:rPr>
          <w:rFonts w:ascii="Arial" w:hAnsi="Arial" w:cs="Arial"/>
          <w:b/>
        </w:rPr>
        <w:instrText xml:space="preserve"> SEQ Table \* ARABIC </w:instrText>
      </w:r>
      <w:r w:rsidR="00855AAF" w:rsidRPr="002E4878">
        <w:rPr>
          <w:rFonts w:ascii="Arial" w:hAnsi="Arial" w:cs="Arial"/>
          <w:b/>
        </w:rPr>
        <w:fldChar w:fldCharType="separate"/>
      </w:r>
      <w:r w:rsidR="00584343">
        <w:rPr>
          <w:rFonts w:ascii="Arial" w:hAnsi="Arial" w:cs="Arial"/>
          <w:b/>
          <w:noProof/>
        </w:rPr>
        <w:t>10</w:t>
      </w:r>
      <w:r w:rsidR="00855AAF" w:rsidRPr="002E4878">
        <w:rPr>
          <w:rFonts w:ascii="Arial" w:hAnsi="Arial" w:cs="Arial"/>
          <w:b/>
        </w:rPr>
        <w:fldChar w:fldCharType="end"/>
      </w:r>
      <w:bookmarkEnd w:id="96"/>
      <w:r w:rsidRPr="002E4878">
        <w:rPr>
          <w:rFonts w:ascii="Arial" w:hAnsi="Arial" w:cs="Arial"/>
          <w:b/>
        </w:rPr>
        <w:t xml:space="preserve">: </w:t>
      </w:r>
      <w:r w:rsidRPr="0020480C">
        <w:rPr>
          <w:rFonts w:ascii="Arial" w:hAnsi="Arial" w:cs="Arial"/>
          <w:b/>
        </w:rPr>
        <w:t xml:space="preserve">Trends in population by age </w:t>
      </w:r>
    </w:p>
    <w:tbl>
      <w:tblPr>
        <w:tblW w:w="0" w:type="auto"/>
        <w:tblInd w:w="93" w:type="dxa"/>
        <w:tblLook w:val="00A0" w:firstRow="1" w:lastRow="0" w:firstColumn="1" w:lastColumn="0" w:noHBand="0" w:noVBand="0"/>
      </w:tblPr>
      <w:tblGrid>
        <w:gridCol w:w="678"/>
        <w:gridCol w:w="1089"/>
        <w:gridCol w:w="1089"/>
      </w:tblGrid>
      <w:tr w:rsidR="009B075E" w:rsidRPr="00CF2865" w:rsidTr="002E4878">
        <w:trPr>
          <w:trHeight w:val="285"/>
        </w:trPr>
        <w:tc>
          <w:tcPr>
            <w:tcW w:w="0" w:type="auto"/>
            <w:tcBorders>
              <w:top w:val="single" w:sz="4" w:space="0" w:color="auto"/>
              <w:left w:val="single" w:sz="4" w:space="0" w:color="auto"/>
              <w:bottom w:val="single" w:sz="4" w:space="0" w:color="auto"/>
              <w:right w:val="single" w:sz="4" w:space="0" w:color="auto"/>
            </w:tcBorders>
            <w:noWrap/>
            <w:vAlign w:val="bottom"/>
          </w:tcPr>
          <w:p w:rsidR="009B075E" w:rsidRPr="00CF2865" w:rsidRDefault="009B075E" w:rsidP="002E4878">
            <w:pPr>
              <w:spacing w:after="0" w:line="240" w:lineRule="auto"/>
              <w:rPr>
                <w:rFonts w:ascii="Arial Narrow" w:hAnsi="Arial Narrow" w:cs="Arial"/>
                <w:color w:val="000000"/>
                <w:lang w:eastAsia="en-AU"/>
              </w:rPr>
            </w:pPr>
            <w:r w:rsidRPr="00CF2865">
              <w:rPr>
                <w:rFonts w:ascii="Arial Narrow" w:hAnsi="Arial Narrow" w:cs="Arial"/>
                <w:color w:val="000000"/>
                <w:lang w:eastAsia="en-AU"/>
              </w:rPr>
              <w:t> </w:t>
            </w:r>
          </w:p>
        </w:tc>
        <w:tc>
          <w:tcPr>
            <w:tcW w:w="0" w:type="auto"/>
            <w:tcBorders>
              <w:top w:val="single" w:sz="8" w:space="0" w:color="auto"/>
              <w:left w:val="nil"/>
              <w:bottom w:val="single" w:sz="4" w:space="0" w:color="auto"/>
              <w:right w:val="single" w:sz="8" w:space="0" w:color="auto"/>
            </w:tcBorders>
            <w:noWrap/>
            <w:vAlign w:val="bottom"/>
          </w:tcPr>
          <w:p w:rsidR="009B075E" w:rsidRPr="00CF2865" w:rsidRDefault="009B075E" w:rsidP="002E4878">
            <w:pPr>
              <w:spacing w:after="0" w:line="240" w:lineRule="auto"/>
              <w:rPr>
                <w:rFonts w:ascii="Arial Narrow" w:hAnsi="Arial Narrow" w:cs="Arial"/>
                <w:b/>
                <w:bCs/>
                <w:color w:val="000000"/>
                <w:lang w:eastAsia="en-AU"/>
              </w:rPr>
            </w:pPr>
            <w:r w:rsidRPr="00CF2865">
              <w:rPr>
                <w:rFonts w:ascii="Arial Narrow" w:hAnsi="Arial Narrow" w:cs="Arial"/>
                <w:b/>
                <w:bCs/>
                <w:color w:val="000000"/>
                <w:lang w:eastAsia="en-AU"/>
              </w:rPr>
              <w:t>June 2001</w:t>
            </w:r>
          </w:p>
        </w:tc>
        <w:tc>
          <w:tcPr>
            <w:tcW w:w="0" w:type="auto"/>
            <w:tcBorders>
              <w:top w:val="single" w:sz="8" w:space="0" w:color="auto"/>
              <w:left w:val="single" w:sz="4" w:space="0" w:color="auto"/>
              <w:bottom w:val="single" w:sz="4" w:space="0" w:color="auto"/>
              <w:right w:val="single" w:sz="8" w:space="0" w:color="auto"/>
            </w:tcBorders>
            <w:noWrap/>
            <w:vAlign w:val="bottom"/>
          </w:tcPr>
          <w:p w:rsidR="009B075E" w:rsidRPr="00CF2865" w:rsidRDefault="009B075E" w:rsidP="002E4878">
            <w:pPr>
              <w:spacing w:after="0" w:line="240" w:lineRule="auto"/>
              <w:rPr>
                <w:rFonts w:ascii="Arial Narrow" w:hAnsi="Arial Narrow" w:cs="Arial"/>
                <w:b/>
                <w:bCs/>
                <w:color w:val="000000"/>
                <w:lang w:eastAsia="en-AU"/>
              </w:rPr>
            </w:pPr>
            <w:r w:rsidRPr="00CF2865">
              <w:rPr>
                <w:rFonts w:ascii="Arial Narrow" w:hAnsi="Arial Narrow" w:cs="Arial"/>
                <w:b/>
                <w:bCs/>
                <w:color w:val="000000"/>
                <w:lang w:eastAsia="en-AU"/>
              </w:rPr>
              <w:t>June 2011</w:t>
            </w:r>
          </w:p>
        </w:tc>
      </w:tr>
      <w:tr w:rsidR="009B075E" w:rsidRPr="00CF2865" w:rsidTr="002E4878">
        <w:trPr>
          <w:trHeight w:val="285"/>
        </w:trPr>
        <w:tc>
          <w:tcPr>
            <w:tcW w:w="0" w:type="auto"/>
            <w:tcBorders>
              <w:top w:val="nil"/>
              <w:left w:val="single" w:sz="4" w:space="0" w:color="auto"/>
              <w:bottom w:val="single" w:sz="4" w:space="0" w:color="auto"/>
              <w:right w:val="single" w:sz="4" w:space="0" w:color="auto"/>
            </w:tcBorders>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0-24</w:t>
            </w:r>
          </w:p>
        </w:tc>
        <w:tc>
          <w:tcPr>
            <w:tcW w:w="0" w:type="auto"/>
            <w:tcBorders>
              <w:top w:val="nil"/>
              <w:left w:val="nil"/>
              <w:bottom w:val="single" w:sz="4" w:space="0" w:color="auto"/>
              <w:right w:val="single" w:sz="4" w:space="0" w:color="auto"/>
            </w:tcBorders>
            <w:noWrap/>
            <w:vAlign w:val="bottom"/>
          </w:tcPr>
          <w:p w:rsidR="009B075E" w:rsidRPr="00CF2865" w:rsidRDefault="009B075E" w:rsidP="002E4878">
            <w:pPr>
              <w:spacing w:after="0" w:line="240" w:lineRule="auto"/>
              <w:jc w:val="right"/>
              <w:rPr>
                <w:rFonts w:ascii="Arial Narrow" w:hAnsi="Arial Narrow" w:cs="Arial"/>
                <w:color w:val="000000"/>
                <w:lang w:eastAsia="en-AU"/>
              </w:rPr>
            </w:pPr>
            <w:r w:rsidRPr="00CF2865">
              <w:rPr>
                <w:rFonts w:ascii="Arial Narrow" w:hAnsi="Arial Narrow" w:cs="Arial"/>
                <w:color w:val="000000"/>
                <w:lang w:eastAsia="en-AU"/>
              </w:rPr>
              <w:t>6,667,732</w:t>
            </w:r>
          </w:p>
        </w:tc>
        <w:tc>
          <w:tcPr>
            <w:tcW w:w="0" w:type="auto"/>
            <w:tcBorders>
              <w:top w:val="nil"/>
              <w:left w:val="nil"/>
              <w:bottom w:val="single" w:sz="4" w:space="0" w:color="auto"/>
              <w:right w:val="single" w:sz="8" w:space="0" w:color="auto"/>
            </w:tcBorders>
            <w:noWrap/>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 xml:space="preserve"> 7,411,478 </w:t>
            </w:r>
          </w:p>
        </w:tc>
      </w:tr>
      <w:tr w:rsidR="009B075E" w:rsidRPr="00CF2865" w:rsidTr="002E4878">
        <w:trPr>
          <w:trHeight w:val="285"/>
        </w:trPr>
        <w:tc>
          <w:tcPr>
            <w:tcW w:w="0" w:type="auto"/>
            <w:tcBorders>
              <w:top w:val="nil"/>
              <w:left w:val="single" w:sz="4" w:space="0" w:color="auto"/>
              <w:bottom w:val="single" w:sz="4" w:space="0" w:color="auto"/>
              <w:right w:val="single" w:sz="4" w:space="0" w:color="auto"/>
            </w:tcBorders>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25-34</w:t>
            </w:r>
          </w:p>
        </w:tc>
        <w:tc>
          <w:tcPr>
            <w:tcW w:w="0" w:type="auto"/>
            <w:tcBorders>
              <w:top w:val="nil"/>
              <w:left w:val="nil"/>
              <w:bottom w:val="single" w:sz="4" w:space="0" w:color="auto"/>
              <w:right w:val="single" w:sz="4" w:space="0" w:color="auto"/>
            </w:tcBorders>
            <w:noWrap/>
            <w:vAlign w:val="bottom"/>
          </w:tcPr>
          <w:p w:rsidR="009B075E" w:rsidRPr="00CF2865" w:rsidRDefault="009B075E" w:rsidP="002E4878">
            <w:pPr>
              <w:spacing w:after="0" w:line="240" w:lineRule="auto"/>
              <w:jc w:val="right"/>
              <w:rPr>
                <w:rFonts w:ascii="Arial Narrow" w:hAnsi="Arial Narrow" w:cs="Arial"/>
                <w:color w:val="000000"/>
                <w:lang w:eastAsia="en-AU"/>
              </w:rPr>
            </w:pPr>
            <w:r w:rsidRPr="00CF2865">
              <w:rPr>
                <w:rFonts w:ascii="Arial Narrow" w:hAnsi="Arial Narrow" w:cs="Arial"/>
                <w:color w:val="000000"/>
                <w:lang w:eastAsia="en-AU"/>
              </w:rPr>
              <w:t>2,914,638</w:t>
            </w:r>
          </w:p>
        </w:tc>
        <w:tc>
          <w:tcPr>
            <w:tcW w:w="0" w:type="auto"/>
            <w:tcBorders>
              <w:top w:val="nil"/>
              <w:left w:val="nil"/>
              <w:bottom w:val="single" w:sz="4" w:space="0" w:color="auto"/>
              <w:right w:val="single" w:sz="8" w:space="0" w:color="auto"/>
            </w:tcBorders>
            <w:noWrap/>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 xml:space="preserve"> 3,258,843 </w:t>
            </w:r>
          </w:p>
        </w:tc>
      </w:tr>
      <w:tr w:rsidR="009B075E" w:rsidRPr="00CF2865" w:rsidTr="002E4878">
        <w:trPr>
          <w:trHeight w:val="285"/>
        </w:trPr>
        <w:tc>
          <w:tcPr>
            <w:tcW w:w="0" w:type="auto"/>
            <w:tcBorders>
              <w:top w:val="nil"/>
              <w:left w:val="single" w:sz="4" w:space="0" w:color="auto"/>
              <w:bottom w:val="single" w:sz="4" w:space="0" w:color="auto"/>
              <w:right w:val="single" w:sz="4" w:space="0" w:color="auto"/>
            </w:tcBorders>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35-44</w:t>
            </w:r>
          </w:p>
        </w:tc>
        <w:tc>
          <w:tcPr>
            <w:tcW w:w="0" w:type="auto"/>
            <w:tcBorders>
              <w:top w:val="nil"/>
              <w:left w:val="nil"/>
              <w:bottom w:val="single" w:sz="4" w:space="0" w:color="auto"/>
              <w:right w:val="single" w:sz="4" w:space="0" w:color="auto"/>
            </w:tcBorders>
            <w:noWrap/>
            <w:vAlign w:val="bottom"/>
          </w:tcPr>
          <w:p w:rsidR="009B075E" w:rsidRPr="00CF2865" w:rsidRDefault="009B075E" w:rsidP="002E4878">
            <w:pPr>
              <w:spacing w:after="0" w:line="240" w:lineRule="auto"/>
              <w:jc w:val="right"/>
              <w:rPr>
                <w:rFonts w:ascii="Arial Narrow" w:hAnsi="Arial Narrow" w:cs="Arial"/>
                <w:color w:val="000000"/>
                <w:lang w:eastAsia="en-AU"/>
              </w:rPr>
            </w:pPr>
            <w:r w:rsidRPr="00CF2865">
              <w:rPr>
                <w:rFonts w:ascii="Arial Narrow" w:hAnsi="Arial Narrow" w:cs="Arial"/>
                <w:color w:val="000000"/>
                <w:lang w:eastAsia="en-AU"/>
              </w:rPr>
              <w:t>2,952,307</w:t>
            </w:r>
          </w:p>
        </w:tc>
        <w:tc>
          <w:tcPr>
            <w:tcW w:w="0" w:type="auto"/>
            <w:tcBorders>
              <w:top w:val="nil"/>
              <w:left w:val="nil"/>
              <w:bottom w:val="single" w:sz="4" w:space="0" w:color="auto"/>
              <w:right w:val="single" w:sz="8" w:space="0" w:color="auto"/>
            </w:tcBorders>
            <w:noWrap/>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 xml:space="preserve"> 3,184,551 </w:t>
            </w:r>
          </w:p>
        </w:tc>
      </w:tr>
      <w:tr w:rsidR="009B075E" w:rsidRPr="00CF2865" w:rsidTr="002E4878">
        <w:trPr>
          <w:trHeight w:val="285"/>
        </w:trPr>
        <w:tc>
          <w:tcPr>
            <w:tcW w:w="0" w:type="auto"/>
            <w:tcBorders>
              <w:top w:val="nil"/>
              <w:left w:val="single" w:sz="4" w:space="0" w:color="auto"/>
              <w:bottom w:val="single" w:sz="4" w:space="0" w:color="auto"/>
              <w:right w:val="single" w:sz="4" w:space="0" w:color="auto"/>
            </w:tcBorders>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45-54</w:t>
            </w:r>
          </w:p>
        </w:tc>
        <w:tc>
          <w:tcPr>
            <w:tcW w:w="0" w:type="auto"/>
            <w:tcBorders>
              <w:top w:val="nil"/>
              <w:left w:val="nil"/>
              <w:bottom w:val="single" w:sz="4" w:space="0" w:color="auto"/>
              <w:right w:val="single" w:sz="4" w:space="0" w:color="auto"/>
            </w:tcBorders>
            <w:noWrap/>
            <w:vAlign w:val="bottom"/>
          </w:tcPr>
          <w:p w:rsidR="009B075E" w:rsidRPr="00CF2865" w:rsidRDefault="009B075E" w:rsidP="002E4878">
            <w:pPr>
              <w:spacing w:after="0" w:line="240" w:lineRule="auto"/>
              <w:jc w:val="right"/>
              <w:rPr>
                <w:rFonts w:ascii="Arial Narrow" w:hAnsi="Arial Narrow" w:cs="Arial"/>
                <w:color w:val="000000"/>
                <w:lang w:eastAsia="en-AU"/>
              </w:rPr>
            </w:pPr>
            <w:r w:rsidRPr="00CF2865">
              <w:rPr>
                <w:rFonts w:ascii="Arial Narrow" w:hAnsi="Arial Narrow" w:cs="Arial"/>
                <w:color w:val="000000"/>
                <w:lang w:eastAsia="en-AU"/>
              </w:rPr>
              <w:t>2,647,195</w:t>
            </w:r>
          </w:p>
        </w:tc>
        <w:tc>
          <w:tcPr>
            <w:tcW w:w="0" w:type="auto"/>
            <w:tcBorders>
              <w:top w:val="nil"/>
              <w:left w:val="nil"/>
              <w:bottom w:val="single" w:sz="4" w:space="0" w:color="auto"/>
              <w:right w:val="single" w:sz="8" w:space="0" w:color="auto"/>
            </w:tcBorders>
            <w:noWrap/>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 xml:space="preserve"> 3,064,788 </w:t>
            </w:r>
          </w:p>
        </w:tc>
      </w:tr>
      <w:tr w:rsidR="009B075E" w:rsidRPr="00CF2865" w:rsidTr="002E4878">
        <w:trPr>
          <w:trHeight w:val="285"/>
        </w:trPr>
        <w:tc>
          <w:tcPr>
            <w:tcW w:w="0" w:type="auto"/>
            <w:tcBorders>
              <w:top w:val="nil"/>
              <w:left w:val="single" w:sz="4" w:space="0" w:color="auto"/>
              <w:bottom w:val="single" w:sz="4" w:space="0" w:color="auto"/>
              <w:right w:val="single" w:sz="4" w:space="0" w:color="auto"/>
            </w:tcBorders>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55-64</w:t>
            </w:r>
          </w:p>
        </w:tc>
        <w:tc>
          <w:tcPr>
            <w:tcW w:w="0" w:type="auto"/>
            <w:tcBorders>
              <w:top w:val="nil"/>
              <w:left w:val="nil"/>
              <w:bottom w:val="single" w:sz="4" w:space="0" w:color="auto"/>
              <w:right w:val="single" w:sz="4" w:space="0" w:color="auto"/>
            </w:tcBorders>
            <w:noWrap/>
            <w:vAlign w:val="bottom"/>
          </w:tcPr>
          <w:p w:rsidR="009B075E" w:rsidRPr="00CF2865" w:rsidRDefault="009B075E" w:rsidP="002E4878">
            <w:pPr>
              <w:spacing w:after="0" w:line="240" w:lineRule="auto"/>
              <w:jc w:val="right"/>
              <w:rPr>
                <w:rFonts w:ascii="Arial Narrow" w:hAnsi="Arial Narrow" w:cs="Arial"/>
                <w:color w:val="000000"/>
                <w:lang w:eastAsia="en-AU"/>
              </w:rPr>
            </w:pPr>
            <w:r w:rsidRPr="00CF2865">
              <w:rPr>
                <w:rFonts w:ascii="Arial Narrow" w:hAnsi="Arial Narrow" w:cs="Arial"/>
                <w:color w:val="000000"/>
                <w:lang w:eastAsia="en-AU"/>
              </w:rPr>
              <w:t>1,802,679</w:t>
            </w:r>
          </w:p>
        </w:tc>
        <w:tc>
          <w:tcPr>
            <w:tcW w:w="0" w:type="auto"/>
            <w:tcBorders>
              <w:top w:val="nil"/>
              <w:left w:val="nil"/>
              <w:bottom w:val="single" w:sz="4" w:space="0" w:color="auto"/>
              <w:right w:val="single" w:sz="8" w:space="0" w:color="auto"/>
            </w:tcBorders>
            <w:noWrap/>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 xml:space="preserve"> 2,597,365 </w:t>
            </w:r>
          </w:p>
        </w:tc>
      </w:tr>
      <w:tr w:rsidR="009B075E" w:rsidRPr="00CF2865" w:rsidTr="002E4878">
        <w:trPr>
          <w:trHeight w:val="285"/>
        </w:trPr>
        <w:tc>
          <w:tcPr>
            <w:tcW w:w="0" w:type="auto"/>
            <w:tcBorders>
              <w:top w:val="nil"/>
              <w:left w:val="single" w:sz="4" w:space="0" w:color="auto"/>
              <w:bottom w:val="single" w:sz="4" w:space="0" w:color="auto"/>
              <w:right w:val="single" w:sz="4" w:space="0" w:color="auto"/>
            </w:tcBorders>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65-74</w:t>
            </w:r>
          </w:p>
        </w:tc>
        <w:tc>
          <w:tcPr>
            <w:tcW w:w="0" w:type="auto"/>
            <w:tcBorders>
              <w:top w:val="nil"/>
              <w:left w:val="nil"/>
              <w:bottom w:val="single" w:sz="4" w:space="0" w:color="auto"/>
              <w:right w:val="single" w:sz="4" w:space="0" w:color="auto"/>
            </w:tcBorders>
            <w:noWrap/>
            <w:vAlign w:val="bottom"/>
          </w:tcPr>
          <w:p w:rsidR="009B075E" w:rsidRPr="00CF2865" w:rsidRDefault="009B075E" w:rsidP="002E4878">
            <w:pPr>
              <w:spacing w:after="0" w:line="240" w:lineRule="auto"/>
              <w:jc w:val="right"/>
              <w:rPr>
                <w:rFonts w:ascii="Arial Narrow" w:hAnsi="Arial Narrow" w:cs="Arial"/>
                <w:color w:val="000000"/>
                <w:lang w:eastAsia="en-AU"/>
              </w:rPr>
            </w:pPr>
            <w:r w:rsidRPr="00CF2865">
              <w:rPr>
                <w:rFonts w:ascii="Arial Narrow" w:hAnsi="Arial Narrow" w:cs="Arial"/>
                <w:color w:val="000000"/>
                <w:lang w:eastAsia="en-AU"/>
              </w:rPr>
              <w:t>1,301,481</w:t>
            </w:r>
          </w:p>
        </w:tc>
        <w:tc>
          <w:tcPr>
            <w:tcW w:w="0" w:type="auto"/>
            <w:tcBorders>
              <w:top w:val="nil"/>
              <w:left w:val="nil"/>
              <w:bottom w:val="single" w:sz="4" w:space="0" w:color="auto"/>
              <w:right w:val="single" w:sz="8" w:space="0" w:color="auto"/>
            </w:tcBorders>
            <w:noWrap/>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 xml:space="preserve"> 1,683,829 </w:t>
            </w:r>
          </w:p>
        </w:tc>
      </w:tr>
      <w:tr w:rsidR="009B075E" w:rsidRPr="00CF2865" w:rsidTr="002E4878">
        <w:trPr>
          <w:trHeight w:val="300"/>
        </w:trPr>
        <w:tc>
          <w:tcPr>
            <w:tcW w:w="0" w:type="auto"/>
            <w:tcBorders>
              <w:top w:val="nil"/>
              <w:left w:val="single" w:sz="4" w:space="0" w:color="auto"/>
              <w:bottom w:val="single" w:sz="4" w:space="0" w:color="auto"/>
              <w:right w:val="single" w:sz="4" w:space="0" w:color="auto"/>
            </w:tcBorders>
            <w:noWrap/>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75+</w:t>
            </w:r>
          </w:p>
        </w:tc>
        <w:tc>
          <w:tcPr>
            <w:tcW w:w="0" w:type="auto"/>
            <w:tcBorders>
              <w:top w:val="nil"/>
              <w:left w:val="nil"/>
              <w:bottom w:val="single" w:sz="4" w:space="0" w:color="auto"/>
              <w:right w:val="single" w:sz="4" w:space="0" w:color="auto"/>
            </w:tcBorders>
            <w:noWrap/>
            <w:vAlign w:val="bottom"/>
          </w:tcPr>
          <w:p w:rsidR="009B075E" w:rsidRPr="00CF2865" w:rsidRDefault="009B075E" w:rsidP="002E4878">
            <w:pPr>
              <w:spacing w:after="0" w:line="240" w:lineRule="auto"/>
              <w:jc w:val="right"/>
              <w:rPr>
                <w:rFonts w:ascii="Arial Narrow" w:hAnsi="Arial Narrow" w:cs="Arial"/>
                <w:color w:val="000000"/>
                <w:lang w:eastAsia="en-AU"/>
              </w:rPr>
            </w:pPr>
            <w:r w:rsidRPr="00CF2865">
              <w:rPr>
                <w:rFonts w:ascii="Arial Narrow" w:hAnsi="Arial Narrow" w:cs="Arial"/>
                <w:color w:val="000000"/>
                <w:lang w:eastAsia="en-AU"/>
              </w:rPr>
              <w:t>1,100,631</w:t>
            </w:r>
          </w:p>
        </w:tc>
        <w:tc>
          <w:tcPr>
            <w:tcW w:w="0" w:type="auto"/>
            <w:tcBorders>
              <w:top w:val="nil"/>
              <w:left w:val="nil"/>
              <w:bottom w:val="single" w:sz="8" w:space="0" w:color="auto"/>
              <w:right w:val="single" w:sz="8" w:space="0" w:color="auto"/>
            </w:tcBorders>
            <w:noWrap/>
            <w:vAlign w:val="bottom"/>
          </w:tcPr>
          <w:p w:rsidR="009B075E" w:rsidRPr="00CF2865" w:rsidRDefault="009B075E" w:rsidP="002E4878">
            <w:pPr>
              <w:spacing w:after="0" w:line="240" w:lineRule="auto"/>
              <w:rPr>
                <w:rFonts w:ascii="Arial Narrow" w:hAnsi="Arial Narrow" w:cs="Arial"/>
                <w:lang w:eastAsia="en-AU"/>
              </w:rPr>
            </w:pPr>
            <w:r w:rsidRPr="00CF2865">
              <w:rPr>
                <w:rFonts w:ascii="Arial Narrow" w:hAnsi="Arial Narrow" w:cs="Arial"/>
                <w:lang w:eastAsia="en-AU"/>
              </w:rPr>
              <w:t xml:space="preserve"> 1,419,700 </w:t>
            </w:r>
          </w:p>
        </w:tc>
      </w:tr>
    </w:tbl>
    <w:p w:rsidR="009B075E" w:rsidRDefault="009B075E" w:rsidP="002E4878">
      <w:pPr>
        <w:spacing w:after="0" w:line="240" w:lineRule="auto"/>
        <w:rPr>
          <w:rFonts w:ascii="Arial Narrow" w:hAnsi="Arial Narrow" w:cs="Arial"/>
          <w:color w:val="000000"/>
          <w:sz w:val="16"/>
          <w:szCs w:val="16"/>
          <w:lang w:eastAsia="en-AU"/>
        </w:rPr>
      </w:pPr>
    </w:p>
    <w:p w:rsidR="009B075E" w:rsidRPr="002E4878" w:rsidRDefault="009B075E" w:rsidP="002E4878">
      <w:pPr>
        <w:spacing w:after="0" w:line="240" w:lineRule="auto"/>
        <w:rPr>
          <w:rFonts w:ascii="Arial Narrow" w:hAnsi="Arial Narrow" w:cs="Arial"/>
          <w:color w:val="000000"/>
          <w:sz w:val="16"/>
          <w:szCs w:val="16"/>
          <w:lang w:eastAsia="en-AU"/>
        </w:rPr>
      </w:pPr>
      <w:r w:rsidRPr="002E4878">
        <w:rPr>
          <w:rFonts w:ascii="Arial Narrow" w:hAnsi="Arial Narrow" w:cs="Arial"/>
          <w:color w:val="000000"/>
          <w:sz w:val="16"/>
          <w:szCs w:val="16"/>
          <w:lang w:eastAsia="en-AU"/>
        </w:rPr>
        <w:t xml:space="preserve">Source: AUSTRALIAN DEMOGRAPHIC STATISTICS, catalogue number 3101, June qtr, </w:t>
      </w:r>
      <w:r>
        <w:rPr>
          <w:rFonts w:ascii="Arial Narrow" w:hAnsi="Arial Narrow" w:cs="Arial"/>
          <w:color w:val="000000"/>
          <w:sz w:val="16"/>
          <w:szCs w:val="16"/>
          <w:lang w:eastAsia="en-AU"/>
        </w:rPr>
        <w:t>2001 and 2011</w:t>
      </w:r>
    </w:p>
    <w:p w:rsidR="009B075E" w:rsidRDefault="009B075E" w:rsidP="002E4878">
      <w:pPr>
        <w:rPr>
          <w:rFonts w:ascii="Arial" w:hAnsi="Arial" w:cs="Arial"/>
          <w:highlight w:val="yellow"/>
        </w:rPr>
      </w:pPr>
    </w:p>
    <w:p w:rsidR="009B075E" w:rsidRDefault="009B075E" w:rsidP="004C4277">
      <w:pPr>
        <w:rPr>
          <w:rFonts w:ascii="Arial" w:hAnsi="Arial" w:cs="Arial"/>
          <w:b/>
        </w:rPr>
      </w:pPr>
      <w:bookmarkStart w:id="98" w:name="_Ref318377231"/>
      <w:r w:rsidRPr="002E4878">
        <w:rPr>
          <w:rFonts w:ascii="Arial" w:hAnsi="Arial" w:cs="Arial"/>
          <w:b/>
        </w:rPr>
        <w:t xml:space="preserve">Table </w:t>
      </w:r>
      <w:r w:rsidR="00855AAF" w:rsidRPr="002E4878">
        <w:rPr>
          <w:rFonts w:ascii="Arial" w:hAnsi="Arial" w:cs="Arial"/>
          <w:b/>
        </w:rPr>
        <w:fldChar w:fldCharType="begin"/>
      </w:r>
      <w:r w:rsidRPr="002E4878">
        <w:rPr>
          <w:rFonts w:ascii="Arial" w:hAnsi="Arial" w:cs="Arial"/>
          <w:b/>
        </w:rPr>
        <w:instrText xml:space="preserve"> SEQ Table \* ARABIC </w:instrText>
      </w:r>
      <w:r w:rsidR="00855AAF" w:rsidRPr="002E4878">
        <w:rPr>
          <w:rFonts w:ascii="Arial" w:hAnsi="Arial" w:cs="Arial"/>
          <w:b/>
        </w:rPr>
        <w:fldChar w:fldCharType="separate"/>
      </w:r>
      <w:r w:rsidR="00584343">
        <w:rPr>
          <w:rFonts w:ascii="Arial" w:hAnsi="Arial" w:cs="Arial"/>
          <w:b/>
          <w:noProof/>
        </w:rPr>
        <w:t>11</w:t>
      </w:r>
      <w:r w:rsidR="00855AAF" w:rsidRPr="002E4878">
        <w:rPr>
          <w:rFonts w:ascii="Arial" w:hAnsi="Arial" w:cs="Arial"/>
          <w:b/>
        </w:rPr>
        <w:fldChar w:fldCharType="end"/>
      </w:r>
      <w:bookmarkEnd w:id="98"/>
      <w:r w:rsidRPr="002E4878">
        <w:rPr>
          <w:rFonts w:ascii="Arial" w:hAnsi="Arial" w:cs="Arial"/>
          <w:b/>
        </w:rPr>
        <w:t xml:space="preserve">: </w:t>
      </w:r>
      <w:r w:rsidRPr="0020480C">
        <w:rPr>
          <w:rFonts w:ascii="Arial" w:hAnsi="Arial" w:cs="Arial"/>
          <w:b/>
        </w:rPr>
        <w:t xml:space="preserve">Trends in </w:t>
      </w:r>
      <w:r>
        <w:rPr>
          <w:rFonts w:ascii="Arial" w:hAnsi="Arial" w:cs="Arial"/>
          <w:b/>
        </w:rPr>
        <w:t>patient population</w:t>
      </w:r>
      <w:r w:rsidRPr="004C4277">
        <w:rPr>
          <w:rFonts w:ascii="Arial" w:hAnsi="Arial" w:cs="Arial"/>
          <w:b/>
        </w:rPr>
        <w:t xml:space="preserve"> as a proportion of </w:t>
      </w:r>
      <w:r>
        <w:rPr>
          <w:rFonts w:ascii="Arial" w:hAnsi="Arial" w:cs="Arial"/>
          <w:b/>
        </w:rPr>
        <w:t xml:space="preserve">total </w:t>
      </w:r>
      <w:r w:rsidRPr="004C4277">
        <w:rPr>
          <w:rFonts w:ascii="Arial" w:hAnsi="Arial" w:cs="Arial"/>
          <w:b/>
        </w:rPr>
        <w:t>Australian population</w:t>
      </w:r>
    </w:p>
    <w:tbl>
      <w:tblPr>
        <w:tblW w:w="13120" w:type="dxa"/>
        <w:tblInd w:w="93" w:type="dxa"/>
        <w:tblLook w:val="00A0" w:firstRow="1" w:lastRow="0" w:firstColumn="1" w:lastColumn="0" w:noHBand="0" w:noVBand="0"/>
      </w:tblPr>
      <w:tblGrid>
        <w:gridCol w:w="4820"/>
        <w:gridCol w:w="1660"/>
        <w:gridCol w:w="1660"/>
        <w:gridCol w:w="1660"/>
        <w:gridCol w:w="1660"/>
        <w:gridCol w:w="1660"/>
      </w:tblGrid>
      <w:tr w:rsidR="009B075E" w:rsidRPr="00CF2865" w:rsidTr="004C4277">
        <w:trPr>
          <w:trHeight w:val="300"/>
        </w:trPr>
        <w:tc>
          <w:tcPr>
            <w:tcW w:w="4820" w:type="dxa"/>
            <w:tcBorders>
              <w:top w:val="single" w:sz="4" w:space="0" w:color="auto"/>
              <w:left w:val="single" w:sz="4" w:space="0" w:color="auto"/>
              <w:bottom w:val="single" w:sz="4" w:space="0" w:color="auto"/>
              <w:right w:val="single" w:sz="4" w:space="0" w:color="auto"/>
            </w:tcBorders>
            <w:noWrap/>
            <w:vAlign w:val="center"/>
          </w:tcPr>
          <w:p w:rsidR="009B075E" w:rsidRPr="00CF2865" w:rsidRDefault="009B075E" w:rsidP="004C4277">
            <w:pPr>
              <w:spacing w:after="0" w:line="240" w:lineRule="auto"/>
              <w:jc w:val="center"/>
              <w:rPr>
                <w:rFonts w:ascii="Arial Narrow" w:hAnsi="Arial Narrow" w:cs="Arial"/>
                <w:color w:val="000000"/>
                <w:lang w:eastAsia="en-AU"/>
              </w:rPr>
            </w:pPr>
            <w:r w:rsidRPr="00CF2865">
              <w:rPr>
                <w:rFonts w:ascii="Arial Narrow" w:hAnsi="Arial Narrow" w:cs="Arial"/>
                <w:color w:val="000000"/>
                <w:lang w:eastAsia="en-AU"/>
              </w:rPr>
              <w:t> </w:t>
            </w:r>
          </w:p>
        </w:tc>
        <w:tc>
          <w:tcPr>
            <w:tcW w:w="1660" w:type="dxa"/>
            <w:tcBorders>
              <w:top w:val="single" w:sz="4" w:space="0" w:color="auto"/>
              <w:left w:val="nil"/>
              <w:bottom w:val="single" w:sz="4" w:space="0" w:color="auto"/>
              <w:right w:val="single" w:sz="4" w:space="0" w:color="auto"/>
            </w:tcBorders>
            <w:noWrap/>
            <w:vAlign w:val="center"/>
          </w:tcPr>
          <w:p w:rsidR="009B075E" w:rsidRPr="00CF2865" w:rsidRDefault="009B075E" w:rsidP="00CF2865">
            <w:pPr>
              <w:spacing w:after="0" w:line="240" w:lineRule="auto"/>
              <w:jc w:val="right"/>
              <w:rPr>
                <w:rFonts w:ascii="Arial Narrow" w:hAnsi="Arial Narrow" w:cs="Arial"/>
                <w:b/>
                <w:bCs/>
                <w:color w:val="000000"/>
                <w:lang w:eastAsia="en-AU"/>
              </w:rPr>
            </w:pPr>
            <w:r w:rsidRPr="00CF2865">
              <w:rPr>
                <w:rFonts w:ascii="Arial Narrow" w:hAnsi="Arial Narrow" w:cs="Arial"/>
                <w:b/>
                <w:bCs/>
                <w:color w:val="000000"/>
                <w:lang w:eastAsia="en-AU"/>
              </w:rPr>
              <w:t>2006-07</w:t>
            </w:r>
          </w:p>
        </w:tc>
        <w:tc>
          <w:tcPr>
            <w:tcW w:w="1660" w:type="dxa"/>
            <w:tcBorders>
              <w:top w:val="single" w:sz="4" w:space="0" w:color="auto"/>
              <w:left w:val="nil"/>
              <w:bottom w:val="single" w:sz="4" w:space="0" w:color="auto"/>
              <w:right w:val="single" w:sz="4" w:space="0" w:color="auto"/>
            </w:tcBorders>
            <w:noWrap/>
            <w:vAlign w:val="center"/>
          </w:tcPr>
          <w:p w:rsidR="009B075E" w:rsidRPr="00CF2865" w:rsidRDefault="009B075E" w:rsidP="00CF2865">
            <w:pPr>
              <w:spacing w:after="0" w:line="240" w:lineRule="auto"/>
              <w:jc w:val="right"/>
              <w:rPr>
                <w:rFonts w:ascii="Arial Narrow" w:hAnsi="Arial Narrow" w:cs="Arial"/>
                <w:b/>
                <w:bCs/>
                <w:color w:val="000000"/>
                <w:lang w:eastAsia="en-AU"/>
              </w:rPr>
            </w:pPr>
            <w:r w:rsidRPr="00CF2865">
              <w:rPr>
                <w:rFonts w:ascii="Arial Narrow" w:hAnsi="Arial Narrow" w:cs="Arial"/>
                <w:b/>
                <w:bCs/>
                <w:color w:val="000000"/>
                <w:lang w:eastAsia="en-AU"/>
              </w:rPr>
              <w:t>2007-08</w:t>
            </w:r>
          </w:p>
        </w:tc>
        <w:tc>
          <w:tcPr>
            <w:tcW w:w="1660" w:type="dxa"/>
            <w:tcBorders>
              <w:top w:val="single" w:sz="4" w:space="0" w:color="auto"/>
              <w:left w:val="nil"/>
              <w:bottom w:val="single" w:sz="4" w:space="0" w:color="auto"/>
              <w:right w:val="single" w:sz="4" w:space="0" w:color="auto"/>
            </w:tcBorders>
            <w:noWrap/>
            <w:vAlign w:val="center"/>
          </w:tcPr>
          <w:p w:rsidR="009B075E" w:rsidRPr="00CF2865" w:rsidRDefault="009B075E" w:rsidP="00CF2865">
            <w:pPr>
              <w:spacing w:after="0" w:line="240" w:lineRule="auto"/>
              <w:jc w:val="right"/>
              <w:rPr>
                <w:rFonts w:ascii="Arial Narrow" w:hAnsi="Arial Narrow" w:cs="Arial"/>
                <w:b/>
                <w:bCs/>
                <w:color w:val="000000"/>
                <w:lang w:eastAsia="en-AU"/>
              </w:rPr>
            </w:pPr>
            <w:r w:rsidRPr="00CF2865">
              <w:rPr>
                <w:rFonts w:ascii="Arial Narrow" w:hAnsi="Arial Narrow" w:cs="Arial"/>
                <w:b/>
                <w:bCs/>
                <w:color w:val="000000"/>
                <w:lang w:eastAsia="en-AU"/>
              </w:rPr>
              <w:t>2008-09</w:t>
            </w:r>
          </w:p>
        </w:tc>
        <w:tc>
          <w:tcPr>
            <w:tcW w:w="1660" w:type="dxa"/>
            <w:tcBorders>
              <w:top w:val="single" w:sz="4" w:space="0" w:color="auto"/>
              <w:left w:val="nil"/>
              <w:bottom w:val="single" w:sz="4" w:space="0" w:color="auto"/>
              <w:right w:val="single" w:sz="4" w:space="0" w:color="auto"/>
            </w:tcBorders>
            <w:noWrap/>
            <w:vAlign w:val="center"/>
          </w:tcPr>
          <w:p w:rsidR="009B075E" w:rsidRPr="00CF2865" w:rsidRDefault="009B075E" w:rsidP="00CF2865">
            <w:pPr>
              <w:spacing w:after="0" w:line="240" w:lineRule="auto"/>
              <w:jc w:val="right"/>
              <w:rPr>
                <w:rFonts w:ascii="Arial Narrow" w:hAnsi="Arial Narrow" w:cs="Arial"/>
                <w:b/>
                <w:bCs/>
                <w:color w:val="000000"/>
                <w:lang w:eastAsia="en-AU"/>
              </w:rPr>
            </w:pPr>
            <w:r w:rsidRPr="00CF2865">
              <w:rPr>
                <w:rFonts w:ascii="Arial Narrow" w:hAnsi="Arial Narrow" w:cs="Arial"/>
                <w:b/>
                <w:bCs/>
                <w:color w:val="000000"/>
                <w:lang w:eastAsia="en-AU"/>
              </w:rPr>
              <w:t>2009-10</w:t>
            </w:r>
          </w:p>
        </w:tc>
        <w:tc>
          <w:tcPr>
            <w:tcW w:w="1660" w:type="dxa"/>
            <w:tcBorders>
              <w:top w:val="single" w:sz="4" w:space="0" w:color="auto"/>
              <w:left w:val="nil"/>
              <w:bottom w:val="single" w:sz="4" w:space="0" w:color="auto"/>
              <w:right w:val="single" w:sz="4" w:space="0" w:color="auto"/>
            </w:tcBorders>
            <w:noWrap/>
            <w:vAlign w:val="center"/>
          </w:tcPr>
          <w:p w:rsidR="009B075E" w:rsidRPr="00CF2865" w:rsidRDefault="009B075E" w:rsidP="00CF2865">
            <w:pPr>
              <w:spacing w:after="0" w:line="240" w:lineRule="auto"/>
              <w:jc w:val="right"/>
              <w:rPr>
                <w:rFonts w:ascii="Arial Narrow" w:hAnsi="Arial Narrow" w:cs="Arial"/>
                <w:b/>
                <w:bCs/>
                <w:color w:val="000000"/>
                <w:lang w:eastAsia="en-AU"/>
              </w:rPr>
            </w:pPr>
            <w:r w:rsidRPr="00CF2865">
              <w:rPr>
                <w:rFonts w:ascii="Arial Narrow" w:hAnsi="Arial Narrow" w:cs="Arial"/>
                <w:b/>
                <w:bCs/>
                <w:color w:val="000000"/>
                <w:lang w:eastAsia="en-AU"/>
              </w:rPr>
              <w:t>2010-11</w:t>
            </w:r>
          </w:p>
        </w:tc>
      </w:tr>
      <w:tr w:rsidR="009B075E" w:rsidRPr="00CF2865" w:rsidTr="004C4277">
        <w:trPr>
          <w:trHeight w:val="285"/>
        </w:trPr>
        <w:tc>
          <w:tcPr>
            <w:tcW w:w="4820" w:type="dxa"/>
            <w:tcBorders>
              <w:top w:val="nil"/>
              <w:left w:val="single" w:sz="4" w:space="0" w:color="auto"/>
              <w:bottom w:val="single" w:sz="4" w:space="0" w:color="auto"/>
              <w:right w:val="single" w:sz="4" w:space="0" w:color="auto"/>
            </w:tcBorders>
            <w:noWrap/>
            <w:vAlign w:val="center"/>
          </w:tcPr>
          <w:p w:rsidR="009B075E" w:rsidRPr="00CF2865" w:rsidRDefault="009B075E" w:rsidP="004C4277">
            <w:pPr>
              <w:spacing w:after="0" w:line="240" w:lineRule="auto"/>
              <w:jc w:val="center"/>
              <w:rPr>
                <w:rFonts w:ascii="Arial Narrow" w:hAnsi="Arial Narrow" w:cs="Arial"/>
                <w:color w:val="000000"/>
                <w:lang w:eastAsia="en-AU"/>
              </w:rPr>
            </w:pPr>
            <w:r w:rsidRPr="00CF2865">
              <w:rPr>
                <w:rFonts w:ascii="Arial Narrow" w:hAnsi="Arial Narrow" w:cs="Arial"/>
                <w:color w:val="000000"/>
                <w:lang w:eastAsia="en-AU"/>
              </w:rPr>
              <w:t>Patient population</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 xml:space="preserve">         8,731,595 </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 xml:space="preserve">         8,672,080 </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 xml:space="preserve">         8,994,930 </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 xml:space="preserve">         9,128,585 </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 xml:space="preserve">         9,265,507 </w:t>
            </w:r>
          </w:p>
        </w:tc>
      </w:tr>
      <w:tr w:rsidR="009B075E" w:rsidRPr="00CF2865" w:rsidTr="004C4277">
        <w:trPr>
          <w:trHeight w:val="285"/>
        </w:trPr>
        <w:tc>
          <w:tcPr>
            <w:tcW w:w="4820" w:type="dxa"/>
            <w:tcBorders>
              <w:top w:val="nil"/>
              <w:left w:val="single" w:sz="4" w:space="0" w:color="auto"/>
              <w:bottom w:val="single" w:sz="4" w:space="0" w:color="auto"/>
              <w:right w:val="single" w:sz="4" w:space="0" w:color="auto"/>
            </w:tcBorders>
            <w:noWrap/>
            <w:vAlign w:val="center"/>
          </w:tcPr>
          <w:p w:rsidR="009B075E" w:rsidRPr="00CF2865" w:rsidRDefault="009B075E" w:rsidP="004C4277">
            <w:pPr>
              <w:spacing w:after="0" w:line="240" w:lineRule="auto"/>
              <w:jc w:val="center"/>
              <w:rPr>
                <w:rFonts w:ascii="Arial Narrow" w:hAnsi="Arial Narrow" w:cs="Arial"/>
                <w:color w:val="000000"/>
                <w:lang w:eastAsia="en-AU"/>
              </w:rPr>
            </w:pPr>
            <w:r w:rsidRPr="00CF2865">
              <w:rPr>
                <w:rFonts w:ascii="Arial Narrow" w:hAnsi="Arial Narrow" w:cs="Arial"/>
                <w:color w:val="000000"/>
                <w:lang w:eastAsia="en-AU"/>
              </w:rPr>
              <w:t>Australian population</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 xml:space="preserve">       21,072,452 </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 xml:space="preserve">       21,498,540 </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 xml:space="preserve">       21,951,736 </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 xml:space="preserve">       22,328,847 </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 xml:space="preserve">       22,620,554 </w:t>
            </w:r>
          </w:p>
        </w:tc>
      </w:tr>
      <w:tr w:rsidR="009B075E" w:rsidRPr="00CF2865" w:rsidTr="004C4277">
        <w:trPr>
          <w:trHeight w:val="285"/>
        </w:trPr>
        <w:tc>
          <w:tcPr>
            <w:tcW w:w="4820" w:type="dxa"/>
            <w:tcBorders>
              <w:top w:val="nil"/>
              <w:left w:val="single" w:sz="4" w:space="0" w:color="auto"/>
              <w:bottom w:val="single" w:sz="4" w:space="0" w:color="auto"/>
              <w:right w:val="single" w:sz="4" w:space="0" w:color="auto"/>
            </w:tcBorders>
            <w:noWrap/>
            <w:vAlign w:val="center"/>
          </w:tcPr>
          <w:p w:rsidR="009B075E" w:rsidRPr="00CF2865" w:rsidRDefault="009B075E" w:rsidP="004C4277">
            <w:pPr>
              <w:spacing w:after="0" w:line="240" w:lineRule="auto"/>
              <w:jc w:val="center"/>
              <w:rPr>
                <w:rFonts w:ascii="Arial Narrow" w:hAnsi="Arial Narrow" w:cs="Arial"/>
                <w:color w:val="000000"/>
                <w:lang w:eastAsia="en-AU"/>
              </w:rPr>
            </w:pPr>
            <w:r w:rsidRPr="00CF2865">
              <w:rPr>
                <w:rFonts w:ascii="Arial Narrow" w:hAnsi="Arial Narrow" w:cs="Arial"/>
                <w:color w:val="000000"/>
                <w:lang w:eastAsia="en-AU"/>
              </w:rPr>
              <w:t>Patients as a proportion of Australian population</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41.4%</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40.3%</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41.0%</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40.9%</w:t>
            </w:r>
          </w:p>
        </w:tc>
        <w:tc>
          <w:tcPr>
            <w:tcW w:w="1660" w:type="dxa"/>
            <w:tcBorders>
              <w:top w:val="nil"/>
              <w:left w:val="nil"/>
              <w:bottom w:val="single" w:sz="4" w:space="0" w:color="auto"/>
              <w:right w:val="single" w:sz="4" w:space="0" w:color="auto"/>
            </w:tcBorders>
            <w:noWrap/>
            <w:vAlign w:val="center"/>
          </w:tcPr>
          <w:p w:rsidR="00C77242" w:rsidRPr="00CF2865" w:rsidRDefault="009B075E">
            <w:pPr>
              <w:spacing w:after="0" w:line="240" w:lineRule="auto"/>
              <w:jc w:val="right"/>
              <w:rPr>
                <w:rFonts w:ascii="Arial Narrow" w:eastAsia="Times New Roman" w:hAnsi="Arial Narrow" w:cs="Arial"/>
                <w:b/>
                <w:bCs/>
                <w:color w:val="000000"/>
                <w:lang w:eastAsia="en-AU"/>
              </w:rPr>
            </w:pPr>
            <w:r w:rsidRPr="00CF2865">
              <w:rPr>
                <w:rFonts w:ascii="Arial Narrow" w:hAnsi="Arial Narrow" w:cs="Arial"/>
                <w:color w:val="000000"/>
                <w:lang w:eastAsia="en-AU"/>
              </w:rPr>
              <w:t>41.0%</w:t>
            </w:r>
          </w:p>
        </w:tc>
      </w:tr>
    </w:tbl>
    <w:p w:rsidR="00C77242" w:rsidRDefault="00EC7001">
      <w:pPr>
        <w:spacing w:after="0"/>
        <w:rPr>
          <w:rFonts w:ascii="Arial" w:hAnsi="Arial" w:cs="Arial"/>
          <w:sz w:val="16"/>
          <w:szCs w:val="16"/>
        </w:rPr>
      </w:pPr>
      <w:r w:rsidRPr="00EC7001">
        <w:rPr>
          <w:rFonts w:ascii="Arial" w:hAnsi="Arial" w:cs="Arial"/>
          <w:sz w:val="16"/>
          <w:szCs w:val="16"/>
        </w:rPr>
        <w:t>Note</w:t>
      </w:r>
      <w:r w:rsidR="009B075E">
        <w:rPr>
          <w:rFonts w:ascii="Arial" w:hAnsi="Arial" w:cs="Arial"/>
          <w:sz w:val="16"/>
          <w:szCs w:val="16"/>
        </w:rPr>
        <w:t>: Only includes patients accessing prescriptions subsidised by the Australian Government.</w:t>
      </w:r>
    </w:p>
    <w:p w:rsidR="009B075E" w:rsidRPr="009B075E" w:rsidRDefault="009B075E" w:rsidP="002E4878">
      <w:pPr>
        <w:rPr>
          <w:rFonts w:ascii="Arial" w:hAnsi="Arial" w:cs="Arial"/>
          <w:sz w:val="16"/>
          <w:szCs w:val="16"/>
        </w:rPr>
      </w:pPr>
    </w:p>
    <w:p w:rsidR="00B62C57" w:rsidRDefault="00B62C57">
      <w:pPr>
        <w:spacing w:after="0" w:line="240" w:lineRule="auto"/>
        <w:rPr>
          <w:rFonts w:ascii="Arial" w:hAnsi="Arial" w:cs="Arial"/>
          <w:b/>
        </w:rPr>
      </w:pPr>
      <w:bookmarkStart w:id="99" w:name="_Ref318377477"/>
      <w:r>
        <w:rPr>
          <w:rFonts w:ascii="Arial" w:hAnsi="Arial" w:cs="Arial"/>
          <w:b/>
        </w:rPr>
        <w:br w:type="page"/>
      </w:r>
    </w:p>
    <w:p w:rsidR="009B075E" w:rsidRDefault="009B075E" w:rsidP="00803E93">
      <w:pPr>
        <w:rPr>
          <w:rFonts w:ascii="Arial" w:hAnsi="Arial" w:cs="Arial"/>
          <w:b/>
        </w:rPr>
      </w:pPr>
      <w:bookmarkStart w:id="100" w:name="_Ref338340301"/>
      <w:r w:rsidRPr="002E4878">
        <w:rPr>
          <w:rFonts w:ascii="Arial" w:hAnsi="Arial" w:cs="Arial"/>
          <w:b/>
        </w:rPr>
        <w:lastRenderedPageBreak/>
        <w:t xml:space="preserve">Table </w:t>
      </w:r>
      <w:r w:rsidR="00855AAF" w:rsidRPr="002E4878">
        <w:rPr>
          <w:rFonts w:ascii="Arial" w:hAnsi="Arial" w:cs="Arial"/>
          <w:b/>
        </w:rPr>
        <w:fldChar w:fldCharType="begin"/>
      </w:r>
      <w:r w:rsidRPr="002E4878">
        <w:rPr>
          <w:rFonts w:ascii="Arial" w:hAnsi="Arial" w:cs="Arial"/>
          <w:b/>
        </w:rPr>
        <w:instrText xml:space="preserve"> SEQ Table \* ARABIC </w:instrText>
      </w:r>
      <w:r w:rsidR="00855AAF" w:rsidRPr="002E4878">
        <w:rPr>
          <w:rFonts w:ascii="Arial" w:hAnsi="Arial" w:cs="Arial"/>
          <w:b/>
        </w:rPr>
        <w:fldChar w:fldCharType="separate"/>
      </w:r>
      <w:r w:rsidR="00584343">
        <w:rPr>
          <w:rFonts w:ascii="Arial" w:hAnsi="Arial" w:cs="Arial"/>
          <w:b/>
          <w:noProof/>
        </w:rPr>
        <w:t>12</w:t>
      </w:r>
      <w:r w:rsidR="00855AAF" w:rsidRPr="002E4878">
        <w:rPr>
          <w:rFonts w:ascii="Arial" w:hAnsi="Arial" w:cs="Arial"/>
          <w:b/>
        </w:rPr>
        <w:fldChar w:fldCharType="end"/>
      </w:r>
      <w:bookmarkEnd w:id="99"/>
      <w:bookmarkEnd w:id="100"/>
      <w:r w:rsidRPr="002E4878">
        <w:rPr>
          <w:rFonts w:ascii="Arial" w:hAnsi="Arial" w:cs="Arial"/>
          <w:b/>
        </w:rPr>
        <w:t xml:space="preserve">: </w:t>
      </w:r>
      <w:r w:rsidRPr="0020480C">
        <w:rPr>
          <w:rFonts w:ascii="Arial" w:hAnsi="Arial" w:cs="Arial"/>
          <w:b/>
        </w:rPr>
        <w:t xml:space="preserve">Trends in </w:t>
      </w:r>
      <w:r>
        <w:rPr>
          <w:rFonts w:ascii="Arial" w:hAnsi="Arial" w:cs="Arial"/>
          <w:b/>
        </w:rPr>
        <w:t>patient population</w:t>
      </w:r>
      <w:r w:rsidRPr="004C4277">
        <w:rPr>
          <w:rFonts w:ascii="Arial" w:hAnsi="Arial" w:cs="Arial"/>
          <w:b/>
        </w:rPr>
        <w:t xml:space="preserve"> as a proportion of </w:t>
      </w:r>
      <w:r>
        <w:rPr>
          <w:rFonts w:ascii="Arial" w:hAnsi="Arial" w:cs="Arial"/>
          <w:b/>
        </w:rPr>
        <w:t xml:space="preserve">total patient </w:t>
      </w:r>
      <w:r w:rsidRPr="004C4277">
        <w:rPr>
          <w:rFonts w:ascii="Arial" w:hAnsi="Arial" w:cs="Arial"/>
          <w:b/>
        </w:rPr>
        <w:t>population</w:t>
      </w:r>
      <w:r>
        <w:rPr>
          <w:rFonts w:ascii="Arial" w:hAnsi="Arial" w:cs="Arial"/>
          <w:b/>
        </w:rPr>
        <w:t>, by age</w:t>
      </w:r>
    </w:p>
    <w:tbl>
      <w:tblPr>
        <w:tblW w:w="13120" w:type="dxa"/>
        <w:tblInd w:w="91" w:type="dxa"/>
        <w:tblLook w:val="00A0" w:firstRow="1" w:lastRow="0" w:firstColumn="1" w:lastColumn="0" w:noHBand="0" w:noVBand="0"/>
      </w:tblPr>
      <w:tblGrid>
        <w:gridCol w:w="4820"/>
        <w:gridCol w:w="1660"/>
        <w:gridCol w:w="1660"/>
        <w:gridCol w:w="1660"/>
        <w:gridCol w:w="1660"/>
        <w:gridCol w:w="1660"/>
      </w:tblGrid>
      <w:tr w:rsidR="009B075E" w:rsidRPr="00803E93" w:rsidTr="00CF2865">
        <w:trPr>
          <w:trHeight w:val="300"/>
        </w:trPr>
        <w:tc>
          <w:tcPr>
            <w:tcW w:w="4820" w:type="dxa"/>
            <w:tcBorders>
              <w:top w:val="single" w:sz="4" w:space="0" w:color="auto"/>
              <w:left w:val="single" w:sz="4" w:space="0" w:color="auto"/>
              <w:bottom w:val="single" w:sz="4" w:space="0" w:color="auto"/>
              <w:right w:val="single" w:sz="4" w:space="0" w:color="auto"/>
            </w:tcBorders>
            <w:noWrap/>
            <w:vAlign w:val="center"/>
          </w:tcPr>
          <w:p w:rsidR="009B075E" w:rsidRPr="00803E93" w:rsidRDefault="009B075E" w:rsidP="00CF2865">
            <w:pPr>
              <w:spacing w:before="120" w:after="120" w:line="240" w:lineRule="auto"/>
              <w:jc w:val="center"/>
              <w:rPr>
                <w:rFonts w:ascii="Arial" w:hAnsi="Arial" w:cs="Arial"/>
                <w:b/>
                <w:bCs/>
                <w:sz w:val="20"/>
                <w:szCs w:val="20"/>
                <w:lang w:eastAsia="en-AU"/>
              </w:rPr>
            </w:pPr>
            <w:r w:rsidRPr="00803E93">
              <w:rPr>
                <w:rFonts w:ascii="Arial" w:hAnsi="Arial" w:cs="Arial"/>
                <w:b/>
                <w:bCs/>
                <w:sz w:val="20"/>
                <w:szCs w:val="20"/>
                <w:lang w:eastAsia="en-AU"/>
              </w:rPr>
              <w:t>Age Group</w:t>
            </w:r>
          </w:p>
        </w:tc>
        <w:tc>
          <w:tcPr>
            <w:tcW w:w="1660" w:type="dxa"/>
            <w:tcBorders>
              <w:top w:val="single" w:sz="4" w:space="0" w:color="auto"/>
              <w:left w:val="nil"/>
              <w:bottom w:val="single" w:sz="4" w:space="0" w:color="auto"/>
              <w:right w:val="single" w:sz="4" w:space="0" w:color="auto"/>
            </w:tcBorders>
            <w:noWrap/>
            <w:vAlign w:val="center"/>
          </w:tcPr>
          <w:p w:rsidR="00D43353" w:rsidRDefault="00855AAF" w:rsidP="00CF2865">
            <w:pPr>
              <w:spacing w:before="120" w:after="120"/>
              <w:jc w:val="center"/>
              <w:rPr>
                <w:b/>
                <w:lang w:eastAsia="en-AU"/>
              </w:rPr>
            </w:pPr>
            <w:r w:rsidRPr="00855AAF">
              <w:rPr>
                <w:b/>
                <w:lang w:eastAsia="en-AU"/>
              </w:rPr>
              <w:t>2006-07</w:t>
            </w:r>
          </w:p>
        </w:tc>
        <w:tc>
          <w:tcPr>
            <w:tcW w:w="1660" w:type="dxa"/>
            <w:tcBorders>
              <w:top w:val="single" w:sz="4" w:space="0" w:color="auto"/>
              <w:left w:val="nil"/>
              <w:bottom w:val="single" w:sz="4" w:space="0" w:color="auto"/>
              <w:right w:val="single" w:sz="4" w:space="0" w:color="auto"/>
            </w:tcBorders>
            <w:noWrap/>
            <w:vAlign w:val="center"/>
          </w:tcPr>
          <w:p w:rsidR="00D43353" w:rsidRDefault="00855AAF" w:rsidP="00CF2865">
            <w:pPr>
              <w:spacing w:before="120" w:after="120"/>
              <w:jc w:val="center"/>
              <w:rPr>
                <w:b/>
                <w:lang w:eastAsia="en-AU"/>
              </w:rPr>
            </w:pPr>
            <w:r w:rsidRPr="00855AAF">
              <w:rPr>
                <w:b/>
                <w:lang w:eastAsia="en-AU"/>
              </w:rPr>
              <w:t>2007-08</w:t>
            </w:r>
          </w:p>
        </w:tc>
        <w:tc>
          <w:tcPr>
            <w:tcW w:w="1660" w:type="dxa"/>
            <w:tcBorders>
              <w:top w:val="single" w:sz="4" w:space="0" w:color="auto"/>
              <w:left w:val="nil"/>
              <w:bottom w:val="single" w:sz="4" w:space="0" w:color="auto"/>
              <w:right w:val="single" w:sz="4" w:space="0" w:color="auto"/>
            </w:tcBorders>
            <w:noWrap/>
            <w:vAlign w:val="center"/>
          </w:tcPr>
          <w:p w:rsidR="00D43353" w:rsidRDefault="00855AAF" w:rsidP="00CF2865">
            <w:pPr>
              <w:spacing w:before="120" w:after="120"/>
              <w:jc w:val="center"/>
              <w:rPr>
                <w:b/>
                <w:lang w:eastAsia="en-AU"/>
              </w:rPr>
            </w:pPr>
            <w:r w:rsidRPr="00855AAF">
              <w:rPr>
                <w:b/>
                <w:lang w:eastAsia="en-AU"/>
              </w:rPr>
              <w:t>2008-09</w:t>
            </w:r>
          </w:p>
        </w:tc>
        <w:tc>
          <w:tcPr>
            <w:tcW w:w="1660" w:type="dxa"/>
            <w:tcBorders>
              <w:top w:val="single" w:sz="4" w:space="0" w:color="auto"/>
              <w:left w:val="nil"/>
              <w:bottom w:val="single" w:sz="4" w:space="0" w:color="auto"/>
              <w:right w:val="single" w:sz="4" w:space="0" w:color="auto"/>
            </w:tcBorders>
            <w:noWrap/>
            <w:vAlign w:val="center"/>
          </w:tcPr>
          <w:p w:rsidR="00D43353" w:rsidRDefault="00855AAF" w:rsidP="00CF2865">
            <w:pPr>
              <w:spacing w:before="120" w:after="120"/>
              <w:jc w:val="center"/>
              <w:rPr>
                <w:b/>
                <w:lang w:eastAsia="en-AU"/>
              </w:rPr>
            </w:pPr>
            <w:r w:rsidRPr="00855AAF">
              <w:rPr>
                <w:b/>
                <w:lang w:eastAsia="en-AU"/>
              </w:rPr>
              <w:t>2009-10</w:t>
            </w:r>
          </w:p>
        </w:tc>
        <w:tc>
          <w:tcPr>
            <w:tcW w:w="1660" w:type="dxa"/>
            <w:tcBorders>
              <w:top w:val="single" w:sz="4" w:space="0" w:color="auto"/>
              <w:left w:val="nil"/>
              <w:bottom w:val="single" w:sz="4" w:space="0" w:color="auto"/>
              <w:right w:val="single" w:sz="4" w:space="0" w:color="auto"/>
            </w:tcBorders>
            <w:noWrap/>
            <w:vAlign w:val="center"/>
          </w:tcPr>
          <w:p w:rsidR="00D43353" w:rsidRDefault="00855AAF" w:rsidP="00CF2865">
            <w:pPr>
              <w:spacing w:before="120" w:after="120"/>
              <w:jc w:val="center"/>
              <w:rPr>
                <w:b/>
                <w:lang w:eastAsia="en-AU"/>
              </w:rPr>
            </w:pPr>
            <w:r w:rsidRPr="00855AAF">
              <w:rPr>
                <w:b/>
                <w:lang w:eastAsia="en-AU"/>
              </w:rPr>
              <w:t>2010-11</w:t>
            </w:r>
          </w:p>
        </w:tc>
      </w:tr>
      <w:tr w:rsidR="009B075E" w:rsidRPr="00803E93" w:rsidTr="00CF2865">
        <w:trPr>
          <w:trHeight w:val="285"/>
        </w:trPr>
        <w:tc>
          <w:tcPr>
            <w:tcW w:w="4820" w:type="dxa"/>
            <w:tcBorders>
              <w:top w:val="nil"/>
              <w:left w:val="single" w:sz="4" w:space="0" w:color="auto"/>
              <w:bottom w:val="single" w:sz="4" w:space="0" w:color="auto"/>
              <w:right w:val="single" w:sz="4" w:space="0" w:color="auto"/>
            </w:tcBorders>
            <w:vAlign w:val="center"/>
          </w:tcPr>
          <w:p w:rsidR="009B075E" w:rsidRPr="00CF2865" w:rsidRDefault="009B075E" w:rsidP="00CB6EFB">
            <w:pPr>
              <w:spacing w:after="0" w:line="240" w:lineRule="auto"/>
              <w:jc w:val="center"/>
              <w:rPr>
                <w:rFonts w:ascii="Arial" w:hAnsi="Arial" w:cs="Arial"/>
                <w:lang w:eastAsia="en-AU"/>
              </w:rPr>
            </w:pPr>
            <w:r w:rsidRPr="00CF2865">
              <w:rPr>
                <w:rFonts w:ascii="Arial" w:hAnsi="Arial" w:cs="Arial"/>
                <w:lang w:eastAsia="en-AU"/>
              </w:rPr>
              <w:t>0-24</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21.2%</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21.0%</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20.8%</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21.0%</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20.9%</w:t>
            </w:r>
          </w:p>
        </w:tc>
      </w:tr>
      <w:tr w:rsidR="009B075E" w:rsidRPr="00803E93" w:rsidTr="00CF2865">
        <w:trPr>
          <w:trHeight w:val="285"/>
        </w:trPr>
        <w:tc>
          <w:tcPr>
            <w:tcW w:w="4820" w:type="dxa"/>
            <w:tcBorders>
              <w:top w:val="nil"/>
              <w:left w:val="single" w:sz="4" w:space="0" w:color="auto"/>
              <w:bottom w:val="single" w:sz="4" w:space="0" w:color="auto"/>
              <w:right w:val="single" w:sz="4" w:space="0" w:color="auto"/>
            </w:tcBorders>
            <w:vAlign w:val="center"/>
          </w:tcPr>
          <w:p w:rsidR="009B075E" w:rsidRPr="00CF2865" w:rsidRDefault="009B075E" w:rsidP="00CB6EFB">
            <w:pPr>
              <w:spacing w:after="0" w:line="240" w:lineRule="auto"/>
              <w:jc w:val="center"/>
              <w:rPr>
                <w:rFonts w:ascii="Arial" w:hAnsi="Arial" w:cs="Arial"/>
                <w:lang w:eastAsia="en-AU"/>
              </w:rPr>
            </w:pPr>
            <w:r w:rsidRPr="00CF2865">
              <w:rPr>
                <w:rFonts w:ascii="Arial" w:hAnsi="Arial" w:cs="Arial"/>
                <w:lang w:eastAsia="en-AU"/>
              </w:rPr>
              <w:t>25-34</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9.3%</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8.9%</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9.0%</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9.1%</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9.2%</w:t>
            </w:r>
          </w:p>
        </w:tc>
      </w:tr>
      <w:tr w:rsidR="009B075E" w:rsidRPr="00803E93" w:rsidTr="00CF2865">
        <w:trPr>
          <w:trHeight w:val="285"/>
        </w:trPr>
        <w:tc>
          <w:tcPr>
            <w:tcW w:w="4820" w:type="dxa"/>
            <w:tcBorders>
              <w:top w:val="nil"/>
              <w:left w:val="single" w:sz="4" w:space="0" w:color="auto"/>
              <w:bottom w:val="single" w:sz="4" w:space="0" w:color="auto"/>
              <w:right w:val="single" w:sz="4" w:space="0" w:color="auto"/>
            </w:tcBorders>
            <w:vAlign w:val="center"/>
          </w:tcPr>
          <w:p w:rsidR="009B075E" w:rsidRPr="00CF2865" w:rsidRDefault="009B075E" w:rsidP="00CB6EFB">
            <w:pPr>
              <w:spacing w:after="0" w:line="240" w:lineRule="auto"/>
              <w:jc w:val="center"/>
              <w:rPr>
                <w:rFonts w:ascii="Arial" w:hAnsi="Arial" w:cs="Arial"/>
                <w:lang w:eastAsia="en-AU"/>
              </w:rPr>
            </w:pPr>
            <w:r w:rsidRPr="00CF2865">
              <w:rPr>
                <w:rFonts w:ascii="Arial" w:hAnsi="Arial" w:cs="Arial"/>
                <w:lang w:eastAsia="en-AU"/>
              </w:rPr>
              <w:t>35-44</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12.3%</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12.0%</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12.0%</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11.9%</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11.8%</w:t>
            </w:r>
          </w:p>
        </w:tc>
      </w:tr>
      <w:tr w:rsidR="009B075E" w:rsidRPr="00803E93" w:rsidTr="00CF2865">
        <w:trPr>
          <w:trHeight w:val="285"/>
        </w:trPr>
        <w:tc>
          <w:tcPr>
            <w:tcW w:w="4820" w:type="dxa"/>
            <w:tcBorders>
              <w:top w:val="nil"/>
              <w:left w:val="single" w:sz="4" w:space="0" w:color="auto"/>
              <w:bottom w:val="single" w:sz="4" w:space="0" w:color="auto"/>
              <w:right w:val="single" w:sz="4" w:space="0" w:color="auto"/>
            </w:tcBorders>
            <w:vAlign w:val="center"/>
          </w:tcPr>
          <w:p w:rsidR="009B075E" w:rsidRPr="00CF2865" w:rsidRDefault="009B075E" w:rsidP="00CB6EFB">
            <w:pPr>
              <w:spacing w:after="0" w:line="240" w:lineRule="auto"/>
              <w:jc w:val="center"/>
              <w:rPr>
                <w:rFonts w:ascii="Arial" w:hAnsi="Arial" w:cs="Arial"/>
                <w:lang w:eastAsia="en-AU"/>
              </w:rPr>
            </w:pPr>
            <w:r w:rsidRPr="00CF2865">
              <w:rPr>
                <w:rFonts w:ascii="Arial" w:hAnsi="Arial" w:cs="Arial"/>
                <w:lang w:eastAsia="en-AU"/>
              </w:rPr>
              <w:t>45-54</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14.6%</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14.3%</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14.4%</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14.1%</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13.9%</w:t>
            </w:r>
          </w:p>
        </w:tc>
      </w:tr>
      <w:tr w:rsidR="009B075E" w:rsidRPr="00803E93" w:rsidTr="00CF2865">
        <w:trPr>
          <w:trHeight w:val="285"/>
        </w:trPr>
        <w:tc>
          <w:tcPr>
            <w:tcW w:w="4820" w:type="dxa"/>
            <w:tcBorders>
              <w:top w:val="nil"/>
              <w:left w:val="single" w:sz="4" w:space="0" w:color="auto"/>
              <w:bottom w:val="single" w:sz="4" w:space="0" w:color="auto"/>
              <w:right w:val="single" w:sz="4" w:space="0" w:color="auto"/>
            </w:tcBorders>
            <w:vAlign w:val="center"/>
          </w:tcPr>
          <w:p w:rsidR="009B075E" w:rsidRPr="00CF2865" w:rsidRDefault="009B075E" w:rsidP="00CB6EFB">
            <w:pPr>
              <w:spacing w:after="0" w:line="240" w:lineRule="auto"/>
              <w:jc w:val="center"/>
              <w:rPr>
                <w:rFonts w:ascii="Arial" w:hAnsi="Arial" w:cs="Arial"/>
                <w:lang w:eastAsia="en-AU"/>
              </w:rPr>
            </w:pPr>
            <w:r w:rsidRPr="00CF2865">
              <w:rPr>
                <w:rFonts w:ascii="Arial" w:hAnsi="Arial" w:cs="Arial"/>
                <w:lang w:eastAsia="en-AU"/>
              </w:rPr>
              <w:t>55-64</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16.6%</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16.8%</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16.8%</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16.5%</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16.4%</w:t>
            </w:r>
          </w:p>
        </w:tc>
      </w:tr>
      <w:tr w:rsidR="009B075E" w:rsidRPr="00803E93" w:rsidTr="00CF2865">
        <w:trPr>
          <w:trHeight w:val="285"/>
        </w:trPr>
        <w:tc>
          <w:tcPr>
            <w:tcW w:w="4820" w:type="dxa"/>
            <w:tcBorders>
              <w:top w:val="nil"/>
              <w:left w:val="single" w:sz="4" w:space="0" w:color="auto"/>
              <w:bottom w:val="single" w:sz="4" w:space="0" w:color="auto"/>
              <w:right w:val="single" w:sz="4" w:space="0" w:color="auto"/>
            </w:tcBorders>
            <w:vAlign w:val="center"/>
          </w:tcPr>
          <w:p w:rsidR="009B075E" w:rsidRPr="00CF2865" w:rsidRDefault="009B075E" w:rsidP="00CB6EFB">
            <w:pPr>
              <w:spacing w:after="0" w:line="240" w:lineRule="auto"/>
              <w:jc w:val="center"/>
              <w:rPr>
                <w:rFonts w:ascii="Arial" w:hAnsi="Arial" w:cs="Arial"/>
                <w:lang w:eastAsia="en-AU"/>
              </w:rPr>
            </w:pPr>
            <w:r w:rsidRPr="00CF2865">
              <w:rPr>
                <w:rFonts w:ascii="Arial" w:hAnsi="Arial" w:cs="Arial"/>
                <w:lang w:eastAsia="en-AU"/>
              </w:rPr>
              <w:t>65-74</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14.2%</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14.7%</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14.7%</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15.0%</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15.3%</w:t>
            </w:r>
          </w:p>
        </w:tc>
      </w:tr>
      <w:tr w:rsidR="009B075E" w:rsidRPr="00803E93" w:rsidTr="00CF2865">
        <w:trPr>
          <w:trHeight w:val="285"/>
        </w:trPr>
        <w:tc>
          <w:tcPr>
            <w:tcW w:w="4820" w:type="dxa"/>
            <w:tcBorders>
              <w:top w:val="nil"/>
              <w:left w:val="single" w:sz="4" w:space="0" w:color="auto"/>
              <w:bottom w:val="single" w:sz="4" w:space="0" w:color="auto"/>
              <w:right w:val="single" w:sz="4" w:space="0" w:color="auto"/>
            </w:tcBorders>
            <w:noWrap/>
            <w:vAlign w:val="center"/>
          </w:tcPr>
          <w:p w:rsidR="009B075E" w:rsidRPr="00CF2865" w:rsidRDefault="009B075E" w:rsidP="00CB6EFB">
            <w:pPr>
              <w:spacing w:after="0" w:line="240" w:lineRule="auto"/>
              <w:jc w:val="center"/>
              <w:rPr>
                <w:rFonts w:ascii="Arial" w:hAnsi="Arial" w:cs="Arial"/>
                <w:lang w:eastAsia="en-AU"/>
              </w:rPr>
            </w:pPr>
            <w:r w:rsidRPr="00CF2865">
              <w:rPr>
                <w:rFonts w:ascii="Arial" w:hAnsi="Arial" w:cs="Arial"/>
                <w:lang w:eastAsia="en-AU"/>
              </w:rPr>
              <w:t>75+</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11.8%</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12.3%</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12.2%</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12.4%</w:t>
            </w:r>
          </w:p>
        </w:tc>
        <w:tc>
          <w:tcPr>
            <w:tcW w:w="1660" w:type="dxa"/>
            <w:tcBorders>
              <w:top w:val="nil"/>
              <w:left w:val="nil"/>
              <w:bottom w:val="single" w:sz="4" w:space="0" w:color="auto"/>
              <w:right w:val="single" w:sz="4" w:space="0" w:color="auto"/>
            </w:tcBorders>
            <w:noWrap/>
            <w:vAlign w:val="center"/>
          </w:tcPr>
          <w:p w:rsidR="00D43353" w:rsidRPr="00CF2865" w:rsidRDefault="00855AAF" w:rsidP="00CF2865">
            <w:pPr>
              <w:spacing w:before="120" w:after="120"/>
              <w:jc w:val="center"/>
              <w:rPr>
                <w:rFonts w:ascii="Arial" w:hAnsi="Arial" w:cs="Arial"/>
                <w:lang w:eastAsia="en-AU"/>
              </w:rPr>
            </w:pPr>
            <w:r w:rsidRPr="00CF2865">
              <w:rPr>
                <w:rFonts w:ascii="Arial" w:hAnsi="Arial" w:cs="Arial"/>
                <w:lang w:eastAsia="en-AU"/>
              </w:rPr>
              <w:t>12.6%</w:t>
            </w:r>
          </w:p>
        </w:tc>
      </w:tr>
    </w:tbl>
    <w:p w:rsidR="009B075E" w:rsidRDefault="009B075E" w:rsidP="002E4878">
      <w:pPr>
        <w:rPr>
          <w:rFonts w:ascii="Arial" w:hAnsi="Arial" w:cs="Arial"/>
          <w:highlight w:val="yellow"/>
        </w:rPr>
      </w:pPr>
    </w:p>
    <w:p w:rsidR="009B075E" w:rsidRPr="008636E1" w:rsidRDefault="009B075E" w:rsidP="003F577D">
      <w:pPr>
        <w:spacing w:after="0" w:line="240" w:lineRule="auto"/>
        <w:rPr>
          <w:rFonts w:ascii="Arial" w:hAnsi="Arial" w:cs="Arial"/>
        </w:rPr>
      </w:pPr>
      <w:r>
        <w:rPr>
          <w:rFonts w:ascii="Arial" w:hAnsi="Arial" w:cs="Arial"/>
        </w:rPr>
        <w:br w:type="page"/>
      </w:r>
      <w:bookmarkStart w:id="101" w:name="_Ref318377584"/>
      <w:r w:rsidRPr="00560E9F">
        <w:rPr>
          <w:rFonts w:ascii="Arial" w:hAnsi="Arial" w:cs="Arial"/>
          <w:b/>
        </w:rPr>
        <w:lastRenderedPageBreak/>
        <w:t xml:space="preserve">Table </w:t>
      </w:r>
      <w:r w:rsidR="00855AAF" w:rsidRPr="00560E9F">
        <w:rPr>
          <w:rFonts w:ascii="Arial" w:hAnsi="Arial" w:cs="Arial"/>
          <w:b/>
        </w:rPr>
        <w:fldChar w:fldCharType="begin"/>
      </w:r>
      <w:r w:rsidRPr="00560E9F">
        <w:rPr>
          <w:rFonts w:ascii="Arial" w:hAnsi="Arial" w:cs="Arial"/>
          <w:b/>
        </w:rPr>
        <w:instrText xml:space="preserve"> SEQ Table \* ARABIC </w:instrText>
      </w:r>
      <w:r w:rsidR="00855AAF" w:rsidRPr="00560E9F">
        <w:rPr>
          <w:rFonts w:ascii="Arial" w:hAnsi="Arial" w:cs="Arial"/>
          <w:b/>
        </w:rPr>
        <w:fldChar w:fldCharType="separate"/>
      </w:r>
      <w:r w:rsidR="00584343">
        <w:rPr>
          <w:rFonts w:ascii="Arial" w:hAnsi="Arial" w:cs="Arial"/>
          <w:b/>
          <w:noProof/>
        </w:rPr>
        <w:t>13</w:t>
      </w:r>
      <w:r w:rsidR="00855AAF" w:rsidRPr="00560E9F">
        <w:rPr>
          <w:rFonts w:ascii="Arial" w:hAnsi="Arial" w:cs="Arial"/>
          <w:b/>
        </w:rPr>
        <w:fldChar w:fldCharType="end"/>
      </w:r>
      <w:bookmarkEnd w:id="97"/>
      <w:bookmarkEnd w:id="101"/>
      <w:r w:rsidRPr="00560E9F">
        <w:rPr>
          <w:rFonts w:ascii="Arial" w:hAnsi="Arial" w:cs="Arial"/>
          <w:b/>
        </w:rPr>
        <w:t>:</w:t>
      </w:r>
      <w:r w:rsidRPr="008636E1">
        <w:rPr>
          <w:rFonts w:ascii="Arial" w:hAnsi="Arial" w:cs="Arial"/>
        </w:rPr>
        <w:t xml:space="preserve"> </w:t>
      </w:r>
      <w:r w:rsidRPr="00560E9F">
        <w:rPr>
          <w:rFonts w:ascii="Arial" w:hAnsi="Arial" w:cs="Arial"/>
          <w:b/>
        </w:rPr>
        <w:t xml:space="preserve">Trends in Government scripts and expenditure for </w:t>
      </w:r>
      <w:r>
        <w:rPr>
          <w:rFonts w:ascii="Arial" w:hAnsi="Arial" w:cs="Arial"/>
          <w:b/>
        </w:rPr>
        <w:t>S85</w:t>
      </w:r>
      <w:r w:rsidRPr="00560E9F">
        <w:rPr>
          <w:rFonts w:ascii="Arial" w:hAnsi="Arial" w:cs="Arial"/>
          <w:b/>
        </w:rPr>
        <w:t xml:space="preserve"> drugs by age groups</w:t>
      </w:r>
      <w:r w:rsidRPr="00560E9F">
        <w:rPr>
          <w:rFonts w:ascii="Arial" w:hAnsi="Arial" w:cs="Arial"/>
          <w:b/>
        </w:rPr>
        <w:br/>
      </w:r>
    </w:p>
    <w:tbl>
      <w:tblPr>
        <w:tblW w:w="0" w:type="auto"/>
        <w:tblLook w:val="00A0" w:firstRow="1" w:lastRow="0" w:firstColumn="1" w:lastColumn="0" w:noHBand="0" w:noVBand="0"/>
      </w:tblPr>
      <w:tblGrid>
        <w:gridCol w:w="1004"/>
        <w:gridCol w:w="764"/>
        <w:gridCol w:w="605"/>
        <w:gridCol w:w="1037"/>
        <w:gridCol w:w="605"/>
        <w:gridCol w:w="709"/>
        <w:gridCol w:w="605"/>
        <w:gridCol w:w="1037"/>
        <w:gridCol w:w="605"/>
        <w:gridCol w:w="764"/>
        <w:gridCol w:w="605"/>
        <w:gridCol w:w="1037"/>
        <w:gridCol w:w="605"/>
        <w:gridCol w:w="709"/>
        <w:gridCol w:w="605"/>
        <w:gridCol w:w="1037"/>
        <w:gridCol w:w="605"/>
      </w:tblGrid>
      <w:tr w:rsidR="009B075E" w:rsidRPr="00FA7ED5" w:rsidTr="00516656">
        <w:trPr>
          <w:trHeight w:val="255"/>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bookmarkStart w:id="102" w:name="_Ref301528828"/>
            <w:r w:rsidRPr="00FA7ED5">
              <w:rPr>
                <w:rFonts w:ascii="Arial Narrow" w:hAnsi="Arial Narrow" w:cs="Arial"/>
                <w:b/>
                <w:bCs/>
                <w:sz w:val="12"/>
                <w:szCs w:val="12"/>
                <w:lang w:eastAsia="en-AU"/>
              </w:rPr>
              <w:t>Age group</w:t>
            </w:r>
          </w:p>
        </w:tc>
        <w:tc>
          <w:tcPr>
            <w:tcW w:w="0" w:type="auto"/>
            <w:gridSpan w:val="16"/>
            <w:tcBorders>
              <w:top w:val="single" w:sz="4" w:space="0" w:color="auto"/>
              <w:left w:val="nil"/>
              <w:bottom w:val="single" w:sz="4" w:space="0" w:color="auto"/>
              <w:right w:val="single" w:sz="4" w:space="0" w:color="000000"/>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Financial Years</w:t>
            </w:r>
          </w:p>
        </w:tc>
      </w:tr>
      <w:tr w:rsidR="009B075E" w:rsidRPr="00FA7ED5" w:rsidTr="00516656">
        <w:trPr>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p>
        </w:tc>
        <w:tc>
          <w:tcPr>
            <w:tcW w:w="0" w:type="auto"/>
            <w:gridSpan w:val="8"/>
            <w:tcBorders>
              <w:top w:val="single" w:sz="4" w:space="0" w:color="auto"/>
              <w:left w:val="nil"/>
              <w:bottom w:val="single" w:sz="4" w:space="0" w:color="auto"/>
              <w:right w:val="single" w:sz="4" w:space="0" w:color="auto"/>
            </w:tcBorders>
            <w:shd w:val="clear" w:color="000000" w:fill="CCFFFF"/>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2006-07</w:t>
            </w:r>
          </w:p>
        </w:tc>
        <w:tc>
          <w:tcPr>
            <w:tcW w:w="0" w:type="auto"/>
            <w:gridSpan w:val="8"/>
            <w:tcBorders>
              <w:top w:val="single" w:sz="4" w:space="0" w:color="auto"/>
              <w:left w:val="nil"/>
              <w:bottom w:val="single" w:sz="4" w:space="0" w:color="auto"/>
              <w:right w:val="single" w:sz="4" w:space="0" w:color="auto"/>
            </w:tcBorders>
            <w:shd w:val="clear" w:color="000000" w:fill="CCFFFF"/>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2007-08</w:t>
            </w:r>
          </w:p>
        </w:tc>
      </w:tr>
      <w:tr w:rsidR="009B075E" w:rsidRPr="00FA7ED5" w:rsidTr="00516656">
        <w:trPr>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p>
        </w:tc>
        <w:tc>
          <w:tcPr>
            <w:tcW w:w="0" w:type="auto"/>
            <w:gridSpan w:val="4"/>
            <w:tcBorders>
              <w:top w:val="single" w:sz="4" w:space="0" w:color="auto"/>
              <w:left w:val="nil"/>
              <w:bottom w:val="single" w:sz="4" w:space="0" w:color="auto"/>
              <w:right w:val="single" w:sz="4" w:space="0" w:color="auto"/>
            </w:tcBorders>
            <w:shd w:val="clear" w:color="000000" w:fill="CCFFCC"/>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Concessional</w:t>
            </w:r>
          </w:p>
        </w:tc>
        <w:tc>
          <w:tcPr>
            <w:tcW w:w="0" w:type="auto"/>
            <w:gridSpan w:val="4"/>
            <w:tcBorders>
              <w:top w:val="single" w:sz="4" w:space="0" w:color="auto"/>
              <w:left w:val="nil"/>
              <w:bottom w:val="single" w:sz="4" w:space="0" w:color="auto"/>
              <w:right w:val="single" w:sz="4" w:space="0" w:color="auto"/>
            </w:tcBorders>
            <w:shd w:val="clear" w:color="000000" w:fill="00FFFF"/>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General</w:t>
            </w:r>
          </w:p>
        </w:tc>
        <w:tc>
          <w:tcPr>
            <w:tcW w:w="0" w:type="auto"/>
            <w:gridSpan w:val="4"/>
            <w:tcBorders>
              <w:top w:val="single" w:sz="4" w:space="0" w:color="auto"/>
              <w:left w:val="nil"/>
              <w:bottom w:val="single" w:sz="4" w:space="0" w:color="auto"/>
              <w:right w:val="single" w:sz="4" w:space="0" w:color="auto"/>
            </w:tcBorders>
            <w:shd w:val="clear" w:color="000000" w:fill="CCFFCC"/>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Concessional</w:t>
            </w:r>
          </w:p>
        </w:tc>
        <w:tc>
          <w:tcPr>
            <w:tcW w:w="0" w:type="auto"/>
            <w:gridSpan w:val="4"/>
            <w:tcBorders>
              <w:top w:val="single" w:sz="4" w:space="0" w:color="auto"/>
              <w:left w:val="nil"/>
              <w:bottom w:val="single" w:sz="4" w:space="0" w:color="auto"/>
              <w:right w:val="single" w:sz="4" w:space="0" w:color="auto"/>
            </w:tcBorders>
            <w:shd w:val="clear" w:color="000000" w:fill="00FFFF"/>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General</w:t>
            </w:r>
          </w:p>
        </w:tc>
      </w:tr>
      <w:tr w:rsidR="009B075E" w:rsidRPr="00FA7ED5" w:rsidTr="00516656">
        <w:trPr>
          <w:trHeight w:val="255"/>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Scripts</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Expenditure</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Scripts</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Expenditure</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Scripts</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Expenditure</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Scripts</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Expenditure</w:t>
            </w:r>
          </w:p>
        </w:tc>
      </w:tr>
      <w:tr w:rsidR="009B075E" w:rsidRPr="00FA7ED5" w:rsidTr="00516656">
        <w:trPr>
          <w:trHeight w:val="300"/>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Numbers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Numbers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Numbers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Numbers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r>
      <w:tr w:rsidR="009B075E" w:rsidRPr="00FA7ED5" w:rsidTr="00516656">
        <w:trPr>
          <w:trHeight w:val="25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 to 17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4,535,528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3.16%</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$87,094,841.52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1.98%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572,272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2.33%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$29,066,712.36</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2.73%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4,586,978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3.12%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$98,360,675.48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673,344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2.79%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$37,032,456.19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3.05%</w:t>
            </w:r>
          </w:p>
        </w:tc>
      </w:tr>
      <w:tr w:rsidR="009B075E" w:rsidRPr="00FA7ED5" w:rsidTr="00516656">
        <w:trPr>
          <w:trHeight w:val="25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18 to 24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2,213,604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$69,367,246.61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587,812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2.39%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$33,625,433.17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3.16%</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2,020,089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1.38%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$66,069,920.28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598,438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2.48%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$39,338,628.74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3.24%</w:t>
            </w:r>
          </w:p>
        </w:tc>
      </w:tr>
      <w:tr w:rsidR="009B075E" w:rsidRPr="00FA7ED5" w:rsidTr="00516656">
        <w:trPr>
          <w:trHeight w:val="25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 to 34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4,220,004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2.94%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$156,296,974.74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3.55%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1,535,234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6.25%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$88,186,119.94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8.29%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3,992,620</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2.72%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$154,766,909.31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1,498,109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6.20%</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$100,900,493.84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8.32%</w:t>
            </w:r>
          </w:p>
        </w:tc>
      </w:tr>
      <w:tr w:rsidR="009B075E" w:rsidRPr="00FA7ED5" w:rsidTr="00516656">
        <w:trPr>
          <w:trHeight w:val="25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35 to 44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7,349,709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5.12%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$262,291,698.55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5.96%</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3,062,421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12.46%</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$158,554,675.65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14.90%</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7,143,029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4.87%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$267,992,626.60</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5.70%</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2,953,451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12.22%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$180,925,307.24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14.92%</w:t>
            </w:r>
          </w:p>
        </w:tc>
      </w:tr>
      <w:tr w:rsidR="009B075E" w:rsidRPr="00FA7ED5" w:rsidTr="00516656">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 to 54 years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11,166,146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7.78%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$383,024,225.94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8.70%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6,701,369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27.26%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$284,098,083.53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26.69%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11,078,235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7.55%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$399,672,579.24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8.51%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6,327,961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26.19%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$317,486,988.43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26.17%</w:t>
            </w:r>
          </w:p>
        </w:tc>
      </w:tr>
      <w:tr w:rsidR="009B075E" w:rsidRPr="00FA7ED5" w:rsidTr="00516656">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55 to 64 years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23,174,165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16.14%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$750,490,465.53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17.05%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8,939,593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36.37%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$343,723,722.08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32.29%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23,455,494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15.98%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$789,745,487.69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16.81%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8,757,505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36.25%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$385,727,111.18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31.80%</w:t>
            </w:r>
          </w:p>
        </w:tc>
      </w:tr>
      <w:tr w:rsidR="009B075E" w:rsidRPr="00FA7ED5" w:rsidTr="00516656">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65 to 74 years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42,307,131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29.46%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$1,320,312,629.20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1,829,838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7.44%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$75,819,498.82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7.12%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43,964,133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29.95%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$1,423,125,322.40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30.28%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1,938,016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8.02%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$89,013,688.76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7.34%</w:t>
            </w:r>
          </w:p>
        </w:tc>
      </w:tr>
      <w:tr w:rsidR="009B075E" w:rsidRPr="00FA7ED5" w:rsidTr="00516656">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75 years and over</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47,076,030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32.78%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$1,327,357,045.10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30.16%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1,092,659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4.44%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$40,069,543.43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3.76%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49,693,592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33.85%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$1,474,336,416.00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31.37%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1,242,506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5.14%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$54,390,986.03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4.48%</w:t>
            </w:r>
          </w:p>
        </w:tc>
      </w:tr>
      <w:tr w:rsidR="009B075E" w:rsidRPr="00FA7ED5" w:rsidTr="00516656">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Age unknown</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1,550,749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$45,118,895.67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260,893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$11,259,518.00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864,877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0.59%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$25,149,738.80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0.54%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171,464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0.71%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$8,135,638.31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0.67%</w:t>
            </w:r>
          </w:p>
        </w:tc>
      </w:tr>
      <w:tr w:rsidR="009B075E" w:rsidRPr="00FA7ED5" w:rsidTr="00516656">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Total</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143,593,066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$4,401,354,022.90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24,582,091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$1,064,403,307.00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146,799,047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$4,699,219,675.80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24,160,794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$1,212,951,298.70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r>
    </w:tbl>
    <w:p w:rsidR="009B075E" w:rsidRPr="008636E1" w:rsidRDefault="009B075E">
      <w:pPr>
        <w:spacing w:after="0" w:line="240" w:lineRule="auto"/>
        <w:rPr>
          <w:rFonts w:ascii="Arial" w:hAnsi="Arial" w:cs="Arial"/>
          <w:sz w:val="16"/>
          <w:szCs w:val="16"/>
        </w:rPr>
      </w:pPr>
    </w:p>
    <w:tbl>
      <w:tblPr>
        <w:tblW w:w="0" w:type="auto"/>
        <w:tblLook w:val="00A0" w:firstRow="1" w:lastRow="0" w:firstColumn="1" w:lastColumn="0" w:noHBand="0" w:noVBand="0"/>
      </w:tblPr>
      <w:tblGrid>
        <w:gridCol w:w="1004"/>
        <w:gridCol w:w="764"/>
        <w:gridCol w:w="605"/>
        <w:gridCol w:w="1037"/>
        <w:gridCol w:w="605"/>
        <w:gridCol w:w="709"/>
        <w:gridCol w:w="605"/>
        <w:gridCol w:w="1037"/>
        <w:gridCol w:w="605"/>
        <w:gridCol w:w="764"/>
        <w:gridCol w:w="605"/>
        <w:gridCol w:w="1037"/>
        <w:gridCol w:w="605"/>
        <w:gridCol w:w="709"/>
        <w:gridCol w:w="605"/>
        <w:gridCol w:w="1037"/>
        <w:gridCol w:w="605"/>
      </w:tblGrid>
      <w:tr w:rsidR="009B075E" w:rsidRPr="00FA7ED5" w:rsidTr="00FA7ED5">
        <w:trPr>
          <w:trHeight w:val="285"/>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Age group</w:t>
            </w:r>
          </w:p>
        </w:tc>
        <w:tc>
          <w:tcPr>
            <w:tcW w:w="0" w:type="auto"/>
            <w:gridSpan w:val="16"/>
            <w:tcBorders>
              <w:top w:val="single" w:sz="4" w:space="0" w:color="auto"/>
              <w:left w:val="nil"/>
              <w:bottom w:val="single" w:sz="4" w:space="0" w:color="auto"/>
              <w:right w:val="single" w:sz="4" w:space="0" w:color="000000"/>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Financial Years</w:t>
            </w:r>
          </w:p>
        </w:tc>
      </w:tr>
      <w:tr w:rsidR="009B075E" w:rsidRPr="00FA7ED5" w:rsidTr="00FA7ED5">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p>
        </w:tc>
        <w:tc>
          <w:tcPr>
            <w:tcW w:w="0" w:type="auto"/>
            <w:gridSpan w:val="8"/>
            <w:tcBorders>
              <w:top w:val="single" w:sz="4" w:space="0" w:color="auto"/>
              <w:left w:val="nil"/>
              <w:bottom w:val="single" w:sz="4" w:space="0" w:color="auto"/>
              <w:right w:val="single" w:sz="4" w:space="0" w:color="auto"/>
            </w:tcBorders>
            <w:shd w:val="clear" w:color="000000" w:fill="CCFFFF"/>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2008-09</w:t>
            </w:r>
          </w:p>
        </w:tc>
        <w:tc>
          <w:tcPr>
            <w:tcW w:w="0" w:type="auto"/>
            <w:gridSpan w:val="8"/>
            <w:tcBorders>
              <w:top w:val="single" w:sz="4" w:space="0" w:color="auto"/>
              <w:left w:val="nil"/>
              <w:bottom w:val="single" w:sz="4" w:space="0" w:color="auto"/>
              <w:right w:val="single" w:sz="4" w:space="0" w:color="auto"/>
            </w:tcBorders>
            <w:shd w:val="clear" w:color="000000" w:fill="CCFFFF"/>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2009-10</w:t>
            </w:r>
          </w:p>
        </w:tc>
      </w:tr>
      <w:tr w:rsidR="009B075E" w:rsidRPr="00FA7ED5" w:rsidTr="00FA7ED5">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p>
        </w:tc>
        <w:tc>
          <w:tcPr>
            <w:tcW w:w="0" w:type="auto"/>
            <w:gridSpan w:val="4"/>
            <w:tcBorders>
              <w:top w:val="single" w:sz="4" w:space="0" w:color="auto"/>
              <w:left w:val="nil"/>
              <w:bottom w:val="single" w:sz="4" w:space="0" w:color="auto"/>
              <w:right w:val="single" w:sz="4" w:space="0" w:color="auto"/>
            </w:tcBorders>
            <w:shd w:val="clear" w:color="000000" w:fill="CCFFCC"/>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Concessional</w:t>
            </w:r>
          </w:p>
        </w:tc>
        <w:tc>
          <w:tcPr>
            <w:tcW w:w="0" w:type="auto"/>
            <w:gridSpan w:val="4"/>
            <w:tcBorders>
              <w:top w:val="single" w:sz="4" w:space="0" w:color="auto"/>
              <w:left w:val="nil"/>
              <w:bottom w:val="single" w:sz="4" w:space="0" w:color="auto"/>
              <w:right w:val="single" w:sz="4" w:space="0" w:color="auto"/>
            </w:tcBorders>
            <w:shd w:val="clear" w:color="000000" w:fill="00FFFF"/>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General</w:t>
            </w:r>
          </w:p>
        </w:tc>
        <w:tc>
          <w:tcPr>
            <w:tcW w:w="0" w:type="auto"/>
            <w:gridSpan w:val="4"/>
            <w:tcBorders>
              <w:top w:val="single" w:sz="4" w:space="0" w:color="auto"/>
              <w:left w:val="nil"/>
              <w:bottom w:val="single" w:sz="4" w:space="0" w:color="auto"/>
              <w:right w:val="single" w:sz="4" w:space="0" w:color="auto"/>
            </w:tcBorders>
            <w:shd w:val="clear" w:color="000000" w:fill="CCFFCC"/>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Concessional</w:t>
            </w:r>
          </w:p>
        </w:tc>
        <w:tc>
          <w:tcPr>
            <w:tcW w:w="0" w:type="auto"/>
            <w:gridSpan w:val="4"/>
            <w:tcBorders>
              <w:top w:val="single" w:sz="4" w:space="0" w:color="auto"/>
              <w:left w:val="nil"/>
              <w:bottom w:val="single" w:sz="4" w:space="0" w:color="auto"/>
              <w:right w:val="single" w:sz="4" w:space="0" w:color="auto"/>
            </w:tcBorders>
            <w:shd w:val="clear" w:color="000000" w:fill="00FFFF"/>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General</w:t>
            </w:r>
          </w:p>
        </w:tc>
      </w:tr>
      <w:tr w:rsidR="009B075E" w:rsidRPr="00FA7ED5" w:rsidTr="00FA7ED5">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Scripts</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Expenditure</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Scripts</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Expenditure</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Scripts</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Expenditure</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Scripts</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Expenditure</w:t>
            </w:r>
          </w:p>
        </w:tc>
      </w:tr>
      <w:tr w:rsidR="009B075E" w:rsidRPr="00FA7ED5" w:rsidTr="00FA7ED5">
        <w:trPr>
          <w:trHeight w:val="300"/>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Numbers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Numbers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Numbers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Numbers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r>
      <w:tr w:rsidR="009B075E" w:rsidRPr="00FA7ED5" w:rsidTr="00FA7ED5">
        <w:trPr>
          <w:trHeight w:val="28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 to 17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4,766,875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$106,069,462.54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738,738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2.81%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$40,731,406.44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2.83%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4,702,994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2.98%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$111,146,636.07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750,527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2.89%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$42,347,151.92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2.75%</w:t>
            </w:r>
          </w:p>
        </w:tc>
      </w:tr>
      <w:tr w:rsidR="009B075E" w:rsidRPr="00FA7ED5" w:rsidTr="00FA7ED5">
        <w:trPr>
          <w:trHeight w:val="28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18 to 24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2,093,965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1.35%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$69,811,688.96</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1.36%</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641,633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2.44%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$45,867,276.85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3.19%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2,211,312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1.40%</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$75,834,191.58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1.38%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635,829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2.45%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$46,909,674.18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3.05%</w:t>
            </w:r>
          </w:p>
        </w:tc>
      </w:tr>
      <w:tr w:rsidR="009B075E" w:rsidRPr="00FA7ED5" w:rsidTr="00FA7ED5">
        <w:trPr>
          <w:trHeight w:val="28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 to 34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4,150,939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2.68%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$165,426,273.77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1,588,963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6.04%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$119,528,982.24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8.31%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4,273,441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2.71%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$173,655,294.48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3.17%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1,605,395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6.18%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$126,622,976.53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8.23%</w:t>
            </w:r>
          </w:p>
        </w:tc>
      </w:tr>
      <w:tr w:rsidR="009B075E" w:rsidRPr="00FA7ED5" w:rsidTr="00FA7ED5">
        <w:trPr>
          <w:trHeight w:val="28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35 to 44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7,379,441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4.76%</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$287,185,952.36</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5.60%</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3,117,995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11.84%</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$214,083,598.80</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14.89%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7,493,552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4.76%</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$304,045,879.98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5.55%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3,085,947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11.87%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$226,417,215.98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14.71%</w:t>
            </w:r>
          </w:p>
        </w:tc>
      </w:tr>
      <w:tr w:rsidR="009B075E" w:rsidRPr="00FA7ED5" w:rsidTr="00FA7ED5">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 to 54 years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11,393,460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7.34%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$427,715,027.50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8.34%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6,745,993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25.62%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$374,214,696.26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26.03%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11,528,413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7.32%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$453,934,723.93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8.28%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6,542,548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25.17%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$395,326,594.63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25.69%</w:t>
            </w:r>
          </w:p>
        </w:tc>
      </w:tr>
      <w:tr w:rsidR="009B075E" w:rsidRPr="00FA7ED5" w:rsidTr="00FA7ED5">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55 to 64 years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23,996,472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15.47%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$836,889,949.47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16.33%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9,671,111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36.73%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$460,169,450.51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32.01%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23,662,901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15.02%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$873,944,991.01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15.95%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9,468,785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36.43%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$492,499,276.09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32.01%</w:t>
            </w:r>
          </w:p>
        </w:tc>
      </w:tr>
      <w:tr w:rsidR="009B075E" w:rsidRPr="00FA7ED5" w:rsidTr="00FA7ED5">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65 to 74 years</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46,912,382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30.24%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$1,562,455,515.30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30.48%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2,214,827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8.41%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$107,199,093.42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7.46%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47,760,596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30.31%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$1,671,549,850.60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30.50%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2,261,567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8.70%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$121,176,824.82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7.87%</w:t>
            </w:r>
          </w:p>
        </w:tc>
      </w:tr>
      <w:tr w:rsidR="009B075E" w:rsidRPr="00FA7ED5" w:rsidTr="00FA7ED5">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75 years and over</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53,603,528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34.55%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$1,644,901,766.90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32.09%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1,406,679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5.34%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$66,219,482.38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4.61%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55,122,347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34.98%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$1,790,171,277.10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32.67%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1,452,881</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5.59%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$78,085,118.67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5.07%</w:t>
            </w:r>
          </w:p>
        </w:tc>
      </w:tr>
      <w:tr w:rsidR="009B075E" w:rsidRPr="00FA7ED5" w:rsidTr="00FA7ED5">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Age unknown</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843,656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0.54%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$25,178,613.87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0.49%</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201,474</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0.77%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$9,753,302.65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0.68%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833,452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0.53%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$25,828,097.65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0.47%</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186,706</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0.72%</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$9,396,379.50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0.61%</w:t>
            </w:r>
          </w:p>
        </w:tc>
      </w:tr>
      <w:tr w:rsidR="009B075E" w:rsidRPr="00FA7ED5" w:rsidTr="00FA7ED5">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Total</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155,140,718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$5,125,634,250.60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26,327,413</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$1,437,767,289.50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157,589,008</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$5,480,110,942.40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25,990,185</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$1,538,781,212.30</w:t>
            </w:r>
          </w:p>
        </w:tc>
        <w:tc>
          <w:tcPr>
            <w:tcW w:w="0" w:type="auto"/>
            <w:tcBorders>
              <w:top w:val="nil"/>
              <w:left w:val="nil"/>
              <w:bottom w:val="single" w:sz="4" w:space="0" w:color="auto"/>
              <w:right w:val="single" w:sz="4" w:space="0" w:color="auto"/>
            </w:tcBorders>
            <w:noWrap/>
            <w:vAlign w:val="center"/>
          </w:tcPr>
          <w:p w:rsidR="009B075E" w:rsidRPr="00FA7ED5" w:rsidRDefault="009B075E" w:rsidP="00706DC1">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r>
    </w:tbl>
    <w:p w:rsidR="009B075E" w:rsidRPr="008636E1" w:rsidRDefault="009B075E">
      <w:pPr>
        <w:spacing w:after="0" w:line="240" w:lineRule="auto"/>
        <w:rPr>
          <w:rFonts w:ascii="Arial" w:hAnsi="Arial" w:cs="Arial"/>
        </w:rPr>
      </w:pPr>
    </w:p>
    <w:p w:rsidR="009B075E" w:rsidRPr="008636E1" w:rsidRDefault="009B075E">
      <w:pPr>
        <w:spacing w:after="0" w:line="240" w:lineRule="auto"/>
        <w:rPr>
          <w:rFonts w:ascii="Arial" w:hAnsi="Arial" w:cs="Arial"/>
        </w:rPr>
      </w:pPr>
    </w:p>
    <w:tbl>
      <w:tblPr>
        <w:tblW w:w="0" w:type="auto"/>
        <w:tblInd w:w="93" w:type="dxa"/>
        <w:tblLook w:val="00A0" w:firstRow="1" w:lastRow="0" w:firstColumn="1" w:lastColumn="0" w:noHBand="0" w:noVBand="0"/>
      </w:tblPr>
      <w:tblGrid>
        <w:gridCol w:w="1004"/>
        <w:gridCol w:w="764"/>
        <w:gridCol w:w="605"/>
        <w:gridCol w:w="955"/>
        <w:gridCol w:w="605"/>
        <w:gridCol w:w="709"/>
        <w:gridCol w:w="605"/>
        <w:gridCol w:w="955"/>
        <w:gridCol w:w="605"/>
      </w:tblGrid>
      <w:tr w:rsidR="009B075E" w:rsidRPr="00FA7ED5" w:rsidTr="0037285F">
        <w:trPr>
          <w:trHeight w:val="285"/>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Age group</w:t>
            </w:r>
          </w:p>
        </w:tc>
        <w:tc>
          <w:tcPr>
            <w:tcW w:w="0" w:type="auto"/>
            <w:gridSpan w:val="8"/>
            <w:tcBorders>
              <w:top w:val="single" w:sz="4" w:space="0" w:color="auto"/>
              <w:left w:val="nil"/>
              <w:bottom w:val="single" w:sz="4" w:space="0" w:color="auto"/>
              <w:right w:val="single" w:sz="4" w:space="0" w:color="000000"/>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Financial Years</w:t>
            </w:r>
          </w:p>
        </w:tc>
      </w:tr>
      <w:tr w:rsidR="009B075E" w:rsidRPr="00FA7ED5" w:rsidTr="0037285F">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p>
        </w:tc>
        <w:tc>
          <w:tcPr>
            <w:tcW w:w="0" w:type="auto"/>
            <w:gridSpan w:val="8"/>
            <w:tcBorders>
              <w:top w:val="single" w:sz="4" w:space="0" w:color="auto"/>
              <w:left w:val="nil"/>
              <w:bottom w:val="single" w:sz="4" w:space="0" w:color="auto"/>
              <w:right w:val="single" w:sz="4" w:space="0" w:color="auto"/>
            </w:tcBorders>
            <w:shd w:val="clear" w:color="000000" w:fill="CCFFFF"/>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2010-11</w:t>
            </w:r>
          </w:p>
        </w:tc>
      </w:tr>
      <w:tr w:rsidR="009B075E" w:rsidRPr="00FA7ED5" w:rsidTr="0037285F">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p>
        </w:tc>
        <w:tc>
          <w:tcPr>
            <w:tcW w:w="0" w:type="auto"/>
            <w:gridSpan w:val="4"/>
            <w:tcBorders>
              <w:top w:val="single" w:sz="4" w:space="0" w:color="auto"/>
              <w:left w:val="nil"/>
              <w:bottom w:val="single" w:sz="4" w:space="0" w:color="auto"/>
              <w:right w:val="single" w:sz="4" w:space="0" w:color="auto"/>
            </w:tcBorders>
            <w:shd w:val="clear" w:color="000000" w:fill="CCFFCC"/>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Concessional</w:t>
            </w:r>
          </w:p>
        </w:tc>
        <w:tc>
          <w:tcPr>
            <w:tcW w:w="0" w:type="auto"/>
            <w:gridSpan w:val="4"/>
            <w:tcBorders>
              <w:top w:val="single" w:sz="4" w:space="0" w:color="auto"/>
              <w:left w:val="nil"/>
              <w:bottom w:val="single" w:sz="4" w:space="0" w:color="auto"/>
              <w:right w:val="single" w:sz="4" w:space="0" w:color="auto"/>
            </w:tcBorders>
            <w:shd w:val="clear" w:color="000000" w:fill="00FFFF"/>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General</w:t>
            </w:r>
          </w:p>
        </w:tc>
      </w:tr>
      <w:tr w:rsidR="009B075E" w:rsidRPr="00FA7ED5" w:rsidTr="0037285F">
        <w:trPr>
          <w:trHeight w:val="285"/>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Scripts</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Expenditure</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Scripts</w:t>
            </w:r>
          </w:p>
        </w:tc>
        <w:tc>
          <w:tcPr>
            <w:tcW w:w="0" w:type="auto"/>
            <w:gridSpan w:val="2"/>
            <w:tcBorders>
              <w:top w:val="single" w:sz="4" w:space="0" w:color="auto"/>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Expenditure</w:t>
            </w:r>
          </w:p>
        </w:tc>
      </w:tr>
      <w:tr w:rsidR="009B075E" w:rsidRPr="00FA7ED5" w:rsidTr="0037285F">
        <w:trPr>
          <w:trHeight w:val="300"/>
        </w:trPr>
        <w:tc>
          <w:tcPr>
            <w:tcW w:w="0" w:type="auto"/>
            <w:vMerge/>
            <w:tcBorders>
              <w:top w:val="single" w:sz="4" w:space="0" w:color="auto"/>
              <w:left w:val="single" w:sz="4" w:space="0" w:color="auto"/>
              <w:bottom w:val="single" w:sz="4" w:space="0" w:color="000000"/>
              <w:right w:val="single" w:sz="4" w:space="0" w:color="auto"/>
            </w:tcBorders>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Numbers</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Numbers</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w:t>
            </w:r>
          </w:p>
        </w:tc>
      </w:tr>
      <w:tr w:rsidR="009B075E" w:rsidRPr="00FA7ED5" w:rsidTr="0037285F">
        <w:trPr>
          <w:trHeight w:val="28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 to 17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4,804,767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2.97%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113,853,863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2.00%</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773,992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2.98%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42,214,441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2.60%</w:t>
            </w:r>
          </w:p>
        </w:tc>
      </w:tr>
      <w:tr w:rsidR="009B075E" w:rsidRPr="00FA7ED5" w:rsidTr="0037285F">
        <w:trPr>
          <w:trHeight w:val="28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18 to 24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2,301,737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1.42%</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78,820,729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1.38%</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639,941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2.46%</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48,678,733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3.00%</w:t>
            </w:r>
          </w:p>
        </w:tc>
      </w:tr>
      <w:tr w:rsidR="009B075E" w:rsidRPr="00FA7ED5" w:rsidTr="0037285F">
        <w:trPr>
          <w:trHeight w:val="28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 to 34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4,382,287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2.71%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178,179,271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3.13%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1,610,067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6.20%</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135,788,981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8.36%</w:t>
            </w:r>
          </w:p>
        </w:tc>
      </w:tr>
      <w:tr w:rsidR="009B075E" w:rsidRPr="00FA7ED5" w:rsidTr="0037285F">
        <w:trPr>
          <w:trHeight w:val="285"/>
        </w:trPr>
        <w:tc>
          <w:tcPr>
            <w:tcW w:w="0" w:type="auto"/>
            <w:tcBorders>
              <w:top w:val="nil"/>
              <w:left w:val="single" w:sz="4" w:space="0" w:color="auto"/>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35 to 44 years</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7,618,613</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4.71%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313,212,387</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5.50%</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3,036,645</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11.69%</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238,962,241</w:t>
            </w:r>
          </w:p>
        </w:tc>
        <w:tc>
          <w:tcPr>
            <w:tcW w:w="0" w:type="auto"/>
            <w:tcBorders>
              <w:top w:val="nil"/>
              <w:left w:val="nil"/>
              <w:bottom w:val="single" w:sz="4" w:space="0" w:color="auto"/>
              <w:right w:val="single" w:sz="4" w:space="0" w:color="auto"/>
            </w:tcBorders>
            <w:shd w:val="clear" w:color="000000" w:fill="FFFF00"/>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14.71%</w:t>
            </w:r>
          </w:p>
        </w:tc>
      </w:tr>
      <w:tr w:rsidR="009B075E" w:rsidRPr="00FA7ED5" w:rsidTr="0037285F">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 to 54 years</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11,735,050</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7.25%</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466,764,620</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8.19%</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6,339,636</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24.41%</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411,718,641</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25.34%</w:t>
            </w:r>
          </w:p>
        </w:tc>
      </w:tr>
      <w:tr w:rsidR="009B075E" w:rsidRPr="00FA7ED5" w:rsidTr="0037285F">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55 to 64 years</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23,708,756</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14.65%</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886,918,040</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15.56%</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9,515,303</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36.63%</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520,460,581</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32.03%</w:t>
            </w:r>
          </w:p>
        </w:tc>
      </w:tr>
      <w:tr w:rsidR="009B075E" w:rsidRPr="00FA7ED5" w:rsidTr="0037285F">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65 to 74 years</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48,971,124</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30.26%</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1,731,505,015</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30.39%</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2,441,895</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9.40%</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135,712,100</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8.35%</w:t>
            </w:r>
          </w:p>
        </w:tc>
      </w:tr>
      <w:tr w:rsidR="009B075E" w:rsidRPr="00FA7ED5" w:rsidTr="0037285F">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75 years and over</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57,533,298</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35.55%</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1,905,173,320</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33.43%</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1,449,667</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5.58%</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82,583,246</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5.08%</w:t>
            </w:r>
          </w:p>
        </w:tc>
      </w:tr>
      <w:tr w:rsidR="009B075E" w:rsidRPr="00FA7ED5" w:rsidTr="0037285F">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Age unknown</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773,277</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0.48%</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23,995,289</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0.42%</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168,485</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0.65%</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8,607,306</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0.53%</w:t>
            </w:r>
          </w:p>
        </w:tc>
      </w:tr>
      <w:tr w:rsidR="009B075E" w:rsidRPr="00FA7ED5" w:rsidTr="0037285F">
        <w:trPr>
          <w:trHeight w:val="28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Total</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161,828,909</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5,698,422,533</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25,975,631</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color w:val="000000"/>
                <w:sz w:val="12"/>
                <w:szCs w:val="12"/>
                <w:lang w:eastAsia="en-AU"/>
              </w:rPr>
            </w:pPr>
            <w:r w:rsidRPr="00FA7ED5">
              <w:rPr>
                <w:rFonts w:ascii="Arial Narrow" w:hAnsi="Arial Narrow" w:cs="Arial"/>
                <w:color w:val="000000"/>
                <w:sz w:val="12"/>
                <w:szCs w:val="12"/>
                <w:lang w:eastAsia="en-AU"/>
              </w:rPr>
              <w:t>$  1,624,726,270</w:t>
            </w:r>
          </w:p>
        </w:tc>
        <w:tc>
          <w:tcPr>
            <w:tcW w:w="0" w:type="auto"/>
            <w:tcBorders>
              <w:top w:val="nil"/>
              <w:left w:val="nil"/>
              <w:bottom w:val="single" w:sz="4" w:space="0" w:color="auto"/>
              <w:right w:val="single" w:sz="4" w:space="0" w:color="auto"/>
            </w:tcBorders>
            <w:noWrap/>
            <w:vAlign w:val="center"/>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r>
    </w:tbl>
    <w:p w:rsidR="009B075E" w:rsidRPr="008636E1" w:rsidRDefault="009B075E">
      <w:pPr>
        <w:spacing w:after="0" w:line="240" w:lineRule="auto"/>
        <w:rPr>
          <w:rFonts w:ascii="Arial" w:hAnsi="Arial" w:cs="Arial"/>
        </w:rPr>
      </w:pPr>
    </w:p>
    <w:p w:rsidR="009B075E" w:rsidRPr="0037285F" w:rsidRDefault="009B075E" w:rsidP="00CD48FC">
      <w:pPr>
        <w:pStyle w:val="Caption"/>
        <w:jc w:val="left"/>
        <w:rPr>
          <w:rFonts w:ascii="Arial" w:hAnsi="Arial" w:cs="Arial"/>
          <w:sz w:val="22"/>
          <w:szCs w:val="22"/>
        </w:rPr>
      </w:pPr>
      <w:bookmarkStart w:id="103" w:name="_Ref318377591"/>
      <w:r w:rsidRPr="0037285F">
        <w:rPr>
          <w:rFonts w:ascii="Arial" w:hAnsi="Arial" w:cs="Arial"/>
          <w:sz w:val="22"/>
          <w:szCs w:val="22"/>
        </w:rPr>
        <w:t xml:space="preserve">Table </w:t>
      </w:r>
      <w:r w:rsidR="00855AAF" w:rsidRPr="0037285F">
        <w:rPr>
          <w:rFonts w:ascii="Arial" w:hAnsi="Arial" w:cs="Arial"/>
          <w:sz w:val="22"/>
          <w:szCs w:val="22"/>
        </w:rPr>
        <w:fldChar w:fldCharType="begin"/>
      </w:r>
      <w:r w:rsidRPr="0037285F">
        <w:rPr>
          <w:rFonts w:ascii="Arial" w:hAnsi="Arial" w:cs="Arial"/>
          <w:sz w:val="22"/>
          <w:szCs w:val="22"/>
        </w:rPr>
        <w:instrText xml:space="preserve"> SEQ Table \* ARABIC </w:instrText>
      </w:r>
      <w:r w:rsidR="00855AAF" w:rsidRPr="0037285F">
        <w:rPr>
          <w:rFonts w:ascii="Arial" w:hAnsi="Arial" w:cs="Arial"/>
          <w:sz w:val="22"/>
          <w:szCs w:val="22"/>
        </w:rPr>
        <w:fldChar w:fldCharType="separate"/>
      </w:r>
      <w:r w:rsidR="00584343">
        <w:rPr>
          <w:rFonts w:ascii="Arial" w:hAnsi="Arial" w:cs="Arial"/>
          <w:noProof/>
          <w:sz w:val="22"/>
          <w:szCs w:val="22"/>
        </w:rPr>
        <w:t>14</w:t>
      </w:r>
      <w:r w:rsidR="00855AAF" w:rsidRPr="0037285F">
        <w:rPr>
          <w:rFonts w:ascii="Arial" w:hAnsi="Arial" w:cs="Arial"/>
          <w:sz w:val="22"/>
          <w:szCs w:val="22"/>
        </w:rPr>
        <w:fldChar w:fldCharType="end"/>
      </w:r>
      <w:bookmarkEnd w:id="102"/>
      <w:bookmarkEnd w:id="103"/>
      <w:r w:rsidRPr="0037285F">
        <w:rPr>
          <w:rFonts w:ascii="Arial" w:hAnsi="Arial" w:cs="Arial"/>
          <w:sz w:val="22"/>
          <w:szCs w:val="22"/>
        </w:rPr>
        <w:t xml:space="preserve">: Contribution to total growth in Government expenditure on </w:t>
      </w:r>
      <w:r>
        <w:rPr>
          <w:rFonts w:ascii="Arial" w:hAnsi="Arial" w:cs="Arial"/>
          <w:sz w:val="22"/>
          <w:szCs w:val="22"/>
        </w:rPr>
        <w:t>S85</w:t>
      </w:r>
      <w:r w:rsidRPr="0037285F">
        <w:rPr>
          <w:rFonts w:ascii="Arial" w:hAnsi="Arial" w:cs="Arial"/>
          <w:sz w:val="22"/>
          <w:szCs w:val="22"/>
        </w:rPr>
        <w:t xml:space="preserve"> drugs by age groups</w:t>
      </w:r>
    </w:p>
    <w:tbl>
      <w:tblPr>
        <w:tblW w:w="0" w:type="auto"/>
        <w:tblLook w:val="00A0" w:firstRow="1" w:lastRow="0" w:firstColumn="1" w:lastColumn="0" w:noHBand="0" w:noVBand="0"/>
      </w:tblPr>
      <w:tblGrid>
        <w:gridCol w:w="1004"/>
        <w:gridCol w:w="933"/>
        <w:gridCol w:w="627"/>
        <w:gridCol w:w="824"/>
        <w:gridCol w:w="627"/>
        <w:gridCol w:w="818"/>
        <w:gridCol w:w="627"/>
        <w:gridCol w:w="791"/>
        <w:gridCol w:w="627"/>
        <w:gridCol w:w="818"/>
        <w:gridCol w:w="627"/>
        <w:gridCol w:w="1043"/>
        <w:gridCol w:w="627"/>
        <w:gridCol w:w="851"/>
        <w:gridCol w:w="627"/>
        <w:gridCol w:w="1043"/>
        <w:gridCol w:w="627"/>
      </w:tblGrid>
      <w:tr w:rsidR="009B075E" w:rsidRPr="00FA7ED5" w:rsidTr="00FA7ED5">
        <w:trPr>
          <w:trHeight w:val="255"/>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9B075E" w:rsidRPr="00FA7ED5" w:rsidRDefault="009B075E" w:rsidP="0037285F">
            <w:pPr>
              <w:spacing w:after="0" w:line="240" w:lineRule="auto"/>
              <w:jc w:val="center"/>
              <w:rPr>
                <w:rFonts w:ascii="Arial Narrow" w:hAnsi="Arial Narrow" w:cs="Arial"/>
                <w:b/>
                <w:bCs/>
                <w:sz w:val="12"/>
                <w:szCs w:val="12"/>
                <w:lang w:eastAsia="en-AU"/>
              </w:rPr>
            </w:pPr>
            <w:r w:rsidRPr="00FA7ED5">
              <w:rPr>
                <w:rFonts w:ascii="Arial Narrow" w:hAnsi="Arial Narrow" w:cs="Arial"/>
                <w:b/>
                <w:bCs/>
                <w:sz w:val="12"/>
                <w:szCs w:val="12"/>
                <w:lang w:eastAsia="en-AU"/>
              </w:rPr>
              <w:t>Age group</w:t>
            </w:r>
          </w:p>
        </w:tc>
        <w:tc>
          <w:tcPr>
            <w:tcW w:w="0" w:type="auto"/>
            <w:gridSpan w:val="4"/>
            <w:tcBorders>
              <w:top w:val="single" w:sz="8" w:space="0" w:color="auto"/>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2006-07 to 2007-08</w:t>
            </w:r>
          </w:p>
        </w:tc>
        <w:tc>
          <w:tcPr>
            <w:tcW w:w="0" w:type="auto"/>
            <w:gridSpan w:val="4"/>
            <w:tcBorders>
              <w:top w:val="single" w:sz="8" w:space="0" w:color="auto"/>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2007-08 to 2008-09</w:t>
            </w:r>
          </w:p>
        </w:tc>
        <w:tc>
          <w:tcPr>
            <w:tcW w:w="0" w:type="auto"/>
            <w:gridSpan w:val="4"/>
            <w:tcBorders>
              <w:top w:val="single" w:sz="8" w:space="0" w:color="auto"/>
              <w:left w:val="nil"/>
              <w:bottom w:val="single" w:sz="4" w:space="0" w:color="auto"/>
              <w:right w:val="single" w:sz="8" w:space="0" w:color="000000"/>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2008-09 to 2009-10</w:t>
            </w:r>
          </w:p>
        </w:tc>
        <w:tc>
          <w:tcPr>
            <w:tcW w:w="0" w:type="auto"/>
            <w:gridSpan w:val="4"/>
            <w:tcBorders>
              <w:top w:val="single" w:sz="8" w:space="0" w:color="auto"/>
              <w:left w:val="single" w:sz="4" w:space="0" w:color="auto"/>
              <w:bottom w:val="single" w:sz="4" w:space="0" w:color="auto"/>
              <w:right w:val="single" w:sz="8" w:space="0" w:color="000000"/>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2009-10 to 2010-11</w:t>
            </w:r>
          </w:p>
        </w:tc>
      </w:tr>
      <w:tr w:rsidR="009B075E" w:rsidRPr="00FA7ED5" w:rsidTr="00FA7ED5">
        <w:trPr>
          <w:trHeight w:val="255"/>
        </w:trPr>
        <w:tc>
          <w:tcPr>
            <w:tcW w:w="0" w:type="auto"/>
            <w:vMerge/>
            <w:tcBorders>
              <w:top w:val="single" w:sz="8" w:space="0" w:color="auto"/>
              <w:left w:val="single" w:sz="8" w:space="0" w:color="auto"/>
              <w:bottom w:val="single" w:sz="4" w:space="0" w:color="000000"/>
              <w:right w:val="single" w:sz="4" w:space="0" w:color="auto"/>
            </w:tcBorders>
            <w:vAlign w:val="center"/>
          </w:tcPr>
          <w:p w:rsidR="009B075E" w:rsidRPr="00FA7ED5" w:rsidRDefault="009B075E" w:rsidP="0037285F">
            <w:pPr>
              <w:spacing w:after="0" w:line="240" w:lineRule="auto"/>
              <w:rPr>
                <w:rFonts w:ascii="Arial Narrow" w:hAnsi="Arial Narrow" w:cs="Arial"/>
                <w:b/>
                <w:bCs/>
                <w:sz w:val="12"/>
                <w:szCs w:val="12"/>
                <w:lang w:eastAsia="en-AU"/>
              </w:rPr>
            </w:pP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growth</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contrib</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 growth</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contrib</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growth</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contrib</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 growth</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contrib</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growth</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contrib</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 growth</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contrib</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growth</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contrib</w:t>
            </w:r>
          </w:p>
        </w:tc>
        <w:tc>
          <w:tcPr>
            <w:tcW w:w="0" w:type="auto"/>
            <w:tcBorders>
              <w:top w:val="nil"/>
              <w:left w:val="nil"/>
              <w:bottom w:val="single" w:sz="4" w:space="0" w:color="auto"/>
              <w:right w:val="single" w:sz="4"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 growth</w:t>
            </w:r>
          </w:p>
        </w:tc>
        <w:tc>
          <w:tcPr>
            <w:tcW w:w="0" w:type="auto"/>
            <w:tcBorders>
              <w:top w:val="nil"/>
              <w:left w:val="nil"/>
              <w:bottom w:val="single" w:sz="4" w:space="0" w:color="auto"/>
              <w:right w:val="single" w:sz="8" w:space="0" w:color="auto"/>
            </w:tcBorders>
            <w:noWrap/>
            <w:vAlign w:val="bottom"/>
          </w:tcPr>
          <w:p w:rsidR="009B075E" w:rsidRPr="00FA7ED5" w:rsidRDefault="009B075E" w:rsidP="0037285F">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contrib</w:t>
            </w:r>
          </w:p>
        </w:tc>
      </w:tr>
      <w:tr w:rsidR="009B075E" w:rsidRPr="00FA7ED5" w:rsidTr="00FA7ED5">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 to 17 years</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19,231,578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4.31%</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152,522</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5.48%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11,407,737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1.75%</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245,291</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2.33%</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6,692,919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1.47%</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                  52,092</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-2.47%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2,574,516</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0.85%</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125,238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2.96%</w:t>
            </w:r>
          </w:p>
        </w:tc>
      </w:tr>
      <w:tr w:rsidR="009B075E" w:rsidRPr="00FA7ED5" w:rsidTr="00FA7ED5">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18 to 24 years</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2,415,869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0.54%</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        182,889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-6.57%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10,270,417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1.58%</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117,071</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1.11%</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7,064,900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1.55%</w:t>
            </w:r>
          </w:p>
        </w:tc>
        <w:tc>
          <w:tcPr>
            <w:tcW w:w="0" w:type="auto"/>
            <w:tcBorders>
              <w:top w:val="nil"/>
              <w:left w:val="nil"/>
              <w:bottom w:val="single" w:sz="4" w:space="0" w:color="auto"/>
              <w:right w:val="single" w:sz="4" w:space="0" w:color="auto"/>
            </w:tcBorders>
            <w:noWrap/>
            <w:vAlign w:val="bottom"/>
          </w:tcPr>
          <w:p w:rsidR="009B075E" w:rsidRPr="00FA7ED5" w:rsidRDefault="00CB6EFB" w:rsidP="00CB6EFB">
            <w:pPr>
              <w:spacing w:after="0" w:line="240" w:lineRule="auto"/>
              <w:jc w:val="right"/>
              <w:rPr>
                <w:rFonts w:ascii="Arial Narrow" w:hAnsi="Arial Narrow" w:cs="Arial"/>
                <w:sz w:val="12"/>
                <w:szCs w:val="12"/>
                <w:lang w:eastAsia="en-AU"/>
              </w:rPr>
            </w:pPr>
            <w:r>
              <w:rPr>
                <w:rFonts w:ascii="Arial Narrow" w:hAnsi="Arial Narrow" w:cs="Arial"/>
                <w:sz w:val="12"/>
                <w:szCs w:val="12"/>
                <w:lang w:eastAsia="en-AU"/>
              </w:rPr>
              <w:t xml:space="preserve">                 </w:t>
            </w:r>
            <w:r w:rsidR="009B075E" w:rsidRPr="00FA7ED5">
              <w:rPr>
                <w:rFonts w:ascii="Arial Narrow" w:hAnsi="Arial Narrow" w:cs="Arial"/>
                <w:sz w:val="12"/>
                <w:szCs w:val="12"/>
                <w:lang w:eastAsia="en-AU"/>
              </w:rPr>
              <w:t>111,543</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5.28%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4,755,597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1.56%</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94,537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2.24%</w:t>
            </w:r>
          </w:p>
        </w:tc>
      </w:tr>
      <w:tr w:rsidR="009B075E" w:rsidRPr="00FA7ED5" w:rsidTr="00FA7ED5">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 to 34 years</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11,184,308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2.51%</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        264,509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-9.50%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29,287,853</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4.50%</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249,173</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2.37%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15,323,015</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3.36%</w:t>
            </w:r>
          </w:p>
        </w:tc>
        <w:tc>
          <w:tcPr>
            <w:tcW w:w="0" w:type="auto"/>
            <w:tcBorders>
              <w:top w:val="nil"/>
              <w:left w:val="nil"/>
              <w:bottom w:val="single" w:sz="4" w:space="0" w:color="auto"/>
              <w:right w:val="single" w:sz="4" w:space="0" w:color="auto"/>
            </w:tcBorders>
            <w:noWrap/>
            <w:vAlign w:val="bottom"/>
          </w:tcPr>
          <w:p w:rsidR="009B075E" w:rsidRPr="00FA7ED5" w:rsidRDefault="00CB6EFB" w:rsidP="00CB6EFB">
            <w:pPr>
              <w:spacing w:after="0" w:line="240" w:lineRule="auto"/>
              <w:jc w:val="right"/>
              <w:rPr>
                <w:rFonts w:ascii="Arial Narrow" w:hAnsi="Arial Narrow" w:cs="Arial"/>
                <w:sz w:val="12"/>
                <w:szCs w:val="12"/>
                <w:lang w:eastAsia="en-AU"/>
              </w:rPr>
            </w:pPr>
            <w:r>
              <w:rPr>
                <w:rFonts w:ascii="Arial Narrow" w:hAnsi="Arial Narrow" w:cs="Arial"/>
                <w:sz w:val="12"/>
                <w:szCs w:val="12"/>
                <w:lang w:eastAsia="en-AU"/>
              </w:rPr>
              <w:t xml:space="preserve">               </w:t>
            </w:r>
            <w:r w:rsidR="009B075E" w:rsidRPr="00FA7ED5">
              <w:rPr>
                <w:rFonts w:ascii="Arial Narrow" w:hAnsi="Arial Narrow" w:cs="Arial"/>
                <w:sz w:val="12"/>
                <w:szCs w:val="12"/>
                <w:lang w:eastAsia="en-AU"/>
              </w:rPr>
              <w:t>138,934</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6.58%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13,689,980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4.50%</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113,518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2.69%</w:t>
            </w:r>
          </w:p>
        </w:tc>
      </w:tr>
      <w:tr w:rsidR="009B075E" w:rsidRPr="00FA7ED5" w:rsidTr="00FA7ED5">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35 to 44 years</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28,071,560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6.29%</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        315,650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-11.34%</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52,351,617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8.04%</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400,956</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3.82%</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29,193,545</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6.41%</w:t>
            </w:r>
          </w:p>
        </w:tc>
        <w:tc>
          <w:tcPr>
            <w:tcW w:w="0" w:type="auto"/>
            <w:tcBorders>
              <w:top w:val="nil"/>
              <w:left w:val="nil"/>
              <w:bottom w:val="single" w:sz="4" w:space="0" w:color="auto"/>
              <w:right w:val="single" w:sz="4" w:space="0" w:color="auto"/>
            </w:tcBorders>
            <w:noWrap/>
            <w:vAlign w:val="bottom"/>
          </w:tcPr>
          <w:p w:rsidR="009B075E" w:rsidRPr="00FA7ED5" w:rsidRDefault="00CB6EFB" w:rsidP="00CB6EFB">
            <w:pPr>
              <w:spacing w:after="0" w:line="240" w:lineRule="auto"/>
              <w:jc w:val="right"/>
              <w:rPr>
                <w:rFonts w:ascii="Arial Narrow" w:hAnsi="Arial Narrow" w:cs="Arial"/>
                <w:sz w:val="12"/>
                <w:szCs w:val="12"/>
                <w:lang w:eastAsia="en-AU"/>
              </w:rPr>
            </w:pPr>
            <w:r>
              <w:rPr>
                <w:rFonts w:ascii="Arial Narrow" w:hAnsi="Arial Narrow" w:cs="Arial"/>
                <w:sz w:val="12"/>
                <w:szCs w:val="12"/>
                <w:lang w:eastAsia="en-AU"/>
              </w:rPr>
              <w:t xml:space="preserve">                 </w:t>
            </w:r>
            <w:r w:rsidR="009B075E" w:rsidRPr="00FA7ED5">
              <w:rPr>
                <w:rFonts w:ascii="Arial Narrow" w:hAnsi="Arial Narrow" w:cs="Arial"/>
                <w:sz w:val="12"/>
                <w:szCs w:val="12"/>
                <w:lang w:eastAsia="en-AU"/>
              </w:rPr>
              <w:t>82,063</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3.89%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21,711,531</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7.14%</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75,759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1.79%</w:t>
            </w:r>
          </w:p>
        </w:tc>
      </w:tr>
      <w:tr w:rsidR="009B075E" w:rsidRPr="00FA7ED5" w:rsidTr="00FA7ED5">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 to 54 years</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50,037,258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11.21%</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        461,319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-16.57%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84,770,156</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13.02%</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733,257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6.98%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47,331,595</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10.39%</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                  68,492</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-3.24%</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29,221,943</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9.60%</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3,725</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0.09%</w:t>
            </w:r>
          </w:p>
        </w:tc>
      </w:tr>
      <w:tr w:rsidR="009B075E" w:rsidRPr="00FA7ED5" w:rsidTr="00FA7ED5">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55 to 64 years</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81,258,411</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18.20%</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99,241</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3.56%</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$121,586,801</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18.67%</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1,454,584</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13.84%</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69,384,867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15.23%</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                535,897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-25.39%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40,934,353</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13.45%</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92,373</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2.19%</w:t>
            </w:r>
          </w:p>
        </w:tc>
      </w:tr>
      <w:tr w:rsidR="009B075E" w:rsidRPr="00FA7ED5" w:rsidTr="00FA7ED5">
        <w:trPr>
          <w:trHeight w:val="300"/>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65 to 74 years</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116,006,883</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25.99%</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1,765,180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63.39%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$157,515,598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24.19%</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3,225,060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30.69%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$123,072,067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27.02%</w:t>
            </w:r>
          </w:p>
        </w:tc>
        <w:tc>
          <w:tcPr>
            <w:tcW w:w="0" w:type="auto"/>
            <w:tcBorders>
              <w:top w:val="nil"/>
              <w:left w:val="nil"/>
              <w:bottom w:val="single" w:sz="4" w:space="0" w:color="auto"/>
              <w:right w:val="single" w:sz="4" w:space="0" w:color="auto"/>
            </w:tcBorders>
            <w:noWrap/>
            <w:vAlign w:val="bottom"/>
          </w:tcPr>
          <w:p w:rsidR="009B075E" w:rsidRPr="00FA7ED5" w:rsidRDefault="00CB6EFB" w:rsidP="00CB6EFB">
            <w:pPr>
              <w:spacing w:after="0" w:line="240" w:lineRule="auto"/>
              <w:jc w:val="right"/>
              <w:rPr>
                <w:rFonts w:ascii="Arial Narrow" w:hAnsi="Arial Narrow" w:cs="Arial"/>
                <w:sz w:val="12"/>
                <w:szCs w:val="12"/>
                <w:lang w:eastAsia="en-AU"/>
              </w:rPr>
            </w:pPr>
            <w:r>
              <w:rPr>
                <w:rFonts w:ascii="Arial Narrow" w:hAnsi="Arial Narrow" w:cs="Arial"/>
                <w:sz w:val="12"/>
                <w:szCs w:val="12"/>
                <w:lang w:eastAsia="en-AU"/>
              </w:rPr>
              <w:t xml:space="preserve">               </w:t>
            </w:r>
            <w:r w:rsidR="009B075E" w:rsidRPr="00FA7ED5">
              <w:rPr>
                <w:rFonts w:ascii="Arial Narrow" w:hAnsi="Arial Narrow" w:cs="Arial"/>
                <w:sz w:val="12"/>
                <w:szCs w:val="12"/>
                <w:lang w:eastAsia="en-AU"/>
              </w:rPr>
              <w:t>894,954</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42.39%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74,490,439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24.48%</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1,390,856</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32.92%</w:t>
            </w:r>
          </w:p>
        </w:tc>
      </w:tr>
      <w:tr w:rsidR="009B075E" w:rsidRPr="00FA7ED5" w:rsidTr="00FA7ED5">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75 years and over</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161,300,814</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36.13%</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2,767,409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99.38%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$182,393,847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28.01%</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4,074,109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38.77%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$157,135,146</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34.50%</w:t>
            </w:r>
          </w:p>
        </w:tc>
        <w:tc>
          <w:tcPr>
            <w:tcW w:w="0" w:type="auto"/>
            <w:tcBorders>
              <w:top w:val="nil"/>
              <w:left w:val="nil"/>
              <w:bottom w:val="single" w:sz="4" w:space="0" w:color="auto"/>
              <w:right w:val="single" w:sz="4" w:space="0" w:color="auto"/>
            </w:tcBorders>
            <w:noWrap/>
            <w:vAlign w:val="bottom"/>
          </w:tcPr>
          <w:p w:rsidR="009B075E" w:rsidRPr="00FA7ED5" w:rsidRDefault="00CB6EFB" w:rsidP="00CB6EFB">
            <w:pPr>
              <w:spacing w:after="0" w:line="240" w:lineRule="auto"/>
              <w:jc w:val="right"/>
              <w:rPr>
                <w:rFonts w:ascii="Arial Narrow" w:hAnsi="Arial Narrow" w:cs="Arial"/>
                <w:sz w:val="12"/>
                <w:szCs w:val="12"/>
                <w:lang w:eastAsia="en-AU"/>
              </w:rPr>
            </w:pPr>
            <w:r>
              <w:rPr>
                <w:rFonts w:ascii="Arial Narrow" w:hAnsi="Arial Narrow" w:cs="Arial"/>
                <w:sz w:val="12"/>
                <w:szCs w:val="12"/>
                <w:lang w:eastAsia="en-AU"/>
              </w:rPr>
              <w:t xml:space="preserve">             </w:t>
            </w:r>
            <w:r w:rsidR="009B075E" w:rsidRPr="00FA7ED5">
              <w:rPr>
                <w:rFonts w:ascii="Arial Narrow" w:hAnsi="Arial Narrow" w:cs="Arial"/>
                <w:sz w:val="12"/>
                <w:szCs w:val="12"/>
                <w:lang w:eastAsia="en-AU"/>
              </w:rPr>
              <w:t>1,565,021</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74.13%</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$119,500,170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39.28%</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2,407,737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56.98%</w:t>
            </w:r>
          </w:p>
        </w:tc>
      </w:tr>
      <w:tr w:rsidR="009B075E" w:rsidRPr="00FA7ED5" w:rsidTr="00FA7ED5">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Age unknown</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23,093,037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-5.17%</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        775,301</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-27.84%</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1,646,539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0.25%</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8,789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0.08%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292,561</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0.06%</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                  24,972</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-1.18%</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2,621,881</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-0.86%</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                  78,396</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-1.86%</w:t>
            </w:r>
          </w:p>
        </w:tc>
      </w:tr>
      <w:tr w:rsidR="009B075E" w:rsidRPr="00FA7ED5" w:rsidTr="00FA7ED5">
        <w:trPr>
          <w:trHeight w:val="255"/>
        </w:trPr>
        <w:tc>
          <w:tcPr>
            <w:tcW w:w="0" w:type="auto"/>
            <w:tcBorders>
              <w:top w:val="nil"/>
              <w:left w:val="single" w:sz="4" w:space="0" w:color="auto"/>
              <w:bottom w:val="single" w:sz="4" w:space="0" w:color="auto"/>
              <w:right w:val="single" w:sz="4" w:space="0" w:color="auto"/>
            </w:tcBorders>
            <w:noWrap/>
            <w:vAlign w:val="center"/>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Total</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446,413,645</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2,784,684</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$651,230,566</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10,508,290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$455,490,615</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bottom"/>
          </w:tcPr>
          <w:p w:rsidR="009B075E" w:rsidRPr="00FA7ED5" w:rsidRDefault="00CB6EFB" w:rsidP="00CB6EFB">
            <w:pPr>
              <w:spacing w:after="0" w:line="240" w:lineRule="auto"/>
              <w:jc w:val="right"/>
              <w:rPr>
                <w:rFonts w:ascii="Arial Narrow" w:hAnsi="Arial Narrow" w:cs="Arial"/>
                <w:sz w:val="12"/>
                <w:szCs w:val="12"/>
                <w:lang w:eastAsia="en-AU"/>
              </w:rPr>
            </w:pPr>
            <w:r>
              <w:rPr>
                <w:rFonts w:ascii="Arial Narrow" w:hAnsi="Arial Narrow" w:cs="Arial"/>
                <w:sz w:val="12"/>
                <w:szCs w:val="12"/>
                <w:lang w:eastAsia="en-AU"/>
              </w:rPr>
              <w:t xml:space="preserve">             </w:t>
            </w:r>
            <w:r w:rsidR="009B075E" w:rsidRPr="00FA7ED5">
              <w:rPr>
                <w:rFonts w:ascii="Arial Narrow" w:hAnsi="Arial Narrow" w:cs="Arial"/>
                <w:sz w:val="12"/>
                <w:szCs w:val="12"/>
                <w:lang w:eastAsia="en-AU"/>
              </w:rPr>
              <w:t>2,111,062</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$304,256,649</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c>
          <w:tcPr>
            <w:tcW w:w="0" w:type="auto"/>
            <w:tcBorders>
              <w:top w:val="nil"/>
              <w:left w:val="nil"/>
              <w:bottom w:val="single" w:sz="4" w:space="0" w:color="auto"/>
              <w:right w:val="single" w:sz="4" w:space="0" w:color="auto"/>
            </w:tcBorders>
            <w:noWrap/>
            <w:vAlign w:val="bottom"/>
          </w:tcPr>
          <w:p w:rsidR="009B075E" w:rsidRPr="00FA7ED5" w:rsidRDefault="009B075E" w:rsidP="00CB6EFB">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4,225,347</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100.00%</w:t>
            </w:r>
          </w:p>
        </w:tc>
      </w:tr>
    </w:tbl>
    <w:p w:rsidR="009B075E" w:rsidRDefault="009B075E" w:rsidP="000C0792">
      <w:pPr>
        <w:jc w:val="center"/>
        <w:rPr>
          <w:rFonts w:ascii="Arial" w:hAnsi="Arial" w:cs="Arial"/>
          <w:highlight w:val="yellow"/>
        </w:rPr>
      </w:pPr>
    </w:p>
    <w:p w:rsidR="009B075E" w:rsidRPr="00DC51D5" w:rsidRDefault="009B075E">
      <w:pPr>
        <w:spacing w:after="0" w:line="240" w:lineRule="auto"/>
        <w:rPr>
          <w:rFonts w:ascii="Arial" w:hAnsi="Arial" w:cs="Arial"/>
          <w:b/>
          <w:bCs/>
          <w:highlight w:val="yellow"/>
        </w:rPr>
      </w:pPr>
    </w:p>
    <w:p w:rsidR="009B075E" w:rsidRPr="00F527AE" w:rsidRDefault="009B075E" w:rsidP="00CD48FC">
      <w:pPr>
        <w:pStyle w:val="Caption"/>
        <w:jc w:val="left"/>
        <w:rPr>
          <w:rFonts w:ascii="Arial" w:hAnsi="Arial" w:cs="Arial"/>
          <w:sz w:val="22"/>
          <w:szCs w:val="22"/>
        </w:rPr>
      </w:pPr>
      <w:bookmarkStart w:id="104" w:name="_Ref301528850"/>
      <w:r w:rsidRPr="00F527AE">
        <w:rPr>
          <w:rFonts w:ascii="Arial" w:hAnsi="Arial" w:cs="Arial"/>
          <w:sz w:val="22"/>
          <w:szCs w:val="22"/>
        </w:rPr>
        <w:lastRenderedPageBreak/>
        <w:t xml:space="preserve">Table </w:t>
      </w:r>
      <w:r w:rsidR="00855AAF" w:rsidRPr="00F527AE">
        <w:rPr>
          <w:rFonts w:ascii="Arial" w:hAnsi="Arial" w:cs="Arial"/>
          <w:sz w:val="22"/>
          <w:szCs w:val="22"/>
        </w:rPr>
        <w:fldChar w:fldCharType="begin"/>
      </w:r>
      <w:r w:rsidRPr="00F527AE">
        <w:rPr>
          <w:rFonts w:ascii="Arial" w:hAnsi="Arial" w:cs="Arial"/>
          <w:sz w:val="22"/>
          <w:szCs w:val="22"/>
        </w:rPr>
        <w:instrText xml:space="preserve"> SEQ Table \* ARABIC </w:instrText>
      </w:r>
      <w:r w:rsidR="00855AAF" w:rsidRPr="00F527AE">
        <w:rPr>
          <w:rFonts w:ascii="Arial" w:hAnsi="Arial" w:cs="Arial"/>
          <w:sz w:val="22"/>
          <w:szCs w:val="22"/>
        </w:rPr>
        <w:fldChar w:fldCharType="separate"/>
      </w:r>
      <w:r w:rsidR="00584343">
        <w:rPr>
          <w:rFonts w:ascii="Arial" w:hAnsi="Arial" w:cs="Arial"/>
          <w:noProof/>
          <w:sz w:val="22"/>
          <w:szCs w:val="22"/>
        </w:rPr>
        <w:t>15</w:t>
      </w:r>
      <w:r w:rsidR="00855AAF" w:rsidRPr="00F527AE">
        <w:rPr>
          <w:rFonts w:ascii="Arial" w:hAnsi="Arial" w:cs="Arial"/>
          <w:sz w:val="22"/>
          <w:szCs w:val="22"/>
        </w:rPr>
        <w:fldChar w:fldCharType="end"/>
      </w:r>
      <w:bookmarkEnd w:id="104"/>
      <w:r w:rsidRPr="00F527AE">
        <w:rPr>
          <w:rFonts w:ascii="Arial" w:hAnsi="Arial" w:cs="Arial"/>
          <w:sz w:val="22"/>
          <w:szCs w:val="22"/>
        </w:rPr>
        <w:t xml:space="preserve">: Trends in Government scripts and expenditure for </w:t>
      </w:r>
      <w:r>
        <w:rPr>
          <w:rFonts w:ascii="Arial" w:hAnsi="Arial" w:cs="Arial"/>
          <w:sz w:val="22"/>
          <w:szCs w:val="22"/>
        </w:rPr>
        <w:t>S85</w:t>
      </w:r>
      <w:r w:rsidRPr="00F527AE">
        <w:rPr>
          <w:rFonts w:ascii="Arial" w:hAnsi="Arial" w:cs="Arial"/>
          <w:sz w:val="22"/>
          <w:szCs w:val="22"/>
        </w:rPr>
        <w:t xml:space="preserve"> drugs by general/concessional status</w:t>
      </w:r>
    </w:p>
    <w:tbl>
      <w:tblPr>
        <w:tblW w:w="15071" w:type="dxa"/>
        <w:tblInd w:w="98" w:type="dxa"/>
        <w:tblLook w:val="00A0" w:firstRow="1" w:lastRow="0" w:firstColumn="1" w:lastColumn="0" w:noHBand="0" w:noVBand="0"/>
      </w:tblPr>
      <w:tblGrid>
        <w:gridCol w:w="1086"/>
        <w:gridCol w:w="983"/>
        <w:gridCol w:w="468"/>
        <w:gridCol w:w="910"/>
        <w:gridCol w:w="468"/>
        <w:gridCol w:w="955"/>
        <w:gridCol w:w="468"/>
        <w:gridCol w:w="873"/>
        <w:gridCol w:w="468"/>
        <w:gridCol w:w="955"/>
        <w:gridCol w:w="468"/>
        <w:gridCol w:w="818"/>
        <w:gridCol w:w="468"/>
        <w:gridCol w:w="1256"/>
        <w:gridCol w:w="468"/>
        <w:gridCol w:w="818"/>
        <w:gridCol w:w="468"/>
        <w:gridCol w:w="1092"/>
        <w:gridCol w:w="468"/>
        <w:gridCol w:w="818"/>
        <w:gridCol w:w="468"/>
      </w:tblGrid>
      <w:tr w:rsidR="009B075E" w:rsidRPr="00FA7ED5" w:rsidTr="00CB6EFB">
        <w:trPr>
          <w:trHeight w:val="255"/>
        </w:trPr>
        <w:tc>
          <w:tcPr>
            <w:tcW w:w="0" w:type="auto"/>
            <w:vMerge w:val="restart"/>
            <w:tcBorders>
              <w:top w:val="single" w:sz="8" w:space="0" w:color="auto"/>
              <w:left w:val="single" w:sz="8" w:space="0" w:color="auto"/>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bookmarkStart w:id="105" w:name="_Ref301528869"/>
            <w:r w:rsidRPr="00FA7ED5">
              <w:rPr>
                <w:rFonts w:ascii="Arial Narrow" w:hAnsi="Arial Narrow" w:cs="Arial"/>
                <w:sz w:val="12"/>
                <w:szCs w:val="12"/>
                <w:lang w:eastAsia="en-AU"/>
              </w:rPr>
              <w:t> </w:t>
            </w:r>
          </w:p>
        </w:tc>
        <w:tc>
          <w:tcPr>
            <w:tcW w:w="2805" w:type="dxa"/>
            <w:gridSpan w:val="4"/>
            <w:tcBorders>
              <w:top w:val="single" w:sz="8" w:space="0" w:color="auto"/>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2006/07</w:t>
            </w:r>
          </w:p>
        </w:tc>
        <w:tc>
          <w:tcPr>
            <w:tcW w:w="0" w:type="auto"/>
            <w:gridSpan w:val="4"/>
            <w:tcBorders>
              <w:top w:val="single" w:sz="8" w:space="0" w:color="auto"/>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2007/08</w:t>
            </w:r>
          </w:p>
        </w:tc>
        <w:tc>
          <w:tcPr>
            <w:tcW w:w="0" w:type="auto"/>
            <w:gridSpan w:val="4"/>
            <w:tcBorders>
              <w:top w:val="single" w:sz="8" w:space="0" w:color="auto"/>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2008/09</w:t>
            </w:r>
          </w:p>
        </w:tc>
        <w:tc>
          <w:tcPr>
            <w:tcW w:w="0" w:type="auto"/>
            <w:gridSpan w:val="4"/>
            <w:tcBorders>
              <w:top w:val="single" w:sz="8" w:space="0" w:color="auto"/>
              <w:left w:val="nil"/>
              <w:bottom w:val="single" w:sz="4" w:space="0" w:color="auto"/>
              <w:right w:val="single" w:sz="4" w:space="0" w:color="auto"/>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2009/10</w:t>
            </w:r>
          </w:p>
        </w:tc>
        <w:tc>
          <w:tcPr>
            <w:tcW w:w="0" w:type="auto"/>
            <w:gridSpan w:val="4"/>
            <w:tcBorders>
              <w:top w:val="single" w:sz="8" w:space="0" w:color="auto"/>
              <w:left w:val="single" w:sz="4" w:space="0" w:color="auto"/>
              <w:bottom w:val="single" w:sz="4" w:space="0" w:color="auto"/>
              <w:right w:val="single" w:sz="8" w:space="0" w:color="000000"/>
            </w:tcBorders>
            <w:noWrap/>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2010/11</w:t>
            </w:r>
          </w:p>
        </w:tc>
      </w:tr>
      <w:tr w:rsidR="00CB6EFB" w:rsidRPr="00FA7ED5" w:rsidTr="00CB6EFB">
        <w:trPr>
          <w:trHeight w:val="255"/>
        </w:trPr>
        <w:tc>
          <w:tcPr>
            <w:tcW w:w="0" w:type="auto"/>
            <w:vMerge/>
            <w:tcBorders>
              <w:top w:val="single" w:sz="8" w:space="0" w:color="auto"/>
              <w:left w:val="single" w:sz="8" w:space="0" w:color="auto"/>
              <w:bottom w:val="single" w:sz="4" w:space="0" w:color="auto"/>
              <w:right w:val="single" w:sz="4" w:space="0" w:color="auto"/>
            </w:tcBorders>
            <w:vAlign w:val="center"/>
          </w:tcPr>
          <w:p w:rsidR="009B075E" w:rsidRPr="00FA7ED5" w:rsidRDefault="009B075E" w:rsidP="000C0792">
            <w:pPr>
              <w:spacing w:after="0" w:line="240" w:lineRule="auto"/>
              <w:rPr>
                <w:rFonts w:ascii="Arial Narrow" w:hAnsi="Arial Narrow" w:cs="Arial"/>
                <w:sz w:val="12"/>
                <w:szCs w:val="12"/>
                <w:lang w:eastAsia="en-AU"/>
              </w:rPr>
            </w:pPr>
          </w:p>
        </w:tc>
        <w:tc>
          <w:tcPr>
            <w:tcW w:w="0" w:type="auto"/>
            <w:gridSpan w:val="2"/>
            <w:tcBorders>
              <w:top w:val="single" w:sz="4" w:space="0" w:color="auto"/>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Expenditure</w:t>
            </w:r>
          </w:p>
        </w:tc>
        <w:tc>
          <w:tcPr>
            <w:tcW w:w="1373" w:type="dxa"/>
            <w:gridSpan w:val="2"/>
            <w:tcBorders>
              <w:top w:val="single" w:sz="4" w:space="0" w:color="auto"/>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Scripts</w:t>
            </w:r>
          </w:p>
        </w:tc>
        <w:tc>
          <w:tcPr>
            <w:tcW w:w="0" w:type="auto"/>
            <w:gridSpan w:val="2"/>
            <w:tcBorders>
              <w:top w:val="single" w:sz="4" w:space="0" w:color="auto"/>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Expenditure</w:t>
            </w:r>
          </w:p>
        </w:tc>
        <w:tc>
          <w:tcPr>
            <w:tcW w:w="0" w:type="auto"/>
            <w:gridSpan w:val="2"/>
            <w:tcBorders>
              <w:top w:val="single" w:sz="4" w:space="0" w:color="auto"/>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Scripts</w:t>
            </w:r>
          </w:p>
        </w:tc>
        <w:tc>
          <w:tcPr>
            <w:tcW w:w="0" w:type="auto"/>
            <w:gridSpan w:val="2"/>
            <w:tcBorders>
              <w:top w:val="single" w:sz="4" w:space="0" w:color="auto"/>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Expenditure</w:t>
            </w:r>
          </w:p>
        </w:tc>
        <w:tc>
          <w:tcPr>
            <w:tcW w:w="0" w:type="auto"/>
            <w:gridSpan w:val="2"/>
            <w:tcBorders>
              <w:top w:val="single" w:sz="4" w:space="0" w:color="auto"/>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Scripts</w:t>
            </w:r>
          </w:p>
        </w:tc>
        <w:tc>
          <w:tcPr>
            <w:tcW w:w="0" w:type="auto"/>
            <w:gridSpan w:val="2"/>
            <w:tcBorders>
              <w:top w:val="single" w:sz="4" w:space="0" w:color="auto"/>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Expenditure</w:t>
            </w:r>
          </w:p>
        </w:tc>
        <w:tc>
          <w:tcPr>
            <w:tcW w:w="0" w:type="auto"/>
            <w:gridSpan w:val="2"/>
            <w:tcBorders>
              <w:top w:val="single" w:sz="4" w:space="0" w:color="auto"/>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Scripts</w:t>
            </w:r>
          </w:p>
        </w:tc>
        <w:tc>
          <w:tcPr>
            <w:tcW w:w="0" w:type="auto"/>
            <w:gridSpan w:val="2"/>
            <w:tcBorders>
              <w:top w:val="single" w:sz="4" w:space="0" w:color="auto"/>
              <w:left w:val="single" w:sz="4" w:space="0" w:color="auto"/>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Expenditure</w:t>
            </w:r>
          </w:p>
        </w:tc>
        <w:tc>
          <w:tcPr>
            <w:tcW w:w="0" w:type="auto"/>
            <w:gridSpan w:val="2"/>
            <w:tcBorders>
              <w:top w:val="single" w:sz="4" w:space="0" w:color="auto"/>
              <w:left w:val="nil"/>
              <w:bottom w:val="single" w:sz="4" w:space="0" w:color="auto"/>
              <w:right w:val="single" w:sz="8" w:space="0" w:color="000000"/>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Scripts</w:t>
            </w:r>
          </w:p>
        </w:tc>
      </w:tr>
      <w:tr w:rsidR="00CB6EFB" w:rsidRPr="00FA7ED5" w:rsidTr="00CB6EFB">
        <w:trPr>
          <w:trHeight w:val="255"/>
        </w:trPr>
        <w:tc>
          <w:tcPr>
            <w:tcW w:w="0" w:type="auto"/>
            <w:vMerge/>
            <w:tcBorders>
              <w:top w:val="single" w:sz="8" w:space="0" w:color="auto"/>
              <w:left w:val="single" w:sz="8" w:space="0" w:color="auto"/>
              <w:bottom w:val="single" w:sz="4" w:space="0" w:color="auto"/>
              <w:right w:val="single" w:sz="4" w:space="0" w:color="auto"/>
            </w:tcBorders>
            <w:vAlign w:val="center"/>
          </w:tcPr>
          <w:p w:rsidR="009B075E" w:rsidRPr="00FA7ED5" w:rsidRDefault="009B075E" w:rsidP="000C0792">
            <w:pPr>
              <w:spacing w:after="0" w:line="240" w:lineRule="auto"/>
              <w:rPr>
                <w:rFonts w:ascii="Arial Narrow" w:hAnsi="Arial Narrow" w:cs="Arial"/>
                <w:sz w:val="12"/>
                <w:szCs w:val="12"/>
                <w:lang w:eastAsia="en-AU"/>
              </w:rPr>
            </w:pPr>
          </w:p>
        </w:tc>
        <w:tc>
          <w:tcPr>
            <w:tcW w:w="0" w:type="auto"/>
            <w:tcBorders>
              <w:top w:val="nil"/>
              <w:left w:val="nil"/>
              <w:bottom w:val="single" w:sz="4" w:space="0" w:color="auto"/>
              <w:right w:val="single" w:sz="4" w:space="0" w:color="auto"/>
            </w:tcBorders>
            <w:vAlign w:val="bottom"/>
          </w:tcPr>
          <w:p w:rsidR="009B075E" w:rsidRPr="00FA7ED5" w:rsidRDefault="009B075E" w:rsidP="00CB6EFB">
            <w:pPr>
              <w:spacing w:after="0" w:line="240" w:lineRule="auto"/>
              <w:ind w:left="-162" w:firstLine="162"/>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910" w:type="dxa"/>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Number</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Number</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Number</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Number</w:t>
            </w:r>
          </w:p>
        </w:tc>
        <w:tc>
          <w:tcPr>
            <w:tcW w:w="0" w:type="auto"/>
            <w:tcBorders>
              <w:top w:val="nil"/>
              <w:left w:val="nil"/>
              <w:bottom w:val="single" w:sz="4" w:space="0" w:color="auto"/>
              <w:right w:val="nil"/>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single" w:sz="4" w:space="0" w:color="auto"/>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nil"/>
              <w:bottom w:val="single" w:sz="4" w:space="0" w:color="auto"/>
              <w:right w:val="single" w:sz="4"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Number</w:t>
            </w:r>
          </w:p>
        </w:tc>
        <w:tc>
          <w:tcPr>
            <w:tcW w:w="0" w:type="auto"/>
            <w:tcBorders>
              <w:top w:val="nil"/>
              <w:left w:val="nil"/>
              <w:bottom w:val="single" w:sz="4" w:space="0" w:color="auto"/>
              <w:right w:val="single" w:sz="8" w:space="0" w:color="auto"/>
            </w:tcBorders>
            <w:vAlign w:val="bottom"/>
          </w:tcPr>
          <w:p w:rsidR="009B075E" w:rsidRPr="00FA7ED5" w:rsidRDefault="009B075E" w:rsidP="000C0792">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r>
      <w:tr w:rsidR="00CB6EFB" w:rsidRPr="00FA7ED5" w:rsidTr="00CB6EFB">
        <w:trPr>
          <w:trHeight w:val="255"/>
        </w:trPr>
        <w:tc>
          <w:tcPr>
            <w:tcW w:w="0" w:type="auto"/>
            <w:tcBorders>
              <w:top w:val="nil"/>
              <w:left w:val="single" w:sz="8" w:space="0" w:color="auto"/>
              <w:bottom w:val="nil"/>
              <w:right w:val="nil"/>
            </w:tcBorders>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General Copay</w:t>
            </w:r>
          </w:p>
        </w:tc>
        <w:tc>
          <w:tcPr>
            <w:tcW w:w="0" w:type="auto"/>
            <w:tcBorders>
              <w:top w:val="nil"/>
              <w:left w:val="single" w:sz="4" w:space="0" w:color="auto"/>
              <w:bottom w:val="nil"/>
              <w:right w:val="single" w:sz="4" w:space="0" w:color="auto"/>
            </w:tcBorders>
            <w:noWrap/>
            <w:vAlign w:val="bottom"/>
          </w:tcPr>
          <w:p w:rsidR="009B075E" w:rsidRPr="00FA7ED5" w:rsidRDefault="00CB6EFB" w:rsidP="000C0792">
            <w:pPr>
              <w:spacing w:after="0" w:line="240" w:lineRule="auto"/>
              <w:rPr>
                <w:rFonts w:ascii="Arial Narrow" w:hAnsi="Arial Narrow" w:cs="Arial"/>
                <w:sz w:val="12"/>
                <w:szCs w:val="12"/>
                <w:lang w:eastAsia="en-AU"/>
              </w:rPr>
            </w:pPr>
            <w:r>
              <w:rPr>
                <w:rFonts w:ascii="Arial Narrow" w:hAnsi="Arial Narrow" w:cs="Arial"/>
                <w:sz w:val="12"/>
                <w:szCs w:val="12"/>
                <w:lang w:eastAsia="en-AU"/>
              </w:rPr>
              <w:t xml:space="preserve"> $    </w:t>
            </w:r>
            <w:r w:rsidR="009B075E" w:rsidRPr="00FA7ED5">
              <w:rPr>
                <w:rFonts w:ascii="Arial Narrow" w:hAnsi="Arial Narrow" w:cs="Arial"/>
                <w:sz w:val="12"/>
                <w:szCs w:val="12"/>
                <w:lang w:eastAsia="en-AU"/>
              </w:rPr>
              <w:t xml:space="preserve">890,275,536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16%</w:t>
            </w:r>
          </w:p>
        </w:tc>
        <w:tc>
          <w:tcPr>
            <w:tcW w:w="910" w:type="dxa"/>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19,871,669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12%</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$ 1,039,451,749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18%</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19,607,454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11%</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$ 1,220,279,806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19%</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20,746,777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11%</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1,339,182,210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19%</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21,226,750 </w:t>
            </w:r>
          </w:p>
        </w:tc>
        <w:tc>
          <w:tcPr>
            <w:tcW w:w="0" w:type="auto"/>
            <w:tcBorders>
              <w:top w:val="nil"/>
              <w:left w:val="nil"/>
              <w:bottom w:val="nil"/>
              <w:right w:val="nil"/>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12%</w:t>
            </w:r>
          </w:p>
        </w:tc>
        <w:tc>
          <w:tcPr>
            <w:tcW w:w="0" w:type="auto"/>
            <w:tcBorders>
              <w:top w:val="nil"/>
              <w:left w:val="single" w:sz="4" w:space="0" w:color="auto"/>
              <w:bottom w:val="nil"/>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$ 1,412,781,351.71 </w:t>
            </w:r>
          </w:p>
        </w:tc>
        <w:tc>
          <w:tcPr>
            <w:tcW w:w="0" w:type="auto"/>
            <w:tcBorders>
              <w:top w:val="nil"/>
              <w:left w:val="single" w:sz="4" w:space="0" w:color="auto"/>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19%</w:t>
            </w:r>
          </w:p>
        </w:tc>
        <w:tc>
          <w:tcPr>
            <w:tcW w:w="0" w:type="auto"/>
            <w:tcBorders>
              <w:top w:val="nil"/>
              <w:left w:val="nil"/>
              <w:bottom w:val="nil"/>
              <w:right w:val="nil"/>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21,032,398</w:t>
            </w:r>
          </w:p>
        </w:tc>
        <w:tc>
          <w:tcPr>
            <w:tcW w:w="0" w:type="auto"/>
            <w:tcBorders>
              <w:top w:val="nil"/>
              <w:left w:val="single" w:sz="4" w:space="0" w:color="auto"/>
              <w:bottom w:val="nil"/>
              <w:right w:val="single" w:sz="8"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11%</w:t>
            </w:r>
          </w:p>
        </w:tc>
      </w:tr>
      <w:tr w:rsidR="00CB6EFB" w:rsidRPr="00FA7ED5" w:rsidTr="00CB6EFB">
        <w:trPr>
          <w:trHeight w:val="255"/>
        </w:trPr>
        <w:tc>
          <w:tcPr>
            <w:tcW w:w="0" w:type="auto"/>
            <w:tcBorders>
              <w:top w:val="nil"/>
              <w:left w:val="single" w:sz="8" w:space="0" w:color="auto"/>
              <w:bottom w:val="nil"/>
              <w:right w:val="nil"/>
            </w:tcBorders>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General SN</w:t>
            </w:r>
          </w:p>
        </w:tc>
        <w:tc>
          <w:tcPr>
            <w:tcW w:w="0" w:type="auto"/>
            <w:tcBorders>
              <w:top w:val="nil"/>
              <w:left w:val="single" w:sz="4" w:space="0" w:color="auto"/>
              <w:bottom w:val="nil"/>
              <w:right w:val="single" w:sz="4" w:space="0" w:color="auto"/>
            </w:tcBorders>
            <w:noWrap/>
            <w:vAlign w:val="bottom"/>
          </w:tcPr>
          <w:p w:rsidR="009B075E" w:rsidRPr="00FA7ED5" w:rsidRDefault="00CB6EFB" w:rsidP="000C0792">
            <w:pPr>
              <w:spacing w:after="0" w:line="240" w:lineRule="auto"/>
              <w:rPr>
                <w:rFonts w:ascii="Arial Narrow" w:hAnsi="Arial Narrow" w:cs="Arial"/>
                <w:sz w:val="12"/>
                <w:szCs w:val="12"/>
                <w:lang w:eastAsia="en-AU"/>
              </w:rPr>
            </w:pPr>
            <w:r>
              <w:rPr>
                <w:rFonts w:ascii="Arial Narrow" w:hAnsi="Arial Narrow" w:cs="Arial"/>
                <w:sz w:val="12"/>
                <w:szCs w:val="12"/>
                <w:lang w:eastAsia="en-AU"/>
              </w:rPr>
              <w:t xml:space="preserve"> $   </w:t>
            </w:r>
            <w:r w:rsidR="009B075E" w:rsidRPr="00FA7ED5">
              <w:rPr>
                <w:rFonts w:ascii="Arial Narrow" w:hAnsi="Arial Narrow" w:cs="Arial"/>
                <w:sz w:val="12"/>
                <w:szCs w:val="12"/>
                <w:lang w:eastAsia="en-AU"/>
              </w:rPr>
              <w:t xml:space="preserve"> 174,127,771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w:t>
            </w:r>
          </w:p>
        </w:tc>
        <w:tc>
          <w:tcPr>
            <w:tcW w:w="910" w:type="dxa"/>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4,710,422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173,499,550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4,553,340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217,487,483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5,580,636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199,599,002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4,763,435 </w:t>
            </w:r>
          </w:p>
        </w:tc>
        <w:tc>
          <w:tcPr>
            <w:tcW w:w="0" w:type="auto"/>
            <w:tcBorders>
              <w:top w:val="nil"/>
              <w:left w:val="nil"/>
              <w:bottom w:val="nil"/>
              <w:right w:val="nil"/>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w:t>
            </w:r>
          </w:p>
        </w:tc>
        <w:tc>
          <w:tcPr>
            <w:tcW w:w="0" w:type="auto"/>
            <w:tcBorders>
              <w:top w:val="nil"/>
              <w:left w:val="single" w:sz="4" w:space="0" w:color="auto"/>
              <w:bottom w:val="nil"/>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211,944,918.29 </w:t>
            </w:r>
          </w:p>
        </w:tc>
        <w:tc>
          <w:tcPr>
            <w:tcW w:w="0" w:type="auto"/>
            <w:tcBorders>
              <w:top w:val="nil"/>
              <w:left w:val="single" w:sz="4" w:space="0" w:color="auto"/>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w:t>
            </w:r>
          </w:p>
        </w:tc>
        <w:tc>
          <w:tcPr>
            <w:tcW w:w="0" w:type="auto"/>
            <w:tcBorders>
              <w:top w:val="nil"/>
              <w:left w:val="nil"/>
              <w:bottom w:val="nil"/>
              <w:right w:val="nil"/>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4,943,233</w:t>
            </w:r>
          </w:p>
        </w:tc>
        <w:tc>
          <w:tcPr>
            <w:tcW w:w="0" w:type="auto"/>
            <w:tcBorders>
              <w:top w:val="nil"/>
              <w:left w:val="single" w:sz="4" w:space="0" w:color="auto"/>
              <w:bottom w:val="nil"/>
              <w:right w:val="single" w:sz="8"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w:t>
            </w:r>
          </w:p>
        </w:tc>
      </w:tr>
      <w:tr w:rsidR="00CB6EFB" w:rsidRPr="00FA7ED5" w:rsidTr="00CB6EFB">
        <w:trPr>
          <w:trHeight w:val="255"/>
        </w:trPr>
        <w:tc>
          <w:tcPr>
            <w:tcW w:w="0" w:type="auto"/>
            <w:tcBorders>
              <w:top w:val="nil"/>
              <w:left w:val="single" w:sz="8" w:space="0" w:color="auto"/>
              <w:bottom w:val="nil"/>
              <w:right w:val="nil"/>
            </w:tcBorders>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Concessional Copay</w:t>
            </w:r>
          </w:p>
        </w:tc>
        <w:tc>
          <w:tcPr>
            <w:tcW w:w="0" w:type="auto"/>
            <w:tcBorders>
              <w:top w:val="nil"/>
              <w:left w:val="single" w:sz="4" w:space="0" w:color="auto"/>
              <w:bottom w:val="nil"/>
              <w:right w:val="single" w:sz="4" w:space="0" w:color="auto"/>
            </w:tcBorders>
            <w:noWrap/>
            <w:vAlign w:val="bottom"/>
          </w:tcPr>
          <w:p w:rsidR="009B075E" w:rsidRPr="00FA7ED5" w:rsidRDefault="00CB6EFB" w:rsidP="000C0792">
            <w:pPr>
              <w:spacing w:after="0" w:line="240" w:lineRule="auto"/>
              <w:rPr>
                <w:rFonts w:ascii="Arial Narrow" w:hAnsi="Arial Narrow" w:cs="Arial"/>
                <w:sz w:val="12"/>
                <w:szCs w:val="12"/>
                <w:lang w:eastAsia="en-AU"/>
              </w:rPr>
            </w:pPr>
            <w:r>
              <w:rPr>
                <w:rFonts w:ascii="Arial Narrow" w:hAnsi="Arial Narrow" w:cs="Arial"/>
                <w:sz w:val="12"/>
                <w:szCs w:val="12"/>
                <w:lang w:eastAsia="en-AU"/>
              </w:rPr>
              <w:t xml:space="preserve"> $ </w:t>
            </w:r>
            <w:r w:rsidR="009B075E" w:rsidRPr="00FA7ED5">
              <w:rPr>
                <w:rFonts w:ascii="Arial Narrow" w:hAnsi="Arial Narrow" w:cs="Arial"/>
                <w:sz w:val="12"/>
                <w:szCs w:val="12"/>
                <w:lang w:eastAsia="en-AU"/>
              </w:rPr>
              <w:t xml:space="preserve">3,333,875,949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61%</w:t>
            </w:r>
          </w:p>
        </w:tc>
        <w:tc>
          <w:tcPr>
            <w:tcW w:w="910" w:type="dxa"/>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110,917,202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66%</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$ 3,561,294,283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60%</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113,118,234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66%</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$ 3,909,584,010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60%</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119,906,347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66%</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4,220,391,341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60%</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122,832,364 </w:t>
            </w:r>
          </w:p>
        </w:tc>
        <w:tc>
          <w:tcPr>
            <w:tcW w:w="0" w:type="auto"/>
            <w:tcBorders>
              <w:top w:val="nil"/>
              <w:left w:val="nil"/>
              <w:bottom w:val="nil"/>
              <w:right w:val="nil"/>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67%</w:t>
            </w:r>
          </w:p>
        </w:tc>
        <w:tc>
          <w:tcPr>
            <w:tcW w:w="0" w:type="auto"/>
            <w:tcBorders>
              <w:top w:val="nil"/>
              <w:left w:val="single" w:sz="4" w:space="0" w:color="auto"/>
              <w:bottom w:val="nil"/>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$ 4,367,739,897.21 </w:t>
            </w:r>
          </w:p>
        </w:tc>
        <w:tc>
          <w:tcPr>
            <w:tcW w:w="0" w:type="auto"/>
            <w:tcBorders>
              <w:top w:val="nil"/>
              <w:left w:val="single" w:sz="4" w:space="0" w:color="auto"/>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60%</w:t>
            </w:r>
          </w:p>
        </w:tc>
        <w:tc>
          <w:tcPr>
            <w:tcW w:w="0" w:type="auto"/>
            <w:tcBorders>
              <w:top w:val="nil"/>
              <w:left w:val="nil"/>
              <w:bottom w:val="nil"/>
              <w:right w:val="nil"/>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125,446,923</w:t>
            </w:r>
          </w:p>
        </w:tc>
        <w:tc>
          <w:tcPr>
            <w:tcW w:w="0" w:type="auto"/>
            <w:tcBorders>
              <w:top w:val="nil"/>
              <w:left w:val="single" w:sz="4" w:space="0" w:color="auto"/>
              <w:bottom w:val="nil"/>
              <w:right w:val="single" w:sz="8"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67%</w:t>
            </w:r>
          </w:p>
        </w:tc>
      </w:tr>
      <w:tr w:rsidR="00CB6EFB" w:rsidRPr="00FA7ED5" w:rsidTr="00CB6EFB">
        <w:trPr>
          <w:trHeight w:val="255"/>
        </w:trPr>
        <w:tc>
          <w:tcPr>
            <w:tcW w:w="0" w:type="auto"/>
            <w:tcBorders>
              <w:top w:val="nil"/>
              <w:left w:val="single" w:sz="8" w:space="0" w:color="auto"/>
              <w:bottom w:val="nil"/>
              <w:right w:val="nil"/>
            </w:tcBorders>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Concessional SN</w:t>
            </w:r>
          </w:p>
        </w:tc>
        <w:tc>
          <w:tcPr>
            <w:tcW w:w="0" w:type="auto"/>
            <w:tcBorders>
              <w:top w:val="nil"/>
              <w:left w:val="single" w:sz="4" w:space="0" w:color="auto"/>
              <w:bottom w:val="nil"/>
              <w:right w:val="single" w:sz="4" w:space="0" w:color="auto"/>
            </w:tcBorders>
            <w:noWrap/>
            <w:vAlign w:val="bottom"/>
          </w:tcPr>
          <w:p w:rsidR="009B075E" w:rsidRPr="00FA7ED5" w:rsidRDefault="00CB6EFB" w:rsidP="000C0792">
            <w:pPr>
              <w:spacing w:after="0" w:line="240" w:lineRule="auto"/>
              <w:rPr>
                <w:rFonts w:ascii="Arial Narrow" w:hAnsi="Arial Narrow" w:cs="Arial"/>
                <w:sz w:val="12"/>
                <w:szCs w:val="12"/>
                <w:lang w:eastAsia="en-AU"/>
              </w:rPr>
            </w:pPr>
            <w:r>
              <w:rPr>
                <w:rFonts w:ascii="Arial Narrow" w:hAnsi="Arial Narrow" w:cs="Arial"/>
                <w:sz w:val="12"/>
                <w:szCs w:val="12"/>
                <w:lang w:eastAsia="en-AU"/>
              </w:rPr>
              <w:t xml:space="preserve"> $</w:t>
            </w:r>
            <w:r w:rsidR="009B075E" w:rsidRPr="00FA7ED5">
              <w:rPr>
                <w:rFonts w:ascii="Arial Narrow" w:hAnsi="Arial Narrow" w:cs="Arial"/>
                <w:sz w:val="12"/>
                <w:szCs w:val="12"/>
                <w:lang w:eastAsia="en-AU"/>
              </w:rPr>
              <w:t xml:space="preserve"> 1,067,478,074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20%</w:t>
            </w:r>
          </w:p>
        </w:tc>
        <w:tc>
          <w:tcPr>
            <w:tcW w:w="910" w:type="dxa"/>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32,675,864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19%</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$ 1,137,925,393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19%</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33,680,813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20%</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$ 1,216,050,241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19%</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35,234,371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19%</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1,259,719,602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18%</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34,756,644 </w:t>
            </w:r>
          </w:p>
        </w:tc>
        <w:tc>
          <w:tcPr>
            <w:tcW w:w="0" w:type="auto"/>
            <w:tcBorders>
              <w:top w:val="nil"/>
              <w:left w:val="nil"/>
              <w:bottom w:val="nil"/>
              <w:right w:val="nil"/>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19%</w:t>
            </w:r>
          </w:p>
        </w:tc>
        <w:tc>
          <w:tcPr>
            <w:tcW w:w="0" w:type="auto"/>
            <w:tcBorders>
              <w:top w:val="nil"/>
              <w:left w:val="single" w:sz="4" w:space="0" w:color="auto"/>
              <w:bottom w:val="nil"/>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$ 1,330,682,635.72 </w:t>
            </w:r>
          </w:p>
        </w:tc>
        <w:tc>
          <w:tcPr>
            <w:tcW w:w="0" w:type="auto"/>
            <w:tcBorders>
              <w:top w:val="nil"/>
              <w:left w:val="single" w:sz="4" w:space="0" w:color="auto"/>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18%</w:t>
            </w:r>
          </w:p>
        </w:tc>
        <w:tc>
          <w:tcPr>
            <w:tcW w:w="0" w:type="auto"/>
            <w:tcBorders>
              <w:top w:val="nil"/>
              <w:left w:val="nil"/>
              <w:bottom w:val="nil"/>
              <w:right w:val="nil"/>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36,381,986</w:t>
            </w:r>
          </w:p>
        </w:tc>
        <w:tc>
          <w:tcPr>
            <w:tcW w:w="0" w:type="auto"/>
            <w:tcBorders>
              <w:top w:val="nil"/>
              <w:left w:val="single" w:sz="4" w:space="0" w:color="auto"/>
              <w:bottom w:val="nil"/>
              <w:right w:val="single" w:sz="8"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19%</w:t>
            </w:r>
          </w:p>
        </w:tc>
      </w:tr>
      <w:tr w:rsidR="00CB6EFB" w:rsidRPr="00FA7ED5" w:rsidTr="00CB6EFB">
        <w:trPr>
          <w:trHeight w:val="255"/>
        </w:trPr>
        <w:tc>
          <w:tcPr>
            <w:tcW w:w="0" w:type="auto"/>
            <w:tcBorders>
              <w:top w:val="nil"/>
              <w:left w:val="single" w:sz="8" w:space="0" w:color="auto"/>
              <w:bottom w:val="nil"/>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Total (excl Drs Bag)</w:t>
            </w:r>
          </w:p>
        </w:tc>
        <w:tc>
          <w:tcPr>
            <w:tcW w:w="0" w:type="auto"/>
            <w:tcBorders>
              <w:top w:val="nil"/>
              <w:left w:val="single" w:sz="4" w:space="0" w:color="auto"/>
              <w:bottom w:val="nil"/>
              <w:right w:val="single" w:sz="4" w:space="0" w:color="auto"/>
            </w:tcBorders>
            <w:noWrap/>
            <w:vAlign w:val="bottom"/>
          </w:tcPr>
          <w:p w:rsidR="009B075E" w:rsidRPr="00FA7ED5" w:rsidRDefault="009B075E" w:rsidP="00CB6EFB">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$ 5,465,757,330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w:t>
            </w:r>
          </w:p>
        </w:tc>
        <w:tc>
          <w:tcPr>
            <w:tcW w:w="910" w:type="dxa"/>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168,175,157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$ 5,912,170,975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170,959,841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$ 6,563,401,540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181,468,131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7,018,892,155 </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w:t>
            </w:r>
          </w:p>
        </w:tc>
        <w:tc>
          <w:tcPr>
            <w:tcW w:w="0" w:type="auto"/>
            <w:tcBorders>
              <w:top w:val="nil"/>
              <w:left w:val="nil"/>
              <w:bottom w:val="nil"/>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183,579,193 </w:t>
            </w:r>
          </w:p>
        </w:tc>
        <w:tc>
          <w:tcPr>
            <w:tcW w:w="0" w:type="auto"/>
            <w:tcBorders>
              <w:top w:val="nil"/>
              <w:left w:val="nil"/>
              <w:bottom w:val="nil"/>
              <w:right w:val="nil"/>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w:t>
            </w:r>
          </w:p>
        </w:tc>
        <w:tc>
          <w:tcPr>
            <w:tcW w:w="0" w:type="auto"/>
            <w:tcBorders>
              <w:top w:val="nil"/>
              <w:left w:val="single" w:sz="4" w:space="0" w:color="auto"/>
              <w:bottom w:val="nil"/>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7,323,148,803 </w:t>
            </w:r>
          </w:p>
        </w:tc>
        <w:tc>
          <w:tcPr>
            <w:tcW w:w="0" w:type="auto"/>
            <w:tcBorders>
              <w:top w:val="nil"/>
              <w:left w:val="single" w:sz="4" w:space="0" w:color="auto"/>
              <w:bottom w:val="nil"/>
              <w:right w:val="single" w:sz="4"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w:t>
            </w:r>
          </w:p>
        </w:tc>
        <w:tc>
          <w:tcPr>
            <w:tcW w:w="0" w:type="auto"/>
            <w:tcBorders>
              <w:top w:val="nil"/>
              <w:left w:val="nil"/>
              <w:bottom w:val="nil"/>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187,804,540 </w:t>
            </w:r>
          </w:p>
        </w:tc>
        <w:tc>
          <w:tcPr>
            <w:tcW w:w="0" w:type="auto"/>
            <w:tcBorders>
              <w:top w:val="nil"/>
              <w:left w:val="single" w:sz="4" w:space="0" w:color="auto"/>
              <w:bottom w:val="nil"/>
              <w:right w:val="single" w:sz="8" w:space="0" w:color="auto"/>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w:t>
            </w:r>
          </w:p>
        </w:tc>
      </w:tr>
      <w:tr w:rsidR="00CB6EFB" w:rsidRPr="00FA7ED5" w:rsidTr="00CB6EFB">
        <w:trPr>
          <w:trHeight w:val="255"/>
        </w:trPr>
        <w:tc>
          <w:tcPr>
            <w:tcW w:w="0" w:type="auto"/>
            <w:tcBorders>
              <w:top w:val="nil"/>
              <w:left w:val="single" w:sz="8" w:space="0" w:color="auto"/>
              <w:bottom w:val="single" w:sz="4" w:space="0" w:color="auto"/>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Drs Bag</w:t>
            </w:r>
          </w:p>
        </w:tc>
        <w:tc>
          <w:tcPr>
            <w:tcW w:w="0" w:type="auto"/>
            <w:tcBorders>
              <w:top w:val="nil"/>
              <w:left w:val="single" w:sz="4" w:space="0" w:color="auto"/>
              <w:bottom w:val="single" w:sz="4" w:space="0" w:color="auto"/>
              <w:right w:val="single" w:sz="4" w:space="0" w:color="auto"/>
            </w:tcBorders>
            <w:noWrap/>
            <w:vAlign w:val="bottom"/>
          </w:tcPr>
          <w:p w:rsidR="009B075E" w:rsidRPr="00FA7ED5" w:rsidRDefault="009B075E" w:rsidP="00CB6EFB">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$10,698,205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910" w:type="dxa"/>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360,362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13,468,779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336,182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14,533,302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367,996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13,571,776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332,344 </w:t>
            </w:r>
          </w:p>
        </w:tc>
        <w:tc>
          <w:tcPr>
            <w:tcW w:w="0" w:type="auto"/>
            <w:tcBorders>
              <w:top w:val="nil"/>
              <w:left w:val="nil"/>
              <w:bottom w:val="single" w:sz="4" w:space="0" w:color="auto"/>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single" w:sz="4" w:space="0" w:color="auto"/>
              <w:bottom w:val="single" w:sz="4" w:space="0" w:color="auto"/>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14,228,519.83 </w:t>
            </w:r>
          </w:p>
        </w:tc>
        <w:tc>
          <w:tcPr>
            <w:tcW w:w="0" w:type="auto"/>
            <w:tcBorders>
              <w:top w:val="nil"/>
              <w:left w:val="single" w:sz="4" w:space="0" w:color="auto"/>
              <w:bottom w:val="single" w:sz="4"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4" w:space="0" w:color="auto"/>
              <w:right w:val="nil"/>
            </w:tcBorders>
            <w:noWrap/>
            <w:vAlign w:val="bottom"/>
          </w:tcPr>
          <w:p w:rsidR="009B075E" w:rsidRPr="00FA7ED5" w:rsidRDefault="009B075E" w:rsidP="000C0792">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337,715</w:t>
            </w:r>
          </w:p>
        </w:tc>
        <w:tc>
          <w:tcPr>
            <w:tcW w:w="0" w:type="auto"/>
            <w:tcBorders>
              <w:top w:val="nil"/>
              <w:left w:val="single" w:sz="4" w:space="0" w:color="auto"/>
              <w:bottom w:val="single" w:sz="4" w:space="0" w:color="auto"/>
              <w:right w:val="single" w:sz="8"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r>
      <w:tr w:rsidR="00CB6EFB" w:rsidRPr="00FA7ED5" w:rsidTr="00CB6EFB">
        <w:trPr>
          <w:trHeight w:val="270"/>
        </w:trPr>
        <w:tc>
          <w:tcPr>
            <w:tcW w:w="0" w:type="auto"/>
            <w:tcBorders>
              <w:top w:val="nil"/>
              <w:left w:val="single" w:sz="8" w:space="0" w:color="auto"/>
              <w:bottom w:val="single" w:sz="8" w:space="0" w:color="auto"/>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Total (incl Drs Bag)</w:t>
            </w:r>
          </w:p>
        </w:tc>
        <w:tc>
          <w:tcPr>
            <w:tcW w:w="0" w:type="auto"/>
            <w:tcBorders>
              <w:top w:val="nil"/>
              <w:left w:val="single" w:sz="4" w:space="0" w:color="auto"/>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5,476,455,535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910" w:type="dxa"/>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168,535,519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$ 5,925,639,754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171,296,023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$ 6,577,934,842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181,836,127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7,032,463,931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183,911,537 </w:t>
            </w:r>
          </w:p>
        </w:tc>
        <w:tc>
          <w:tcPr>
            <w:tcW w:w="0" w:type="auto"/>
            <w:tcBorders>
              <w:top w:val="nil"/>
              <w:left w:val="nil"/>
              <w:bottom w:val="single" w:sz="8" w:space="0" w:color="auto"/>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single" w:sz="4" w:space="0" w:color="auto"/>
              <w:bottom w:val="single" w:sz="8" w:space="0" w:color="auto"/>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      7,337,377,323 </w:t>
            </w:r>
          </w:p>
        </w:tc>
        <w:tc>
          <w:tcPr>
            <w:tcW w:w="0" w:type="auto"/>
            <w:tcBorders>
              <w:top w:val="nil"/>
              <w:left w:val="single" w:sz="4" w:space="0" w:color="auto"/>
              <w:bottom w:val="single" w:sz="8" w:space="0" w:color="auto"/>
              <w:right w:val="single" w:sz="4"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c>
          <w:tcPr>
            <w:tcW w:w="0" w:type="auto"/>
            <w:tcBorders>
              <w:top w:val="nil"/>
              <w:left w:val="nil"/>
              <w:bottom w:val="single" w:sz="8" w:space="0" w:color="auto"/>
              <w:right w:val="nil"/>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  188,142,255 </w:t>
            </w:r>
          </w:p>
        </w:tc>
        <w:tc>
          <w:tcPr>
            <w:tcW w:w="0" w:type="auto"/>
            <w:tcBorders>
              <w:top w:val="nil"/>
              <w:left w:val="single" w:sz="4" w:space="0" w:color="auto"/>
              <w:bottom w:val="single" w:sz="8" w:space="0" w:color="auto"/>
              <w:right w:val="single" w:sz="8" w:space="0" w:color="auto"/>
            </w:tcBorders>
            <w:noWrap/>
            <w:vAlign w:val="bottom"/>
          </w:tcPr>
          <w:p w:rsidR="009B075E" w:rsidRPr="00FA7ED5" w:rsidRDefault="009B075E" w:rsidP="000C0792">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w:t>
            </w:r>
          </w:p>
        </w:tc>
      </w:tr>
    </w:tbl>
    <w:p w:rsidR="009B075E" w:rsidRDefault="009B075E" w:rsidP="00CD48FC">
      <w:pPr>
        <w:pStyle w:val="Caption"/>
        <w:jc w:val="left"/>
        <w:rPr>
          <w:rFonts w:ascii="Arial" w:hAnsi="Arial" w:cs="Arial"/>
          <w:sz w:val="22"/>
          <w:szCs w:val="22"/>
          <w:highlight w:val="yellow"/>
        </w:rPr>
      </w:pPr>
    </w:p>
    <w:p w:rsidR="009B075E" w:rsidRDefault="009B075E" w:rsidP="00CD48FC">
      <w:pPr>
        <w:pStyle w:val="Caption"/>
        <w:jc w:val="left"/>
        <w:rPr>
          <w:rFonts w:ascii="Arial" w:hAnsi="Arial" w:cs="Arial"/>
          <w:sz w:val="22"/>
          <w:szCs w:val="22"/>
          <w:highlight w:val="yellow"/>
        </w:rPr>
      </w:pPr>
    </w:p>
    <w:p w:rsidR="009B075E" w:rsidRPr="00F527AE" w:rsidRDefault="009B075E" w:rsidP="00CD48FC">
      <w:pPr>
        <w:pStyle w:val="Caption"/>
        <w:jc w:val="left"/>
        <w:rPr>
          <w:rFonts w:ascii="Arial" w:hAnsi="Arial" w:cs="Arial"/>
          <w:sz w:val="22"/>
          <w:szCs w:val="22"/>
        </w:rPr>
      </w:pPr>
      <w:bookmarkStart w:id="106" w:name="_Ref318377624"/>
      <w:r w:rsidRPr="00F527AE">
        <w:rPr>
          <w:rFonts w:ascii="Arial" w:hAnsi="Arial" w:cs="Arial"/>
          <w:sz w:val="22"/>
          <w:szCs w:val="22"/>
        </w:rPr>
        <w:t xml:space="preserve">Table </w:t>
      </w:r>
      <w:r w:rsidR="00855AAF" w:rsidRPr="00F527AE">
        <w:rPr>
          <w:rFonts w:ascii="Arial" w:hAnsi="Arial" w:cs="Arial"/>
          <w:sz w:val="22"/>
          <w:szCs w:val="22"/>
        </w:rPr>
        <w:fldChar w:fldCharType="begin"/>
      </w:r>
      <w:r w:rsidRPr="00F527AE">
        <w:rPr>
          <w:rFonts w:ascii="Arial" w:hAnsi="Arial" w:cs="Arial"/>
          <w:sz w:val="22"/>
          <w:szCs w:val="22"/>
        </w:rPr>
        <w:instrText xml:space="preserve"> SEQ Table \* ARABIC </w:instrText>
      </w:r>
      <w:r w:rsidR="00855AAF" w:rsidRPr="00F527AE">
        <w:rPr>
          <w:rFonts w:ascii="Arial" w:hAnsi="Arial" w:cs="Arial"/>
          <w:sz w:val="22"/>
          <w:szCs w:val="22"/>
        </w:rPr>
        <w:fldChar w:fldCharType="separate"/>
      </w:r>
      <w:r w:rsidR="00584343">
        <w:rPr>
          <w:rFonts w:ascii="Arial" w:hAnsi="Arial" w:cs="Arial"/>
          <w:noProof/>
          <w:sz w:val="22"/>
          <w:szCs w:val="22"/>
        </w:rPr>
        <w:t>16</w:t>
      </w:r>
      <w:r w:rsidR="00855AAF" w:rsidRPr="00F527AE">
        <w:rPr>
          <w:rFonts w:ascii="Arial" w:hAnsi="Arial" w:cs="Arial"/>
          <w:sz w:val="22"/>
          <w:szCs w:val="22"/>
        </w:rPr>
        <w:fldChar w:fldCharType="end"/>
      </w:r>
      <w:bookmarkEnd w:id="105"/>
      <w:bookmarkEnd w:id="106"/>
      <w:r w:rsidRPr="00F527AE">
        <w:rPr>
          <w:rFonts w:ascii="Arial" w:hAnsi="Arial" w:cs="Arial"/>
          <w:sz w:val="22"/>
          <w:szCs w:val="22"/>
        </w:rPr>
        <w:t xml:space="preserve">:  Contribution to total growth in Government expenditure on </w:t>
      </w:r>
      <w:r>
        <w:rPr>
          <w:rFonts w:ascii="Arial" w:hAnsi="Arial" w:cs="Arial"/>
          <w:sz w:val="22"/>
          <w:szCs w:val="22"/>
        </w:rPr>
        <w:t>S85</w:t>
      </w:r>
      <w:r w:rsidRPr="00F527AE">
        <w:rPr>
          <w:rFonts w:ascii="Arial" w:hAnsi="Arial" w:cs="Arial"/>
          <w:sz w:val="22"/>
          <w:szCs w:val="22"/>
        </w:rPr>
        <w:t xml:space="preserve"> drugs, by general/concessional status</w:t>
      </w:r>
    </w:p>
    <w:tbl>
      <w:tblPr>
        <w:tblW w:w="10984" w:type="dxa"/>
        <w:tblInd w:w="98" w:type="dxa"/>
        <w:tblLook w:val="00A0" w:firstRow="1" w:lastRow="0" w:firstColumn="1" w:lastColumn="0" w:noHBand="0" w:noVBand="0"/>
      </w:tblPr>
      <w:tblGrid>
        <w:gridCol w:w="2162"/>
        <w:gridCol w:w="1517"/>
        <w:gridCol w:w="759"/>
        <w:gridCol w:w="1411"/>
        <w:gridCol w:w="759"/>
        <w:gridCol w:w="1514"/>
        <w:gridCol w:w="759"/>
        <w:gridCol w:w="1344"/>
        <w:gridCol w:w="759"/>
      </w:tblGrid>
      <w:tr w:rsidR="009B075E" w:rsidRPr="00F527AE" w:rsidTr="00F66113">
        <w:trPr>
          <w:trHeight w:val="765"/>
        </w:trPr>
        <w:tc>
          <w:tcPr>
            <w:tcW w:w="2162" w:type="dxa"/>
            <w:vMerge w:val="restart"/>
            <w:tcBorders>
              <w:top w:val="single" w:sz="4" w:space="0" w:color="auto"/>
              <w:left w:val="single" w:sz="4" w:space="0" w:color="auto"/>
              <w:bottom w:val="single" w:sz="4" w:space="0" w:color="auto"/>
              <w:right w:val="single" w:sz="4" w:space="0" w:color="auto"/>
            </w:tcBorders>
            <w:noWrap/>
            <w:vAlign w:val="bottom"/>
          </w:tcPr>
          <w:p w:rsidR="009B075E" w:rsidRPr="00F527AE" w:rsidRDefault="009B075E" w:rsidP="00F527AE">
            <w:pPr>
              <w:spacing w:after="0" w:line="240" w:lineRule="auto"/>
              <w:jc w:val="center"/>
              <w:rPr>
                <w:rFonts w:ascii="Arial" w:hAnsi="Arial" w:cs="Arial"/>
                <w:sz w:val="20"/>
                <w:szCs w:val="20"/>
                <w:lang w:eastAsia="en-AU"/>
              </w:rPr>
            </w:pPr>
            <w:r w:rsidRPr="00F527AE">
              <w:rPr>
                <w:rFonts w:ascii="Arial" w:hAnsi="Arial" w:cs="Arial"/>
                <w:sz w:val="20"/>
                <w:szCs w:val="20"/>
                <w:lang w:eastAsia="en-AU"/>
              </w:rPr>
              <w:t> </w:t>
            </w:r>
          </w:p>
        </w:tc>
        <w:tc>
          <w:tcPr>
            <w:tcW w:w="2276" w:type="dxa"/>
            <w:gridSpan w:val="2"/>
            <w:vMerge w:val="restart"/>
            <w:tcBorders>
              <w:top w:val="single" w:sz="4" w:space="0" w:color="auto"/>
              <w:left w:val="single" w:sz="4" w:space="0" w:color="auto"/>
              <w:bottom w:val="single" w:sz="4" w:space="0" w:color="auto"/>
              <w:right w:val="single" w:sz="4" w:space="0" w:color="auto"/>
            </w:tcBorders>
            <w:vAlign w:val="center"/>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 xml:space="preserve">Growth 2006-07 to </w:t>
            </w:r>
            <w:r w:rsidRPr="00F527AE">
              <w:rPr>
                <w:rFonts w:ascii="Arial" w:hAnsi="Arial" w:cs="Arial"/>
                <w:sz w:val="16"/>
                <w:szCs w:val="16"/>
                <w:lang w:eastAsia="en-AU"/>
              </w:rPr>
              <w:br/>
              <w:t>2007-08</w:t>
            </w:r>
          </w:p>
        </w:tc>
        <w:tc>
          <w:tcPr>
            <w:tcW w:w="2170" w:type="dxa"/>
            <w:gridSpan w:val="2"/>
            <w:vMerge w:val="restart"/>
            <w:tcBorders>
              <w:top w:val="single" w:sz="8" w:space="0" w:color="auto"/>
              <w:left w:val="single" w:sz="4" w:space="0" w:color="auto"/>
              <w:bottom w:val="single" w:sz="4" w:space="0" w:color="auto"/>
              <w:right w:val="single" w:sz="4" w:space="0" w:color="auto"/>
            </w:tcBorders>
            <w:vAlign w:val="center"/>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 xml:space="preserve">Growth 2007-08 to </w:t>
            </w:r>
            <w:r w:rsidRPr="00F527AE">
              <w:rPr>
                <w:rFonts w:ascii="Arial" w:hAnsi="Arial" w:cs="Arial"/>
                <w:sz w:val="16"/>
                <w:szCs w:val="16"/>
                <w:lang w:eastAsia="en-AU"/>
              </w:rPr>
              <w:br/>
              <w:t>2008-09</w:t>
            </w:r>
          </w:p>
        </w:tc>
        <w:tc>
          <w:tcPr>
            <w:tcW w:w="2273" w:type="dxa"/>
            <w:gridSpan w:val="2"/>
            <w:vMerge w:val="restart"/>
            <w:tcBorders>
              <w:top w:val="single" w:sz="8" w:space="0" w:color="auto"/>
              <w:left w:val="single" w:sz="4" w:space="0" w:color="auto"/>
              <w:bottom w:val="single" w:sz="4" w:space="0" w:color="auto"/>
              <w:right w:val="single" w:sz="4" w:space="0" w:color="auto"/>
            </w:tcBorders>
            <w:vAlign w:val="center"/>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 xml:space="preserve">Growth 2008-09 to </w:t>
            </w:r>
            <w:r w:rsidRPr="00F527AE">
              <w:rPr>
                <w:rFonts w:ascii="Arial" w:hAnsi="Arial" w:cs="Arial"/>
                <w:sz w:val="16"/>
                <w:szCs w:val="16"/>
                <w:lang w:eastAsia="en-AU"/>
              </w:rPr>
              <w:br/>
              <w:t>2009-10</w:t>
            </w:r>
          </w:p>
        </w:tc>
        <w:tc>
          <w:tcPr>
            <w:tcW w:w="2103" w:type="dxa"/>
            <w:gridSpan w:val="2"/>
            <w:vMerge w:val="restart"/>
            <w:tcBorders>
              <w:top w:val="single" w:sz="8" w:space="0" w:color="auto"/>
              <w:left w:val="single" w:sz="4" w:space="0" w:color="auto"/>
              <w:bottom w:val="single" w:sz="4" w:space="0" w:color="auto"/>
              <w:right w:val="single" w:sz="8" w:space="0" w:color="000000"/>
            </w:tcBorders>
            <w:vAlign w:val="center"/>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 xml:space="preserve">Growth 2009-10 to </w:t>
            </w:r>
            <w:r w:rsidRPr="00F527AE">
              <w:rPr>
                <w:rFonts w:ascii="Arial" w:hAnsi="Arial" w:cs="Arial"/>
                <w:sz w:val="16"/>
                <w:szCs w:val="16"/>
                <w:lang w:eastAsia="en-AU"/>
              </w:rPr>
              <w:br/>
              <w:t>2010-11</w:t>
            </w:r>
          </w:p>
        </w:tc>
      </w:tr>
      <w:tr w:rsidR="009B075E" w:rsidRPr="00F527AE" w:rsidTr="00F66113">
        <w:trPr>
          <w:trHeight w:val="255"/>
        </w:trPr>
        <w:tc>
          <w:tcPr>
            <w:tcW w:w="2162" w:type="dxa"/>
            <w:vMerge/>
            <w:tcBorders>
              <w:top w:val="single" w:sz="8" w:space="0" w:color="auto"/>
              <w:left w:val="single" w:sz="4" w:space="0" w:color="auto"/>
              <w:bottom w:val="single" w:sz="4" w:space="0" w:color="auto"/>
              <w:right w:val="single" w:sz="4" w:space="0" w:color="auto"/>
            </w:tcBorders>
            <w:vAlign w:val="center"/>
          </w:tcPr>
          <w:p w:rsidR="009B075E" w:rsidRPr="00F527AE" w:rsidRDefault="009B075E" w:rsidP="00F527AE">
            <w:pPr>
              <w:spacing w:after="0" w:line="240" w:lineRule="auto"/>
              <w:rPr>
                <w:rFonts w:ascii="Arial" w:hAnsi="Arial" w:cs="Arial"/>
                <w:sz w:val="20"/>
                <w:szCs w:val="20"/>
                <w:lang w:eastAsia="en-AU"/>
              </w:rPr>
            </w:pPr>
          </w:p>
        </w:tc>
        <w:tc>
          <w:tcPr>
            <w:tcW w:w="2276" w:type="dxa"/>
            <w:gridSpan w:val="2"/>
            <w:vMerge/>
            <w:tcBorders>
              <w:top w:val="single" w:sz="8" w:space="0" w:color="auto"/>
              <w:left w:val="single" w:sz="4" w:space="0" w:color="auto"/>
              <w:bottom w:val="single" w:sz="4" w:space="0" w:color="auto"/>
              <w:right w:val="single" w:sz="4" w:space="0" w:color="auto"/>
            </w:tcBorders>
            <w:vAlign w:val="center"/>
          </w:tcPr>
          <w:p w:rsidR="009B075E" w:rsidRPr="00F527AE" w:rsidRDefault="009B075E" w:rsidP="00F527AE">
            <w:pPr>
              <w:spacing w:after="0" w:line="240" w:lineRule="auto"/>
              <w:rPr>
                <w:rFonts w:ascii="Arial" w:hAnsi="Arial" w:cs="Arial"/>
                <w:sz w:val="16"/>
                <w:szCs w:val="16"/>
                <w:lang w:eastAsia="en-AU"/>
              </w:rPr>
            </w:pPr>
          </w:p>
        </w:tc>
        <w:tc>
          <w:tcPr>
            <w:tcW w:w="2170" w:type="dxa"/>
            <w:gridSpan w:val="2"/>
            <w:vMerge/>
            <w:tcBorders>
              <w:top w:val="single" w:sz="8" w:space="0" w:color="auto"/>
              <w:left w:val="single" w:sz="4" w:space="0" w:color="auto"/>
              <w:bottom w:val="single" w:sz="4" w:space="0" w:color="auto"/>
              <w:right w:val="single" w:sz="4" w:space="0" w:color="auto"/>
            </w:tcBorders>
            <w:vAlign w:val="center"/>
          </w:tcPr>
          <w:p w:rsidR="009B075E" w:rsidRPr="00F527AE" w:rsidRDefault="009B075E" w:rsidP="00F527AE">
            <w:pPr>
              <w:spacing w:after="0" w:line="240" w:lineRule="auto"/>
              <w:rPr>
                <w:rFonts w:ascii="Arial" w:hAnsi="Arial" w:cs="Arial"/>
                <w:sz w:val="16"/>
                <w:szCs w:val="16"/>
                <w:lang w:eastAsia="en-AU"/>
              </w:rPr>
            </w:pPr>
          </w:p>
        </w:tc>
        <w:tc>
          <w:tcPr>
            <w:tcW w:w="2273" w:type="dxa"/>
            <w:gridSpan w:val="2"/>
            <w:vMerge/>
            <w:tcBorders>
              <w:top w:val="single" w:sz="8" w:space="0" w:color="auto"/>
              <w:left w:val="single" w:sz="4" w:space="0" w:color="auto"/>
              <w:bottom w:val="single" w:sz="4" w:space="0" w:color="auto"/>
              <w:right w:val="single" w:sz="4" w:space="0" w:color="auto"/>
            </w:tcBorders>
            <w:vAlign w:val="center"/>
          </w:tcPr>
          <w:p w:rsidR="009B075E" w:rsidRPr="00F527AE" w:rsidRDefault="009B075E" w:rsidP="00F527AE">
            <w:pPr>
              <w:spacing w:after="0" w:line="240" w:lineRule="auto"/>
              <w:rPr>
                <w:rFonts w:ascii="Arial" w:hAnsi="Arial" w:cs="Arial"/>
                <w:sz w:val="16"/>
                <w:szCs w:val="16"/>
                <w:lang w:eastAsia="en-AU"/>
              </w:rPr>
            </w:pPr>
          </w:p>
        </w:tc>
        <w:tc>
          <w:tcPr>
            <w:tcW w:w="2103" w:type="dxa"/>
            <w:gridSpan w:val="2"/>
            <w:vMerge/>
            <w:tcBorders>
              <w:top w:val="single" w:sz="8" w:space="0" w:color="auto"/>
              <w:left w:val="single" w:sz="4" w:space="0" w:color="auto"/>
              <w:bottom w:val="single" w:sz="4" w:space="0" w:color="auto"/>
              <w:right w:val="single" w:sz="8" w:space="0" w:color="000000"/>
            </w:tcBorders>
            <w:vAlign w:val="center"/>
          </w:tcPr>
          <w:p w:rsidR="009B075E" w:rsidRPr="00F527AE" w:rsidRDefault="009B075E" w:rsidP="00F527AE">
            <w:pPr>
              <w:spacing w:after="0" w:line="240" w:lineRule="auto"/>
              <w:rPr>
                <w:rFonts w:ascii="Arial" w:hAnsi="Arial" w:cs="Arial"/>
                <w:sz w:val="16"/>
                <w:szCs w:val="16"/>
                <w:lang w:eastAsia="en-AU"/>
              </w:rPr>
            </w:pPr>
          </w:p>
        </w:tc>
      </w:tr>
      <w:tr w:rsidR="009B075E" w:rsidRPr="00F527AE" w:rsidTr="00F66113">
        <w:trPr>
          <w:trHeight w:val="255"/>
        </w:trPr>
        <w:tc>
          <w:tcPr>
            <w:tcW w:w="2162" w:type="dxa"/>
            <w:vMerge/>
            <w:tcBorders>
              <w:top w:val="single" w:sz="8" w:space="0" w:color="auto"/>
              <w:left w:val="single" w:sz="4" w:space="0" w:color="auto"/>
              <w:bottom w:val="single" w:sz="4" w:space="0" w:color="auto"/>
              <w:right w:val="single" w:sz="4" w:space="0" w:color="auto"/>
            </w:tcBorders>
            <w:vAlign w:val="center"/>
          </w:tcPr>
          <w:p w:rsidR="009B075E" w:rsidRPr="00F527AE" w:rsidRDefault="009B075E" w:rsidP="00F527AE">
            <w:pPr>
              <w:spacing w:after="0" w:line="240" w:lineRule="auto"/>
              <w:rPr>
                <w:rFonts w:ascii="Arial" w:hAnsi="Arial" w:cs="Arial"/>
                <w:sz w:val="20"/>
                <w:szCs w:val="20"/>
                <w:lang w:eastAsia="en-AU"/>
              </w:rPr>
            </w:pPr>
          </w:p>
        </w:tc>
        <w:tc>
          <w:tcPr>
            <w:tcW w:w="1517"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w:t>
            </w:r>
          </w:p>
        </w:tc>
        <w:tc>
          <w:tcPr>
            <w:tcW w:w="759" w:type="dxa"/>
            <w:tcBorders>
              <w:top w:val="single" w:sz="4" w:space="0" w:color="auto"/>
              <w:left w:val="nil"/>
              <w:bottom w:val="single" w:sz="4" w:space="0" w:color="auto"/>
              <w:right w:val="single" w:sz="4" w:space="0" w:color="auto"/>
            </w:tcBorders>
            <w:noWrap/>
            <w:vAlign w:val="bottom"/>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w:t>
            </w:r>
          </w:p>
        </w:tc>
        <w:tc>
          <w:tcPr>
            <w:tcW w:w="1411" w:type="dxa"/>
            <w:tcBorders>
              <w:top w:val="single" w:sz="4" w:space="0" w:color="auto"/>
              <w:left w:val="nil"/>
              <w:bottom w:val="single" w:sz="4" w:space="0" w:color="auto"/>
              <w:right w:val="single" w:sz="4" w:space="0" w:color="auto"/>
            </w:tcBorders>
            <w:noWrap/>
            <w:vAlign w:val="bottom"/>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w:t>
            </w:r>
          </w:p>
        </w:tc>
        <w:tc>
          <w:tcPr>
            <w:tcW w:w="759"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w:t>
            </w:r>
          </w:p>
        </w:tc>
        <w:tc>
          <w:tcPr>
            <w:tcW w:w="1514" w:type="dxa"/>
            <w:tcBorders>
              <w:top w:val="single" w:sz="4" w:space="0" w:color="auto"/>
              <w:left w:val="nil"/>
              <w:bottom w:val="single" w:sz="4" w:space="0" w:color="auto"/>
              <w:right w:val="single" w:sz="4" w:space="0" w:color="auto"/>
            </w:tcBorders>
            <w:noWrap/>
            <w:vAlign w:val="bottom"/>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w:t>
            </w:r>
          </w:p>
        </w:tc>
        <w:tc>
          <w:tcPr>
            <w:tcW w:w="759" w:type="dxa"/>
            <w:tcBorders>
              <w:top w:val="nil"/>
              <w:left w:val="nil"/>
              <w:bottom w:val="single" w:sz="4" w:space="0" w:color="auto"/>
              <w:right w:val="nil"/>
            </w:tcBorders>
            <w:noWrap/>
            <w:vAlign w:val="bottom"/>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w:t>
            </w:r>
          </w:p>
        </w:tc>
        <w:tc>
          <w:tcPr>
            <w:tcW w:w="1344" w:type="dxa"/>
            <w:tcBorders>
              <w:top w:val="single" w:sz="4" w:space="0" w:color="auto"/>
              <w:left w:val="single" w:sz="4" w:space="0" w:color="auto"/>
              <w:bottom w:val="single" w:sz="4" w:space="0" w:color="auto"/>
              <w:right w:val="single" w:sz="4" w:space="0" w:color="auto"/>
            </w:tcBorders>
            <w:noWrap/>
            <w:vAlign w:val="bottom"/>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w:t>
            </w:r>
          </w:p>
        </w:tc>
        <w:tc>
          <w:tcPr>
            <w:tcW w:w="759" w:type="dxa"/>
            <w:tcBorders>
              <w:top w:val="single" w:sz="4" w:space="0" w:color="auto"/>
              <w:left w:val="nil"/>
              <w:bottom w:val="single" w:sz="4" w:space="0" w:color="auto"/>
              <w:right w:val="single" w:sz="4" w:space="0" w:color="auto"/>
            </w:tcBorders>
            <w:noWrap/>
            <w:vAlign w:val="bottom"/>
          </w:tcPr>
          <w:p w:rsidR="009B075E" w:rsidRPr="00F527AE" w:rsidRDefault="009B075E" w:rsidP="00F527AE">
            <w:pPr>
              <w:spacing w:after="0" w:line="240" w:lineRule="auto"/>
              <w:jc w:val="center"/>
              <w:rPr>
                <w:rFonts w:ascii="Arial" w:hAnsi="Arial" w:cs="Arial"/>
                <w:sz w:val="16"/>
                <w:szCs w:val="16"/>
                <w:lang w:eastAsia="en-AU"/>
              </w:rPr>
            </w:pPr>
            <w:r w:rsidRPr="00F527AE">
              <w:rPr>
                <w:rFonts w:ascii="Arial" w:hAnsi="Arial" w:cs="Arial"/>
                <w:sz w:val="16"/>
                <w:szCs w:val="16"/>
                <w:lang w:eastAsia="en-AU"/>
              </w:rPr>
              <w:t>%</w:t>
            </w:r>
          </w:p>
        </w:tc>
      </w:tr>
      <w:tr w:rsidR="009B075E" w:rsidRPr="00F527AE" w:rsidTr="00F66113">
        <w:trPr>
          <w:trHeight w:val="255"/>
        </w:trPr>
        <w:tc>
          <w:tcPr>
            <w:tcW w:w="2162" w:type="dxa"/>
            <w:tcBorders>
              <w:top w:val="nil"/>
              <w:left w:val="single" w:sz="4" w:space="0" w:color="auto"/>
              <w:bottom w:val="nil"/>
              <w:right w:val="nil"/>
            </w:tcBorders>
            <w:vAlign w:val="bottom"/>
          </w:tcPr>
          <w:p w:rsidR="009B075E" w:rsidRPr="00F527AE" w:rsidRDefault="009B075E" w:rsidP="00F527AE">
            <w:pPr>
              <w:spacing w:after="0" w:line="240" w:lineRule="auto"/>
              <w:rPr>
                <w:rFonts w:ascii="Arial" w:hAnsi="Arial" w:cs="Arial"/>
                <w:sz w:val="20"/>
                <w:szCs w:val="20"/>
                <w:lang w:eastAsia="en-AU"/>
              </w:rPr>
            </w:pPr>
            <w:r w:rsidRPr="00F527AE">
              <w:rPr>
                <w:rFonts w:ascii="Arial" w:hAnsi="Arial" w:cs="Arial"/>
                <w:sz w:val="20"/>
                <w:szCs w:val="20"/>
                <w:lang w:eastAsia="en-AU"/>
              </w:rPr>
              <w:t>General Copay</w:t>
            </w:r>
          </w:p>
        </w:tc>
        <w:tc>
          <w:tcPr>
            <w:tcW w:w="1517" w:type="dxa"/>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149,176,213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33.4%</w:t>
            </w:r>
          </w:p>
        </w:tc>
        <w:tc>
          <w:tcPr>
            <w:tcW w:w="1411" w:type="dxa"/>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180,828,057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27.8%</w:t>
            </w:r>
          </w:p>
        </w:tc>
        <w:tc>
          <w:tcPr>
            <w:tcW w:w="1514" w:type="dxa"/>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118,902,404 </w:t>
            </w:r>
          </w:p>
        </w:tc>
        <w:tc>
          <w:tcPr>
            <w:tcW w:w="759" w:type="dxa"/>
            <w:tcBorders>
              <w:top w:val="nil"/>
              <w:left w:val="nil"/>
              <w:bottom w:val="nil"/>
              <w:right w:val="nil"/>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26.1%</w:t>
            </w:r>
          </w:p>
        </w:tc>
        <w:tc>
          <w:tcPr>
            <w:tcW w:w="1344" w:type="dxa"/>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73,599,142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24.2%</w:t>
            </w:r>
          </w:p>
        </w:tc>
      </w:tr>
      <w:tr w:rsidR="009B075E" w:rsidRPr="00F527AE" w:rsidTr="00F66113">
        <w:trPr>
          <w:trHeight w:val="255"/>
        </w:trPr>
        <w:tc>
          <w:tcPr>
            <w:tcW w:w="2162" w:type="dxa"/>
            <w:tcBorders>
              <w:top w:val="nil"/>
              <w:left w:val="single" w:sz="4" w:space="0" w:color="auto"/>
              <w:bottom w:val="nil"/>
              <w:right w:val="nil"/>
            </w:tcBorders>
            <w:vAlign w:val="bottom"/>
          </w:tcPr>
          <w:p w:rsidR="009B075E" w:rsidRPr="00F527AE" w:rsidRDefault="009B075E" w:rsidP="00F527AE">
            <w:pPr>
              <w:spacing w:after="0" w:line="240" w:lineRule="auto"/>
              <w:rPr>
                <w:rFonts w:ascii="Arial" w:hAnsi="Arial" w:cs="Arial"/>
                <w:sz w:val="20"/>
                <w:szCs w:val="20"/>
                <w:lang w:eastAsia="en-AU"/>
              </w:rPr>
            </w:pPr>
            <w:r w:rsidRPr="00F527AE">
              <w:rPr>
                <w:rFonts w:ascii="Arial" w:hAnsi="Arial" w:cs="Arial"/>
                <w:sz w:val="20"/>
                <w:szCs w:val="20"/>
                <w:lang w:eastAsia="en-AU"/>
              </w:rPr>
              <w:t>General SN</w:t>
            </w:r>
          </w:p>
        </w:tc>
        <w:tc>
          <w:tcPr>
            <w:tcW w:w="1517" w:type="dxa"/>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628,221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-0.1%</w:t>
            </w:r>
          </w:p>
        </w:tc>
        <w:tc>
          <w:tcPr>
            <w:tcW w:w="1411" w:type="dxa"/>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43,987,933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6.8%</w:t>
            </w:r>
          </w:p>
        </w:tc>
        <w:tc>
          <w:tcPr>
            <w:tcW w:w="1514" w:type="dxa"/>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17,888,481 </w:t>
            </w:r>
          </w:p>
        </w:tc>
        <w:tc>
          <w:tcPr>
            <w:tcW w:w="759" w:type="dxa"/>
            <w:tcBorders>
              <w:top w:val="nil"/>
              <w:left w:val="nil"/>
              <w:bottom w:val="nil"/>
              <w:right w:val="nil"/>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-3.9%</w:t>
            </w:r>
          </w:p>
        </w:tc>
        <w:tc>
          <w:tcPr>
            <w:tcW w:w="1344" w:type="dxa"/>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12,345,916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4.1%</w:t>
            </w:r>
          </w:p>
        </w:tc>
      </w:tr>
      <w:tr w:rsidR="009B075E" w:rsidRPr="00F527AE" w:rsidTr="00F66113">
        <w:trPr>
          <w:trHeight w:val="257"/>
        </w:trPr>
        <w:tc>
          <w:tcPr>
            <w:tcW w:w="2162" w:type="dxa"/>
            <w:tcBorders>
              <w:left w:val="single" w:sz="4" w:space="0" w:color="auto"/>
              <w:right w:val="single" w:sz="4" w:space="0" w:color="auto"/>
            </w:tcBorders>
          </w:tcPr>
          <w:p w:rsidR="009B075E" w:rsidRPr="00F527AE" w:rsidRDefault="009B075E" w:rsidP="00F527AE">
            <w:pPr>
              <w:spacing w:after="0" w:line="240" w:lineRule="auto"/>
              <w:rPr>
                <w:rFonts w:ascii="Arial" w:hAnsi="Arial" w:cs="Arial"/>
                <w:sz w:val="20"/>
                <w:szCs w:val="20"/>
                <w:lang w:eastAsia="en-AU"/>
              </w:rPr>
            </w:pPr>
            <w:r w:rsidRPr="00F527AE">
              <w:rPr>
                <w:rFonts w:ascii="Arial" w:hAnsi="Arial" w:cs="Arial"/>
                <w:sz w:val="20"/>
                <w:szCs w:val="20"/>
                <w:lang w:eastAsia="en-AU"/>
              </w:rPr>
              <w:t>Concessional Copay</w:t>
            </w:r>
          </w:p>
        </w:tc>
        <w:tc>
          <w:tcPr>
            <w:tcW w:w="1517" w:type="dxa"/>
            <w:tcBorders>
              <w:left w:val="single" w:sz="4" w:space="0" w:color="auto"/>
              <w:right w:val="single" w:sz="4" w:space="0" w:color="auto"/>
            </w:tcBorders>
            <w:noWrap/>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227,418,334 </w:t>
            </w:r>
          </w:p>
        </w:tc>
        <w:tc>
          <w:tcPr>
            <w:tcW w:w="759" w:type="dxa"/>
            <w:tcBorders>
              <w:left w:val="single" w:sz="4" w:space="0" w:color="auto"/>
              <w:right w:val="single" w:sz="4" w:space="0" w:color="auto"/>
            </w:tcBorders>
            <w:noWrap/>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50.9%</w:t>
            </w:r>
          </w:p>
        </w:tc>
        <w:tc>
          <w:tcPr>
            <w:tcW w:w="1411" w:type="dxa"/>
            <w:tcBorders>
              <w:left w:val="single" w:sz="4" w:space="0" w:color="auto"/>
              <w:right w:val="single" w:sz="4" w:space="0" w:color="auto"/>
            </w:tcBorders>
            <w:noWrap/>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348,289,727 </w:t>
            </w:r>
          </w:p>
        </w:tc>
        <w:tc>
          <w:tcPr>
            <w:tcW w:w="759" w:type="dxa"/>
            <w:tcBorders>
              <w:left w:val="single" w:sz="4" w:space="0" w:color="auto"/>
              <w:right w:val="single" w:sz="4" w:space="0" w:color="auto"/>
            </w:tcBorders>
            <w:noWrap/>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53.5%</w:t>
            </w:r>
          </w:p>
        </w:tc>
        <w:tc>
          <w:tcPr>
            <w:tcW w:w="1514" w:type="dxa"/>
            <w:tcBorders>
              <w:left w:val="single" w:sz="4" w:space="0" w:color="auto"/>
              <w:right w:val="single" w:sz="4" w:space="0" w:color="auto"/>
            </w:tcBorders>
            <w:noWrap/>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310,807,331 </w:t>
            </w:r>
          </w:p>
        </w:tc>
        <w:tc>
          <w:tcPr>
            <w:tcW w:w="759" w:type="dxa"/>
            <w:tcBorders>
              <w:left w:val="single" w:sz="4" w:space="0" w:color="auto"/>
              <w:right w:val="single" w:sz="4" w:space="0" w:color="auto"/>
            </w:tcBorders>
            <w:noWrap/>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68.2%</w:t>
            </w:r>
          </w:p>
        </w:tc>
        <w:tc>
          <w:tcPr>
            <w:tcW w:w="1344" w:type="dxa"/>
            <w:tcBorders>
              <w:left w:val="single" w:sz="4" w:space="0" w:color="auto"/>
              <w:right w:val="single" w:sz="4" w:space="0" w:color="auto"/>
            </w:tcBorders>
            <w:noWrap/>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$ 147,348,557 </w:t>
            </w:r>
          </w:p>
        </w:tc>
        <w:tc>
          <w:tcPr>
            <w:tcW w:w="759" w:type="dxa"/>
            <w:tcBorders>
              <w:left w:val="single" w:sz="4" w:space="0" w:color="auto"/>
              <w:right w:val="single" w:sz="4" w:space="0" w:color="auto"/>
            </w:tcBorders>
            <w:noWrap/>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48.4%</w:t>
            </w:r>
          </w:p>
        </w:tc>
      </w:tr>
      <w:tr w:rsidR="009B075E" w:rsidRPr="00F527AE" w:rsidTr="00F66113">
        <w:trPr>
          <w:trHeight w:val="255"/>
        </w:trPr>
        <w:tc>
          <w:tcPr>
            <w:tcW w:w="2162" w:type="dxa"/>
            <w:tcBorders>
              <w:top w:val="nil"/>
              <w:left w:val="single" w:sz="4" w:space="0" w:color="auto"/>
              <w:bottom w:val="nil"/>
              <w:right w:val="nil"/>
            </w:tcBorders>
            <w:vAlign w:val="bottom"/>
          </w:tcPr>
          <w:p w:rsidR="009B075E" w:rsidRPr="00F527AE" w:rsidRDefault="009B075E" w:rsidP="00F527AE">
            <w:pPr>
              <w:spacing w:after="0" w:line="240" w:lineRule="auto"/>
              <w:rPr>
                <w:rFonts w:ascii="Arial" w:hAnsi="Arial" w:cs="Arial"/>
                <w:sz w:val="20"/>
                <w:szCs w:val="20"/>
                <w:lang w:eastAsia="en-AU"/>
              </w:rPr>
            </w:pPr>
            <w:r w:rsidRPr="00F527AE">
              <w:rPr>
                <w:rFonts w:ascii="Arial" w:hAnsi="Arial" w:cs="Arial"/>
                <w:sz w:val="20"/>
                <w:szCs w:val="20"/>
                <w:lang w:eastAsia="en-AU"/>
              </w:rPr>
              <w:t>Concessional SN</w:t>
            </w:r>
          </w:p>
        </w:tc>
        <w:tc>
          <w:tcPr>
            <w:tcW w:w="1517" w:type="dxa"/>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70,447,319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15.8%</w:t>
            </w:r>
          </w:p>
        </w:tc>
        <w:tc>
          <w:tcPr>
            <w:tcW w:w="1411" w:type="dxa"/>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78,124,848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12.0%</w:t>
            </w:r>
          </w:p>
        </w:tc>
        <w:tc>
          <w:tcPr>
            <w:tcW w:w="1514" w:type="dxa"/>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43,669,361 </w:t>
            </w:r>
          </w:p>
        </w:tc>
        <w:tc>
          <w:tcPr>
            <w:tcW w:w="759" w:type="dxa"/>
            <w:tcBorders>
              <w:top w:val="nil"/>
              <w:left w:val="nil"/>
              <w:bottom w:val="nil"/>
              <w:right w:val="nil"/>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9.6%</w:t>
            </w:r>
          </w:p>
        </w:tc>
        <w:tc>
          <w:tcPr>
            <w:tcW w:w="1344" w:type="dxa"/>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70,963,034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23.3%</w:t>
            </w:r>
          </w:p>
        </w:tc>
      </w:tr>
      <w:tr w:rsidR="009B075E" w:rsidRPr="00F527AE" w:rsidTr="00F66113">
        <w:trPr>
          <w:trHeight w:val="255"/>
        </w:trPr>
        <w:tc>
          <w:tcPr>
            <w:tcW w:w="2162" w:type="dxa"/>
            <w:tcBorders>
              <w:top w:val="nil"/>
              <w:left w:val="single" w:sz="4" w:space="0" w:color="auto"/>
              <w:bottom w:val="nil"/>
              <w:right w:val="nil"/>
            </w:tcBorders>
            <w:noWrap/>
            <w:vAlign w:val="bottom"/>
          </w:tcPr>
          <w:p w:rsidR="009B075E" w:rsidRPr="00F527AE" w:rsidRDefault="009B075E" w:rsidP="00F527AE">
            <w:pPr>
              <w:spacing w:after="0" w:line="240" w:lineRule="auto"/>
              <w:rPr>
                <w:rFonts w:ascii="Arial" w:hAnsi="Arial" w:cs="Arial"/>
                <w:sz w:val="20"/>
                <w:szCs w:val="20"/>
                <w:lang w:eastAsia="en-AU"/>
              </w:rPr>
            </w:pPr>
            <w:r w:rsidRPr="00F527AE">
              <w:rPr>
                <w:rFonts w:ascii="Arial" w:hAnsi="Arial" w:cs="Arial"/>
                <w:sz w:val="20"/>
                <w:szCs w:val="20"/>
                <w:lang w:eastAsia="en-AU"/>
              </w:rPr>
              <w:t>Total (excl Drs Bag)</w:t>
            </w:r>
          </w:p>
        </w:tc>
        <w:tc>
          <w:tcPr>
            <w:tcW w:w="1517" w:type="dxa"/>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446,413,645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100.0%</w:t>
            </w:r>
          </w:p>
        </w:tc>
        <w:tc>
          <w:tcPr>
            <w:tcW w:w="1411" w:type="dxa"/>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651,230,565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100.0%</w:t>
            </w:r>
          </w:p>
        </w:tc>
        <w:tc>
          <w:tcPr>
            <w:tcW w:w="1514" w:type="dxa"/>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455,490,615 </w:t>
            </w:r>
          </w:p>
        </w:tc>
        <w:tc>
          <w:tcPr>
            <w:tcW w:w="759" w:type="dxa"/>
            <w:tcBorders>
              <w:top w:val="nil"/>
              <w:left w:val="nil"/>
              <w:bottom w:val="nil"/>
              <w:right w:val="nil"/>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100.0%</w:t>
            </w:r>
          </w:p>
        </w:tc>
        <w:tc>
          <w:tcPr>
            <w:tcW w:w="1344" w:type="dxa"/>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$ 304,256,648 </w:t>
            </w:r>
          </w:p>
        </w:tc>
        <w:tc>
          <w:tcPr>
            <w:tcW w:w="759" w:type="dxa"/>
            <w:tcBorders>
              <w:top w:val="nil"/>
              <w:left w:val="nil"/>
              <w:bottom w:val="nil"/>
              <w:right w:val="single" w:sz="4" w:space="0" w:color="auto"/>
            </w:tcBorders>
            <w:noWrap/>
            <w:vAlign w:val="bottom"/>
          </w:tcPr>
          <w:p w:rsidR="009B075E" w:rsidRPr="00F527AE" w:rsidRDefault="009B075E" w:rsidP="00F527AE">
            <w:pPr>
              <w:spacing w:after="0" w:line="240" w:lineRule="auto"/>
              <w:jc w:val="right"/>
              <w:rPr>
                <w:rFonts w:ascii="Arial" w:hAnsi="Arial" w:cs="Arial"/>
                <w:sz w:val="16"/>
                <w:szCs w:val="16"/>
                <w:lang w:eastAsia="en-AU"/>
              </w:rPr>
            </w:pPr>
            <w:r w:rsidRPr="00F527AE">
              <w:rPr>
                <w:rFonts w:ascii="Arial" w:hAnsi="Arial" w:cs="Arial"/>
                <w:sz w:val="16"/>
                <w:szCs w:val="16"/>
                <w:lang w:eastAsia="en-AU"/>
              </w:rPr>
              <w:t>100.0%</w:t>
            </w:r>
          </w:p>
        </w:tc>
      </w:tr>
      <w:tr w:rsidR="009B075E" w:rsidRPr="00F527AE" w:rsidTr="00F66113">
        <w:trPr>
          <w:trHeight w:val="255"/>
        </w:trPr>
        <w:tc>
          <w:tcPr>
            <w:tcW w:w="2162" w:type="dxa"/>
            <w:tcBorders>
              <w:top w:val="nil"/>
              <w:left w:val="single" w:sz="4" w:space="0" w:color="auto"/>
              <w:bottom w:val="single" w:sz="4" w:space="0" w:color="auto"/>
              <w:right w:val="nil"/>
            </w:tcBorders>
            <w:noWrap/>
            <w:vAlign w:val="bottom"/>
          </w:tcPr>
          <w:p w:rsidR="009B075E" w:rsidRPr="00F527AE" w:rsidRDefault="009B075E" w:rsidP="00F527AE">
            <w:pPr>
              <w:spacing w:after="0" w:line="240" w:lineRule="auto"/>
              <w:rPr>
                <w:rFonts w:ascii="Arial" w:hAnsi="Arial" w:cs="Arial"/>
                <w:sz w:val="20"/>
                <w:szCs w:val="20"/>
                <w:lang w:eastAsia="en-AU"/>
              </w:rPr>
            </w:pPr>
            <w:r w:rsidRPr="00F527AE">
              <w:rPr>
                <w:rFonts w:ascii="Arial" w:hAnsi="Arial" w:cs="Arial"/>
                <w:sz w:val="20"/>
                <w:szCs w:val="20"/>
                <w:lang w:eastAsia="en-AU"/>
              </w:rPr>
              <w:t>Drs Bag</w:t>
            </w:r>
          </w:p>
        </w:tc>
        <w:tc>
          <w:tcPr>
            <w:tcW w:w="1517" w:type="dxa"/>
            <w:tcBorders>
              <w:top w:val="nil"/>
              <w:left w:val="single" w:sz="4" w:space="0" w:color="auto"/>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2,770,574 </w:t>
            </w:r>
          </w:p>
        </w:tc>
        <w:tc>
          <w:tcPr>
            <w:tcW w:w="759"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w:t>
            </w:r>
          </w:p>
        </w:tc>
        <w:tc>
          <w:tcPr>
            <w:tcW w:w="1411"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1,064,523 </w:t>
            </w:r>
          </w:p>
        </w:tc>
        <w:tc>
          <w:tcPr>
            <w:tcW w:w="759"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w:t>
            </w:r>
          </w:p>
        </w:tc>
        <w:tc>
          <w:tcPr>
            <w:tcW w:w="1514"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961,526 </w:t>
            </w:r>
          </w:p>
        </w:tc>
        <w:tc>
          <w:tcPr>
            <w:tcW w:w="759" w:type="dxa"/>
            <w:tcBorders>
              <w:top w:val="nil"/>
              <w:left w:val="nil"/>
              <w:bottom w:val="single" w:sz="4" w:space="0" w:color="auto"/>
              <w:right w:val="nil"/>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w:t>
            </w:r>
          </w:p>
        </w:tc>
        <w:tc>
          <w:tcPr>
            <w:tcW w:w="1344" w:type="dxa"/>
            <w:tcBorders>
              <w:top w:val="nil"/>
              <w:left w:val="single" w:sz="4" w:space="0" w:color="auto"/>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656,744 </w:t>
            </w:r>
          </w:p>
        </w:tc>
        <w:tc>
          <w:tcPr>
            <w:tcW w:w="759"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w:t>
            </w:r>
          </w:p>
        </w:tc>
      </w:tr>
      <w:tr w:rsidR="009B075E" w:rsidRPr="00F527AE" w:rsidTr="00F66113">
        <w:trPr>
          <w:trHeight w:val="270"/>
        </w:trPr>
        <w:tc>
          <w:tcPr>
            <w:tcW w:w="2162" w:type="dxa"/>
            <w:tcBorders>
              <w:top w:val="nil"/>
              <w:left w:val="single" w:sz="4" w:space="0" w:color="auto"/>
              <w:bottom w:val="single" w:sz="4" w:space="0" w:color="auto"/>
              <w:right w:val="nil"/>
            </w:tcBorders>
            <w:noWrap/>
            <w:vAlign w:val="bottom"/>
          </w:tcPr>
          <w:p w:rsidR="009B075E" w:rsidRPr="00F527AE" w:rsidRDefault="009B075E" w:rsidP="00F527AE">
            <w:pPr>
              <w:spacing w:after="0" w:line="240" w:lineRule="auto"/>
              <w:rPr>
                <w:rFonts w:ascii="Arial" w:hAnsi="Arial" w:cs="Arial"/>
                <w:sz w:val="20"/>
                <w:szCs w:val="20"/>
                <w:lang w:eastAsia="en-AU"/>
              </w:rPr>
            </w:pPr>
            <w:r w:rsidRPr="00F527AE">
              <w:rPr>
                <w:rFonts w:ascii="Arial" w:hAnsi="Arial" w:cs="Arial"/>
                <w:sz w:val="20"/>
                <w:szCs w:val="20"/>
                <w:lang w:eastAsia="en-AU"/>
              </w:rPr>
              <w:t>Total (incl Drs Bag)</w:t>
            </w:r>
          </w:p>
        </w:tc>
        <w:tc>
          <w:tcPr>
            <w:tcW w:w="1517" w:type="dxa"/>
            <w:tcBorders>
              <w:top w:val="nil"/>
              <w:left w:val="single" w:sz="4" w:space="0" w:color="auto"/>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449,184,219 </w:t>
            </w:r>
          </w:p>
        </w:tc>
        <w:tc>
          <w:tcPr>
            <w:tcW w:w="759"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w:t>
            </w:r>
          </w:p>
        </w:tc>
        <w:tc>
          <w:tcPr>
            <w:tcW w:w="1411"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652,295,088 </w:t>
            </w:r>
          </w:p>
        </w:tc>
        <w:tc>
          <w:tcPr>
            <w:tcW w:w="759" w:type="dxa"/>
            <w:tcBorders>
              <w:top w:val="nil"/>
              <w:left w:val="nil"/>
              <w:bottom w:val="single" w:sz="8"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w:t>
            </w:r>
          </w:p>
        </w:tc>
        <w:tc>
          <w:tcPr>
            <w:tcW w:w="1514"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454,529,089 </w:t>
            </w:r>
          </w:p>
        </w:tc>
        <w:tc>
          <w:tcPr>
            <w:tcW w:w="759" w:type="dxa"/>
            <w:tcBorders>
              <w:top w:val="nil"/>
              <w:left w:val="nil"/>
              <w:bottom w:val="single" w:sz="8" w:space="0" w:color="auto"/>
              <w:right w:val="nil"/>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w:t>
            </w:r>
          </w:p>
        </w:tc>
        <w:tc>
          <w:tcPr>
            <w:tcW w:w="1344" w:type="dxa"/>
            <w:tcBorders>
              <w:top w:val="nil"/>
              <w:left w:val="single" w:sz="4" w:space="0" w:color="auto"/>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xml:space="preserve"> $ 304,913,392 </w:t>
            </w:r>
          </w:p>
        </w:tc>
        <w:tc>
          <w:tcPr>
            <w:tcW w:w="759"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w:hAnsi="Arial" w:cs="Arial"/>
                <w:sz w:val="16"/>
                <w:szCs w:val="16"/>
                <w:lang w:eastAsia="en-AU"/>
              </w:rPr>
            </w:pPr>
            <w:r w:rsidRPr="00F527AE">
              <w:rPr>
                <w:rFonts w:ascii="Arial" w:hAnsi="Arial" w:cs="Arial"/>
                <w:sz w:val="16"/>
                <w:szCs w:val="16"/>
                <w:lang w:eastAsia="en-AU"/>
              </w:rPr>
              <w:t> </w:t>
            </w:r>
          </w:p>
        </w:tc>
      </w:tr>
    </w:tbl>
    <w:p w:rsidR="009B075E" w:rsidRPr="00DC51D5" w:rsidRDefault="009B075E" w:rsidP="00CD48FC">
      <w:pPr>
        <w:rPr>
          <w:rFonts w:ascii="Arial" w:hAnsi="Arial" w:cs="Arial"/>
          <w:highlight w:val="yellow"/>
        </w:rPr>
      </w:pPr>
    </w:p>
    <w:p w:rsidR="009B075E" w:rsidRPr="00DC51D5" w:rsidRDefault="009B075E" w:rsidP="00CD48FC">
      <w:pPr>
        <w:rPr>
          <w:rFonts w:ascii="Arial" w:hAnsi="Arial" w:cs="Arial"/>
          <w:highlight w:val="yellow"/>
        </w:rPr>
      </w:pPr>
      <w:r w:rsidRPr="00DC51D5">
        <w:rPr>
          <w:rFonts w:ascii="Arial" w:hAnsi="Arial" w:cs="Arial"/>
          <w:highlight w:val="yellow"/>
        </w:rPr>
        <w:br w:type="page"/>
      </w:r>
    </w:p>
    <w:p w:rsidR="009B075E" w:rsidRPr="00F527AE" w:rsidRDefault="009B075E" w:rsidP="00CD48FC">
      <w:pPr>
        <w:pStyle w:val="Caption"/>
        <w:jc w:val="left"/>
        <w:rPr>
          <w:rFonts w:ascii="Arial" w:hAnsi="Arial" w:cs="Arial"/>
          <w:sz w:val="22"/>
          <w:szCs w:val="22"/>
        </w:rPr>
      </w:pPr>
      <w:bookmarkStart w:id="107" w:name="_Ref301528899"/>
      <w:r w:rsidRPr="00F527AE">
        <w:rPr>
          <w:rFonts w:ascii="Arial" w:hAnsi="Arial" w:cs="Arial"/>
          <w:sz w:val="22"/>
          <w:szCs w:val="22"/>
        </w:rPr>
        <w:lastRenderedPageBreak/>
        <w:t xml:space="preserve">Table </w:t>
      </w:r>
      <w:r w:rsidR="00855AAF" w:rsidRPr="00F527AE">
        <w:rPr>
          <w:rFonts w:ascii="Arial" w:hAnsi="Arial" w:cs="Arial"/>
          <w:sz w:val="22"/>
          <w:szCs w:val="22"/>
        </w:rPr>
        <w:fldChar w:fldCharType="begin"/>
      </w:r>
      <w:r w:rsidRPr="00F527AE">
        <w:rPr>
          <w:rFonts w:ascii="Arial" w:hAnsi="Arial" w:cs="Arial"/>
          <w:sz w:val="22"/>
          <w:szCs w:val="22"/>
        </w:rPr>
        <w:instrText xml:space="preserve"> SEQ Table \* ARABIC </w:instrText>
      </w:r>
      <w:r w:rsidR="00855AAF" w:rsidRPr="00F527AE">
        <w:rPr>
          <w:rFonts w:ascii="Arial" w:hAnsi="Arial" w:cs="Arial"/>
          <w:sz w:val="22"/>
          <w:szCs w:val="22"/>
        </w:rPr>
        <w:fldChar w:fldCharType="separate"/>
      </w:r>
      <w:r w:rsidR="00584343">
        <w:rPr>
          <w:rFonts w:ascii="Arial" w:hAnsi="Arial" w:cs="Arial"/>
          <w:noProof/>
          <w:sz w:val="22"/>
          <w:szCs w:val="22"/>
        </w:rPr>
        <w:t>17</w:t>
      </w:r>
      <w:r w:rsidR="00855AAF" w:rsidRPr="00F527AE">
        <w:rPr>
          <w:rFonts w:ascii="Arial" w:hAnsi="Arial" w:cs="Arial"/>
          <w:sz w:val="22"/>
          <w:szCs w:val="22"/>
        </w:rPr>
        <w:fldChar w:fldCharType="end"/>
      </w:r>
      <w:bookmarkEnd w:id="107"/>
      <w:r w:rsidRPr="00F527AE">
        <w:rPr>
          <w:rFonts w:ascii="Arial" w:hAnsi="Arial" w:cs="Arial"/>
          <w:sz w:val="22"/>
          <w:szCs w:val="22"/>
        </w:rPr>
        <w:t xml:space="preserve">: Trends in patient contribution and Government contribution </w:t>
      </w:r>
    </w:p>
    <w:tbl>
      <w:tblPr>
        <w:tblW w:w="0" w:type="auto"/>
        <w:tblInd w:w="98" w:type="dxa"/>
        <w:tblLook w:val="00A0" w:firstRow="1" w:lastRow="0" w:firstColumn="1" w:lastColumn="0" w:noHBand="0" w:noVBand="0"/>
      </w:tblPr>
      <w:tblGrid>
        <w:gridCol w:w="698"/>
        <w:gridCol w:w="1303"/>
        <w:gridCol w:w="1540"/>
        <w:gridCol w:w="1340"/>
        <w:gridCol w:w="1275"/>
      </w:tblGrid>
      <w:tr w:rsidR="009B075E" w:rsidRPr="00F527AE" w:rsidTr="00F527AE">
        <w:trPr>
          <w:trHeight w:val="510"/>
        </w:trPr>
        <w:tc>
          <w:tcPr>
            <w:tcW w:w="0" w:type="auto"/>
            <w:tcBorders>
              <w:top w:val="single" w:sz="8" w:space="0" w:color="auto"/>
              <w:left w:val="single" w:sz="8" w:space="0" w:color="auto"/>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w:t>
            </w:r>
          </w:p>
        </w:tc>
        <w:tc>
          <w:tcPr>
            <w:tcW w:w="0" w:type="auto"/>
            <w:tcBorders>
              <w:top w:val="single" w:sz="8" w:space="0" w:color="auto"/>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w:t>
            </w:r>
          </w:p>
        </w:tc>
        <w:tc>
          <w:tcPr>
            <w:tcW w:w="0" w:type="auto"/>
            <w:tcBorders>
              <w:top w:val="single" w:sz="8" w:space="0" w:color="auto"/>
              <w:left w:val="nil"/>
              <w:bottom w:val="nil"/>
              <w:right w:val="single" w:sz="4" w:space="0" w:color="auto"/>
            </w:tcBorders>
            <w:vAlign w:val="bottom"/>
          </w:tcPr>
          <w:p w:rsidR="009B075E" w:rsidRPr="00F527AE" w:rsidRDefault="009B075E" w:rsidP="00F527AE">
            <w:pPr>
              <w:spacing w:after="0" w:line="240" w:lineRule="auto"/>
              <w:jc w:val="center"/>
              <w:rPr>
                <w:rFonts w:ascii="Arial Narrow" w:hAnsi="Arial Narrow" w:cs="Arial"/>
                <w:sz w:val="16"/>
                <w:szCs w:val="16"/>
                <w:lang w:eastAsia="en-AU"/>
              </w:rPr>
            </w:pPr>
            <w:r w:rsidRPr="00F527AE">
              <w:rPr>
                <w:rFonts w:ascii="Arial Narrow" w:hAnsi="Arial Narrow" w:cs="Arial"/>
                <w:sz w:val="16"/>
                <w:szCs w:val="16"/>
                <w:lang w:eastAsia="en-AU"/>
              </w:rPr>
              <w:t>Gov't PBS expenditure</w:t>
            </w:r>
          </w:p>
        </w:tc>
        <w:tc>
          <w:tcPr>
            <w:tcW w:w="0" w:type="auto"/>
            <w:tcBorders>
              <w:top w:val="single" w:sz="8" w:space="0" w:color="auto"/>
              <w:left w:val="nil"/>
              <w:bottom w:val="nil"/>
              <w:right w:val="single" w:sz="4" w:space="0" w:color="auto"/>
            </w:tcBorders>
            <w:vAlign w:val="bottom"/>
          </w:tcPr>
          <w:p w:rsidR="009B075E" w:rsidRPr="00F527AE" w:rsidRDefault="009B075E" w:rsidP="00F527AE">
            <w:pPr>
              <w:spacing w:after="0" w:line="240" w:lineRule="auto"/>
              <w:jc w:val="center"/>
              <w:rPr>
                <w:rFonts w:ascii="Arial Narrow" w:hAnsi="Arial Narrow" w:cs="Arial"/>
                <w:sz w:val="16"/>
                <w:szCs w:val="16"/>
                <w:lang w:eastAsia="en-AU"/>
              </w:rPr>
            </w:pPr>
            <w:r w:rsidRPr="00F527AE">
              <w:rPr>
                <w:rFonts w:ascii="Arial Narrow" w:hAnsi="Arial Narrow" w:cs="Arial"/>
                <w:sz w:val="16"/>
                <w:szCs w:val="16"/>
                <w:lang w:eastAsia="en-AU"/>
              </w:rPr>
              <w:t>Patient contribution</w:t>
            </w:r>
          </w:p>
        </w:tc>
        <w:tc>
          <w:tcPr>
            <w:tcW w:w="0" w:type="auto"/>
            <w:tcBorders>
              <w:top w:val="single" w:sz="8" w:space="0" w:color="auto"/>
              <w:left w:val="nil"/>
              <w:bottom w:val="nil"/>
              <w:right w:val="single" w:sz="8" w:space="0" w:color="auto"/>
            </w:tcBorders>
            <w:noWrap/>
            <w:vAlign w:val="bottom"/>
          </w:tcPr>
          <w:p w:rsidR="009B075E" w:rsidRPr="00F527AE" w:rsidRDefault="009B075E" w:rsidP="00F527AE">
            <w:pPr>
              <w:spacing w:after="0" w:line="240" w:lineRule="auto"/>
              <w:jc w:val="center"/>
              <w:rPr>
                <w:rFonts w:ascii="Arial Narrow" w:hAnsi="Arial Narrow" w:cs="Arial"/>
                <w:sz w:val="16"/>
                <w:szCs w:val="16"/>
                <w:lang w:eastAsia="en-AU"/>
              </w:rPr>
            </w:pPr>
            <w:r w:rsidRPr="00F527AE">
              <w:rPr>
                <w:rFonts w:ascii="Arial Narrow" w:hAnsi="Arial Narrow" w:cs="Arial"/>
                <w:sz w:val="16"/>
                <w:szCs w:val="16"/>
                <w:lang w:eastAsia="en-AU"/>
              </w:rPr>
              <w:t>Total Cost</w:t>
            </w:r>
          </w:p>
        </w:tc>
      </w:tr>
      <w:tr w:rsidR="009B075E" w:rsidRPr="00F527AE" w:rsidTr="00F527AE">
        <w:trPr>
          <w:trHeight w:val="255"/>
        </w:trPr>
        <w:tc>
          <w:tcPr>
            <w:tcW w:w="0" w:type="auto"/>
            <w:vMerge w:val="restart"/>
            <w:tcBorders>
              <w:top w:val="single" w:sz="4" w:space="0" w:color="auto"/>
              <w:left w:val="single" w:sz="8" w:space="0" w:color="auto"/>
              <w:bottom w:val="single" w:sz="4" w:space="0" w:color="000000"/>
              <w:right w:val="nil"/>
            </w:tcBorders>
            <w:noWrap/>
            <w:vAlign w:val="center"/>
          </w:tcPr>
          <w:p w:rsidR="009B075E" w:rsidRPr="00F527AE" w:rsidRDefault="009B075E" w:rsidP="00F527AE">
            <w:pPr>
              <w:spacing w:after="0" w:line="240" w:lineRule="auto"/>
              <w:jc w:val="center"/>
              <w:rPr>
                <w:rFonts w:ascii="Arial Narrow" w:hAnsi="Arial Narrow" w:cs="Arial"/>
                <w:sz w:val="16"/>
                <w:szCs w:val="16"/>
                <w:lang w:eastAsia="en-AU"/>
              </w:rPr>
            </w:pPr>
            <w:r w:rsidRPr="00F527AE">
              <w:rPr>
                <w:rFonts w:ascii="Arial Narrow" w:hAnsi="Arial Narrow" w:cs="Arial"/>
                <w:sz w:val="16"/>
                <w:szCs w:val="16"/>
                <w:lang w:eastAsia="en-AU"/>
              </w:rPr>
              <w:t>2006-07</w:t>
            </w:r>
          </w:p>
        </w:tc>
        <w:tc>
          <w:tcPr>
            <w:tcW w:w="0" w:type="auto"/>
            <w:tcBorders>
              <w:top w:val="single" w:sz="4" w:space="0" w:color="auto"/>
              <w:left w:val="single" w:sz="4" w:space="0" w:color="auto"/>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General PBS</w:t>
            </w:r>
          </w:p>
        </w:tc>
        <w:tc>
          <w:tcPr>
            <w:tcW w:w="0" w:type="auto"/>
            <w:tcBorders>
              <w:top w:val="single" w:sz="4" w:space="0" w:color="auto"/>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1,064,403,307 </w:t>
            </w:r>
          </w:p>
        </w:tc>
        <w:tc>
          <w:tcPr>
            <w:tcW w:w="0" w:type="auto"/>
            <w:tcBorders>
              <w:top w:val="single" w:sz="4" w:space="0" w:color="auto"/>
              <w:left w:val="nil"/>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618,637,888 </w:t>
            </w:r>
          </w:p>
        </w:tc>
        <w:tc>
          <w:tcPr>
            <w:tcW w:w="0" w:type="auto"/>
            <w:tcBorders>
              <w:top w:val="single" w:sz="4" w:space="0" w:color="auto"/>
              <w:left w:val="nil"/>
              <w:bottom w:val="nil"/>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1,683,041,195 </w:t>
            </w:r>
          </w:p>
        </w:tc>
      </w:tr>
      <w:tr w:rsidR="009B075E" w:rsidRPr="00F527AE" w:rsidTr="00F527AE">
        <w:trPr>
          <w:trHeight w:val="255"/>
        </w:trPr>
        <w:tc>
          <w:tcPr>
            <w:tcW w:w="0" w:type="auto"/>
            <w:vMerge/>
            <w:tcBorders>
              <w:top w:val="single" w:sz="4" w:space="0" w:color="auto"/>
              <w:left w:val="single" w:sz="8" w:space="0" w:color="auto"/>
              <w:bottom w:val="single" w:sz="4" w:space="0" w:color="000000"/>
              <w:right w:val="nil"/>
            </w:tcBorders>
            <w:vAlign w:val="center"/>
          </w:tcPr>
          <w:p w:rsidR="009B075E" w:rsidRPr="00F527AE" w:rsidRDefault="009B075E" w:rsidP="00F527AE">
            <w:pPr>
              <w:spacing w:after="0" w:line="240" w:lineRule="auto"/>
              <w:rPr>
                <w:rFonts w:ascii="Arial Narrow" w:hAnsi="Arial Narrow" w:cs="Arial"/>
                <w:sz w:val="16"/>
                <w:szCs w:val="16"/>
                <w:lang w:eastAsia="en-AU"/>
              </w:rPr>
            </w:pPr>
          </w:p>
        </w:tc>
        <w:tc>
          <w:tcPr>
            <w:tcW w:w="0" w:type="auto"/>
            <w:tcBorders>
              <w:top w:val="nil"/>
              <w:left w:val="single" w:sz="4" w:space="0" w:color="auto"/>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Concessional PBS</w:t>
            </w:r>
          </w:p>
        </w:tc>
        <w:tc>
          <w:tcPr>
            <w:tcW w:w="0" w:type="auto"/>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4,401,354,023 </w:t>
            </w:r>
          </w:p>
        </w:tc>
        <w:tc>
          <w:tcPr>
            <w:tcW w:w="0" w:type="auto"/>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532,682,972 </w:t>
            </w:r>
          </w:p>
        </w:tc>
        <w:tc>
          <w:tcPr>
            <w:tcW w:w="0" w:type="auto"/>
            <w:tcBorders>
              <w:top w:val="nil"/>
              <w:left w:val="nil"/>
              <w:bottom w:val="nil"/>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4,934,036,994 </w:t>
            </w:r>
          </w:p>
        </w:tc>
      </w:tr>
      <w:tr w:rsidR="009B075E" w:rsidRPr="00F527AE" w:rsidTr="00F527AE">
        <w:trPr>
          <w:trHeight w:val="255"/>
        </w:trPr>
        <w:tc>
          <w:tcPr>
            <w:tcW w:w="0" w:type="auto"/>
            <w:vMerge/>
            <w:tcBorders>
              <w:top w:val="single" w:sz="4" w:space="0" w:color="auto"/>
              <w:left w:val="single" w:sz="8" w:space="0" w:color="auto"/>
              <w:bottom w:val="single" w:sz="4" w:space="0" w:color="000000"/>
              <w:right w:val="nil"/>
            </w:tcBorders>
            <w:vAlign w:val="center"/>
          </w:tcPr>
          <w:p w:rsidR="009B075E" w:rsidRPr="00F527AE" w:rsidRDefault="009B075E" w:rsidP="00F527AE">
            <w:pPr>
              <w:spacing w:after="0" w:line="240" w:lineRule="auto"/>
              <w:rPr>
                <w:rFonts w:ascii="Arial Narrow" w:hAnsi="Arial Narrow" w:cs="Arial"/>
                <w:sz w:val="16"/>
                <w:szCs w:val="16"/>
                <w:lang w:eastAsia="en-AU"/>
              </w:rPr>
            </w:pPr>
          </w:p>
        </w:tc>
        <w:tc>
          <w:tcPr>
            <w:tcW w:w="0" w:type="auto"/>
            <w:tcBorders>
              <w:top w:val="nil"/>
              <w:left w:val="single" w:sz="4" w:space="0" w:color="auto"/>
              <w:bottom w:val="single" w:sz="4" w:space="0" w:color="auto"/>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Total</w:t>
            </w:r>
          </w:p>
        </w:tc>
        <w:tc>
          <w:tcPr>
            <w:tcW w:w="0" w:type="auto"/>
            <w:tcBorders>
              <w:top w:val="nil"/>
              <w:left w:val="single" w:sz="4" w:space="0" w:color="auto"/>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5,465,757,330 </w:t>
            </w:r>
          </w:p>
        </w:tc>
        <w:tc>
          <w:tcPr>
            <w:tcW w:w="0" w:type="auto"/>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1,151,320,859 </w:t>
            </w:r>
          </w:p>
        </w:tc>
        <w:tc>
          <w:tcPr>
            <w:tcW w:w="0" w:type="auto"/>
            <w:tcBorders>
              <w:top w:val="nil"/>
              <w:left w:val="nil"/>
              <w:bottom w:val="single" w:sz="4" w:space="0" w:color="auto"/>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6,617,078,189 </w:t>
            </w:r>
          </w:p>
        </w:tc>
      </w:tr>
      <w:tr w:rsidR="009B075E" w:rsidRPr="00F527AE" w:rsidTr="00F527AE">
        <w:trPr>
          <w:trHeight w:val="255"/>
        </w:trPr>
        <w:tc>
          <w:tcPr>
            <w:tcW w:w="0" w:type="auto"/>
            <w:vMerge w:val="restart"/>
            <w:tcBorders>
              <w:top w:val="nil"/>
              <w:left w:val="single" w:sz="8" w:space="0" w:color="auto"/>
              <w:bottom w:val="single" w:sz="4" w:space="0" w:color="000000"/>
              <w:right w:val="nil"/>
            </w:tcBorders>
            <w:noWrap/>
            <w:vAlign w:val="center"/>
          </w:tcPr>
          <w:p w:rsidR="009B075E" w:rsidRPr="00F527AE" w:rsidRDefault="009B075E" w:rsidP="00F527AE">
            <w:pPr>
              <w:spacing w:after="0" w:line="240" w:lineRule="auto"/>
              <w:jc w:val="center"/>
              <w:rPr>
                <w:rFonts w:ascii="Arial Narrow" w:hAnsi="Arial Narrow" w:cs="Arial"/>
                <w:sz w:val="16"/>
                <w:szCs w:val="16"/>
                <w:lang w:eastAsia="en-AU"/>
              </w:rPr>
            </w:pPr>
            <w:r w:rsidRPr="00F527AE">
              <w:rPr>
                <w:rFonts w:ascii="Arial Narrow" w:hAnsi="Arial Narrow" w:cs="Arial"/>
                <w:sz w:val="16"/>
                <w:szCs w:val="16"/>
                <w:lang w:eastAsia="en-AU"/>
              </w:rPr>
              <w:t>2007-08</w:t>
            </w:r>
          </w:p>
        </w:tc>
        <w:tc>
          <w:tcPr>
            <w:tcW w:w="0" w:type="auto"/>
            <w:tcBorders>
              <w:top w:val="nil"/>
              <w:left w:val="single" w:sz="4" w:space="0" w:color="auto"/>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General</w:t>
            </w:r>
          </w:p>
        </w:tc>
        <w:tc>
          <w:tcPr>
            <w:tcW w:w="0" w:type="auto"/>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1,212,951,299 </w:t>
            </w:r>
          </w:p>
        </w:tc>
        <w:tc>
          <w:tcPr>
            <w:tcW w:w="0" w:type="auto"/>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629,506,417 </w:t>
            </w:r>
          </w:p>
        </w:tc>
        <w:tc>
          <w:tcPr>
            <w:tcW w:w="0" w:type="auto"/>
            <w:tcBorders>
              <w:top w:val="nil"/>
              <w:left w:val="nil"/>
              <w:bottom w:val="nil"/>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1,842,457,716 </w:t>
            </w:r>
          </w:p>
        </w:tc>
      </w:tr>
      <w:tr w:rsidR="009B075E" w:rsidRPr="00F527AE" w:rsidTr="00F527AE">
        <w:trPr>
          <w:trHeight w:val="255"/>
        </w:trPr>
        <w:tc>
          <w:tcPr>
            <w:tcW w:w="0" w:type="auto"/>
            <w:vMerge/>
            <w:tcBorders>
              <w:top w:val="nil"/>
              <w:left w:val="single" w:sz="8" w:space="0" w:color="auto"/>
              <w:bottom w:val="single" w:sz="4" w:space="0" w:color="000000"/>
              <w:right w:val="nil"/>
            </w:tcBorders>
            <w:vAlign w:val="center"/>
          </w:tcPr>
          <w:p w:rsidR="009B075E" w:rsidRPr="00F527AE" w:rsidRDefault="009B075E" w:rsidP="00F527AE">
            <w:pPr>
              <w:spacing w:after="0" w:line="240" w:lineRule="auto"/>
              <w:rPr>
                <w:rFonts w:ascii="Arial Narrow" w:hAnsi="Arial Narrow" w:cs="Arial"/>
                <w:sz w:val="16"/>
                <w:szCs w:val="16"/>
                <w:lang w:eastAsia="en-AU"/>
              </w:rPr>
            </w:pPr>
          </w:p>
        </w:tc>
        <w:tc>
          <w:tcPr>
            <w:tcW w:w="0" w:type="auto"/>
            <w:tcBorders>
              <w:top w:val="nil"/>
              <w:left w:val="single" w:sz="4" w:space="0" w:color="auto"/>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Concessional</w:t>
            </w:r>
          </w:p>
        </w:tc>
        <w:tc>
          <w:tcPr>
            <w:tcW w:w="0" w:type="auto"/>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4,699,219,676 </w:t>
            </w:r>
          </w:p>
        </w:tc>
        <w:tc>
          <w:tcPr>
            <w:tcW w:w="0" w:type="auto"/>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559,962,883 </w:t>
            </w:r>
          </w:p>
        </w:tc>
        <w:tc>
          <w:tcPr>
            <w:tcW w:w="0" w:type="auto"/>
            <w:tcBorders>
              <w:top w:val="nil"/>
              <w:left w:val="nil"/>
              <w:bottom w:val="nil"/>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5,259,182,559 </w:t>
            </w:r>
          </w:p>
        </w:tc>
      </w:tr>
      <w:tr w:rsidR="009B075E" w:rsidRPr="00F527AE" w:rsidTr="00F527AE">
        <w:trPr>
          <w:trHeight w:val="255"/>
        </w:trPr>
        <w:tc>
          <w:tcPr>
            <w:tcW w:w="0" w:type="auto"/>
            <w:vMerge/>
            <w:tcBorders>
              <w:top w:val="nil"/>
              <w:left w:val="single" w:sz="8" w:space="0" w:color="auto"/>
              <w:bottom w:val="single" w:sz="4" w:space="0" w:color="000000"/>
              <w:right w:val="nil"/>
            </w:tcBorders>
            <w:vAlign w:val="center"/>
          </w:tcPr>
          <w:p w:rsidR="009B075E" w:rsidRPr="00F527AE" w:rsidRDefault="009B075E" w:rsidP="00F527AE">
            <w:pPr>
              <w:spacing w:after="0" w:line="240" w:lineRule="auto"/>
              <w:rPr>
                <w:rFonts w:ascii="Arial Narrow" w:hAnsi="Arial Narrow" w:cs="Arial"/>
                <w:sz w:val="16"/>
                <w:szCs w:val="16"/>
                <w:lang w:eastAsia="en-AU"/>
              </w:rPr>
            </w:pPr>
          </w:p>
        </w:tc>
        <w:tc>
          <w:tcPr>
            <w:tcW w:w="0" w:type="auto"/>
            <w:tcBorders>
              <w:top w:val="nil"/>
              <w:left w:val="single" w:sz="4" w:space="0" w:color="auto"/>
              <w:bottom w:val="single" w:sz="4" w:space="0" w:color="auto"/>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Total</w:t>
            </w:r>
          </w:p>
        </w:tc>
        <w:tc>
          <w:tcPr>
            <w:tcW w:w="0" w:type="auto"/>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5,912,170,974 </w:t>
            </w:r>
          </w:p>
        </w:tc>
        <w:tc>
          <w:tcPr>
            <w:tcW w:w="0" w:type="auto"/>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1,189,469,300 </w:t>
            </w:r>
          </w:p>
        </w:tc>
        <w:tc>
          <w:tcPr>
            <w:tcW w:w="0" w:type="auto"/>
            <w:tcBorders>
              <w:top w:val="nil"/>
              <w:left w:val="nil"/>
              <w:bottom w:val="nil"/>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7,101,640,274 </w:t>
            </w:r>
          </w:p>
        </w:tc>
      </w:tr>
      <w:tr w:rsidR="009B075E" w:rsidRPr="00F527AE" w:rsidTr="00F527AE">
        <w:trPr>
          <w:trHeight w:val="255"/>
        </w:trPr>
        <w:tc>
          <w:tcPr>
            <w:tcW w:w="0" w:type="auto"/>
            <w:vMerge w:val="restart"/>
            <w:tcBorders>
              <w:top w:val="nil"/>
              <w:left w:val="single" w:sz="8" w:space="0" w:color="auto"/>
              <w:bottom w:val="single" w:sz="4" w:space="0" w:color="000000"/>
              <w:right w:val="nil"/>
            </w:tcBorders>
            <w:noWrap/>
            <w:vAlign w:val="center"/>
          </w:tcPr>
          <w:p w:rsidR="009B075E" w:rsidRPr="00F527AE" w:rsidRDefault="009B075E" w:rsidP="00F527AE">
            <w:pPr>
              <w:spacing w:after="0" w:line="240" w:lineRule="auto"/>
              <w:jc w:val="center"/>
              <w:rPr>
                <w:rFonts w:ascii="Arial Narrow" w:hAnsi="Arial Narrow" w:cs="Arial"/>
                <w:sz w:val="16"/>
                <w:szCs w:val="16"/>
                <w:lang w:eastAsia="en-AU"/>
              </w:rPr>
            </w:pPr>
            <w:r w:rsidRPr="00F527AE">
              <w:rPr>
                <w:rFonts w:ascii="Arial Narrow" w:hAnsi="Arial Narrow" w:cs="Arial"/>
                <w:sz w:val="16"/>
                <w:szCs w:val="16"/>
                <w:lang w:eastAsia="en-AU"/>
              </w:rPr>
              <w:t>2008-09</w:t>
            </w:r>
          </w:p>
        </w:tc>
        <w:tc>
          <w:tcPr>
            <w:tcW w:w="0" w:type="auto"/>
            <w:tcBorders>
              <w:top w:val="nil"/>
              <w:left w:val="single" w:sz="4" w:space="0" w:color="auto"/>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General</w:t>
            </w:r>
          </w:p>
        </w:tc>
        <w:tc>
          <w:tcPr>
            <w:tcW w:w="0" w:type="auto"/>
            <w:tcBorders>
              <w:top w:val="single" w:sz="4" w:space="0" w:color="auto"/>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1,437,767,290 </w:t>
            </w:r>
          </w:p>
        </w:tc>
        <w:tc>
          <w:tcPr>
            <w:tcW w:w="0" w:type="auto"/>
            <w:tcBorders>
              <w:top w:val="single" w:sz="4" w:space="0" w:color="auto"/>
              <w:left w:val="nil"/>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691,378,400 </w:t>
            </w:r>
          </w:p>
        </w:tc>
        <w:tc>
          <w:tcPr>
            <w:tcW w:w="0" w:type="auto"/>
            <w:tcBorders>
              <w:top w:val="single" w:sz="4" w:space="0" w:color="auto"/>
              <w:left w:val="nil"/>
              <w:bottom w:val="nil"/>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2,129,145,690 </w:t>
            </w:r>
          </w:p>
        </w:tc>
      </w:tr>
      <w:tr w:rsidR="009B075E" w:rsidRPr="00F527AE" w:rsidTr="00F527AE">
        <w:trPr>
          <w:trHeight w:val="255"/>
        </w:trPr>
        <w:tc>
          <w:tcPr>
            <w:tcW w:w="0" w:type="auto"/>
            <w:vMerge/>
            <w:tcBorders>
              <w:top w:val="nil"/>
              <w:left w:val="single" w:sz="8" w:space="0" w:color="auto"/>
              <w:bottom w:val="single" w:sz="4" w:space="0" w:color="000000"/>
              <w:right w:val="nil"/>
            </w:tcBorders>
            <w:vAlign w:val="center"/>
          </w:tcPr>
          <w:p w:rsidR="009B075E" w:rsidRPr="00F527AE" w:rsidRDefault="009B075E" w:rsidP="00F527AE">
            <w:pPr>
              <w:spacing w:after="0" w:line="240" w:lineRule="auto"/>
              <w:rPr>
                <w:rFonts w:ascii="Arial Narrow" w:hAnsi="Arial Narrow" w:cs="Arial"/>
                <w:sz w:val="16"/>
                <w:szCs w:val="16"/>
                <w:lang w:eastAsia="en-AU"/>
              </w:rPr>
            </w:pPr>
          </w:p>
        </w:tc>
        <w:tc>
          <w:tcPr>
            <w:tcW w:w="0" w:type="auto"/>
            <w:tcBorders>
              <w:top w:val="nil"/>
              <w:left w:val="single" w:sz="4" w:space="0" w:color="auto"/>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Concessional</w:t>
            </w:r>
          </w:p>
        </w:tc>
        <w:tc>
          <w:tcPr>
            <w:tcW w:w="0" w:type="auto"/>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5,125,634,250 </w:t>
            </w:r>
          </w:p>
        </w:tc>
        <w:tc>
          <w:tcPr>
            <w:tcW w:w="0" w:type="auto"/>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617,378,323 </w:t>
            </w:r>
          </w:p>
        </w:tc>
        <w:tc>
          <w:tcPr>
            <w:tcW w:w="0" w:type="auto"/>
            <w:tcBorders>
              <w:top w:val="nil"/>
              <w:left w:val="nil"/>
              <w:bottom w:val="nil"/>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5,743,012,573 </w:t>
            </w:r>
          </w:p>
        </w:tc>
      </w:tr>
      <w:tr w:rsidR="009B075E" w:rsidRPr="00F527AE" w:rsidTr="00F527AE">
        <w:trPr>
          <w:trHeight w:val="255"/>
        </w:trPr>
        <w:tc>
          <w:tcPr>
            <w:tcW w:w="0" w:type="auto"/>
            <w:vMerge/>
            <w:tcBorders>
              <w:top w:val="nil"/>
              <w:left w:val="single" w:sz="8" w:space="0" w:color="auto"/>
              <w:bottom w:val="single" w:sz="4" w:space="0" w:color="000000"/>
              <w:right w:val="nil"/>
            </w:tcBorders>
            <w:vAlign w:val="center"/>
          </w:tcPr>
          <w:p w:rsidR="009B075E" w:rsidRPr="00F527AE" w:rsidRDefault="009B075E" w:rsidP="00F527AE">
            <w:pPr>
              <w:spacing w:after="0" w:line="240" w:lineRule="auto"/>
              <w:rPr>
                <w:rFonts w:ascii="Arial Narrow" w:hAnsi="Arial Narrow" w:cs="Arial"/>
                <w:sz w:val="16"/>
                <w:szCs w:val="16"/>
                <w:lang w:eastAsia="en-AU"/>
              </w:rPr>
            </w:pPr>
          </w:p>
        </w:tc>
        <w:tc>
          <w:tcPr>
            <w:tcW w:w="0" w:type="auto"/>
            <w:tcBorders>
              <w:top w:val="nil"/>
              <w:left w:val="single" w:sz="4" w:space="0" w:color="auto"/>
              <w:bottom w:val="single" w:sz="4" w:space="0" w:color="auto"/>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Total</w:t>
            </w:r>
          </w:p>
        </w:tc>
        <w:tc>
          <w:tcPr>
            <w:tcW w:w="0" w:type="auto"/>
            <w:tcBorders>
              <w:top w:val="nil"/>
              <w:left w:val="single" w:sz="4" w:space="0" w:color="auto"/>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6,563,401,540 </w:t>
            </w:r>
          </w:p>
        </w:tc>
        <w:tc>
          <w:tcPr>
            <w:tcW w:w="0" w:type="auto"/>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1,308,756,723 </w:t>
            </w:r>
          </w:p>
        </w:tc>
        <w:tc>
          <w:tcPr>
            <w:tcW w:w="0" w:type="auto"/>
            <w:tcBorders>
              <w:top w:val="nil"/>
              <w:left w:val="nil"/>
              <w:bottom w:val="single" w:sz="4" w:space="0" w:color="auto"/>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7,872,158,263 </w:t>
            </w:r>
          </w:p>
        </w:tc>
      </w:tr>
      <w:tr w:rsidR="009B075E" w:rsidRPr="00F527AE" w:rsidTr="00F527AE">
        <w:trPr>
          <w:trHeight w:val="255"/>
        </w:trPr>
        <w:tc>
          <w:tcPr>
            <w:tcW w:w="0" w:type="auto"/>
            <w:vMerge w:val="restart"/>
            <w:tcBorders>
              <w:top w:val="nil"/>
              <w:left w:val="single" w:sz="8" w:space="0" w:color="auto"/>
              <w:bottom w:val="single" w:sz="8" w:space="0" w:color="000000"/>
              <w:right w:val="nil"/>
            </w:tcBorders>
            <w:noWrap/>
            <w:vAlign w:val="center"/>
          </w:tcPr>
          <w:p w:rsidR="009B075E" w:rsidRPr="00F527AE" w:rsidRDefault="009B075E" w:rsidP="00F527AE">
            <w:pPr>
              <w:spacing w:after="0" w:line="240" w:lineRule="auto"/>
              <w:jc w:val="center"/>
              <w:rPr>
                <w:rFonts w:ascii="Arial Narrow" w:hAnsi="Arial Narrow" w:cs="Arial"/>
                <w:sz w:val="16"/>
                <w:szCs w:val="16"/>
                <w:lang w:eastAsia="en-AU"/>
              </w:rPr>
            </w:pPr>
            <w:r w:rsidRPr="00F527AE">
              <w:rPr>
                <w:rFonts w:ascii="Arial Narrow" w:hAnsi="Arial Narrow" w:cs="Arial"/>
                <w:sz w:val="16"/>
                <w:szCs w:val="16"/>
                <w:lang w:eastAsia="en-AU"/>
              </w:rPr>
              <w:t>2009-10</w:t>
            </w:r>
          </w:p>
        </w:tc>
        <w:tc>
          <w:tcPr>
            <w:tcW w:w="0" w:type="auto"/>
            <w:tcBorders>
              <w:top w:val="nil"/>
              <w:left w:val="single" w:sz="4" w:space="0" w:color="auto"/>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General</w:t>
            </w:r>
          </w:p>
        </w:tc>
        <w:tc>
          <w:tcPr>
            <w:tcW w:w="0" w:type="auto"/>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1,538,781,212 </w:t>
            </w:r>
          </w:p>
        </w:tc>
        <w:tc>
          <w:tcPr>
            <w:tcW w:w="0" w:type="auto"/>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727,215,106 </w:t>
            </w:r>
          </w:p>
        </w:tc>
        <w:tc>
          <w:tcPr>
            <w:tcW w:w="0" w:type="auto"/>
            <w:tcBorders>
              <w:top w:val="nil"/>
              <w:left w:val="nil"/>
              <w:bottom w:val="nil"/>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2,265,996,318 </w:t>
            </w:r>
          </w:p>
        </w:tc>
      </w:tr>
      <w:tr w:rsidR="009B075E" w:rsidRPr="00F527AE" w:rsidTr="00F527AE">
        <w:trPr>
          <w:trHeight w:val="255"/>
        </w:trPr>
        <w:tc>
          <w:tcPr>
            <w:tcW w:w="0" w:type="auto"/>
            <w:vMerge/>
            <w:tcBorders>
              <w:top w:val="nil"/>
              <w:left w:val="single" w:sz="8" w:space="0" w:color="auto"/>
              <w:bottom w:val="single" w:sz="8" w:space="0" w:color="000000"/>
              <w:right w:val="nil"/>
            </w:tcBorders>
            <w:vAlign w:val="center"/>
          </w:tcPr>
          <w:p w:rsidR="009B075E" w:rsidRPr="00F527AE" w:rsidRDefault="009B075E" w:rsidP="00F527AE">
            <w:pPr>
              <w:spacing w:after="0" w:line="240" w:lineRule="auto"/>
              <w:rPr>
                <w:rFonts w:ascii="Arial Narrow" w:hAnsi="Arial Narrow" w:cs="Arial"/>
                <w:sz w:val="16"/>
                <w:szCs w:val="16"/>
                <w:lang w:eastAsia="en-AU"/>
              </w:rPr>
            </w:pPr>
          </w:p>
        </w:tc>
        <w:tc>
          <w:tcPr>
            <w:tcW w:w="0" w:type="auto"/>
            <w:tcBorders>
              <w:top w:val="nil"/>
              <w:left w:val="single" w:sz="4" w:space="0" w:color="auto"/>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Concessional</w:t>
            </w:r>
          </w:p>
        </w:tc>
        <w:tc>
          <w:tcPr>
            <w:tcW w:w="0" w:type="auto"/>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5,480,110,943 </w:t>
            </w:r>
          </w:p>
        </w:tc>
        <w:tc>
          <w:tcPr>
            <w:tcW w:w="0" w:type="auto"/>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656,949,638 </w:t>
            </w:r>
          </w:p>
        </w:tc>
        <w:tc>
          <w:tcPr>
            <w:tcW w:w="0" w:type="auto"/>
            <w:tcBorders>
              <w:top w:val="nil"/>
              <w:left w:val="nil"/>
              <w:bottom w:val="nil"/>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6,137,060,581 </w:t>
            </w:r>
          </w:p>
        </w:tc>
      </w:tr>
      <w:tr w:rsidR="009B075E" w:rsidRPr="00F527AE" w:rsidTr="00F527AE">
        <w:trPr>
          <w:trHeight w:val="270"/>
        </w:trPr>
        <w:tc>
          <w:tcPr>
            <w:tcW w:w="0" w:type="auto"/>
            <w:vMerge/>
            <w:tcBorders>
              <w:top w:val="nil"/>
              <w:left w:val="single" w:sz="8" w:space="0" w:color="auto"/>
              <w:bottom w:val="single" w:sz="8" w:space="0" w:color="000000"/>
              <w:right w:val="nil"/>
            </w:tcBorders>
            <w:vAlign w:val="center"/>
          </w:tcPr>
          <w:p w:rsidR="009B075E" w:rsidRPr="00F527AE" w:rsidRDefault="009B075E" w:rsidP="00F527AE">
            <w:pPr>
              <w:spacing w:after="0" w:line="240" w:lineRule="auto"/>
              <w:rPr>
                <w:rFonts w:ascii="Arial Narrow" w:hAnsi="Arial Narrow" w:cs="Arial"/>
                <w:sz w:val="16"/>
                <w:szCs w:val="16"/>
                <w:lang w:eastAsia="en-AU"/>
              </w:rPr>
            </w:pPr>
          </w:p>
        </w:tc>
        <w:tc>
          <w:tcPr>
            <w:tcW w:w="0" w:type="auto"/>
            <w:tcBorders>
              <w:top w:val="nil"/>
              <w:left w:val="single" w:sz="4" w:space="0" w:color="auto"/>
              <w:bottom w:val="single" w:sz="8" w:space="0" w:color="auto"/>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Total</w:t>
            </w:r>
          </w:p>
        </w:tc>
        <w:tc>
          <w:tcPr>
            <w:tcW w:w="0" w:type="auto"/>
            <w:tcBorders>
              <w:top w:val="nil"/>
              <w:left w:val="single" w:sz="4" w:space="0" w:color="auto"/>
              <w:bottom w:val="single" w:sz="8"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7,018,892,155 </w:t>
            </w:r>
          </w:p>
        </w:tc>
        <w:tc>
          <w:tcPr>
            <w:tcW w:w="0" w:type="auto"/>
            <w:tcBorders>
              <w:top w:val="nil"/>
              <w:left w:val="nil"/>
              <w:bottom w:val="single" w:sz="8"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1,384,164,743 </w:t>
            </w:r>
          </w:p>
        </w:tc>
        <w:tc>
          <w:tcPr>
            <w:tcW w:w="0" w:type="auto"/>
            <w:tcBorders>
              <w:top w:val="nil"/>
              <w:left w:val="nil"/>
              <w:bottom w:val="single" w:sz="8" w:space="0" w:color="auto"/>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8,403,056,898 </w:t>
            </w:r>
          </w:p>
        </w:tc>
      </w:tr>
      <w:tr w:rsidR="009B075E" w:rsidRPr="00F527AE" w:rsidTr="00F527AE">
        <w:trPr>
          <w:trHeight w:val="255"/>
        </w:trPr>
        <w:tc>
          <w:tcPr>
            <w:tcW w:w="0" w:type="auto"/>
            <w:vMerge w:val="restart"/>
            <w:tcBorders>
              <w:top w:val="single" w:sz="4" w:space="0" w:color="auto"/>
              <w:left w:val="single" w:sz="8" w:space="0" w:color="auto"/>
              <w:bottom w:val="single" w:sz="8" w:space="0" w:color="000000"/>
              <w:right w:val="nil"/>
            </w:tcBorders>
            <w:noWrap/>
            <w:vAlign w:val="center"/>
          </w:tcPr>
          <w:p w:rsidR="009B075E" w:rsidRPr="00F527AE" w:rsidRDefault="009B075E" w:rsidP="00F527AE">
            <w:pPr>
              <w:spacing w:after="0" w:line="240" w:lineRule="auto"/>
              <w:jc w:val="center"/>
              <w:rPr>
                <w:rFonts w:ascii="Arial Narrow" w:hAnsi="Arial Narrow" w:cs="Arial"/>
                <w:sz w:val="16"/>
                <w:szCs w:val="16"/>
                <w:lang w:eastAsia="en-AU"/>
              </w:rPr>
            </w:pPr>
            <w:r w:rsidRPr="00F527AE">
              <w:rPr>
                <w:rFonts w:ascii="Arial Narrow" w:hAnsi="Arial Narrow" w:cs="Arial"/>
                <w:sz w:val="16"/>
                <w:szCs w:val="16"/>
                <w:lang w:eastAsia="en-AU"/>
              </w:rPr>
              <w:t>2010-11</w:t>
            </w:r>
          </w:p>
        </w:tc>
        <w:tc>
          <w:tcPr>
            <w:tcW w:w="0" w:type="auto"/>
            <w:tcBorders>
              <w:top w:val="single" w:sz="4" w:space="0" w:color="auto"/>
              <w:left w:val="single" w:sz="4" w:space="0" w:color="auto"/>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General</w:t>
            </w:r>
          </w:p>
        </w:tc>
        <w:tc>
          <w:tcPr>
            <w:tcW w:w="0" w:type="auto"/>
            <w:tcBorders>
              <w:top w:val="single" w:sz="4" w:space="0" w:color="auto"/>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1,624,726,270 </w:t>
            </w:r>
          </w:p>
        </w:tc>
        <w:tc>
          <w:tcPr>
            <w:tcW w:w="0" w:type="auto"/>
            <w:tcBorders>
              <w:top w:val="single" w:sz="4" w:space="0" w:color="auto"/>
              <w:left w:val="nil"/>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734,674,267 </w:t>
            </w:r>
          </w:p>
        </w:tc>
        <w:tc>
          <w:tcPr>
            <w:tcW w:w="0" w:type="auto"/>
            <w:tcBorders>
              <w:top w:val="single" w:sz="4" w:space="0" w:color="auto"/>
              <w:left w:val="nil"/>
              <w:bottom w:val="nil"/>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2,359,400,537 </w:t>
            </w:r>
          </w:p>
        </w:tc>
      </w:tr>
      <w:tr w:rsidR="009B075E" w:rsidRPr="00F527AE" w:rsidTr="00F527AE">
        <w:trPr>
          <w:trHeight w:val="255"/>
        </w:trPr>
        <w:tc>
          <w:tcPr>
            <w:tcW w:w="0" w:type="auto"/>
            <w:vMerge/>
            <w:tcBorders>
              <w:top w:val="single" w:sz="4" w:space="0" w:color="auto"/>
              <w:left w:val="single" w:sz="8" w:space="0" w:color="auto"/>
              <w:bottom w:val="single" w:sz="8" w:space="0" w:color="000000"/>
              <w:right w:val="nil"/>
            </w:tcBorders>
            <w:vAlign w:val="center"/>
          </w:tcPr>
          <w:p w:rsidR="009B075E" w:rsidRPr="00F527AE" w:rsidRDefault="009B075E" w:rsidP="00F527AE">
            <w:pPr>
              <w:spacing w:after="0" w:line="240" w:lineRule="auto"/>
              <w:rPr>
                <w:rFonts w:ascii="Arial Narrow" w:hAnsi="Arial Narrow" w:cs="Arial"/>
                <w:sz w:val="16"/>
                <w:szCs w:val="16"/>
                <w:lang w:eastAsia="en-AU"/>
              </w:rPr>
            </w:pPr>
          </w:p>
        </w:tc>
        <w:tc>
          <w:tcPr>
            <w:tcW w:w="0" w:type="auto"/>
            <w:tcBorders>
              <w:top w:val="nil"/>
              <w:left w:val="single" w:sz="4" w:space="0" w:color="auto"/>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Concessional</w:t>
            </w:r>
          </w:p>
        </w:tc>
        <w:tc>
          <w:tcPr>
            <w:tcW w:w="0" w:type="auto"/>
            <w:tcBorders>
              <w:top w:val="nil"/>
              <w:left w:val="single" w:sz="4" w:space="0" w:color="auto"/>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5,698,422,533 </w:t>
            </w:r>
          </w:p>
        </w:tc>
        <w:tc>
          <w:tcPr>
            <w:tcW w:w="0" w:type="auto"/>
            <w:tcBorders>
              <w:top w:val="nil"/>
              <w:left w:val="nil"/>
              <w:bottom w:val="nil"/>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689,108,592 </w:t>
            </w:r>
          </w:p>
        </w:tc>
        <w:tc>
          <w:tcPr>
            <w:tcW w:w="0" w:type="auto"/>
            <w:tcBorders>
              <w:top w:val="nil"/>
              <w:left w:val="nil"/>
              <w:bottom w:val="nil"/>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6,387,531,125 </w:t>
            </w:r>
          </w:p>
        </w:tc>
      </w:tr>
      <w:tr w:rsidR="009B075E" w:rsidRPr="00F527AE" w:rsidTr="00F527AE">
        <w:trPr>
          <w:trHeight w:val="270"/>
        </w:trPr>
        <w:tc>
          <w:tcPr>
            <w:tcW w:w="0" w:type="auto"/>
            <w:vMerge/>
            <w:tcBorders>
              <w:top w:val="single" w:sz="4" w:space="0" w:color="auto"/>
              <w:left w:val="single" w:sz="8" w:space="0" w:color="auto"/>
              <w:bottom w:val="single" w:sz="8" w:space="0" w:color="000000"/>
              <w:right w:val="nil"/>
            </w:tcBorders>
            <w:vAlign w:val="center"/>
          </w:tcPr>
          <w:p w:rsidR="009B075E" w:rsidRPr="00F527AE" w:rsidRDefault="009B075E" w:rsidP="00F527AE">
            <w:pPr>
              <w:spacing w:after="0" w:line="240" w:lineRule="auto"/>
              <w:rPr>
                <w:rFonts w:ascii="Arial Narrow" w:hAnsi="Arial Narrow" w:cs="Arial"/>
                <w:sz w:val="16"/>
                <w:szCs w:val="16"/>
                <w:lang w:eastAsia="en-AU"/>
              </w:rPr>
            </w:pPr>
          </w:p>
        </w:tc>
        <w:tc>
          <w:tcPr>
            <w:tcW w:w="0" w:type="auto"/>
            <w:tcBorders>
              <w:top w:val="nil"/>
              <w:left w:val="single" w:sz="4" w:space="0" w:color="auto"/>
              <w:bottom w:val="single" w:sz="8" w:space="0" w:color="auto"/>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Total</w:t>
            </w:r>
          </w:p>
        </w:tc>
        <w:tc>
          <w:tcPr>
            <w:tcW w:w="0" w:type="auto"/>
            <w:tcBorders>
              <w:top w:val="nil"/>
              <w:left w:val="single" w:sz="4" w:space="0" w:color="auto"/>
              <w:bottom w:val="single" w:sz="8"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7,323,148,803 </w:t>
            </w:r>
          </w:p>
        </w:tc>
        <w:tc>
          <w:tcPr>
            <w:tcW w:w="0" w:type="auto"/>
            <w:tcBorders>
              <w:top w:val="nil"/>
              <w:left w:val="nil"/>
              <w:bottom w:val="single" w:sz="8"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1,423,782,860 </w:t>
            </w:r>
          </w:p>
        </w:tc>
        <w:tc>
          <w:tcPr>
            <w:tcW w:w="0" w:type="auto"/>
            <w:tcBorders>
              <w:top w:val="nil"/>
              <w:left w:val="nil"/>
              <w:bottom w:val="single" w:sz="8" w:space="0" w:color="auto"/>
              <w:right w:val="single" w:sz="8" w:space="0" w:color="auto"/>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   8,746,931,663 </w:t>
            </w:r>
          </w:p>
        </w:tc>
      </w:tr>
    </w:tbl>
    <w:p w:rsidR="009B075E" w:rsidRPr="00DC51D5" w:rsidRDefault="009B075E" w:rsidP="00F527AE">
      <w:pPr>
        <w:pStyle w:val="Caption"/>
        <w:jc w:val="left"/>
        <w:rPr>
          <w:rFonts w:ascii="Arial" w:hAnsi="Arial" w:cs="Arial"/>
          <w:highlight w:val="yellow"/>
        </w:rPr>
      </w:pPr>
    </w:p>
    <w:p w:rsidR="009B075E" w:rsidRPr="00F527AE" w:rsidRDefault="009B075E" w:rsidP="00E90FFF">
      <w:pPr>
        <w:pStyle w:val="Caption"/>
        <w:jc w:val="left"/>
        <w:rPr>
          <w:rFonts w:ascii="Arial" w:hAnsi="Arial" w:cs="Arial"/>
          <w:sz w:val="22"/>
          <w:szCs w:val="22"/>
        </w:rPr>
      </w:pPr>
      <w:bookmarkStart w:id="108" w:name="_Ref301528924"/>
      <w:r w:rsidRPr="00F527AE">
        <w:rPr>
          <w:rFonts w:ascii="Arial" w:hAnsi="Arial" w:cs="Arial"/>
          <w:sz w:val="22"/>
          <w:szCs w:val="22"/>
        </w:rPr>
        <w:t xml:space="preserve">Table </w:t>
      </w:r>
      <w:r w:rsidR="00855AAF" w:rsidRPr="00F527AE">
        <w:rPr>
          <w:rFonts w:ascii="Arial" w:hAnsi="Arial" w:cs="Arial"/>
          <w:sz w:val="22"/>
          <w:szCs w:val="22"/>
        </w:rPr>
        <w:fldChar w:fldCharType="begin"/>
      </w:r>
      <w:r w:rsidRPr="00F527AE">
        <w:rPr>
          <w:rFonts w:ascii="Arial" w:hAnsi="Arial" w:cs="Arial"/>
          <w:sz w:val="22"/>
          <w:szCs w:val="22"/>
        </w:rPr>
        <w:instrText xml:space="preserve"> SEQ Table \* ARABIC </w:instrText>
      </w:r>
      <w:r w:rsidR="00855AAF" w:rsidRPr="00F527AE">
        <w:rPr>
          <w:rFonts w:ascii="Arial" w:hAnsi="Arial" w:cs="Arial"/>
          <w:sz w:val="22"/>
          <w:szCs w:val="22"/>
        </w:rPr>
        <w:fldChar w:fldCharType="separate"/>
      </w:r>
      <w:r w:rsidR="00584343">
        <w:rPr>
          <w:rFonts w:ascii="Arial" w:hAnsi="Arial" w:cs="Arial"/>
          <w:noProof/>
          <w:sz w:val="22"/>
          <w:szCs w:val="22"/>
        </w:rPr>
        <w:t>18</w:t>
      </w:r>
      <w:r w:rsidR="00855AAF" w:rsidRPr="00F527AE">
        <w:rPr>
          <w:rFonts w:ascii="Arial" w:hAnsi="Arial" w:cs="Arial"/>
          <w:sz w:val="22"/>
          <w:szCs w:val="22"/>
        </w:rPr>
        <w:fldChar w:fldCharType="end"/>
      </w:r>
      <w:bookmarkEnd w:id="108"/>
      <w:r w:rsidRPr="00F527AE">
        <w:rPr>
          <w:rFonts w:ascii="Arial" w:hAnsi="Arial" w:cs="Arial"/>
          <w:sz w:val="22"/>
          <w:szCs w:val="22"/>
        </w:rPr>
        <w:t xml:space="preserve">: Trends in Government scripts and expenditure for </w:t>
      </w:r>
      <w:r>
        <w:rPr>
          <w:rFonts w:ascii="Arial" w:hAnsi="Arial" w:cs="Arial"/>
          <w:sz w:val="22"/>
          <w:szCs w:val="22"/>
        </w:rPr>
        <w:t>S85</w:t>
      </w:r>
      <w:r w:rsidRPr="00F527AE">
        <w:rPr>
          <w:rFonts w:ascii="Arial" w:hAnsi="Arial" w:cs="Arial"/>
          <w:sz w:val="22"/>
          <w:szCs w:val="22"/>
        </w:rPr>
        <w:t xml:space="preserve"> drugs, by formulary</w:t>
      </w:r>
    </w:p>
    <w:tbl>
      <w:tblPr>
        <w:tblW w:w="0" w:type="auto"/>
        <w:tblLook w:val="00A0" w:firstRow="1" w:lastRow="0" w:firstColumn="1" w:lastColumn="0" w:noHBand="0" w:noVBand="0"/>
      </w:tblPr>
      <w:tblGrid>
        <w:gridCol w:w="578"/>
        <w:gridCol w:w="846"/>
        <w:gridCol w:w="840"/>
        <w:gridCol w:w="709"/>
        <w:gridCol w:w="607"/>
        <w:gridCol w:w="846"/>
        <w:gridCol w:w="809"/>
        <w:gridCol w:w="764"/>
        <w:gridCol w:w="589"/>
        <w:gridCol w:w="764"/>
        <w:gridCol w:w="791"/>
        <w:gridCol w:w="709"/>
        <w:gridCol w:w="575"/>
        <w:gridCol w:w="654"/>
        <w:gridCol w:w="791"/>
        <w:gridCol w:w="572"/>
        <w:gridCol w:w="575"/>
        <w:gridCol w:w="846"/>
        <w:gridCol w:w="791"/>
        <w:gridCol w:w="764"/>
        <w:gridCol w:w="592"/>
      </w:tblGrid>
      <w:tr w:rsidR="009B075E" w:rsidRPr="00FA7ED5" w:rsidTr="00FA7ED5">
        <w:trPr>
          <w:trHeight w:val="255"/>
        </w:trPr>
        <w:tc>
          <w:tcPr>
            <w:tcW w:w="0" w:type="auto"/>
            <w:vMerge w:val="restart"/>
            <w:tcBorders>
              <w:top w:val="single" w:sz="8" w:space="0" w:color="auto"/>
              <w:left w:val="single" w:sz="8" w:space="0" w:color="auto"/>
              <w:bottom w:val="single" w:sz="4" w:space="0" w:color="000000"/>
              <w:right w:val="single" w:sz="4" w:space="0" w:color="auto"/>
            </w:tcBorders>
            <w:noWrap/>
            <w:vAlign w:val="center"/>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Year</w:t>
            </w:r>
          </w:p>
        </w:tc>
        <w:tc>
          <w:tcPr>
            <w:tcW w:w="0" w:type="auto"/>
            <w:gridSpan w:val="4"/>
            <w:tcBorders>
              <w:top w:val="single" w:sz="8" w:space="0" w:color="auto"/>
              <w:left w:val="nil"/>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F1</w:t>
            </w:r>
          </w:p>
        </w:tc>
        <w:tc>
          <w:tcPr>
            <w:tcW w:w="0" w:type="auto"/>
            <w:gridSpan w:val="4"/>
            <w:tcBorders>
              <w:top w:val="single" w:sz="8" w:space="0" w:color="auto"/>
              <w:left w:val="nil"/>
              <w:bottom w:val="single" w:sz="4" w:space="0" w:color="auto"/>
              <w:right w:val="nil"/>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F2</w:t>
            </w:r>
          </w:p>
        </w:tc>
        <w:tc>
          <w:tcPr>
            <w:tcW w:w="0" w:type="auto"/>
            <w:gridSpan w:val="4"/>
            <w:tcBorders>
              <w:top w:val="single" w:sz="8" w:space="0" w:color="auto"/>
              <w:left w:val="single" w:sz="4" w:space="0" w:color="auto"/>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Combination items</w:t>
            </w:r>
          </w:p>
        </w:tc>
        <w:tc>
          <w:tcPr>
            <w:tcW w:w="0" w:type="auto"/>
            <w:gridSpan w:val="4"/>
            <w:tcBorders>
              <w:top w:val="single" w:sz="8" w:space="0" w:color="auto"/>
              <w:left w:val="nil"/>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Extemporaneously prepared items</w:t>
            </w:r>
          </w:p>
        </w:tc>
        <w:tc>
          <w:tcPr>
            <w:tcW w:w="0" w:type="auto"/>
            <w:gridSpan w:val="4"/>
            <w:tcBorders>
              <w:top w:val="single" w:sz="8" w:space="0" w:color="auto"/>
              <w:left w:val="nil"/>
              <w:bottom w:val="single" w:sz="4" w:space="0" w:color="auto"/>
              <w:right w:val="single" w:sz="8"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Total</w:t>
            </w:r>
          </w:p>
        </w:tc>
      </w:tr>
      <w:tr w:rsidR="009B075E" w:rsidRPr="00FA7ED5" w:rsidTr="00FA7ED5">
        <w:trPr>
          <w:trHeight w:val="255"/>
        </w:trPr>
        <w:tc>
          <w:tcPr>
            <w:tcW w:w="0" w:type="auto"/>
            <w:vMerge/>
            <w:tcBorders>
              <w:top w:val="single" w:sz="8" w:space="0" w:color="auto"/>
              <w:left w:val="single" w:sz="8" w:space="0" w:color="auto"/>
              <w:bottom w:val="single" w:sz="4" w:space="0" w:color="000000"/>
              <w:right w:val="single" w:sz="4" w:space="0" w:color="auto"/>
            </w:tcBorders>
            <w:vAlign w:val="center"/>
          </w:tcPr>
          <w:p w:rsidR="009B075E" w:rsidRPr="00FA7ED5" w:rsidRDefault="009B075E" w:rsidP="00F527AE">
            <w:pPr>
              <w:spacing w:after="0" w:line="240" w:lineRule="auto"/>
              <w:rPr>
                <w:rFonts w:ascii="Arial Narrow" w:hAnsi="Arial Narrow" w:cs="Arial"/>
                <w:sz w:val="12"/>
                <w:szCs w:val="12"/>
                <w:lang w:eastAsia="en-AU"/>
              </w:rPr>
            </w:pPr>
          </w:p>
        </w:tc>
        <w:tc>
          <w:tcPr>
            <w:tcW w:w="0" w:type="auto"/>
            <w:gridSpan w:val="2"/>
            <w:tcBorders>
              <w:top w:val="single" w:sz="4" w:space="0" w:color="auto"/>
              <w:left w:val="nil"/>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Expenditure</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Scripts</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Expenditure</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Scripts</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Expenditure</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Scripts</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Expenditure</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Scripts</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Expenditure</w:t>
            </w:r>
          </w:p>
        </w:tc>
        <w:tc>
          <w:tcPr>
            <w:tcW w:w="0" w:type="auto"/>
            <w:gridSpan w:val="2"/>
            <w:tcBorders>
              <w:top w:val="single" w:sz="4" w:space="0" w:color="auto"/>
              <w:left w:val="nil"/>
              <w:bottom w:val="single" w:sz="4" w:space="0" w:color="auto"/>
              <w:right w:val="single" w:sz="8" w:space="0" w:color="000000"/>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Scripts</w:t>
            </w:r>
          </w:p>
        </w:tc>
      </w:tr>
      <w:tr w:rsidR="009B075E" w:rsidRPr="00FA7ED5" w:rsidTr="00FA7ED5">
        <w:trPr>
          <w:trHeight w:val="540"/>
        </w:trPr>
        <w:tc>
          <w:tcPr>
            <w:tcW w:w="0" w:type="auto"/>
            <w:vMerge/>
            <w:tcBorders>
              <w:top w:val="single" w:sz="8" w:space="0" w:color="auto"/>
              <w:left w:val="single" w:sz="8" w:space="0" w:color="auto"/>
              <w:bottom w:val="single" w:sz="4" w:space="0" w:color="000000"/>
              <w:right w:val="single" w:sz="4" w:space="0" w:color="auto"/>
            </w:tcBorders>
            <w:vAlign w:val="center"/>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single" w:sz="4" w:space="0" w:color="auto"/>
              <w:right w:val="nil"/>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single" w:sz="4" w:space="0" w:color="auto"/>
              <w:bottom w:val="single" w:sz="4" w:space="0" w:color="auto"/>
              <w:right w:val="nil"/>
            </w:tcBorders>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xml:space="preserve">% contrib </w:t>
            </w:r>
            <w:r w:rsidRPr="00FA7ED5">
              <w:rPr>
                <w:rFonts w:ascii="Arial Narrow" w:hAnsi="Arial Narrow" w:cs="Arial"/>
                <w:sz w:val="12"/>
                <w:szCs w:val="12"/>
                <w:lang w:eastAsia="en-AU"/>
              </w:rPr>
              <w:br/>
              <w:t>to expenditure</w:t>
            </w:r>
          </w:p>
        </w:tc>
        <w:tc>
          <w:tcPr>
            <w:tcW w:w="0" w:type="auto"/>
            <w:tcBorders>
              <w:top w:val="nil"/>
              <w:left w:val="single" w:sz="4" w:space="0" w:color="auto"/>
              <w:bottom w:val="single" w:sz="4" w:space="0" w:color="auto"/>
              <w:right w:val="nil"/>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Number</w:t>
            </w:r>
          </w:p>
        </w:tc>
        <w:tc>
          <w:tcPr>
            <w:tcW w:w="0" w:type="auto"/>
            <w:tcBorders>
              <w:top w:val="nil"/>
              <w:left w:val="single" w:sz="4" w:space="0" w:color="auto"/>
              <w:bottom w:val="single" w:sz="4" w:space="0" w:color="auto"/>
              <w:right w:val="nil"/>
            </w:tcBorders>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xml:space="preserve">% contrib </w:t>
            </w:r>
            <w:r w:rsidRPr="00FA7ED5">
              <w:rPr>
                <w:rFonts w:ascii="Arial Narrow" w:hAnsi="Arial Narrow" w:cs="Arial"/>
                <w:sz w:val="12"/>
                <w:szCs w:val="12"/>
                <w:lang w:eastAsia="en-AU"/>
              </w:rPr>
              <w:br/>
              <w:t>to scripts</w:t>
            </w:r>
          </w:p>
        </w:tc>
        <w:tc>
          <w:tcPr>
            <w:tcW w:w="0" w:type="auto"/>
            <w:tcBorders>
              <w:top w:val="nil"/>
              <w:left w:val="single" w:sz="4" w:space="0" w:color="auto"/>
              <w:bottom w:val="single" w:sz="4" w:space="0" w:color="auto"/>
              <w:right w:val="nil"/>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single" w:sz="4" w:space="0" w:color="auto"/>
              <w:bottom w:val="single" w:sz="4" w:space="0" w:color="auto"/>
              <w:right w:val="nil"/>
            </w:tcBorders>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xml:space="preserve">% contrib </w:t>
            </w:r>
            <w:r w:rsidRPr="00FA7ED5">
              <w:rPr>
                <w:rFonts w:ascii="Arial Narrow" w:hAnsi="Arial Narrow" w:cs="Arial"/>
                <w:sz w:val="12"/>
                <w:szCs w:val="12"/>
                <w:lang w:eastAsia="en-AU"/>
              </w:rPr>
              <w:br/>
              <w:t>to expenditure</w:t>
            </w:r>
          </w:p>
        </w:tc>
        <w:tc>
          <w:tcPr>
            <w:tcW w:w="0" w:type="auto"/>
            <w:tcBorders>
              <w:top w:val="nil"/>
              <w:left w:val="single" w:sz="4" w:space="0" w:color="auto"/>
              <w:bottom w:val="single" w:sz="4" w:space="0" w:color="auto"/>
              <w:right w:val="nil"/>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Number</w:t>
            </w:r>
          </w:p>
        </w:tc>
        <w:tc>
          <w:tcPr>
            <w:tcW w:w="0" w:type="auto"/>
            <w:tcBorders>
              <w:top w:val="nil"/>
              <w:left w:val="single" w:sz="4" w:space="0" w:color="auto"/>
              <w:bottom w:val="single" w:sz="4" w:space="0" w:color="auto"/>
              <w:right w:val="nil"/>
            </w:tcBorders>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xml:space="preserve">% contrib </w:t>
            </w:r>
            <w:r w:rsidRPr="00FA7ED5">
              <w:rPr>
                <w:rFonts w:ascii="Arial Narrow" w:hAnsi="Arial Narrow" w:cs="Arial"/>
                <w:sz w:val="12"/>
                <w:szCs w:val="12"/>
                <w:lang w:eastAsia="en-AU"/>
              </w:rPr>
              <w:br/>
              <w:t>to scripts</w:t>
            </w:r>
          </w:p>
        </w:tc>
        <w:tc>
          <w:tcPr>
            <w:tcW w:w="0" w:type="auto"/>
            <w:tcBorders>
              <w:top w:val="nil"/>
              <w:left w:val="single" w:sz="4" w:space="0" w:color="auto"/>
              <w:bottom w:val="single" w:sz="4" w:space="0" w:color="auto"/>
              <w:right w:val="nil"/>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single" w:sz="4" w:space="0" w:color="auto"/>
              <w:bottom w:val="single" w:sz="4" w:space="0" w:color="auto"/>
              <w:right w:val="nil"/>
            </w:tcBorders>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xml:space="preserve">% contrib </w:t>
            </w:r>
            <w:r w:rsidRPr="00FA7ED5">
              <w:rPr>
                <w:rFonts w:ascii="Arial Narrow" w:hAnsi="Arial Narrow" w:cs="Arial"/>
                <w:sz w:val="12"/>
                <w:szCs w:val="12"/>
                <w:lang w:eastAsia="en-AU"/>
              </w:rPr>
              <w:br/>
              <w:t>to expenditure</w:t>
            </w:r>
          </w:p>
        </w:tc>
        <w:tc>
          <w:tcPr>
            <w:tcW w:w="0" w:type="auto"/>
            <w:tcBorders>
              <w:top w:val="nil"/>
              <w:left w:val="single" w:sz="4" w:space="0" w:color="auto"/>
              <w:bottom w:val="single" w:sz="4" w:space="0" w:color="auto"/>
              <w:right w:val="nil"/>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Number</w:t>
            </w:r>
          </w:p>
        </w:tc>
        <w:tc>
          <w:tcPr>
            <w:tcW w:w="0" w:type="auto"/>
            <w:tcBorders>
              <w:top w:val="nil"/>
              <w:left w:val="single" w:sz="4" w:space="0" w:color="auto"/>
              <w:bottom w:val="single" w:sz="4" w:space="0" w:color="auto"/>
              <w:right w:val="nil"/>
            </w:tcBorders>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xml:space="preserve">% contrib </w:t>
            </w:r>
            <w:r w:rsidRPr="00FA7ED5">
              <w:rPr>
                <w:rFonts w:ascii="Arial Narrow" w:hAnsi="Arial Narrow" w:cs="Arial"/>
                <w:sz w:val="12"/>
                <w:szCs w:val="12"/>
                <w:lang w:eastAsia="en-AU"/>
              </w:rPr>
              <w:br/>
              <w:t>to scripts</w:t>
            </w:r>
          </w:p>
        </w:tc>
        <w:tc>
          <w:tcPr>
            <w:tcW w:w="0" w:type="auto"/>
            <w:tcBorders>
              <w:top w:val="nil"/>
              <w:left w:val="single" w:sz="4" w:space="0" w:color="auto"/>
              <w:bottom w:val="single" w:sz="4" w:space="0" w:color="auto"/>
              <w:right w:val="nil"/>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single" w:sz="4" w:space="0" w:color="auto"/>
              <w:bottom w:val="single" w:sz="4" w:space="0" w:color="auto"/>
              <w:right w:val="nil"/>
            </w:tcBorders>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xml:space="preserve">% contrib </w:t>
            </w:r>
            <w:r w:rsidRPr="00FA7ED5">
              <w:rPr>
                <w:rFonts w:ascii="Arial Narrow" w:hAnsi="Arial Narrow" w:cs="Arial"/>
                <w:sz w:val="12"/>
                <w:szCs w:val="12"/>
                <w:lang w:eastAsia="en-AU"/>
              </w:rPr>
              <w:br/>
              <w:t>to expenditure</w:t>
            </w:r>
          </w:p>
        </w:tc>
        <w:tc>
          <w:tcPr>
            <w:tcW w:w="0" w:type="auto"/>
            <w:tcBorders>
              <w:top w:val="nil"/>
              <w:left w:val="single" w:sz="4" w:space="0" w:color="auto"/>
              <w:bottom w:val="single" w:sz="4" w:space="0" w:color="auto"/>
              <w:right w:val="nil"/>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Number</w:t>
            </w:r>
          </w:p>
        </w:tc>
        <w:tc>
          <w:tcPr>
            <w:tcW w:w="0" w:type="auto"/>
            <w:tcBorders>
              <w:top w:val="nil"/>
              <w:left w:val="single" w:sz="4" w:space="0" w:color="auto"/>
              <w:bottom w:val="single" w:sz="4" w:space="0" w:color="auto"/>
              <w:right w:val="nil"/>
            </w:tcBorders>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xml:space="preserve">% contrib </w:t>
            </w:r>
            <w:r w:rsidRPr="00FA7ED5">
              <w:rPr>
                <w:rFonts w:ascii="Arial Narrow" w:hAnsi="Arial Narrow" w:cs="Arial"/>
                <w:sz w:val="12"/>
                <w:szCs w:val="12"/>
                <w:lang w:eastAsia="en-AU"/>
              </w:rPr>
              <w:br/>
              <w:t>to scripts</w:t>
            </w:r>
          </w:p>
        </w:tc>
        <w:tc>
          <w:tcPr>
            <w:tcW w:w="0" w:type="auto"/>
            <w:tcBorders>
              <w:top w:val="nil"/>
              <w:left w:val="single" w:sz="4" w:space="0" w:color="auto"/>
              <w:bottom w:val="single" w:sz="4" w:space="0" w:color="auto"/>
              <w:right w:val="nil"/>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w:t>
            </w:r>
          </w:p>
        </w:tc>
        <w:tc>
          <w:tcPr>
            <w:tcW w:w="0" w:type="auto"/>
            <w:tcBorders>
              <w:top w:val="nil"/>
              <w:left w:val="single" w:sz="4" w:space="0" w:color="auto"/>
              <w:bottom w:val="single" w:sz="4" w:space="0" w:color="auto"/>
              <w:right w:val="nil"/>
            </w:tcBorders>
            <w:vAlign w:val="bottom"/>
          </w:tcPr>
          <w:p w:rsidR="009B075E" w:rsidRPr="00FA7ED5" w:rsidRDefault="009B075E" w:rsidP="00FA7ED5">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contrib.</w:t>
            </w:r>
            <w:r w:rsidRPr="00FA7ED5">
              <w:rPr>
                <w:rFonts w:ascii="Arial Narrow" w:hAnsi="Arial Narrow" w:cs="Arial"/>
                <w:sz w:val="12"/>
                <w:szCs w:val="12"/>
                <w:lang w:eastAsia="en-AU"/>
              </w:rPr>
              <w:br/>
              <w:t>to expenditure</w:t>
            </w:r>
          </w:p>
        </w:tc>
        <w:tc>
          <w:tcPr>
            <w:tcW w:w="0" w:type="auto"/>
            <w:tcBorders>
              <w:top w:val="nil"/>
              <w:left w:val="single" w:sz="4" w:space="0" w:color="auto"/>
              <w:bottom w:val="single" w:sz="4" w:space="0" w:color="auto"/>
              <w:right w:val="nil"/>
            </w:tcBorders>
            <w:noWrap/>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Number</w:t>
            </w:r>
          </w:p>
        </w:tc>
        <w:tc>
          <w:tcPr>
            <w:tcW w:w="0" w:type="auto"/>
            <w:tcBorders>
              <w:top w:val="nil"/>
              <w:left w:val="single" w:sz="4" w:space="0" w:color="auto"/>
              <w:bottom w:val="single" w:sz="4" w:space="0" w:color="auto"/>
              <w:right w:val="single" w:sz="8" w:space="0" w:color="auto"/>
            </w:tcBorders>
            <w:vAlign w:val="bottom"/>
          </w:tcPr>
          <w:p w:rsidR="009B075E" w:rsidRPr="00FA7ED5" w:rsidRDefault="009B075E" w:rsidP="00F527AE">
            <w:pPr>
              <w:spacing w:after="0" w:line="240" w:lineRule="auto"/>
              <w:jc w:val="center"/>
              <w:rPr>
                <w:rFonts w:ascii="Arial Narrow" w:hAnsi="Arial Narrow" w:cs="Arial"/>
                <w:sz w:val="12"/>
                <w:szCs w:val="12"/>
                <w:lang w:eastAsia="en-AU"/>
              </w:rPr>
            </w:pPr>
            <w:r w:rsidRPr="00FA7ED5">
              <w:rPr>
                <w:rFonts w:ascii="Arial Narrow" w:hAnsi="Arial Narrow" w:cs="Arial"/>
                <w:sz w:val="12"/>
                <w:szCs w:val="12"/>
                <w:lang w:eastAsia="en-AU"/>
              </w:rPr>
              <w:t xml:space="preserve">% contrib </w:t>
            </w:r>
            <w:r w:rsidRPr="00FA7ED5">
              <w:rPr>
                <w:rFonts w:ascii="Arial Narrow" w:hAnsi="Arial Narrow" w:cs="Arial"/>
                <w:sz w:val="12"/>
                <w:szCs w:val="12"/>
                <w:lang w:eastAsia="en-AU"/>
              </w:rPr>
              <w:br/>
              <w:t>to scripts</w:t>
            </w:r>
          </w:p>
        </w:tc>
      </w:tr>
      <w:tr w:rsidR="009B075E" w:rsidRPr="00FA7ED5" w:rsidTr="00FA7ED5">
        <w:trPr>
          <w:trHeight w:val="255"/>
        </w:trPr>
        <w:tc>
          <w:tcPr>
            <w:tcW w:w="0" w:type="auto"/>
            <w:tcBorders>
              <w:top w:val="nil"/>
              <w:left w:val="single" w:sz="8" w:space="0" w:color="auto"/>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2007-08</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3,131,954,896</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53.0%</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51,008,382</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29.8%</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2,239,971,926</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37.9%</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107,755,030</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63.0%</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537,020,886</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9.1%</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11,873,877</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6.9%</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3,223,266</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0.1%</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322,552</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0.2%</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5,912,170,974</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100.0%</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170,959,841</w:t>
            </w:r>
          </w:p>
        </w:tc>
        <w:tc>
          <w:tcPr>
            <w:tcW w:w="0" w:type="auto"/>
            <w:tcBorders>
              <w:top w:val="nil"/>
              <w:left w:val="single" w:sz="4" w:space="0" w:color="auto"/>
              <w:bottom w:val="nil"/>
              <w:right w:val="single" w:sz="8"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100.0%</w:t>
            </w:r>
          </w:p>
        </w:tc>
      </w:tr>
      <w:tr w:rsidR="009B075E" w:rsidRPr="00FA7ED5" w:rsidTr="00FA7ED5">
        <w:trPr>
          <w:trHeight w:val="255"/>
        </w:trPr>
        <w:tc>
          <w:tcPr>
            <w:tcW w:w="0" w:type="auto"/>
            <w:tcBorders>
              <w:top w:val="nil"/>
              <w:left w:val="single" w:sz="8" w:space="0" w:color="auto"/>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2008-09</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3,773,390,258</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57.5%</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57,328,494</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31.6%</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2,171,897,298</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33.1%</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110,021,628</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60.6%</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614,408,197</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9.4%</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13,803,861</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7.6%</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3,705,787</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0.1%</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314,148</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0.2%</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6,563,401,540</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100.0%</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181,468,131</w:t>
            </w:r>
          </w:p>
        </w:tc>
        <w:tc>
          <w:tcPr>
            <w:tcW w:w="0" w:type="auto"/>
            <w:tcBorders>
              <w:top w:val="nil"/>
              <w:left w:val="single" w:sz="4" w:space="0" w:color="auto"/>
              <w:bottom w:val="nil"/>
              <w:right w:val="single" w:sz="8"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100.0%</w:t>
            </w:r>
          </w:p>
        </w:tc>
      </w:tr>
      <w:tr w:rsidR="009B075E" w:rsidRPr="00FA7ED5" w:rsidTr="00FA7ED5">
        <w:trPr>
          <w:trHeight w:val="255"/>
        </w:trPr>
        <w:tc>
          <w:tcPr>
            <w:tcW w:w="0" w:type="auto"/>
            <w:tcBorders>
              <w:top w:val="nil"/>
              <w:left w:val="single" w:sz="8" w:space="0" w:color="auto"/>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2009-10</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4,084,877,974</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58.2%</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58,433,559</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31.8%</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2,288,530,142</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32.6%</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111,257,498</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60.6%</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641,059,689</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9.1%</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13,595,501</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7.4%</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4,424,349</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0.1%</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292,635</w:t>
            </w:r>
          </w:p>
        </w:tc>
        <w:tc>
          <w:tcPr>
            <w:tcW w:w="0" w:type="auto"/>
            <w:tcBorders>
              <w:top w:val="nil"/>
              <w:left w:val="single" w:sz="4" w:space="0" w:color="auto"/>
              <w:bottom w:val="nil"/>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0.2%</w:t>
            </w:r>
          </w:p>
        </w:tc>
        <w:tc>
          <w:tcPr>
            <w:tcW w:w="0" w:type="auto"/>
            <w:tcBorders>
              <w:top w:val="nil"/>
              <w:left w:val="nil"/>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7,018,892,155</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100.0%</w:t>
            </w:r>
          </w:p>
        </w:tc>
        <w:tc>
          <w:tcPr>
            <w:tcW w:w="0" w:type="auto"/>
            <w:tcBorders>
              <w:top w:val="nil"/>
              <w:left w:val="single" w:sz="4" w:space="0" w:color="auto"/>
              <w:bottom w:val="nil"/>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183,579,193</w:t>
            </w:r>
          </w:p>
        </w:tc>
        <w:tc>
          <w:tcPr>
            <w:tcW w:w="0" w:type="auto"/>
            <w:tcBorders>
              <w:top w:val="nil"/>
              <w:left w:val="single" w:sz="4" w:space="0" w:color="auto"/>
              <w:bottom w:val="nil"/>
              <w:right w:val="single" w:sz="8"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100.0%</w:t>
            </w:r>
          </w:p>
        </w:tc>
      </w:tr>
      <w:tr w:rsidR="009B075E" w:rsidRPr="00FA7ED5" w:rsidTr="00FA7ED5">
        <w:trPr>
          <w:trHeight w:val="270"/>
        </w:trPr>
        <w:tc>
          <w:tcPr>
            <w:tcW w:w="0" w:type="auto"/>
            <w:tcBorders>
              <w:top w:val="nil"/>
              <w:left w:val="single" w:sz="8" w:space="0" w:color="auto"/>
              <w:bottom w:val="single" w:sz="8" w:space="0" w:color="auto"/>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2010-11</w:t>
            </w:r>
          </w:p>
        </w:tc>
        <w:tc>
          <w:tcPr>
            <w:tcW w:w="0" w:type="auto"/>
            <w:tcBorders>
              <w:top w:val="nil"/>
              <w:left w:val="single" w:sz="4" w:space="0" w:color="auto"/>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4,163,173,571</w:t>
            </w:r>
          </w:p>
        </w:tc>
        <w:tc>
          <w:tcPr>
            <w:tcW w:w="0" w:type="auto"/>
            <w:tcBorders>
              <w:top w:val="nil"/>
              <w:left w:val="nil"/>
              <w:bottom w:val="single" w:sz="8" w:space="0" w:color="auto"/>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56.8%</w:t>
            </w:r>
          </w:p>
        </w:tc>
        <w:tc>
          <w:tcPr>
            <w:tcW w:w="0" w:type="auto"/>
            <w:tcBorders>
              <w:top w:val="nil"/>
              <w:left w:val="single" w:sz="4" w:space="0" w:color="auto"/>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58,630,063</w:t>
            </w:r>
          </w:p>
        </w:tc>
        <w:tc>
          <w:tcPr>
            <w:tcW w:w="0" w:type="auto"/>
            <w:tcBorders>
              <w:top w:val="nil"/>
              <w:left w:val="nil"/>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31.2%</w:t>
            </w:r>
          </w:p>
        </w:tc>
        <w:tc>
          <w:tcPr>
            <w:tcW w:w="0" w:type="auto"/>
            <w:tcBorders>
              <w:top w:val="nil"/>
              <w:left w:val="nil"/>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2,440,051,920</w:t>
            </w:r>
          </w:p>
        </w:tc>
        <w:tc>
          <w:tcPr>
            <w:tcW w:w="0" w:type="auto"/>
            <w:tcBorders>
              <w:top w:val="nil"/>
              <w:left w:val="nil"/>
              <w:bottom w:val="single" w:sz="8" w:space="0" w:color="auto"/>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33.3%</w:t>
            </w:r>
          </w:p>
        </w:tc>
        <w:tc>
          <w:tcPr>
            <w:tcW w:w="0" w:type="auto"/>
            <w:tcBorders>
              <w:top w:val="nil"/>
              <w:left w:val="single" w:sz="4" w:space="0" w:color="auto"/>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113,981,101</w:t>
            </w:r>
          </w:p>
        </w:tc>
        <w:tc>
          <w:tcPr>
            <w:tcW w:w="0" w:type="auto"/>
            <w:tcBorders>
              <w:top w:val="nil"/>
              <w:left w:val="nil"/>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60.7%</w:t>
            </w:r>
          </w:p>
        </w:tc>
        <w:tc>
          <w:tcPr>
            <w:tcW w:w="0" w:type="auto"/>
            <w:tcBorders>
              <w:top w:val="nil"/>
              <w:left w:val="nil"/>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715,717,392</w:t>
            </w:r>
          </w:p>
        </w:tc>
        <w:tc>
          <w:tcPr>
            <w:tcW w:w="0" w:type="auto"/>
            <w:tcBorders>
              <w:top w:val="nil"/>
              <w:left w:val="nil"/>
              <w:bottom w:val="single" w:sz="8" w:space="0" w:color="auto"/>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9.8%</w:t>
            </w:r>
          </w:p>
        </w:tc>
        <w:tc>
          <w:tcPr>
            <w:tcW w:w="0" w:type="auto"/>
            <w:tcBorders>
              <w:top w:val="nil"/>
              <w:left w:val="single" w:sz="4" w:space="0" w:color="auto"/>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14,902,034</w:t>
            </w:r>
          </w:p>
        </w:tc>
        <w:tc>
          <w:tcPr>
            <w:tcW w:w="0" w:type="auto"/>
            <w:tcBorders>
              <w:top w:val="nil"/>
              <w:left w:val="nil"/>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7.9%</w:t>
            </w:r>
          </w:p>
        </w:tc>
        <w:tc>
          <w:tcPr>
            <w:tcW w:w="0" w:type="auto"/>
            <w:tcBorders>
              <w:top w:val="nil"/>
              <w:left w:val="nil"/>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4,205,920</w:t>
            </w:r>
          </w:p>
        </w:tc>
        <w:tc>
          <w:tcPr>
            <w:tcW w:w="0" w:type="auto"/>
            <w:tcBorders>
              <w:top w:val="nil"/>
              <w:left w:val="nil"/>
              <w:bottom w:val="single" w:sz="8" w:space="0" w:color="auto"/>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0.1%</w:t>
            </w:r>
          </w:p>
        </w:tc>
        <w:tc>
          <w:tcPr>
            <w:tcW w:w="0" w:type="auto"/>
            <w:tcBorders>
              <w:top w:val="nil"/>
              <w:left w:val="single" w:sz="4" w:space="0" w:color="auto"/>
              <w:bottom w:val="single" w:sz="8" w:space="0" w:color="auto"/>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291,342</w:t>
            </w:r>
          </w:p>
        </w:tc>
        <w:tc>
          <w:tcPr>
            <w:tcW w:w="0" w:type="auto"/>
            <w:tcBorders>
              <w:top w:val="nil"/>
              <w:left w:val="single" w:sz="4" w:space="0" w:color="auto"/>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0.2%</w:t>
            </w:r>
          </w:p>
        </w:tc>
        <w:tc>
          <w:tcPr>
            <w:tcW w:w="0" w:type="auto"/>
            <w:tcBorders>
              <w:top w:val="nil"/>
              <w:left w:val="nil"/>
              <w:bottom w:val="single" w:sz="8" w:space="0" w:color="auto"/>
              <w:right w:val="nil"/>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7,323,148,803</w:t>
            </w:r>
          </w:p>
        </w:tc>
        <w:tc>
          <w:tcPr>
            <w:tcW w:w="0" w:type="auto"/>
            <w:tcBorders>
              <w:top w:val="nil"/>
              <w:left w:val="single" w:sz="4" w:space="0" w:color="auto"/>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100.0%</w:t>
            </w:r>
          </w:p>
        </w:tc>
        <w:tc>
          <w:tcPr>
            <w:tcW w:w="0" w:type="auto"/>
            <w:tcBorders>
              <w:top w:val="nil"/>
              <w:left w:val="nil"/>
              <w:bottom w:val="single" w:sz="8" w:space="0" w:color="auto"/>
              <w:right w:val="single" w:sz="4"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187,804,540</w:t>
            </w:r>
          </w:p>
        </w:tc>
        <w:tc>
          <w:tcPr>
            <w:tcW w:w="0" w:type="auto"/>
            <w:tcBorders>
              <w:top w:val="nil"/>
              <w:left w:val="nil"/>
              <w:bottom w:val="single" w:sz="8" w:space="0" w:color="auto"/>
              <w:right w:val="single" w:sz="8" w:space="0" w:color="auto"/>
            </w:tcBorders>
            <w:noWrap/>
            <w:vAlign w:val="bottom"/>
          </w:tcPr>
          <w:p w:rsidR="009B075E" w:rsidRPr="00FA7ED5" w:rsidRDefault="009B075E" w:rsidP="00F527AE">
            <w:pPr>
              <w:spacing w:after="0" w:line="240" w:lineRule="auto"/>
              <w:jc w:val="right"/>
              <w:rPr>
                <w:rFonts w:ascii="Arial Narrow" w:hAnsi="Arial Narrow" w:cs="Arial"/>
                <w:sz w:val="12"/>
                <w:szCs w:val="12"/>
                <w:lang w:eastAsia="en-AU"/>
              </w:rPr>
            </w:pPr>
            <w:r w:rsidRPr="00FA7ED5">
              <w:rPr>
                <w:rFonts w:ascii="Arial Narrow" w:hAnsi="Arial Narrow" w:cs="Arial"/>
                <w:sz w:val="12"/>
                <w:szCs w:val="12"/>
                <w:lang w:eastAsia="en-AU"/>
              </w:rPr>
              <w:t>100.0%</w:t>
            </w:r>
          </w:p>
        </w:tc>
      </w:tr>
      <w:tr w:rsidR="009B075E" w:rsidRPr="00FA7ED5" w:rsidTr="00FA7ED5">
        <w:trPr>
          <w:trHeight w:val="255"/>
        </w:trPr>
        <w:tc>
          <w:tcPr>
            <w:tcW w:w="0" w:type="auto"/>
            <w:gridSpan w:val="5"/>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Source: PBS section 85 General and Concessional expenditure and scripts</w:t>
            </w: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r>
      <w:tr w:rsidR="009B075E" w:rsidRPr="00FA7ED5" w:rsidTr="00FA7ED5">
        <w:trPr>
          <w:trHeight w:val="255"/>
        </w:trPr>
        <w:tc>
          <w:tcPr>
            <w:tcW w:w="0" w:type="auto"/>
            <w:gridSpan w:val="9"/>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r w:rsidRPr="00FA7ED5">
              <w:rPr>
                <w:rFonts w:ascii="Arial Narrow" w:hAnsi="Arial Narrow" w:cs="Arial"/>
                <w:sz w:val="12"/>
                <w:szCs w:val="12"/>
                <w:lang w:eastAsia="en-AU"/>
              </w:rPr>
              <w:t xml:space="preserve">Gov't expenditure is PBS </w:t>
            </w:r>
            <w:r>
              <w:rPr>
                <w:rFonts w:ascii="Arial Narrow" w:hAnsi="Arial Narrow" w:cs="Arial"/>
                <w:sz w:val="12"/>
                <w:szCs w:val="12"/>
                <w:lang w:eastAsia="en-AU"/>
              </w:rPr>
              <w:t>S85</w:t>
            </w:r>
            <w:r w:rsidRPr="00FA7ED5">
              <w:rPr>
                <w:rFonts w:ascii="Arial Narrow" w:hAnsi="Arial Narrow" w:cs="Arial"/>
                <w:sz w:val="12"/>
                <w:szCs w:val="12"/>
                <w:lang w:eastAsia="en-AU"/>
              </w:rPr>
              <w:t xml:space="preserve"> general and concessional scripts and expenditure including drs bag, excluding extemporaneously prepared items.</w:t>
            </w: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FA7ED5" w:rsidRDefault="009B075E" w:rsidP="00F527AE">
            <w:pPr>
              <w:spacing w:after="0" w:line="240" w:lineRule="auto"/>
              <w:rPr>
                <w:rFonts w:ascii="Arial Narrow" w:hAnsi="Arial Narrow" w:cs="Arial"/>
                <w:sz w:val="12"/>
                <w:szCs w:val="12"/>
                <w:lang w:eastAsia="en-AU"/>
              </w:rPr>
            </w:pPr>
          </w:p>
        </w:tc>
      </w:tr>
    </w:tbl>
    <w:p w:rsidR="009B075E" w:rsidRPr="00F527AE" w:rsidRDefault="009B075E" w:rsidP="00E90FFF">
      <w:pPr>
        <w:pStyle w:val="Caption"/>
        <w:jc w:val="left"/>
        <w:rPr>
          <w:rFonts w:ascii="Arial" w:hAnsi="Arial" w:cs="Arial"/>
          <w:sz w:val="22"/>
          <w:szCs w:val="22"/>
        </w:rPr>
      </w:pPr>
      <w:r w:rsidRPr="00DC51D5">
        <w:rPr>
          <w:rFonts w:ascii="Arial" w:hAnsi="Arial" w:cs="Arial"/>
          <w:highlight w:val="yellow"/>
        </w:rPr>
        <w:br w:type="page"/>
      </w:r>
      <w:bookmarkStart w:id="109" w:name="_Ref301528934"/>
      <w:r w:rsidRPr="00F527AE">
        <w:rPr>
          <w:rFonts w:ascii="Arial" w:hAnsi="Arial" w:cs="Arial"/>
          <w:sz w:val="22"/>
          <w:szCs w:val="22"/>
        </w:rPr>
        <w:lastRenderedPageBreak/>
        <w:t xml:space="preserve">Table </w:t>
      </w:r>
      <w:r w:rsidR="00855AAF" w:rsidRPr="00F527AE">
        <w:rPr>
          <w:rFonts w:ascii="Arial" w:hAnsi="Arial" w:cs="Arial"/>
          <w:sz w:val="22"/>
          <w:szCs w:val="22"/>
        </w:rPr>
        <w:fldChar w:fldCharType="begin"/>
      </w:r>
      <w:r w:rsidRPr="00F527AE">
        <w:rPr>
          <w:rFonts w:ascii="Arial" w:hAnsi="Arial" w:cs="Arial"/>
          <w:sz w:val="22"/>
          <w:szCs w:val="22"/>
        </w:rPr>
        <w:instrText xml:space="preserve"> SEQ Table \* ARABIC </w:instrText>
      </w:r>
      <w:r w:rsidR="00855AAF" w:rsidRPr="00F527AE">
        <w:rPr>
          <w:rFonts w:ascii="Arial" w:hAnsi="Arial" w:cs="Arial"/>
          <w:sz w:val="22"/>
          <w:szCs w:val="22"/>
        </w:rPr>
        <w:fldChar w:fldCharType="separate"/>
      </w:r>
      <w:r w:rsidR="00584343">
        <w:rPr>
          <w:rFonts w:ascii="Arial" w:hAnsi="Arial" w:cs="Arial"/>
          <w:noProof/>
          <w:sz w:val="22"/>
          <w:szCs w:val="22"/>
        </w:rPr>
        <w:t>19</w:t>
      </w:r>
      <w:r w:rsidR="00855AAF" w:rsidRPr="00F527AE">
        <w:rPr>
          <w:rFonts w:ascii="Arial" w:hAnsi="Arial" w:cs="Arial"/>
          <w:sz w:val="22"/>
          <w:szCs w:val="22"/>
        </w:rPr>
        <w:fldChar w:fldCharType="end"/>
      </w:r>
      <w:bookmarkEnd w:id="109"/>
      <w:r w:rsidRPr="00F527AE">
        <w:rPr>
          <w:rFonts w:ascii="Arial" w:hAnsi="Arial" w:cs="Arial"/>
          <w:sz w:val="22"/>
          <w:szCs w:val="22"/>
        </w:rPr>
        <w:t xml:space="preserve">: Contribution to overall growth in Government scripts and expenditure for </w:t>
      </w:r>
      <w:r>
        <w:rPr>
          <w:rFonts w:ascii="Arial" w:hAnsi="Arial" w:cs="Arial"/>
          <w:sz w:val="22"/>
          <w:szCs w:val="22"/>
        </w:rPr>
        <w:t>S85</w:t>
      </w:r>
      <w:r w:rsidRPr="00F527AE">
        <w:rPr>
          <w:rFonts w:ascii="Arial" w:hAnsi="Arial" w:cs="Arial"/>
          <w:sz w:val="22"/>
          <w:szCs w:val="22"/>
        </w:rPr>
        <w:t xml:space="preserve"> drugs by formulary</w:t>
      </w:r>
    </w:p>
    <w:tbl>
      <w:tblPr>
        <w:tblW w:w="0" w:type="auto"/>
        <w:tblLook w:val="00A0" w:firstRow="1" w:lastRow="0" w:firstColumn="1" w:lastColumn="0" w:noHBand="0" w:noVBand="0"/>
      </w:tblPr>
      <w:tblGrid>
        <w:gridCol w:w="1003"/>
        <w:gridCol w:w="1050"/>
        <w:gridCol w:w="694"/>
        <w:gridCol w:w="750"/>
        <w:gridCol w:w="627"/>
        <w:gridCol w:w="824"/>
        <w:gridCol w:w="633"/>
        <w:gridCol w:w="736"/>
        <w:gridCol w:w="606"/>
        <w:gridCol w:w="736"/>
        <w:gridCol w:w="606"/>
        <w:gridCol w:w="687"/>
        <w:gridCol w:w="606"/>
        <w:gridCol w:w="797"/>
        <w:gridCol w:w="606"/>
        <w:gridCol w:w="714"/>
        <w:gridCol w:w="606"/>
        <w:gridCol w:w="818"/>
        <w:gridCol w:w="627"/>
        <w:gridCol w:w="736"/>
        <w:gridCol w:w="550"/>
      </w:tblGrid>
      <w:tr w:rsidR="009B075E" w:rsidRPr="0044601D" w:rsidTr="00F07571">
        <w:trPr>
          <w:trHeight w:val="255"/>
        </w:trPr>
        <w:tc>
          <w:tcPr>
            <w:tcW w:w="1002" w:type="dxa"/>
            <w:vMerge w:val="restart"/>
            <w:tcBorders>
              <w:top w:val="single" w:sz="8" w:space="0" w:color="auto"/>
              <w:left w:val="single" w:sz="8" w:space="0" w:color="auto"/>
              <w:bottom w:val="single" w:sz="4" w:space="0" w:color="000000"/>
              <w:right w:val="single" w:sz="4" w:space="0" w:color="auto"/>
            </w:tcBorders>
            <w:noWrap/>
            <w:vAlign w:val="center"/>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Year</w:t>
            </w:r>
          </w:p>
        </w:tc>
        <w:tc>
          <w:tcPr>
            <w:tcW w:w="3104" w:type="dxa"/>
            <w:gridSpan w:val="4"/>
            <w:tcBorders>
              <w:top w:val="single" w:sz="8" w:space="0" w:color="auto"/>
              <w:left w:val="nil"/>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F1</w:t>
            </w:r>
          </w:p>
        </w:tc>
        <w:tc>
          <w:tcPr>
            <w:tcW w:w="0" w:type="auto"/>
            <w:gridSpan w:val="4"/>
            <w:tcBorders>
              <w:top w:val="single" w:sz="8" w:space="0" w:color="auto"/>
              <w:left w:val="nil"/>
              <w:bottom w:val="single" w:sz="4" w:space="0" w:color="auto"/>
              <w:right w:val="nil"/>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F2</w:t>
            </w:r>
          </w:p>
        </w:tc>
        <w:tc>
          <w:tcPr>
            <w:tcW w:w="0" w:type="auto"/>
            <w:gridSpan w:val="4"/>
            <w:tcBorders>
              <w:top w:val="single" w:sz="8" w:space="0" w:color="auto"/>
              <w:left w:val="single" w:sz="4" w:space="0" w:color="auto"/>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Combination items</w:t>
            </w:r>
          </w:p>
        </w:tc>
        <w:tc>
          <w:tcPr>
            <w:tcW w:w="0" w:type="auto"/>
            <w:gridSpan w:val="4"/>
            <w:tcBorders>
              <w:top w:val="single" w:sz="8" w:space="0" w:color="auto"/>
              <w:left w:val="nil"/>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Extemporaneously prepared items</w:t>
            </w:r>
          </w:p>
        </w:tc>
        <w:tc>
          <w:tcPr>
            <w:tcW w:w="2731" w:type="dxa"/>
            <w:gridSpan w:val="4"/>
            <w:tcBorders>
              <w:top w:val="single" w:sz="8" w:space="0" w:color="auto"/>
              <w:left w:val="nil"/>
              <w:bottom w:val="single" w:sz="4" w:space="0" w:color="auto"/>
              <w:right w:val="single" w:sz="8"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Total</w:t>
            </w:r>
          </w:p>
        </w:tc>
      </w:tr>
      <w:tr w:rsidR="009B075E" w:rsidRPr="0044601D" w:rsidTr="00F07571">
        <w:trPr>
          <w:trHeight w:val="255"/>
        </w:trPr>
        <w:tc>
          <w:tcPr>
            <w:tcW w:w="1002" w:type="dxa"/>
            <w:vMerge/>
            <w:tcBorders>
              <w:top w:val="single" w:sz="8" w:space="0" w:color="auto"/>
              <w:left w:val="single" w:sz="8" w:space="0" w:color="auto"/>
              <w:bottom w:val="single" w:sz="4" w:space="0" w:color="000000"/>
              <w:right w:val="single" w:sz="4" w:space="0" w:color="auto"/>
            </w:tcBorders>
            <w:vAlign w:val="center"/>
          </w:tcPr>
          <w:p w:rsidR="009B075E" w:rsidRPr="0044601D" w:rsidRDefault="009B075E" w:rsidP="00F527AE">
            <w:pPr>
              <w:spacing w:after="0" w:line="240" w:lineRule="auto"/>
              <w:rPr>
                <w:rFonts w:ascii="Arial Narrow" w:hAnsi="Arial Narrow" w:cs="Arial"/>
                <w:sz w:val="12"/>
                <w:szCs w:val="12"/>
                <w:lang w:eastAsia="en-AU"/>
              </w:rPr>
            </w:pPr>
          </w:p>
        </w:tc>
        <w:tc>
          <w:tcPr>
            <w:tcW w:w="1647" w:type="dxa"/>
            <w:gridSpan w:val="2"/>
            <w:tcBorders>
              <w:top w:val="single" w:sz="4" w:space="0" w:color="auto"/>
              <w:left w:val="nil"/>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Gov't PBS expenditure</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Scripts</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Gov't PBS expenditure</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Scripts</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Gov't PBS expenditure</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Scripts</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Gov't PBS expenditure</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Scripts</w:t>
            </w:r>
          </w:p>
        </w:tc>
        <w:tc>
          <w:tcPr>
            <w:tcW w:w="0" w:type="auto"/>
            <w:gridSpan w:val="2"/>
            <w:tcBorders>
              <w:top w:val="single" w:sz="4" w:space="0" w:color="auto"/>
              <w:left w:val="nil"/>
              <w:bottom w:val="single" w:sz="4" w:space="0" w:color="auto"/>
              <w:right w:val="single" w:sz="4"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 xml:space="preserve">Gov't PBS </w:t>
            </w:r>
            <w:r>
              <w:rPr>
                <w:rFonts w:ascii="Arial Narrow" w:hAnsi="Arial Narrow" w:cs="Arial"/>
                <w:sz w:val="12"/>
                <w:szCs w:val="12"/>
                <w:lang w:eastAsia="en-AU"/>
              </w:rPr>
              <w:br/>
            </w:r>
            <w:r w:rsidRPr="0044601D">
              <w:rPr>
                <w:rFonts w:ascii="Arial Narrow" w:hAnsi="Arial Narrow" w:cs="Arial"/>
                <w:sz w:val="12"/>
                <w:szCs w:val="12"/>
                <w:lang w:eastAsia="en-AU"/>
              </w:rPr>
              <w:t>expenditure</w:t>
            </w:r>
          </w:p>
        </w:tc>
        <w:tc>
          <w:tcPr>
            <w:tcW w:w="1286" w:type="dxa"/>
            <w:gridSpan w:val="2"/>
            <w:tcBorders>
              <w:top w:val="single" w:sz="4" w:space="0" w:color="auto"/>
              <w:left w:val="nil"/>
              <w:bottom w:val="single" w:sz="4" w:space="0" w:color="auto"/>
              <w:right w:val="single" w:sz="8" w:space="0" w:color="000000"/>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Scripts</w:t>
            </w:r>
          </w:p>
        </w:tc>
      </w:tr>
      <w:tr w:rsidR="009B075E" w:rsidRPr="0044601D" w:rsidTr="00F07571">
        <w:trPr>
          <w:trHeight w:val="510"/>
        </w:trPr>
        <w:tc>
          <w:tcPr>
            <w:tcW w:w="1002" w:type="dxa"/>
            <w:vMerge/>
            <w:tcBorders>
              <w:top w:val="single" w:sz="8" w:space="0" w:color="auto"/>
              <w:left w:val="single" w:sz="8" w:space="0" w:color="auto"/>
              <w:bottom w:val="single" w:sz="4" w:space="0" w:color="000000"/>
              <w:right w:val="single" w:sz="4" w:space="0" w:color="auto"/>
            </w:tcBorders>
            <w:vAlign w:val="center"/>
          </w:tcPr>
          <w:p w:rsidR="009B075E" w:rsidRPr="0044601D" w:rsidRDefault="009B075E" w:rsidP="00F527AE">
            <w:pPr>
              <w:spacing w:after="0" w:line="240" w:lineRule="auto"/>
              <w:rPr>
                <w:rFonts w:ascii="Arial Narrow" w:hAnsi="Arial Narrow" w:cs="Arial"/>
                <w:sz w:val="12"/>
                <w:szCs w:val="12"/>
                <w:lang w:eastAsia="en-AU"/>
              </w:rPr>
            </w:pPr>
          </w:p>
        </w:tc>
        <w:tc>
          <w:tcPr>
            <w:tcW w:w="953" w:type="dxa"/>
            <w:tcBorders>
              <w:top w:val="nil"/>
              <w:left w:val="nil"/>
              <w:bottom w:val="single" w:sz="4" w:space="0" w:color="auto"/>
              <w:right w:val="nil"/>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w:t>
            </w:r>
          </w:p>
        </w:tc>
        <w:tc>
          <w:tcPr>
            <w:tcW w:w="0" w:type="auto"/>
            <w:tcBorders>
              <w:top w:val="nil"/>
              <w:left w:val="single" w:sz="4" w:space="0" w:color="auto"/>
              <w:bottom w:val="single" w:sz="4" w:space="0" w:color="auto"/>
              <w:right w:val="nil"/>
            </w:tcBorders>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 contrib.</w:t>
            </w:r>
            <w:r w:rsidRPr="0044601D">
              <w:rPr>
                <w:rFonts w:ascii="Arial Narrow" w:hAnsi="Arial Narrow" w:cs="Arial"/>
                <w:sz w:val="12"/>
                <w:szCs w:val="12"/>
                <w:lang w:eastAsia="en-AU"/>
              </w:rPr>
              <w:br/>
              <w:t xml:space="preserve"> to growth</w:t>
            </w:r>
          </w:p>
        </w:tc>
        <w:tc>
          <w:tcPr>
            <w:tcW w:w="0" w:type="auto"/>
            <w:tcBorders>
              <w:top w:val="nil"/>
              <w:left w:val="single" w:sz="4" w:space="0" w:color="auto"/>
              <w:bottom w:val="single" w:sz="4" w:space="0" w:color="auto"/>
              <w:right w:val="nil"/>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Number</w:t>
            </w:r>
          </w:p>
        </w:tc>
        <w:tc>
          <w:tcPr>
            <w:tcW w:w="0" w:type="auto"/>
            <w:tcBorders>
              <w:top w:val="nil"/>
              <w:left w:val="single" w:sz="4" w:space="0" w:color="auto"/>
              <w:bottom w:val="single" w:sz="4" w:space="0" w:color="auto"/>
              <w:right w:val="nil"/>
            </w:tcBorders>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 xml:space="preserve">% contrib </w:t>
            </w:r>
            <w:r>
              <w:rPr>
                <w:rFonts w:ascii="Arial Narrow" w:hAnsi="Arial Narrow" w:cs="Arial"/>
                <w:sz w:val="12"/>
                <w:szCs w:val="12"/>
                <w:lang w:eastAsia="en-AU"/>
              </w:rPr>
              <w:br/>
            </w:r>
            <w:r w:rsidRPr="0044601D">
              <w:rPr>
                <w:rFonts w:ascii="Arial Narrow" w:hAnsi="Arial Narrow" w:cs="Arial"/>
                <w:sz w:val="12"/>
                <w:szCs w:val="12"/>
                <w:lang w:eastAsia="en-AU"/>
              </w:rPr>
              <w:t>to growth</w:t>
            </w:r>
          </w:p>
        </w:tc>
        <w:tc>
          <w:tcPr>
            <w:tcW w:w="0" w:type="auto"/>
            <w:tcBorders>
              <w:top w:val="nil"/>
              <w:left w:val="single" w:sz="4" w:space="0" w:color="auto"/>
              <w:bottom w:val="single" w:sz="4" w:space="0" w:color="auto"/>
              <w:right w:val="nil"/>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w:t>
            </w:r>
          </w:p>
        </w:tc>
        <w:tc>
          <w:tcPr>
            <w:tcW w:w="0" w:type="auto"/>
            <w:tcBorders>
              <w:top w:val="nil"/>
              <w:left w:val="single" w:sz="4" w:space="0" w:color="auto"/>
              <w:bottom w:val="single" w:sz="4" w:space="0" w:color="auto"/>
              <w:right w:val="nil"/>
            </w:tcBorders>
            <w:vAlign w:val="bottom"/>
          </w:tcPr>
          <w:p w:rsidR="009B075E" w:rsidRPr="0044601D" w:rsidRDefault="009B075E" w:rsidP="0044601D">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 xml:space="preserve">% </w:t>
            </w:r>
            <w:r>
              <w:rPr>
                <w:rFonts w:ascii="Arial Narrow" w:hAnsi="Arial Narrow" w:cs="Arial"/>
                <w:sz w:val="12"/>
                <w:szCs w:val="12"/>
                <w:lang w:eastAsia="en-AU"/>
              </w:rPr>
              <w:t>contrib.</w:t>
            </w:r>
            <w:r>
              <w:rPr>
                <w:rFonts w:ascii="Arial Narrow" w:hAnsi="Arial Narrow" w:cs="Arial"/>
                <w:sz w:val="12"/>
                <w:szCs w:val="12"/>
                <w:lang w:eastAsia="en-AU"/>
              </w:rPr>
              <w:br/>
            </w:r>
            <w:r w:rsidRPr="0044601D">
              <w:rPr>
                <w:rFonts w:ascii="Arial Narrow" w:hAnsi="Arial Narrow" w:cs="Arial"/>
                <w:sz w:val="12"/>
                <w:szCs w:val="12"/>
                <w:lang w:eastAsia="en-AU"/>
              </w:rPr>
              <w:t>to growth</w:t>
            </w:r>
          </w:p>
        </w:tc>
        <w:tc>
          <w:tcPr>
            <w:tcW w:w="0" w:type="auto"/>
            <w:tcBorders>
              <w:top w:val="nil"/>
              <w:left w:val="single" w:sz="4" w:space="0" w:color="auto"/>
              <w:bottom w:val="single" w:sz="4" w:space="0" w:color="auto"/>
              <w:right w:val="nil"/>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Number</w:t>
            </w:r>
          </w:p>
        </w:tc>
        <w:tc>
          <w:tcPr>
            <w:tcW w:w="0" w:type="auto"/>
            <w:tcBorders>
              <w:top w:val="nil"/>
              <w:left w:val="single" w:sz="4" w:space="0" w:color="auto"/>
              <w:bottom w:val="single" w:sz="4" w:space="0" w:color="auto"/>
              <w:right w:val="nil"/>
            </w:tcBorders>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 xml:space="preserve">% contrib </w:t>
            </w:r>
            <w:r>
              <w:rPr>
                <w:rFonts w:ascii="Arial Narrow" w:hAnsi="Arial Narrow" w:cs="Arial"/>
                <w:sz w:val="12"/>
                <w:szCs w:val="12"/>
                <w:lang w:eastAsia="en-AU"/>
              </w:rPr>
              <w:br/>
            </w:r>
            <w:r w:rsidRPr="0044601D">
              <w:rPr>
                <w:rFonts w:ascii="Arial Narrow" w:hAnsi="Arial Narrow" w:cs="Arial"/>
                <w:sz w:val="12"/>
                <w:szCs w:val="12"/>
                <w:lang w:eastAsia="en-AU"/>
              </w:rPr>
              <w:t>to growth</w:t>
            </w:r>
          </w:p>
        </w:tc>
        <w:tc>
          <w:tcPr>
            <w:tcW w:w="0" w:type="auto"/>
            <w:tcBorders>
              <w:top w:val="nil"/>
              <w:left w:val="single" w:sz="4" w:space="0" w:color="auto"/>
              <w:bottom w:val="single" w:sz="4" w:space="0" w:color="auto"/>
              <w:right w:val="nil"/>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w:t>
            </w:r>
          </w:p>
        </w:tc>
        <w:tc>
          <w:tcPr>
            <w:tcW w:w="0" w:type="auto"/>
            <w:tcBorders>
              <w:top w:val="nil"/>
              <w:left w:val="single" w:sz="4" w:space="0" w:color="auto"/>
              <w:bottom w:val="single" w:sz="4" w:space="0" w:color="auto"/>
              <w:right w:val="nil"/>
            </w:tcBorders>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 xml:space="preserve">% contrib </w:t>
            </w:r>
            <w:r>
              <w:rPr>
                <w:rFonts w:ascii="Arial Narrow" w:hAnsi="Arial Narrow" w:cs="Arial"/>
                <w:sz w:val="12"/>
                <w:szCs w:val="12"/>
                <w:lang w:eastAsia="en-AU"/>
              </w:rPr>
              <w:br/>
            </w:r>
            <w:r w:rsidRPr="0044601D">
              <w:rPr>
                <w:rFonts w:ascii="Arial Narrow" w:hAnsi="Arial Narrow" w:cs="Arial"/>
                <w:sz w:val="12"/>
                <w:szCs w:val="12"/>
                <w:lang w:eastAsia="en-AU"/>
              </w:rPr>
              <w:t>to growth</w:t>
            </w:r>
          </w:p>
        </w:tc>
        <w:tc>
          <w:tcPr>
            <w:tcW w:w="0" w:type="auto"/>
            <w:tcBorders>
              <w:top w:val="nil"/>
              <w:left w:val="single" w:sz="4" w:space="0" w:color="auto"/>
              <w:bottom w:val="single" w:sz="4" w:space="0" w:color="auto"/>
              <w:right w:val="nil"/>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Number</w:t>
            </w:r>
          </w:p>
        </w:tc>
        <w:tc>
          <w:tcPr>
            <w:tcW w:w="0" w:type="auto"/>
            <w:tcBorders>
              <w:top w:val="nil"/>
              <w:left w:val="single" w:sz="4" w:space="0" w:color="auto"/>
              <w:bottom w:val="single" w:sz="4" w:space="0" w:color="auto"/>
              <w:right w:val="nil"/>
            </w:tcBorders>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 xml:space="preserve">% contrib </w:t>
            </w:r>
            <w:r>
              <w:rPr>
                <w:rFonts w:ascii="Arial Narrow" w:hAnsi="Arial Narrow" w:cs="Arial"/>
                <w:sz w:val="12"/>
                <w:szCs w:val="12"/>
                <w:lang w:eastAsia="en-AU"/>
              </w:rPr>
              <w:br/>
            </w:r>
            <w:r w:rsidRPr="0044601D">
              <w:rPr>
                <w:rFonts w:ascii="Arial Narrow" w:hAnsi="Arial Narrow" w:cs="Arial"/>
                <w:sz w:val="12"/>
                <w:szCs w:val="12"/>
                <w:lang w:eastAsia="en-AU"/>
              </w:rPr>
              <w:t>to growth</w:t>
            </w:r>
          </w:p>
        </w:tc>
        <w:tc>
          <w:tcPr>
            <w:tcW w:w="0" w:type="auto"/>
            <w:tcBorders>
              <w:top w:val="nil"/>
              <w:left w:val="single" w:sz="4" w:space="0" w:color="auto"/>
              <w:bottom w:val="single" w:sz="4" w:space="0" w:color="auto"/>
              <w:right w:val="nil"/>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w:t>
            </w:r>
          </w:p>
        </w:tc>
        <w:tc>
          <w:tcPr>
            <w:tcW w:w="0" w:type="auto"/>
            <w:tcBorders>
              <w:top w:val="nil"/>
              <w:left w:val="single" w:sz="4" w:space="0" w:color="auto"/>
              <w:bottom w:val="single" w:sz="4" w:space="0" w:color="auto"/>
              <w:right w:val="nil"/>
            </w:tcBorders>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 xml:space="preserve">% contrib </w:t>
            </w:r>
            <w:r>
              <w:rPr>
                <w:rFonts w:ascii="Arial Narrow" w:hAnsi="Arial Narrow" w:cs="Arial"/>
                <w:sz w:val="12"/>
                <w:szCs w:val="12"/>
                <w:lang w:eastAsia="en-AU"/>
              </w:rPr>
              <w:br/>
            </w:r>
            <w:r w:rsidRPr="0044601D">
              <w:rPr>
                <w:rFonts w:ascii="Arial Narrow" w:hAnsi="Arial Narrow" w:cs="Arial"/>
                <w:sz w:val="12"/>
                <w:szCs w:val="12"/>
                <w:lang w:eastAsia="en-AU"/>
              </w:rPr>
              <w:t>to growth</w:t>
            </w:r>
          </w:p>
        </w:tc>
        <w:tc>
          <w:tcPr>
            <w:tcW w:w="0" w:type="auto"/>
            <w:tcBorders>
              <w:top w:val="nil"/>
              <w:left w:val="single" w:sz="4" w:space="0" w:color="auto"/>
              <w:bottom w:val="single" w:sz="4" w:space="0" w:color="auto"/>
              <w:right w:val="nil"/>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Number</w:t>
            </w:r>
          </w:p>
        </w:tc>
        <w:tc>
          <w:tcPr>
            <w:tcW w:w="0" w:type="auto"/>
            <w:tcBorders>
              <w:top w:val="nil"/>
              <w:left w:val="single" w:sz="4" w:space="0" w:color="auto"/>
              <w:bottom w:val="single" w:sz="4" w:space="0" w:color="auto"/>
              <w:right w:val="nil"/>
            </w:tcBorders>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 xml:space="preserve">% contrib </w:t>
            </w:r>
            <w:r>
              <w:rPr>
                <w:rFonts w:ascii="Arial Narrow" w:hAnsi="Arial Narrow" w:cs="Arial"/>
                <w:sz w:val="12"/>
                <w:szCs w:val="12"/>
                <w:lang w:eastAsia="en-AU"/>
              </w:rPr>
              <w:br/>
            </w:r>
            <w:r w:rsidRPr="0044601D">
              <w:rPr>
                <w:rFonts w:ascii="Arial Narrow" w:hAnsi="Arial Narrow" w:cs="Arial"/>
                <w:sz w:val="12"/>
                <w:szCs w:val="12"/>
                <w:lang w:eastAsia="en-AU"/>
              </w:rPr>
              <w:t>to growth</w:t>
            </w:r>
          </w:p>
        </w:tc>
        <w:tc>
          <w:tcPr>
            <w:tcW w:w="0" w:type="auto"/>
            <w:tcBorders>
              <w:top w:val="nil"/>
              <w:left w:val="single" w:sz="4" w:space="0" w:color="auto"/>
              <w:bottom w:val="single" w:sz="4" w:space="0" w:color="auto"/>
              <w:right w:val="nil"/>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w:t>
            </w:r>
          </w:p>
        </w:tc>
        <w:tc>
          <w:tcPr>
            <w:tcW w:w="0" w:type="auto"/>
            <w:tcBorders>
              <w:top w:val="nil"/>
              <w:left w:val="single" w:sz="4" w:space="0" w:color="auto"/>
              <w:bottom w:val="single" w:sz="4" w:space="0" w:color="auto"/>
              <w:right w:val="nil"/>
            </w:tcBorders>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 xml:space="preserve">% contrib </w:t>
            </w:r>
            <w:r>
              <w:rPr>
                <w:rFonts w:ascii="Arial Narrow" w:hAnsi="Arial Narrow" w:cs="Arial"/>
                <w:sz w:val="12"/>
                <w:szCs w:val="12"/>
                <w:lang w:eastAsia="en-AU"/>
              </w:rPr>
              <w:br/>
            </w:r>
            <w:r w:rsidRPr="0044601D">
              <w:rPr>
                <w:rFonts w:ascii="Arial Narrow" w:hAnsi="Arial Narrow" w:cs="Arial"/>
                <w:sz w:val="12"/>
                <w:szCs w:val="12"/>
                <w:lang w:eastAsia="en-AU"/>
              </w:rPr>
              <w:t xml:space="preserve">to </w:t>
            </w:r>
            <w:r>
              <w:rPr>
                <w:rFonts w:ascii="Arial Narrow" w:hAnsi="Arial Narrow" w:cs="Arial"/>
                <w:sz w:val="12"/>
                <w:szCs w:val="12"/>
                <w:lang w:eastAsia="en-AU"/>
              </w:rPr>
              <w:br/>
            </w:r>
            <w:r w:rsidRPr="0044601D">
              <w:rPr>
                <w:rFonts w:ascii="Arial Narrow" w:hAnsi="Arial Narrow" w:cs="Arial"/>
                <w:sz w:val="12"/>
                <w:szCs w:val="12"/>
                <w:lang w:eastAsia="en-AU"/>
              </w:rPr>
              <w:t>growth</w:t>
            </w:r>
          </w:p>
        </w:tc>
        <w:tc>
          <w:tcPr>
            <w:tcW w:w="0" w:type="auto"/>
            <w:tcBorders>
              <w:top w:val="nil"/>
              <w:left w:val="single" w:sz="4" w:space="0" w:color="auto"/>
              <w:bottom w:val="single" w:sz="4" w:space="0" w:color="auto"/>
              <w:right w:val="nil"/>
            </w:tcBorders>
            <w:noWrap/>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Number</w:t>
            </w:r>
          </w:p>
        </w:tc>
        <w:tc>
          <w:tcPr>
            <w:tcW w:w="550" w:type="dxa"/>
            <w:tcBorders>
              <w:top w:val="nil"/>
              <w:left w:val="single" w:sz="4" w:space="0" w:color="auto"/>
              <w:bottom w:val="single" w:sz="4" w:space="0" w:color="auto"/>
              <w:right w:val="single" w:sz="8" w:space="0" w:color="auto"/>
            </w:tcBorders>
            <w:vAlign w:val="bottom"/>
          </w:tcPr>
          <w:p w:rsidR="009B075E" w:rsidRPr="0044601D" w:rsidRDefault="009B075E" w:rsidP="00F527AE">
            <w:pPr>
              <w:spacing w:after="0" w:line="240" w:lineRule="auto"/>
              <w:jc w:val="center"/>
              <w:rPr>
                <w:rFonts w:ascii="Arial Narrow" w:hAnsi="Arial Narrow" w:cs="Arial"/>
                <w:sz w:val="12"/>
                <w:szCs w:val="12"/>
                <w:lang w:eastAsia="en-AU"/>
              </w:rPr>
            </w:pPr>
            <w:r w:rsidRPr="0044601D">
              <w:rPr>
                <w:rFonts w:ascii="Arial Narrow" w:hAnsi="Arial Narrow" w:cs="Arial"/>
                <w:sz w:val="12"/>
                <w:szCs w:val="12"/>
                <w:lang w:eastAsia="en-AU"/>
              </w:rPr>
              <w:t>% contrib to growth</w:t>
            </w:r>
          </w:p>
        </w:tc>
      </w:tr>
      <w:tr w:rsidR="009B075E" w:rsidRPr="0044601D" w:rsidTr="00F07571">
        <w:trPr>
          <w:trHeight w:val="510"/>
        </w:trPr>
        <w:tc>
          <w:tcPr>
            <w:tcW w:w="1002" w:type="dxa"/>
            <w:tcBorders>
              <w:top w:val="nil"/>
              <w:left w:val="single" w:sz="8" w:space="0" w:color="auto"/>
              <w:bottom w:val="nil"/>
              <w:right w:val="nil"/>
            </w:tcBorders>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Growth 2007-08 to 2008-09</w:t>
            </w:r>
          </w:p>
        </w:tc>
        <w:tc>
          <w:tcPr>
            <w:tcW w:w="953" w:type="dxa"/>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641,435,362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98.5%</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6,320,112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60.1%</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68,074,628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-10.5%</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2,266,598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21.6%</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77,387,311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11.9%</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1,929,984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18.4%</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482,521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0.1%</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8,404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-0.1%</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651,230,566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100.0%</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10,508,290 </w:t>
            </w:r>
          </w:p>
        </w:tc>
        <w:tc>
          <w:tcPr>
            <w:tcW w:w="550" w:type="dxa"/>
            <w:tcBorders>
              <w:top w:val="nil"/>
              <w:left w:val="single" w:sz="4" w:space="0" w:color="auto"/>
              <w:bottom w:val="nil"/>
              <w:right w:val="single" w:sz="8" w:space="0" w:color="auto"/>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100.0%</w:t>
            </w:r>
          </w:p>
        </w:tc>
      </w:tr>
      <w:tr w:rsidR="009B075E" w:rsidRPr="0044601D" w:rsidTr="00F07571">
        <w:trPr>
          <w:trHeight w:val="510"/>
        </w:trPr>
        <w:tc>
          <w:tcPr>
            <w:tcW w:w="1002" w:type="dxa"/>
            <w:tcBorders>
              <w:top w:val="nil"/>
              <w:left w:val="single" w:sz="8" w:space="0" w:color="auto"/>
              <w:bottom w:val="nil"/>
              <w:right w:val="nil"/>
            </w:tcBorders>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Growth 2008-09 to 2009-10</w:t>
            </w:r>
          </w:p>
        </w:tc>
        <w:tc>
          <w:tcPr>
            <w:tcW w:w="953" w:type="dxa"/>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311,487,716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68.4%</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1,105,065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52.3%</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116,632,844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25.6%</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1,235,870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58.5%</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26,651,492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5.9%</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208,360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-9.9%</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718,562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0.2%</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21,513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-1.0%</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455,490,615 </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100.0%</w:t>
            </w:r>
          </w:p>
        </w:tc>
        <w:tc>
          <w:tcPr>
            <w:tcW w:w="0" w:type="auto"/>
            <w:tcBorders>
              <w:top w:val="nil"/>
              <w:left w:val="single" w:sz="4" w:space="0" w:color="auto"/>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2,111,062 </w:t>
            </w:r>
          </w:p>
        </w:tc>
        <w:tc>
          <w:tcPr>
            <w:tcW w:w="550" w:type="dxa"/>
            <w:tcBorders>
              <w:top w:val="nil"/>
              <w:left w:val="single" w:sz="4" w:space="0" w:color="auto"/>
              <w:bottom w:val="nil"/>
              <w:right w:val="single" w:sz="8" w:space="0" w:color="auto"/>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100.0%</w:t>
            </w:r>
          </w:p>
        </w:tc>
      </w:tr>
      <w:tr w:rsidR="009B075E" w:rsidRPr="0044601D" w:rsidTr="00F07571">
        <w:trPr>
          <w:trHeight w:val="525"/>
        </w:trPr>
        <w:tc>
          <w:tcPr>
            <w:tcW w:w="1002" w:type="dxa"/>
            <w:tcBorders>
              <w:top w:val="nil"/>
              <w:left w:val="single" w:sz="8" w:space="0" w:color="auto"/>
              <w:bottom w:val="single" w:sz="8" w:space="0" w:color="auto"/>
              <w:right w:val="nil"/>
            </w:tcBorders>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Growth 2009-10 to 2010-11</w:t>
            </w:r>
          </w:p>
        </w:tc>
        <w:tc>
          <w:tcPr>
            <w:tcW w:w="953" w:type="dxa"/>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78,295,597 </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25.7%</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196,504 </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4.7%</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151,521,777 </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49.8%</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2,723,603 </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64.5%</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74,657,703 </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24.5%</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1,306,533 </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30.9%</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218,429 </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-0.1%</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1,293 </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0.0%</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304,256,648 </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100.0%</w:t>
            </w:r>
          </w:p>
        </w:tc>
        <w:tc>
          <w:tcPr>
            <w:tcW w:w="0" w:type="auto"/>
            <w:tcBorders>
              <w:top w:val="nil"/>
              <w:left w:val="single" w:sz="4" w:space="0" w:color="auto"/>
              <w:bottom w:val="single" w:sz="8" w:space="0" w:color="auto"/>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   4,225,347 </w:t>
            </w:r>
          </w:p>
        </w:tc>
        <w:tc>
          <w:tcPr>
            <w:tcW w:w="550" w:type="dxa"/>
            <w:tcBorders>
              <w:top w:val="nil"/>
              <w:left w:val="single" w:sz="4" w:space="0" w:color="auto"/>
              <w:bottom w:val="single" w:sz="8" w:space="0" w:color="auto"/>
              <w:right w:val="single" w:sz="8" w:space="0" w:color="auto"/>
            </w:tcBorders>
            <w:noWrap/>
            <w:vAlign w:val="bottom"/>
          </w:tcPr>
          <w:p w:rsidR="009B075E" w:rsidRPr="0044601D" w:rsidRDefault="009B075E" w:rsidP="00F527AE">
            <w:pPr>
              <w:spacing w:after="0" w:line="240" w:lineRule="auto"/>
              <w:jc w:val="right"/>
              <w:rPr>
                <w:rFonts w:ascii="Arial Narrow" w:hAnsi="Arial Narrow" w:cs="Arial"/>
                <w:sz w:val="12"/>
                <w:szCs w:val="12"/>
                <w:lang w:eastAsia="en-AU"/>
              </w:rPr>
            </w:pPr>
            <w:r w:rsidRPr="0044601D">
              <w:rPr>
                <w:rFonts w:ascii="Arial Narrow" w:hAnsi="Arial Narrow" w:cs="Arial"/>
                <w:sz w:val="12"/>
                <w:szCs w:val="12"/>
                <w:lang w:eastAsia="en-AU"/>
              </w:rPr>
              <w:t>100.0%</w:t>
            </w:r>
          </w:p>
        </w:tc>
      </w:tr>
      <w:tr w:rsidR="009B075E" w:rsidRPr="0044601D" w:rsidTr="00F07571">
        <w:trPr>
          <w:trHeight w:val="255"/>
        </w:trPr>
        <w:tc>
          <w:tcPr>
            <w:tcW w:w="0" w:type="auto"/>
            <w:gridSpan w:val="17"/>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Source: PBS section 85 General and Concessional expenditure and scripts</w:t>
            </w: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550" w:type="dxa"/>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r>
      <w:tr w:rsidR="009B075E" w:rsidRPr="0044601D" w:rsidTr="00F07571">
        <w:trPr>
          <w:trHeight w:val="255"/>
        </w:trPr>
        <w:tc>
          <w:tcPr>
            <w:tcW w:w="0" w:type="auto"/>
            <w:gridSpan w:val="9"/>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r w:rsidRPr="0044601D">
              <w:rPr>
                <w:rFonts w:ascii="Arial Narrow" w:hAnsi="Arial Narrow" w:cs="Arial"/>
                <w:sz w:val="12"/>
                <w:szCs w:val="12"/>
                <w:lang w:eastAsia="en-AU"/>
              </w:rPr>
              <w:t xml:space="preserve">Gov't expenditure is PBS </w:t>
            </w:r>
            <w:r>
              <w:rPr>
                <w:rFonts w:ascii="Arial Narrow" w:hAnsi="Arial Narrow" w:cs="Arial"/>
                <w:sz w:val="12"/>
                <w:szCs w:val="12"/>
                <w:lang w:eastAsia="en-AU"/>
              </w:rPr>
              <w:t>S85</w:t>
            </w:r>
            <w:r w:rsidRPr="0044601D">
              <w:rPr>
                <w:rFonts w:ascii="Arial Narrow" w:hAnsi="Arial Narrow" w:cs="Arial"/>
                <w:sz w:val="12"/>
                <w:szCs w:val="12"/>
                <w:lang w:eastAsia="en-AU"/>
              </w:rPr>
              <w:t xml:space="preserve"> general and concessional scripts and expenditure including drs bag, excluding extemporaneously prepared items.</w:t>
            </w: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0" w:type="auto"/>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c>
          <w:tcPr>
            <w:tcW w:w="550" w:type="dxa"/>
            <w:tcBorders>
              <w:top w:val="nil"/>
              <w:left w:val="nil"/>
              <w:bottom w:val="nil"/>
              <w:right w:val="nil"/>
            </w:tcBorders>
            <w:noWrap/>
            <w:vAlign w:val="bottom"/>
          </w:tcPr>
          <w:p w:rsidR="009B075E" w:rsidRPr="0044601D" w:rsidRDefault="009B075E" w:rsidP="00F527AE">
            <w:pPr>
              <w:spacing w:after="0" w:line="240" w:lineRule="auto"/>
              <w:rPr>
                <w:rFonts w:ascii="Arial Narrow" w:hAnsi="Arial Narrow" w:cs="Arial"/>
                <w:sz w:val="12"/>
                <w:szCs w:val="12"/>
                <w:lang w:eastAsia="en-AU"/>
              </w:rPr>
            </w:pPr>
          </w:p>
        </w:tc>
      </w:tr>
    </w:tbl>
    <w:p w:rsidR="009B075E" w:rsidRPr="00F527AE" w:rsidRDefault="009B075E" w:rsidP="00CD48FC">
      <w:pPr>
        <w:rPr>
          <w:rFonts w:ascii="Arial" w:hAnsi="Arial" w:cs="Arial"/>
        </w:rPr>
      </w:pPr>
    </w:p>
    <w:p w:rsidR="009B075E" w:rsidRPr="00F527AE" w:rsidRDefault="009B075E" w:rsidP="00CD48FC">
      <w:pPr>
        <w:rPr>
          <w:rFonts w:ascii="Arial" w:hAnsi="Arial" w:cs="Arial"/>
        </w:rPr>
      </w:pPr>
    </w:p>
    <w:p w:rsidR="009B075E" w:rsidRPr="00F527AE" w:rsidRDefault="009B075E" w:rsidP="00E90FFF">
      <w:pPr>
        <w:pStyle w:val="Caption"/>
        <w:jc w:val="left"/>
        <w:rPr>
          <w:rFonts w:ascii="Arial" w:hAnsi="Arial" w:cs="Arial"/>
          <w:sz w:val="22"/>
          <w:szCs w:val="22"/>
        </w:rPr>
      </w:pPr>
      <w:bookmarkStart w:id="110" w:name="_Ref301528957"/>
      <w:r w:rsidRPr="00F527AE">
        <w:rPr>
          <w:rFonts w:ascii="Arial" w:hAnsi="Arial" w:cs="Arial"/>
          <w:sz w:val="22"/>
          <w:szCs w:val="22"/>
        </w:rPr>
        <w:t xml:space="preserve">Table </w:t>
      </w:r>
      <w:r w:rsidR="00855AAF" w:rsidRPr="00F527AE">
        <w:rPr>
          <w:rFonts w:ascii="Arial" w:hAnsi="Arial" w:cs="Arial"/>
          <w:sz w:val="22"/>
          <w:szCs w:val="22"/>
        </w:rPr>
        <w:fldChar w:fldCharType="begin"/>
      </w:r>
      <w:r w:rsidRPr="00F527AE">
        <w:rPr>
          <w:rFonts w:ascii="Arial" w:hAnsi="Arial" w:cs="Arial"/>
          <w:sz w:val="22"/>
          <w:szCs w:val="22"/>
        </w:rPr>
        <w:instrText xml:space="preserve"> SEQ Table \* ARABIC </w:instrText>
      </w:r>
      <w:r w:rsidR="00855AAF" w:rsidRPr="00F527AE">
        <w:rPr>
          <w:rFonts w:ascii="Arial" w:hAnsi="Arial" w:cs="Arial"/>
          <w:sz w:val="22"/>
          <w:szCs w:val="22"/>
        </w:rPr>
        <w:fldChar w:fldCharType="separate"/>
      </w:r>
      <w:r w:rsidR="00584343">
        <w:rPr>
          <w:rFonts w:ascii="Arial" w:hAnsi="Arial" w:cs="Arial"/>
          <w:noProof/>
          <w:sz w:val="22"/>
          <w:szCs w:val="22"/>
        </w:rPr>
        <w:t>20</w:t>
      </w:r>
      <w:r w:rsidR="00855AAF" w:rsidRPr="00F527AE">
        <w:rPr>
          <w:rFonts w:ascii="Arial" w:hAnsi="Arial" w:cs="Arial"/>
          <w:sz w:val="22"/>
          <w:szCs w:val="22"/>
        </w:rPr>
        <w:fldChar w:fldCharType="end"/>
      </w:r>
      <w:bookmarkEnd w:id="110"/>
      <w:r w:rsidRPr="00F527AE">
        <w:rPr>
          <w:rFonts w:ascii="Arial" w:hAnsi="Arial" w:cs="Arial"/>
          <w:sz w:val="22"/>
          <w:szCs w:val="22"/>
        </w:rPr>
        <w:t xml:space="preserve">: Percentage of PBS </w:t>
      </w:r>
      <w:r>
        <w:rPr>
          <w:rFonts w:ascii="Arial" w:hAnsi="Arial" w:cs="Arial"/>
          <w:sz w:val="22"/>
          <w:szCs w:val="22"/>
        </w:rPr>
        <w:t>S85</w:t>
      </w:r>
      <w:r w:rsidRPr="00F527AE">
        <w:rPr>
          <w:rFonts w:ascii="Arial" w:hAnsi="Arial" w:cs="Arial"/>
          <w:sz w:val="22"/>
          <w:szCs w:val="22"/>
        </w:rPr>
        <w:t xml:space="preserve"> expenditure on wholesale and pharmacy remuneration</w:t>
      </w:r>
    </w:p>
    <w:tbl>
      <w:tblPr>
        <w:tblW w:w="11620" w:type="dxa"/>
        <w:tblInd w:w="98" w:type="dxa"/>
        <w:tblLook w:val="00A0" w:firstRow="1" w:lastRow="0" w:firstColumn="1" w:lastColumn="0" w:noHBand="0" w:noVBand="0"/>
      </w:tblPr>
      <w:tblGrid>
        <w:gridCol w:w="3620"/>
        <w:gridCol w:w="1680"/>
        <w:gridCol w:w="1580"/>
        <w:gridCol w:w="1580"/>
        <w:gridCol w:w="1580"/>
        <w:gridCol w:w="1580"/>
      </w:tblGrid>
      <w:tr w:rsidR="009B075E" w:rsidRPr="00F527AE" w:rsidTr="00F527AE">
        <w:trPr>
          <w:trHeight w:val="255"/>
        </w:trPr>
        <w:tc>
          <w:tcPr>
            <w:tcW w:w="3620" w:type="dxa"/>
            <w:tcBorders>
              <w:top w:val="single" w:sz="8" w:space="0" w:color="auto"/>
              <w:left w:val="single" w:sz="8" w:space="0" w:color="auto"/>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w:t>
            </w:r>
          </w:p>
        </w:tc>
        <w:tc>
          <w:tcPr>
            <w:tcW w:w="1680" w:type="dxa"/>
            <w:tcBorders>
              <w:top w:val="single" w:sz="8" w:space="0" w:color="auto"/>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2006-07</w:t>
            </w:r>
          </w:p>
        </w:tc>
        <w:tc>
          <w:tcPr>
            <w:tcW w:w="1580" w:type="dxa"/>
            <w:tcBorders>
              <w:top w:val="single" w:sz="8" w:space="0" w:color="auto"/>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2007-08</w:t>
            </w:r>
          </w:p>
        </w:tc>
        <w:tc>
          <w:tcPr>
            <w:tcW w:w="1580" w:type="dxa"/>
            <w:tcBorders>
              <w:top w:val="single" w:sz="8" w:space="0" w:color="auto"/>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2008-09</w:t>
            </w:r>
          </w:p>
        </w:tc>
        <w:tc>
          <w:tcPr>
            <w:tcW w:w="1580" w:type="dxa"/>
            <w:tcBorders>
              <w:top w:val="single" w:sz="8" w:space="0" w:color="auto"/>
              <w:left w:val="nil"/>
              <w:bottom w:val="single" w:sz="4" w:space="0" w:color="auto"/>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2009-10</w:t>
            </w:r>
          </w:p>
        </w:tc>
        <w:tc>
          <w:tcPr>
            <w:tcW w:w="1580" w:type="dxa"/>
            <w:tcBorders>
              <w:top w:val="single" w:sz="8" w:space="0" w:color="auto"/>
              <w:left w:val="single" w:sz="4" w:space="0" w:color="auto"/>
              <w:bottom w:val="single" w:sz="4" w:space="0" w:color="auto"/>
              <w:right w:val="single" w:sz="8"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2010-11</w:t>
            </w:r>
          </w:p>
        </w:tc>
      </w:tr>
      <w:tr w:rsidR="009B075E" w:rsidRPr="00F527AE" w:rsidTr="00F527AE">
        <w:trPr>
          <w:trHeight w:val="510"/>
        </w:trPr>
        <w:tc>
          <w:tcPr>
            <w:tcW w:w="3620" w:type="dxa"/>
            <w:tcBorders>
              <w:top w:val="nil"/>
              <w:left w:val="single" w:sz="8" w:space="0" w:color="auto"/>
              <w:bottom w:val="single" w:sz="4" w:space="0" w:color="auto"/>
              <w:right w:val="single" w:sz="4" w:space="0" w:color="auto"/>
            </w:tcBorders>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Supply chain remuneration (Gov't expenditure)</w:t>
            </w:r>
          </w:p>
        </w:tc>
        <w:tc>
          <w:tcPr>
            <w:tcW w:w="1680"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  1,421,487,089 </w:t>
            </w:r>
          </w:p>
        </w:tc>
        <w:tc>
          <w:tcPr>
            <w:tcW w:w="1580"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$1,532,288,649 </w:t>
            </w:r>
          </w:p>
        </w:tc>
        <w:tc>
          <w:tcPr>
            <w:tcW w:w="1580"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$1,787,426,187 </w:t>
            </w:r>
          </w:p>
        </w:tc>
        <w:tc>
          <w:tcPr>
            <w:tcW w:w="1580" w:type="dxa"/>
            <w:tcBorders>
              <w:top w:val="nil"/>
              <w:left w:val="nil"/>
              <w:bottom w:val="single" w:sz="4" w:space="0" w:color="auto"/>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$1,935,062,247 </w:t>
            </w:r>
          </w:p>
        </w:tc>
        <w:tc>
          <w:tcPr>
            <w:tcW w:w="1580" w:type="dxa"/>
            <w:tcBorders>
              <w:top w:val="nil"/>
              <w:left w:val="single" w:sz="4" w:space="0" w:color="auto"/>
              <w:bottom w:val="single" w:sz="4" w:space="0" w:color="auto"/>
              <w:right w:val="single" w:sz="8"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$2,054,986,221 </w:t>
            </w:r>
          </w:p>
        </w:tc>
      </w:tr>
      <w:tr w:rsidR="009B075E" w:rsidRPr="00F527AE" w:rsidTr="00F527AE">
        <w:trPr>
          <w:trHeight w:val="510"/>
        </w:trPr>
        <w:tc>
          <w:tcPr>
            <w:tcW w:w="3620" w:type="dxa"/>
            <w:tcBorders>
              <w:top w:val="nil"/>
              <w:left w:val="single" w:sz="8" w:space="0" w:color="auto"/>
              <w:bottom w:val="single" w:sz="4" w:space="0" w:color="auto"/>
              <w:right w:val="single" w:sz="4" w:space="0" w:color="auto"/>
            </w:tcBorders>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Exman remuneration (Gov't expenditure)</w:t>
            </w:r>
          </w:p>
        </w:tc>
        <w:tc>
          <w:tcPr>
            <w:tcW w:w="1680"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  4,044,270,241 </w:t>
            </w:r>
          </w:p>
        </w:tc>
        <w:tc>
          <w:tcPr>
            <w:tcW w:w="1580"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$4,379,882,325 </w:t>
            </w:r>
          </w:p>
        </w:tc>
        <w:tc>
          <w:tcPr>
            <w:tcW w:w="1580"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$4,775,975,353 </w:t>
            </w:r>
          </w:p>
        </w:tc>
        <w:tc>
          <w:tcPr>
            <w:tcW w:w="1580" w:type="dxa"/>
            <w:tcBorders>
              <w:top w:val="nil"/>
              <w:left w:val="nil"/>
              <w:bottom w:val="single" w:sz="4" w:space="0" w:color="auto"/>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$5,083,829,908 </w:t>
            </w:r>
          </w:p>
        </w:tc>
        <w:tc>
          <w:tcPr>
            <w:tcW w:w="1580" w:type="dxa"/>
            <w:tcBorders>
              <w:top w:val="nil"/>
              <w:left w:val="single" w:sz="4" w:space="0" w:color="auto"/>
              <w:bottom w:val="single" w:sz="4" w:space="0" w:color="auto"/>
              <w:right w:val="single" w:sz="8"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$5,268,162,582 </w:t>
            </w:r>
          </w:p>
        </w:tc>
      </w:tr>
      <w:tr w:rsidR="009B075E" w:rsidRPr="00F527AE" w:rsidTr="00F527AE">
        <w:trPr>
          <w:trHeight w:val="510"/>
        </w:trPr>
        <w:tc>
          <w:tcPr>
            <w:tcW w:w="3620" w:type="dxa"/>
            <w:tcBorders>
              <w:top w:val="nil"/>
              <w:left w:val="single" w:sz="8" w:space="0" w:color="auto"/>
              <w:bottom w:val="single" w:sz="4" w:space="0" w:color="auto"/>
              <w:right w:val="single" w:sz="4" w:space="0" w:color="auto"/>
            </w:tcBorders>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Total </w:t>
            </w:r>
            <w:r>
              <w:rPr>
                <w:rFonts w:ascii="Arial Narrow" w:hAnsi="Arial Narrow" w:cs="Arial"/>
                <w:sz w:val="20"/>
                <w:szCs w:val="20"/>
                <w:lang w:eastAsia="en-AU"/>
              </w:rPr>
              <w:t>S85</w:t>
            </w:r>
            <w:r w:rsidRPr="00F527AE">
              <w:rPr>
                <w:rFonts w:ascii="Arial Narrow" w:hAnsi="Arial Narrow" w:cs="Arial"/>
                <w:sz w:val="20"/>
                <w:szCs w:val="20"/>
                <w:lang w:eastAsia="en-AU"/>
              </w:rPr>
              <w:t xml:space="preserve"> general and concessional Gov't PBS expenditure</w:t>
            </w:r>
          </w:p>
        </w:tc>
        <w:tc>
          <w:tcPr>
            <w:tcW w:w="1680"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  5,465,757,330 </w:t>
            </w:r>
          </w:p>
        </w:tc>
        <w:tc>
          <w:tcPr>
            <w:tcW w:w="1580"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$5,912,170,974 </w:t>
            </w:r>
          </w:p>
        </w:tc>
        <w:tc>
          <w:tcPr>
            <w:tcW w:w="1580" w:type="dxa"/>
            <w:tcBorders>
              <w:top w:val="nil"/>
              <w:left w:val="nil"/>
              <w:bottom w:val="single" w:sz="4" w:space="0" w:color="auto"/>
              <w:right w:val="single" w:sz="4"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$6,563,401,540 </w:t>
            </w:r>
          </w:p>
        </w:tc>
        <w:tc>
          <w:tcPr>
            <w:tcW w:w="1580" w:type="dxa"/>
            <w:tcBorders>
              <w:top w:val="nil"/>
              <w:left w:val="nil"/>
              <w:bottom w:val="single" w:sz="4" w:space="0" w:color="auto"/>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$7,018,892,155 </w:t>
            </w:r>
          </w:p>
        </w:tc>
        <w:tc>
          <w:tcPr>
            <w:tcW w:w="1580" w:type="dxa"/>
            <w:tcBorders>
              <w:top w:val="nil"/>
              <w:left w:val="single" w:sz="4" w:space="0" w:color="auto"/>
              <w:bottom w:val="single" w:sz="4" w:space="0" w:color="auto"/>
              <w:right w:val="single" w:sz="8" w:space="0" w:color="auto"/>
            </w:tcBorders>
            <w:noWrap/>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 xml:space="preserve"> $7,323,148,803 </w:t>
            </w:r>
          </w:p>
        </w:tc>
      </w:tr>
      <w:tr w:rsidR="009B075E" w:rsidRPr="00F527AE" w:rsidTr="00F527AE">
        <w:trPr>
          <w:trHeight w:val="525"/>
        </w:trPr>
        <w:tc>
          <w:tcPr>
            <w:tcW w:w="3620" w:type="dxa"/>
            <w:tcBorders>
              <w:top w:val="nil"/>
              <w:left w:val="single" w:sz="8" w:space="0" w:color="auto"/>
              <w:bottom w:val="single" w:sz="8" w:space="0" w:color="auto"/>
              <w:right w:val="single" w:sz="4" w:space="0" w:color="auto"/>
            </w:tcBorders>
            <w:vAlign w:val="bottom"/>
          </w:tcPr>
          <w:p w:rsidR="009B075E" w:rsidRPr="00F527AE" w:rsidRDefault="009B075E" w:rsidP="00F527AE">
            <w:pPr>
              <w:spacing w:after="0" w:line="240" w:lineRule="auto"/>
              <w:rPr>
                <w:rFonts w:ascii="Arial Narrow" w:hAnsi="Arial Narrow" w:cs="Arial"/>
                <w:sz w:val="20"/>
                <w:szCs w:val="20"/>
                <w:lang w:eastAsia="en-AU"/>
              </w:rPr>
            </w:pPr>
            <w:r w:rsidRPr="00F527AE">
              <w:rPr>
                <w:rFonts w:ascii="Arial Narrow" w:hAnsi="Arial Narrow" w:cs="Arial"/>
                <w:sz w:val="20"/>
                <w:szCs w:val="20"/>
                <w:lang w:eastAsia="en-AU"/>
              </w:rPr>
              <w:t>Percentage of total Govt expenditure on supply chain remuneration</w:t>
            </w:r>
          </w:p>
        </w:tc>
        <w:tc>
          <w:tcPr>
            <w:tcW w:w="1680" w:type="dxa"/>
            <w:tcBorders>
              <w:top w:val="nil"/>
              <w:left w:val="nil"/>
              <w:bottom w:val="single" w:sz="8" w:space="0" w:color="auto"/>
              <w:right w:val="single" w:sz="4" w:space="0" w:color="auto"/>
            </w:tcBorders>
            <w:noWrap/>
            <w:vAlign w:val="bottom"/>
          </w:tcPr>
          <w:p w:rsidR="009B075E" w:rsidRPr="00F527AE" w:rsidRDefault="009B075E" w:rsidP="00F527AE">
            <w:pPr>
              <w:spacing w:after="0" w:line="240" w:lineRule="auto"/>
              <w:jc w:val="right"/>
              <w:rPr>
                <w:rFonts w:ascii="Arial Narrow" w:hAnsi="Arial Narrow" w:cs="Arial"/>
                <w:sz w:val="20"/>
                <w:szCs w:val="20"/>
                <w:lang w:eastAsia="en-AU"/>
              </w:rPr>
            </w:pPr>
            <w:r w:rsidRPr="00F527AE">
              <w:rPr>
                <w:rFonts w:ascii="Arial Narrow" w:hAnsi="Arial Narrow" w:cs="Arial"/>
                <w:sz w:val="20"/>
                <w:szCs w:val="20"/>
                <w:lang w:eastAsia="en-AU"/>
              </w:rPr>
              <w:t>26.0%</w:t>
            </w:r>
          </w:p>
        </w:tc>
        <w:tc>
          <w:tcPr>
            <w:tcW w:w="1580" w:type="dxa"/>
            <w:tcBorders>
              <w:top w:val="nil"/>
              <w:left w:val="nil"/>
              <w:bottom w:val="single" w:sz="8" w:space="0" w:color="auto"/>
              <w:right w:val="single" w:sz="4" w:space="0" w:color="auto"/>
            </w:tcBorders>
            <w:noWrap/>
            <w:vAlign w:val="bottom"/>
          </w:tcPr>
          <w:p w:rsidR="009B075E" w:rsidRPr="00F527AE" w:rsidRDefault="009B075E" w:rsidP="00F527AE">
            <w:pPr>
              <w:spacing w:after="0" w:line="240" w:lineRule="auto"/>
              <w:jc w:val="right"/>
              <w:rPr>
                <w:rFonts w:ascii="Arial Narrow" w:hAnsi="Arial Narrow" w:cs="Arial"/>
                <w:sz w:val="20"/>
                <w:szCs w:val="20"/>
                <w:lang w:eastAsia="en-AU"/>
              </w:rPr>
            </w:pPr>
            <w:r w:rsidRPr="00F527AE">
              <w:rPr>
                <w:rFonts w:ascii="Arial Narrow" w:hAnsi="Arial Narrow" w:cs="Arial"/>
                <w:sz w:val="20"/>
                <w:szCs w:val="20"/>
                <w:lang w:eastAsia="en-AU"/>
              </w:rPr>
              <w:t>25.9%</w:t>
            </w:r>
          </w:p>
        </w:tc>
        <w:tc>
          <w:tcPr>
            <w:tcW w:w="1580" w:type="dxa"/>
            <w:tcBorders>
              <w:top w:val="nil"/>
              <w:left w:val="nil"/>
              <w:bottom w:val="single" w:sz="8" w:space="0" w:color="auto"/>
              <w:right w:val="single" w:sz="4" w:space="0" w:color="auto"/>
            </w:tcBorders>
            <w:noWrap/>
            <w:vAlign w:val="bottom"/>
          </w:tcPr>
          <w:p w:rsidR="009B075E" w:rsidRPr="00F527AE" w:rsidRDefault="009B075E" w:rsidP="00F527AE">
            <w:pPr>
              <w:spacing w:after="0" w:line="240" w:lineRule="auto"/>
              <w:jc w:val="right"/>
              <w:rPr>
                <w:rFonts w:ascii="Arial Narrow" w:hAnsi="Arial Narrow" w:cs="Arial"/>
                <w:sz w:val="20"/>
                <w:szCs w:val="20"/>
                <w:lang w:eastAsia="en-AU"/>
              </w:rPr>
            </w:pPr>
            <w:r w:rsidRPr="00F527AE">
              <w:rPr>
                <w:rFonts w:ascii="Arial Narrow" w:hAnsi="Arial Narrow" w:cs="Arial"/>
                <w:sz w:val="20"/>
                <w:szCs w:val="20"/>
                <w:lang w:eastAsia="en-AU"/>
              </w:rPr>
              <w:t>27.2%</w:t>
            </w:r>
          </w:p>
        </w:tc>
        <w:tc>
          <w:tcPr>
            <w:tcW w:w="1580" w:type="dxa"/>
            <w:tcBorders>
              <w:top w:val="nil"/>
              <w:left w:val="nil"/>
              <w:bottom w:val="single" w:sz="8" w:space="0" w:color="auto"/>
              <w:right w:val="nil"/>
            </w:tcBorders>
            <w:noWrap/>
            <w:vAlign w:val="bottom"/>
          </w:tcPr>
          <w:p w:rsidR="009B075E" w:rsidRPr="00F527AE" w:rsidRDefault="009B075E" w:rsidP="00F527AE">
            <w:pPr>
              <w:spacing w:after="0" w:line="240" w:lineRule="auto"/>
              <w:jc w:val="right"/>
              <w:rPr>
                <w:rFonts w:ascii="Arial Narrow" w:hAnsi="Arial Narrow" w:cs="Arial"/>
                <w:sz w:val="20"/>
                <w:szCs w:val="20"/>
                <w:lang w:eastAsia="en-AU"/>
              </w:rPr>
            </w:pPr>
            <w:r w:rsidRPr="00F527AE">
              <w:rPr>
                <w:rFonts w:ascii="Arial Narrow" w:hAnsi="Arial Narrow" w:cs="Arial"/>
                <w:sz w:val="20"/>
                <w:szCs w:val="20"/>
                <w:lang w:eastAsia="en-AU"/>
              </w:rPr>
              <w:t>27.6%</w:t>
            </w:r>
          </w:p>
        </w:tc>
        <w:tc>
          <w:tcPr>
            <w:tcW w:w="1580" w:type="dxa"/>
            <w:tcBorders>
              <w:top w:val="nil"/>
              <w:left w:val="single" w:sz="4" w:space="0" w:color="auto"/>
              <w:bottom w:val="single" w:sz="8" w:space="0" w:color="auto"/>
              <w:right w:val="single" w:sz="8" w:space="0" w:color="auto"/>
            </w:tcBorders>
            <w:noWrap/>
            <w:vAlign w:val="bottom"/>
          </w:tcPr>
          <w:p w:rsidR="009B075E" w:rsidRPr="00F527AE" w:rsidRDefault="009B075E" w:rsidP="00F527AE">
            <w:pPr>
              <w:spacing w:after="0" w:line="240" w:lineRule="auto"/>
              <w:jc w:val="right"/>
              <w:rPr>
                <w:rFonts w:ascii="Arial Narrow" w:hAnsi="Arial Narrow" w:cs="Arial"/>
                <w:sz w:val="20"/>
                <w:szCs w:val="20"/>
                <w:lang w:eastAsia="en-AU"/>
              </w:rPr>
            </w:pPr>
            <w:r w:rsidRPr="00F527AE">
              <w:rPr>
                <w:rFonts w:ascii="Arial Narrow" w:hAnsi="Arial Narrow" w:cs="Arial"/>
                <w:sz w:val="20"/>
                <w:szCs w:val="20"/>
                <w:lang w:eastAsia="en-AU"/>
              </w:rPr>
              <w:t>28.1%</w:t>
            </w:r>
          </w:p>
        </w:tc>
      </w:tr>
      <w:tr w:rsidR="009B075E" w:rsidRPr="00F527AE" w:rsidTr="00F527AE">
        <w:trPr>
          <w:trHeight w:val="255"/>
        </w:trPr>
        <w:tc>
          <w:tcPr>
            <w:tcW w:w="3620" w:type="dxa"/>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Notes:</w:t>
            </w:r>
          </w:p>
        </w:tc>
        <w:tc>
          <w:tcPr>
            <w:tcW w:w="1680" w:type="dxa"/>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p>
        </w:tc>
        <w:tc>
          <w:tcPr>
            <w:tcW w:w="1580" w:type="dxa"/>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p>
        </w:tc>
        <w:tc>
          <w:tcPr>
            <w:tcW w:w="1580" w:type="dxa"/>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p>
        </w:tc>
        <w:tc>
          <w:tcPr>
            <w:tcW w:w="1580" w:type="dxa"/>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p>
        </w:tc>
        <w:tc>
          <w:tcPr>
            <w:tcW w:w="1580" w:type="dxa"/>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p>
        </w:tc>
      </w:tr>
      <w:tr w:rsidR="009B075E" w:rsidRPr="00F527AE" w:rsidTr="00F527AE">
        <w:trPr>
          <w:trHeight w:val="255"/>
        </w:trPr>
        <w:tc>
          <w:tcPr>
            <w:tcW w:w="11620" w:type="dxa"/>
            <w:gridSpan w:val="6"/>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(1) Supply chain remuneration includes dispensing fee, pharmacy retail markup, wholesaler margin, dangerous drug fee, wastage fee and container fee.</w:t>
            </w:r>
          </w:p>
        </w:tc>
      </w:tr>
      <w:tr w:rsidR="009B075E" w:rsidRPr="00F527AE" w:rsidTr="00F527AE">
        <w:trPr>
          <w:trHeight w:val="255"/>
        </w:trPr>
        <w:tc>
          <w:tcPr>
            <w:tcW w:w="10040" w:type="dxa"/>
            <w:gridSpan w:val="5"/>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(2) Government share of pharmacy remuneration estimated as (PBS expenditure/Total expenditure)*Total pharmacy remuneration.  </w:t>
            </w:r>
          </w:p>
        </w:tc>
        <w:tc>
          <w:tcPr>
            <w:tcW w:w="1580" w:type="dxa"/>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p>
        </w:tc>
      </w:tr>
      <w:tr w:rsidR="009B075E" w:rsidRPr="00F527AE" w:rsidTr="00F527AE">
        <w:trPr>
          <w:trHeight w:val="255"/>
        </w:trPr>
        <w:tc>
          <w:tcPr>
            <w:tcW w:w="5300" w:type="dxa"/>
            <w:gridSpan w:val="2"/>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16"/>
                <w:szCs w:val="16"/>
                <w:lang w:eastAsia="en-AU"/>
              </w:rPr>
            </w:pPr>
            <w:r w:rsidRPr="00F527AE">
              <w:rPr>
                <w:rFonts w:ascii="Arial Narrow" w:hAnsi="Arial Narrow" w:cs="Arial"/>
                <w:sz w:val="16"/>
                <w:szCs w:val="16"/>
                <w:lang w:eastAsia="en-AU"/>
              </w:rPr>
              <w:t xml:space="preserve">    Total expenditure = PBS expenditure + patient contribution.</w:t>
            </w:r>
          </w:p>
        </w:tc>
        <w:tc>
          <w:tcPr>
            <w:tcW w:w="1580" w:type="dxa"/>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p>
        </w:tc>
        <w:tc>
          <w:tcPr>
            <w:tcW w:w="1580" w:type="dxa"/>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p>
        </w:tc>
        <w:tc>
          <w:tcPr>
            <w:tcW w:w="1580" w:type="dxa"/>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p>
        </w:tc>
        <w:tc>
          <w:tcPr>
            <w:tcW w:w="1580" w:type="dxa"/>
            <w:tcBorders>
              <w:top w:val="nil"/>
              <w:left w:val="nil"/>
              <w:bottom w:val="nil"/>
              <w:right w:val="nil"/>
            </w:tcBorders>
            <w:noWrap/>
            <w:vAlign w:val="bottom"/>
          </w:tcPr>
          <w:p w:rsidR="009B075E" w:rsidRPr="00F527AE" w:rsidRDefault="009B075E" w:rsidP="00F527AE">
            <w:pPr>
              <w:spacing w:after="0" w:line="240" w:lineRule="auto"/>
              <w:rPr>
                <w:rFonts w:ascii="Arial Narrow" w:hAnsi="Arial Narrow" w:cs="Arial"/>
                <w:sz w:val="20"/>
                <w:szCs w:val="20"/>
                <w:lang w:eastAsia="en-AU"/>
              </w:rPr>
            </w:pPr>
          </w:p>
        </w:tc>
      </w:tr>
    </w:tbl>
    <w:p w:rsidR="00613116" w:rsidRDefault="00613116">
      <w:pPr>
        <w:pStyle w:val="Caption"/>
        <w:jc w:val="left"/>
        <w:rPr>
          <w:rFonts w:ascii="Arial" w:hAnsi="Arial" w:cs="Arial"/>
          <w:highlight w:val="yellow"/>
        </w:rPr>
        <w:sectPr w:rsidR="00613116" w:rsidSect="008316DF">
          <w:pgSz w:w="16838" w:h="11906" w:orient="landscape"/>
          <w:pgMar w:top="1191" w:right="1021" w:bottom="1191" w:left="1021" w:header="709" w:footer="709" w:gutter="0"/>
          <w:cols w:space="708"/>
          <w:docGrid w:linePitch="360"/>
        </w:sectPr>
      </w:pPr>
    </w:p>
    <w:p w:rsidR="009B075E" w:rsidRPr="00B71ED4" w:rsidRDefault="009B075E">
      <w:pPr>
        <w:pStyle w:val="Caption"/>
        <w:jc w:val="left"/>
      </w:pPr>
      <w:bookmarkStart w:id="111" w:name="_Ref301528966"/>
      <w:r w:rsidRPr="00B71ED4">
        <w:rPr>
          <w:rFonts w:ascii="Arial" w:hAnsi="Arial" w:cs="Arial"/>
          <w:sz w:val="22"/>
          <w:szCs w:val="22"/>
        </w:rPr>
        <w:lastRenderedPageBreak/>
        <w:t xml:space="preserve">Table </w:t>
      </w:r>
      <w:r w:rsidR="00855AAF" w:rsidRPr="00B71ED4">
        <w:rPr>
          <w:rFonts w:ascii="Arial" w:hAnsi="Arial" w:cs="Arial"/>
          <w:sz w:val="22"/>
          <w:szCs w:val="22"/>
        </w:rPr>
        <w:fldChar w:fldCharType="begin"/>
      </w:r>
      <w:r w:rsidRPr="00B71ED4">
        <w:rPr>
          <w:rFonts w:ascii="Arial" w:hAnsi="Arial" w:cs="Arial"/>
          <w:sz w:val="22"/>
          <w:szCs w:val="22"/>
        </w:rPr>
        <w:instrText xml:space="preserve"> SEQ Table \* ARABIC </w:instrText>
      </w:r>
      <w:r w:rsidR="00855AAF" w:rsidRPr="00B71ED4">
        <w:rPr>
          <w:rFonts w:ascii="Arial" w:hAnsi="Arial" w:cs="Arial"/>
          <w:sz w:val="22"/>
          <w:szCs w:val="22"/>
        </w:rPr>
        <w:fldChar w:fldCharType="separate"/>
      </w:r>
      <w:r w:rsidR="00584343">
        <w:rPr>
          <w:rFonts w:ascii="Arial" w:hAnsi="Arial" w:cs="Arial"/>
          <w:noProof/>
          <w:sz w:val="22"/>
          <w:szCs w:val="22"/>
        </w:rPr>
        <w:t>21</w:t>
      </w:r>
      <w:r w:rsidR="00855AAF" w:rsidRPr="00B71ED4">
        <w:rPr>
          <w:rFonts w:ascii="Arial" w:hAnsi="Arial" w:cs="Arial"/>
          <w:sz w:val="22"/>
          <w:szCs w:val="22"/>
        </w:rPr>
        <w:fldChar w:fldCharType="end"/>
      </w:r>
      <w:bookmarkEnd w:id="111"/>
      <w:r w:rsidRPr="00B71ED4">
        <w:rPr>
          <w:rFonts w:ascii="Arial" w:hAnsi="Arial" w:cs="Arial"/>
          <w:sz w:val="22"/>
          <w:szCs w:val="22"/>
        </w:rPr>
        <w:t xml:space="preserve">: Contribution of wholesale and pharmacy remuneration to growth in PBS </w:t>
      </w:r>
      <w:r>
        <w:rPr>
          <w:rFonts w:ascii="Arial" w:hAnsi="Arial" w:cs="Arial"/>
          <w:sz w:val="22"/>
          <w:szCs w:val="22"/>
        </w:rPr>
        <w:t>S85</w:t>
      </w:r>
      <w:r w:rsidRPr="00B71ED4">
        <w:rPr>
          <w:rFonts w:ascii="Arial" w:hAnsi="Arial" w:cs="Arial"/>
          <w:sz w:val="22"/>
          <w:szCs w:val="22"/>
        </w:rPr>
        <w:t xml:space="preserve"> expenditure</w:t>
      </w:r>
    </w:p>
    <w:tbl>
      <w:tblPr>
        <w:tblW w:w="8460" w:type="dxa"/>
        <w:tblInd w:w="98" w:type="dxa"/>
        <w:tblLook w:val="00A0" w:firstRow="1" w:lastRow="0" w:firstColumn="1" w:lastColumn="0" w:noHBand="0" w:noVBand="0"/>
      </w:tblPr>
      <w:tblGrid>
        <w:gridCol w:w="3620"/>
        <w:gridCol w:w="1680"/>
        <w:gridCol w:w="1580"/>
        <w:gridCol w:w="1580"/>
      </w:tblGrid>
      <w:tr w:rsidR="009B075E" w:rsidRPr="00B71ED4" w:rsidTr="00B71ED4">
        <w:trPr>
          <w:trHeight w:val="1020"/>
        </w:trPr>
        <w:tc>
          <w:tcPr>
            <w:tcW w:w="3620" w:type="dxa"/>
            <w:tcBorders>
              <w:top w:val="single" w:sz="8" w:space="0" w:color="auto"/>
              <w:left w:val="single" w:sz="8" w:space="0" w:color="auto"/>
              <w:bottom w:val="single" w:sz="4"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 </w:t>
            </w:r>
          </w:p>
        </w:tc>
        <w:tc>
          <w:tcPr>
            <w:tcW w:w="1680" w:type="dxa"/>
            <w:tcBorders>
              <w:top w:val="single" w:sz="8" w:space="0" w:color="auto"/>
              <w:left w:val="nil"/>
              <w:bottom w:val="single" w:sz="4" w:space="0" w:color="auto"/>
              <w:right w:val="single" w:sz="4" w:space="0" w:color="auto"/>
            </w:tcBorders>
            <w:vAlign w:val="bottom"/>
          </w:tcPr>
          <w:p w:rsidR="009B075E" w:rsidRPr="00B71ED4" w:rsidRDefault="009B075E" w:rsidP="00B71ED4">
            <w:pPr>
              <w:spacing w:after="0" w:line="240" w:lineRule="auto"/>
              <w:jc w:val="center"/>
              <w:rPr>
                <w:rFonts w:ascii="Arial Narrow" w:hAnsi="Arial Narrow" w:cs="Arial"/>
                <w:sz w:val="20"/>
                <w:szCs w:val="20"/>
                <w:lang w:eastAsia="en-AU"/>
              </w:rPr>
            </w:pPr>
            <w:r w:rsidRPr="00B71ED4">
              <w:rPr>
                <w:rFonts w:ascii="Arial Narrow" w:hAnsi="Arial Narrow" w:cs="Arial"/>
                <w:sz w:val="20"/>
                <w:szCs w:val="20"/>
                <w:lang w:eastAsia="en-AU"/>
              </w:rPr>
              <w:t>Growth in Gov't expenditure on Supply chain</w:t>
            </w:r>
          </w:p>
        </w:tc>
        <w:tc>
          <w:tcPr>
            <w:tcW w:w="1580" w:type="dxa"/>
            <w:tcBorders>
              <w:top w:val="single" w:sz="8" w:space="0" w:color="auto"/>
              <w:left w:val="nil"/>
              <w:bottom w:val="single" w:sz="4" w:space="0" w:color="auto"/>
              <w:right w:val="single" w:sz="4" w:space="0" w:color="auto"/>
            </w:tcBorders>
            <w:vAlign w:val="bottom"/>
          </w:tcPr>
          <w:p w:rsidR="009B075E" w:rsidRPr="00B71ED4" w:rsidRDefault="009B075E" w:rsidP="00B71ED4">
            <w:pPr>
              <w:spacing w:after="0" w:line="240" w:lineRule="auto"/>
              <w:jc w:val="center"/>
              <w:rPr>
                <w:rFonts w:ascii="Arial Narrow" w:hAnsi="Arial Narrow" w:cs="Arial"/>
                <w:sz w:val="20"/>
                <w:szCs w:val="20"/>
                <w:lang w:eastAsia="en-AU"/>
              </w:rPr>
            </w:pPr>
            <w:r w:rsidRPr="00B71ED4">
              <w:rPr>
                <w:rFonts w:ascii="Arial Narrow" w:hAnsi="Arial Narrow" w:cs="Arial"/>
                <w:sz w:val="20"/>
                <w:szCs w:val="20"/>
                <w:lang w:eastAsia="en-AU"/>
              </w:rPr>
              <w:t xml:space="preserve">Growth in total </w:t>
            </w:r>
            <w:r>
              <w:rPr>
                <w:rFonts w:ascii="Arial Narrow" w:hAnsi="Arial Narrow" w:cs="Arial"/>
                <w:sz w:val="20"/>
                <w:szCs w:val="20"/>
                <w:lang w:eastAsia="en-AU"/>
              </w:rPr>
              <w:t>S85</w:t>
            </w:r>
            <w:r w:rsidRPr="00B71ED4">
              <w:rPr>
                <w:rFonts w:ascii="Arial Narrow" w:hAnsi="Arial Narrow" w:cs="Arial"/>
                <w:sz w:val="20"/>
                <w:szCs w:val="20"/>
                <w:lang w:eastAsia="en-AU"/>
              </w:rPr>
              <w:t xml:space="preserve"> Gov't PBS expenditure</w:t>
            </w:r>
          </w:p>
        </w:tc>
        <w:tc>
          <w:tcPr>
            <w:tcW w:w="1580" w:type="dxa"/>
            <w:tcBorders>
              <w:top w:val="single" w:sz="8" w:space="0" w:color="auto"/>
              <w:left w:val="nil"/>
              <w:bottom w:val="single" w:sz="4" w:space="0" w:color="auto"/>
              <w:right w:val="single" w:sz="8" w:space="0" w:color="auto"/>
            </w:tcBorders>
            <w:vAlign w:val="bottom"/>
          </w:tcPr>
          <w:p w:rsidR="009B075E" w:rsidRPr="00B71ED4" w:rsidRDefault="009B075E" w:rsidP="00B71ED4">
            <w:pPr>
              <w:spacing w:after="0" w:line="240" w:lineRule="auto"/>
              <w:jc w:val="center"/>
              <w:rPr>
                <w:rFonts w:ascii="Arial Narrow" w:hAnsi="Arial Narrow" w:cs="Arial"/>
                <w:sz w:val="20"/>
                <w:szCs w:val="20"/>
                <w:lang w:eastAsia="en-AU"/>
              </w:rPr>
            </w:pPr>
            <w:r w:rsidRPr="00B71ED4">
              <w:rPr>
                <w:rFonts w:ascii="Arial Narrow" w:hAnsi="Arial Narrow" w:cs="Arial"/>
                <w:sz w:val="20"/>
                <w:szCs w:val="20"/>
                <w:lang w:eastAsia="en-AU"/>
              </w:rPr>
              <w:t>Contribution of supply chain to total PBS increase</w:t>
            </w:r>
          </w:p>
        </w:tc>
      </w:tr>
      <w:tr w:rsidR="009B075E" w:rsidRPr="00B71ED4" w:rsidTr="00B71ED4">
        <w:trPr>
          <w:trHeight w:val="255"/>
        </w:trPr>
        <w:tc>
          <w:tcPr>
            <w:tcW w:w="3620" w:type="dxa"/>
            <w:tcBorders>
              <w:top w:val="nil"/>
              <w:left w:val="single" w:sz="8" w:space="0" w:color="auto"/>
              <w:bottom w:val="single" w:sz="4"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Change 2006-07 to 2007-08</w:t>
            </w:r>
          </w:p>
        </w:tc>
        <w:tc>
          <w:tcPr>
            <w:tcW w:w="1680" w:type="dxa"/>
            <w:tcBorders>
              <w:top w:val="nil"/>
              <w:left w:val="nil"/>
              <w:bottom w:val="single" w:sz="4"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 xml:space="preserve"> $     110,801,560 </w:t>
            </w:r>
          </w:p>
        </w:tc>
        <w:tc>
          <w:tcPr>
            <w:tcW w:w="1580" w:type="dxa"/>
            <w:tcBorders>
              <w:top w:val="nil"/>
              <w:left w:val="nil"/>
              <w:bottom w:val="single" w:sz="4"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 xml:space="preserve"> $   446,413,644 </w:t>
            </w:r>
          </w:p>
        </w:tc>
        <w:tc>
          <w:tcPr>
            <w:tcW w:w="1580" w:type="dxa"/>
            <w:tcBorders>
              <w:top w:val="nil"/>
              <w:left w:val="nil"/>
              <w:bottom w:val="single" w:sz="4" w:space="0" w:color="auto"/>
              <w:right w:val="single" w:sz="8" w:space="0" w:color="auto"/>
            </w:tcBorders>
            <w:noWrap/>
            <w:vAlign w:val="bottom"/>
          </w:tcPr>
          <w:p w:rsidR="009B075E" w:rsidRPr="00B71ED4" w:rsidRDefault="009B075E" w:rsidP="00B71ED4">
            <w:pPr>
              <w:spacing w:after="0" w:line="240" w:lineRule="auto"/>
              <w:jc w:val="right"/>
              <w:rPr>
                <w:rFonts w:ascii="Arial Narrow" w:hAnsi="Arial Narrow" w:cs="Arial"/>
                <w:sz w:val="20"/>
                <w:szCs w:val="20"/>
                <w:lang w:eastAsia="en-AU"/>
              </w:rPr>
            </w:pPr>
            <w:r w:rsidRPr="00B71ED4">
              <w:rPr>
                <w:rFonts w:ascii="Arial Narrow" w:hAnsi="Arial Narrow" w:cs="Arial"/>
                <w:sz w:val="20"/>
                <w:szCs w:val="20"/>
                <w:lang w:eastAsia="en-AU"/>
              </w:rPr>
              <w:t>24.8%</w:t>
            </w:r>
          </w:p>
        </w:tc>
      </w:tr>
      <w:tr w:rsidR="009B075E" w:rsidRPr="00B71ED4" w:rsidTr="00B71ED4">
        <w:trPr>
          <w:trHeight w:val="255"/>
        </w:trPr>
        <w:tc>
          <w:tcPr>
            <w:tcW w:w="3620" w:type="dxa"/>
            <w:tcBorders>
              <w:top w:val="nil"/>
              <w:left w:val="single" w:sz="8" w:space="0" w:color="auto"/>
              <w:bottom w:val="single" w:sz="4"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Change 2007-08 to 2008-09</w:t>
            </w:r>
          </w:p>
        </w:tc>
        <w:tc>
          <w:tcPr>
            <w:tcW w:w="1680" w:type="dxa"/>
            <w:tcBorders>
              <w:top w:val="nil"/>
              <w:left w:val="nil"/>
              <w:bottom w:val="single" w:sz="4"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 xml:space="preserve"> $     255,137,538 </w:t>
            </w:r>
          </w:p>
        </w:tc>
        <w:tc>
          <w:tcPr>
            <w:tcW w:w="1580" w:type="dxa"/>
            <w:tcBorders>
              <w:top w:val="nil"/>
              <w:left w:val="nil"/>
              <w:bottom w:val="single" w:sz="4"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 xml:space="preserve"> $   651,230,566 </w:t>
            </w:r>
          </w:p>
        </w:tc>
        <w:tc>
          <w:tcPr>
            <w:tcW w:w="1580" w:type="dxa"/>
            <w:tcBorders>
              <w:top w:val="nil"/>
              <w:left w:val="nil"/>
              <w:bottom w:val="single" w:sz="4" w:space="0" w:color="auto"/>
              <w:right w:val="single" w:sz="8" w:space="0" w:color="auto"/>
            </w:tcBorders>
            <w:noWrap/>
            <w:vAlign w:val="bottom"/>
          </w:tcPr>
          <w:p w:rsidR="009B075E" w:rsidRPr="00B71ED4" w:rsidRDefault="009B075E" w:rsidP="00B71ED4">
            <w:pPr>
              <w:spacing w:after="0" w:line="240" w:lineRule="auto"/>
              <w:jc w:val="right"/>
              <w:rPr>
                <w:rFonts w:ascii="Arial Narrow" w:hAnsi="Arial Narrow" w:cs="Arial"/>
                <w:sz w:val="20"/>
                <w:szCs w:val="20"/>
                <w:lang w:eastAsia="en-AU"/>
              </w:rPr>
            </w:pPr>
            <w:r w:rsidRPr="00B71ED4">
              <w:rPr>
                <w:rFonts w:ascii="Arial Narrow" w:hAnsi="Arial Narrow" w:cs="Arial"/>
                <w:sz w:val="20"/>
                <w:szCs w:val="20"/>
                <w:lang w:eastAsia="en-AU"/>
              </w:rPr>
              <w:t>39.2%</w:t>
            </w:r>
          </w:p>
        </w:tc>
      </w:tr>
      <w:tr w:rsidR="009B075E" w:rsidRPr="00B71ED4" w:rsidTr="00B71ED4">
        <w:trPr>
          <w:trHeight w:val="255"/>
        </w:trPr>
        <w:tc>
          <w:tcPr>
            <w:tcW w:w="3620" w:type="dxa"/>
            <w:tcBorders>
              <w:top w:val="nil"/>
              <w:left w:val="single" w:sz="8" w:space="0" w:color="auto"/>
              <w:bottom w:val="single" w:sz="4"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Change 2008-09 to 2009-10</w:t>
            </w:r>
          </w:p>
        </w:tc>
        <w:tc>
          <w:tcPr>
            <w:tcW w:w="1680" w:type="dxa"/>
            <w:tcBorders>
              <w:top w:val="nil"/>
              <w:left w:val="nil"/>
              <w:bottom w:val="single" w:sz="4"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 xml:space="preserve"> $     147,636,060 </w:t>
            </w:r>
          </w:p>
        </w:tc>
        <w:tc>
          <w:tcPr>
            <w:tcW w:w="1580" w:type="dxa"/>
            <w:tcBorders>
              <w:top w:val="nil"/>
              <w:left w:val="nil"/>
              <w:bottom w:val="single" w:sz="4"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 xml:space="preserve"> $   455,490,615 </w:t>
            </w:r>
          </w:p>
        </w:tc>
        <w:tc>
          <w:tcPr>
            <w:tcW w:w="1580" w:type="dxa"/>
            <w:tcBorders>
              <w:top w:val="nil"/>
              <w:left w:val="nil"/>
              <w:bottom w:val="single" w:sz="4" w:space="0" w:color="auto"/>
              <w:right w:val="single" w:sz="8" w:space="0" w:color="auto"/>
            </w:tcBorders>
            <w:noWrap/>
            <w:vAlign w:val="bottom"/>
          </w:tcPr>
          <w:p w:rsidR="009B075E" w:rsidRPr="00B71ED4" w:rsidRDefault="009B075E" w:rsidP="00B71ED4">
            <w:pPr>
              <w:spacing w:after="0" w:line="240" w:lineRule="auto"/>
              <w:jc w:val="right"/>
              <w:rPr>
                <w:rFonts w:ascii="Arial Narrow" w:hAnsi="Arial Narrow" w:cs="Arial"/>
                <w:sz w:val="20"/>
                <w:szCs w:val="20"/>
                <w:lang w:eastAsia="en-AU"/>
              </w:rPr>
            </w:pPr>
            <w:r w:rsidRPr="00B71ED4">
              <w:rPr>
                <w:rFonts w:ascii="Arial Narrow" w:hAnsi="Arial Narrow" w:cs="Arial"/>
                <w:sz w:val="20"/>
                <w:szCs w:val="20"/>
                <w:lang w:eastAsia="en-AU"/>
              </w:rPr>
              <w:t>32.4%</w:t>
            </w:r>
          </w:p>
        </w:tc>
      </w:tr>
      <w:tr w:rsidR="009B075E" w:rsidRPr="00B71ED4" w:rsidTr="00B71ED4">
        <w:trPr>
          <w:trHeight w:val="270"/>
        </w:trPr>
        <w:tc>
          <w:tcPr>
            <w:tcW w:w="3620" w:type="dxa"/>
            <w:tcBorders>
              <w:top w:val="nil"/>
              <w:left w:val="single" w:sz="8" w:space="0" w:color="auto"/>
              <w:bottom w:val="single" w:sz="8"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Change 2009-10 to 2010-11</w:t>
            </w:r>
          </w:p>
        </w:tc>
        <w:tc>
          <w:tcPr>
            <w:tcW w:w="1680" w:type="dxa"/>
            <w:tcBorders>
              <w:top w:val="nil"/>
              <w:left w:val="nil"/>
              <w:bottom w:val="single" w:sz="8"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 xml:space="preserve"> $     119,923,974 </w:t>
            </w:r>
          </w:p>
        </w:tc>
        <w:tc>
          <w:tcPr>
            <w:tcW w:w="1580" w:type="dxa"/>
            <w:tcBorders>
              <w:top w:val="nil"/>
              <w:left w:val="nil"/>
              <w:bottom w:val="single" w:sz="8" w:space="0" w:color="auto"/>
              <w:right w:val="single" w:sz="4" w:space="0" w:color="auto"/>
            </w:tcBorders>
            <w:noWrap/>
            <w:vAlign w:val="bottom"/>
          </w:tcPr>
          <w:p w:rsidR="009B075E" w:rsidRPr="00B71ED4" w:rsidRDefault="009B075E" w:rsidP="00B71ED4">
            <w:pPr>
              <w:spacing w:after="0" w:line="240" w:lineRule="auto"/>
              <w:rPr>
                <w:rFonts w:ascii="Arial Narrow" w:hAnsi="Arial Narrow" w:cs="Arial"/>
                <w:sz w:val="20"/>
                <w:szCs w:val="20"/>
                <w:lang w:eastAsia="en-AU"/>
              </w:rPr>
            </w:pPr>
            <w:r w:rsidRPr="00B71ED4">
              <w:rPr>
                <w:rFonts w:ascii="Arial Narrow" w:hAnsi="Arial Narrow" w:cs="Arial"/>
                <w:sz w:val="20"/>
                <w:szCs w:val="20"/>
                <w:lang w:eastAsia="en-AU"/>
              </w:rPr>
              <w:t xml:space="preserve"> $   304,256,648 </w:t>
            </w:r>
          </w:p>
        </w:tc>
        <w:tc>
          <w:tcPr>
            <w:tcW w:w="1580" w:type="dxa"/>
            <w:tcBorders>
              <w:top w:val="nil"/>
              <w:left w:val="nil"/>
              <w:bottom w:val="single" w:sz="8" w:space="0" w:color="auto"/>
              <w:right w:val="single" w:sz="8" w:space="0" w:color="auto"/>
            </w:tcBorders>
            <w:noWrap/>
            <w:vAlign w:val="bottom"/>
          </w:tcPr>
          <w:p w:rsidR="009B075E" w:rsidRPr="00B71ED4" w:rsidRDefault="009B075E" w:rsidP="00B71ED4">
            <w:pPr>
              <w:spacing w:after="0" w:line="240" w:lineRule="auto"/>
              <w:jc w:val="right"/>
              <w:rPr>
                <w:rFonts w:ascii="Arial Narrow" w:hAnsi="Arial Narrow" w:cs="Arial"/>
                <w:sz w:val="20"/>
                <w:szCs w:val="20"/>
                <w:lang w:eastAsia="en-AU"/>
              </w:rPr>
            </w:pPr>
            <w:r w:rsidRPr="00B71ED4">
              <w:rPr>
                <w:rFonts w:ascii="Arial Narrow" w:hAnsi="Arial Narrow" w:cs="Arial"/>
                <w:sz w:val="20"/>
                <w:szCs w:val="20"/>
                <w:lang w:eastAsia="en-AU"/>
              </w:rPr>
              <w:t>39.4%</w:t>
            </w:r>
          </w:p>
        </w:tc>
      </w:tr>
    </w:tbl>
    <w:p w:rsidR="009B075E" w:rsidRDefault="009B075E" w:rsidP="00013A0C">
      <w:pPr>
        <w:pStyle w:val="Caption"/>
        <w:jc w:val="left"/>
        <w:rPr>
          <w:rFonts w:ascii="Arial" w:hAnsi="Arial" w:cs="Arial"/>
          <w:sz w:val="22"/>
          <w:szCs w:val="22"/>
          <w:highlight w:val="yellow"/>
        </w:rPr>
      </w:pPr>
    </w:p>
    <w:p w:rsidR="009B075E" w:rsidRPr="00125EB0" w:rsidRDefault="009B075E" w:rsidP="00125EB0">
      <w:pPr>
        <w:pStyle w:val="Caption"/>
        <w:jc w:val="left"/>
        <w:rPr>
          <w:rFonts w:ascii="Arial" w:hAnsi="Arial" w:cs="Arial"/>
          <w:sz w:val="22"/>
          <w:szCs w:val="22"/>
        </w:rPr>
      </w:pPr>
      <w:bookmarkStart w:id="112" w:name="_Ref338340431"/>
      <w:r w:rsidRPr="00B71ED4">
        <w:rPr>
          <w:rFonts w:ascii="Arial" w:hAnsi="Arial" w:cs="Arial"/>
          <w:sz w:val="22"/>
          <w:szCs w:val="22"/>
        </w:rPr>
        <w:t xml:space="preserve">Table </w:t>
      </w:r>
      <w:r w:rsidR="00855AAF" w:rsidRPr="00B71ED4">
        <w:rPr>
          <w:rFonts w:ascii="Arial" w:hAnsi="Arial" w:cs="Arial"/>
          <w:sz w:val="22"/>
          <w:szCs w:val="22"/>
        </w:rPr>
        <w:fldChar w:fldCharType="begin"/>
      </w:r>
      <w:r w:rsidRPr="00B71ED4">
        <w:rPr>
          <w:rFonts w:ascii="Arial" w:hAnsi="Arial" w:cs="Arial"/>
          <w:sz w:val="22"/>
          <w:szCs w:val="22"/>
        </w:rPr>
        <w:instrText xml:space="preserve"> SEQ Table \* ARABIC </w:instrText>
      </w:r>
      <w:r w:rsidR="00855AAF" w:rsidRPr="00B71ED4">
        <w:rPr>
          <w:rFonts w:ascii="Arial" w:hAnsi="Arial" w:cs="Arial"/>
          <w:sz w:val="22"/>
          <w:szCs w:val="22"/>
        </w:rPr>
        <w:fldChar w:fldCharType="separate"/>
      </w:r>
      <w:r w:rsidR="00584343">
        <w:rPr>
          <w:rFonts w:ascii="Arial" w:hAnsi="Arial" w:cs="Arial"/>
          <w:noProof/>
          <w:sz w:val="22"/>
          <w:szCs w:val="22"/>
        </w:rPr>
        <w:t>22</w:t>
      </w:r>
      <w:r w:rsidR="00855AAF" w:rsidRPr="00B71ED4">
        <w:rPr>
          <w:rFonts w:ascii="Arial" w:hAnsi="Arial" w:cs="Arial"/>
          <w:sz w:val="22"/>
          <w:szCs w:val="22"/>
        </w:rPr>
        <w:fldChar w:fldCharType="end"/>
      </w:r>
      <w:bookmarkEnd w:id="112"/>
      <w:r w:rsidRPr="00B71ED4">
        <w:rPr>
          <w:rFonts w:ascii="Arial" w:hAnsi="Arial" w:cs="Arial"/>
          <w:sz w:val="22"/>
          <w:szCs w:val="22"/>
        </w:rPr>
        <w:t>:</w:t>
      </w:r>
      <w:r w:rsidRPr="00125EB0">
        <w:rPr>
          <w:rFonts w:ascii="Arial" w:hAnsi="Arial" w:cs="Arial"/>
          <w:sz w:val="22"/>
          <w:szCs w:val="22"/>
        </w:rPr>
        <w:t xml:space="preserve"> Trends in concessional cardholders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1543"/>
        <w:gridCol w:w="1543"/>
        <w:gridCol w:w="1886"/>
      </w:tblGrid>
      <w:tr w:rsidR="009B075E" w:rsidRPr="00532794" w:rsidTr="0040541B">
        <w:trPr>
          <w:trHeight w:val="1020"/>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bookmarkStart w:id="113" w:name="_Ref318378847"/>
          </w:p>
        </w:tc>
        <w:tc>
          <w:tcPr>
            <w:tcW w:w="0" w:type="auto"/>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b/>
                <w:bCs/>
                <w:color w:val="333333"/>
                <w:sz w:val="16"/>
                <w:szCs w:val="16"/>
                <w:lang w:eastAsia="en-AU"/>
              </w:rPr>
              <w:t>Card holder numbers</w:t>
            </w:r>
          </w:p>
        </w:tc>
        <w:tc>
          <w:tcPr>
            <w:tcW w:w="0" w:type="auto"/>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b/>
                <w:bCs/>
                <w:color w:val="333333"/>
                <w:sz w:val="16"/>
                <w:szCs w:val="16"/>
                <w:lang w:eastAsia="en-AU"/>
              </w:rPr>
              <w:t xml:space="preserve">Card holder numbers </w:t>
            </w:r>
            <w:r w:rsidRPr="0040541B">
              <w:rPr>
                <w:rFonts w:ascii="Arial Narrow" w:hAnsi="Arial Narrow" w:cs="Arial"/>
                <w:b/>
                <w:bCs/>
                <w:color w:val="333333"/>
                <w:sz w:val="16"/>
                <w:szCs w:val="16"/>
                <w:lang w:eastAsia="en-AU"/>
              </w:rPr>
              <w:br/>
            </w:r>
            <w:r w:rsidRPr="0040541B">
              <w:rPr>
                <w:rFonts w:ascii="Arial Narrow" w:hAnsi="Arial Narrow" w:cs="Arial"/>
                <w:sz w:val="16"/>
                <w:szCs w:val="16"/>
                <w:lang w:eastAsia="en-AU"/>
              </w:rPr>
              <w:t>(change YoY)</w:t>
            </w:r>
          </w:p>
        </w:tc>
        <w:tc>
          <w:tcPr>
            <w:tcW w:w="0" w:type="auto"/>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 xml:space="preserve">Growth in numbers of </w:t>
            </w:r>
            <w:r w:rsidRPr="0040541B">
              <w:rPr>
                <w:rFonts w:ascii="Arial Narrow" w:hAnsi="Arial Narrow" w:cs="Arial"/>
                <w:sz w:val="16"/>
                <w:szCs w:val="16"/>
                <w:lang w:eastAsia="en-AU"/>
              </w:rPr>
              <w:br/>
              <w:t>Concession c</w:t>
            </w:r>
            <w:r w:rsidRPr="0040541B">
              <w:rPr>
                <w:rFonts w:ascii="Arial Narrow" w:hAnsi="Arial Narrow" w:cs="Arial"/>
                <w:b/>
                <w:bCs/>
                <w:color w:val="333333"/>
                <w:sz w:val="16"/>
                <w:szCs w:val="16"/>
                <w:lang w:eastAsia="en-AU"/>
              </w:rPr>
              <w:t>ard holder (%)</w:t>
            </w:r>
          </w:p>
        </w:tc>
      </w:tr>
      <w:tr w:rsidR="009B075E" w:rsidRPr="00532794" w:rsidTr="0040541B">
        <w:trPr>
          <w:trHeight w:val="255"/>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2000-01</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4,957,984</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p>
        </w:tc>
      </w:tr>
      <w:tr w:rsidR="009B075E" w:rsidRPr="00532794" w:rsidTr="0040541B">
        <w:trPr>
          <w:trHeight w:val="255"/>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2001-02</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5,039,346</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81</w:t>
            </w:r>
            <w:r w:rsidR="00F66113">
              <w:rPr>
                <w:rFonts w:ascii="Arial Narrow" w:hAnsi="Arial Narrow" w:cs="Arial"/>
                <w:sz w:val="16"/>
                <w:szCs w:val="16"/>
                <w:lang w:eastAsia="en-AU"/>
              </w:rPr>
              <w:t>,</w:t>
            </w:r>
            <w:r w:rsidRPr="0040541B">
              <w:rPr>
                <w:rFonts w:ascii="Arial Narrow" w:hAnsi="Arial Narrow" w:cs="Arial"/>
                <w:sz w:val="16"/>
                <w:szCs w:val="16"/>
                <w:lang w:eastAsia="en-AU"/>
              </w:rPr>
              <w:t>362</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1.6%</w:t>
            </w:r>
          </w:p>
        </w:tc>
      </w:tr>
      <w:tr w:rsidR="009B075E" w:rsidRPr="00532794" w:rsidTr="0040541B">
        <w:trPr>
          <w:trHeight w:val="255"/>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2002-03</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5,060,705</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21</w:t>
            </w:r>
            <w:r w:rsidR="00C65FAB">
              <w:rPr>
                <w:rFonts w:ascii="Arial Narrow" w:hAnsi="Arial Narrow" w:cs="Arial"/>
                <w:sz w:val="16"/>
                <w:szCs w:val="16"/>
                <w:lang w:eastAsia="en-AU"/>
              </w:rPr>
              <w:t>,</w:t>
            </w:r>
            <w:r w:rsidRPr="0040541B">
              <w:rPr>
                <w:rFonts w:ascii="Arial Narrow" w:hAnsi="Arial Narrow" w:cs="Arial"/>
                <w:sz w:val="16"/>
                <w:szCs w:val="16"/>
                <w:lang w:eastAsia="en-AU"/>
              </w:rPr>
              <w:t>359</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0.4%</w:t>
            </w:r>
          </w:p>
        </w:tc>
      </w:tr>
      <w:tr w:rsidR="009B075E" w:rsidRPr="00532794" w:rsidTr="0040541B">
        <w:trPr>
          <w:trHeight w:val="255"/>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2003-04</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5,011,322</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-49</w:t>
            </w:r>
            <w:r w:rsidR="00C65FAB">
              <w:rPr>
                <w:rFonts w:ascii="Arial Narrow" w:hAnsi="Arial Narrow" w:cs="Arial"/>
                <w:sz w:val="16"/>
                <w:szCs w:val="16"/>
                <w:lang w:eastAsia="en-AU"/>
              </w:rPr>
              <w:t>,</w:t>
            </w:r>
            <w:r w:rsidRPr="0040541B">
              <w:rPr>
                <w:rFonts w:ascii="Arial Narrow" w:hAnsi="Arial Narrow" w:cs="Arial"/>
                <w:sz w:val="16"/>
                <w:szCs w:val="16"/>
                <w:lang w:eastAsia="en-AU"/>
              </w:rPr>
              <w:t>383</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-1.0%</w:t>
            </w:r>
          </w:p>
        </w:tc>
      </w:tr>
      <w:tr w:rsidR="009B075E" w:rsidRPr="00532794" w:rsidTr="0040541B">
        <w:trPr>
          <w:trHeight w:val="255"/>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2004-05</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4,937,298</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-74</w:t>
            </w:r>
            <w:r w:rsidR="00C65FAB">
              <w:rPr>
                <w:rFonts w:ascii="Arial Narrow" w:hAnsi="Arial Narrow" w:cs="Arial"/>
                <w:sz w:val="16"/>
                <w:szCs w:val="16"/>
                <w:lang w:eastAsia="en-AU"/>
              </w:rPr>
              <w:t>,</w:t>
            </w:r>
            <w:r w:rsidRPr="0040541B">
              <w:rPr>
                <w:rFonts w:ascii="Arial Narrow" w:hAnsi="Arial Narrow" w:cs="Arial"/>
                <w:sz w:val="16"/>
                <w:szCs w:val="16"/>
                <w:lang w:eastAsia="en-AU"/>
              </w:rPr>
              <w:t>024</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-1.5%</w:t>
            </w:r>
          </w:p>
        </w:tc>
      </w:tr>
      <w:tr w:rsidR="009B075E" w:rsidRPr="00532794" w:rsidTr="0040541B">
        <w:trPr>
          <w:trHeight w:val="255"/>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2005-06</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4,916,273</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-21</w:t>
            </w:r>
            <w:r w:rsidR="00C65FAB">
              <w:rPr>
                <w:rFonts w:ascii="Arial Narrow" w:hAnsi="Arial Narrow" w:cs="Arial"/>
                <w:sz w:val="16"/>
                <w:szCs w:val="16"/>
                <w:lang w:eastAsia="en-AU"/>
              </w:rPr>
              <w:t>,</w:t>
            </w:r>
            <w:r w:rsidRPr="0040541B">
              <w:rPr>
                <w:rFonts w:ascii="Arial Narrow" w:hAnsi="Arial Narrow" w:cs="Arial"/>
                <w:sz w:val="16"/>
                <w:szCs w:val="16"/>
                <w:lang w:eastAsia="en-AU"/>
              </w:rPr>
              <w:t>025</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-0.4%</w:t>
            </w:r>
          </w:p>
        </w:tc>
      </w:tr>
      <w:tr w:rsidR="009B075E" w:rsidRPr="00532794" w:rsidTr="0040541B">
        <w:trPr>
          <w:trHeight w:val="255"/>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2006-07</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4,951,158</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34</w:t>
            </w:r>
            <w:r w:rsidR="00C65FAB">
              <w:rPr>
                <w:rFonts w:ascii="Arial Narrow" w:hAnsi="Arial Narrow" w:cs="Arial"/>
                <w:sz w:val="16"/>
                <w:szCs w:val="16"/>
                <w:lang w:eastAsia="en-AU"/>
              </w:rPr>
              <w:t>,</w:t>
            </w:r>
            <w:r w:rsidRPr="0040541B">
              <w:rPr>
                <w:rFonts w:ascii="Arial Narrow" w:hAnsi="Arial Narrow" w:cs="Arial"/>
                <w:sz w:val="16"/>
                <w:szCs w:val="16"/>
                <w:lang w:eastAsia="en-AU"/>
              </w:rPr>
              <w:t>885</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0.7%</w:t>
            </w:r>
          </w:p>
        </w:tc>
      </w:tr>
      <w:tr w:rsidR="009B075E" w:rsidRPr="00532794" w:rsidTr="0040541B">
        <w:trPr>
          <w:trHeight w:val="255"/>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2007-08</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4,936,791</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-14</w:t>
            </w:r>
            <w:r w:rsidR="00C65FAB">
              <w:rPr>
                <w:rFonts w:ascii="Arial Narrow" w:hAnsi="Arial Narrow" w:cs="Arial"/>
                <w:sz w:val="16"/>
                <w:szCs w:val="16"/>
                <w:lang w:eastAsia="en-AU"/>
              </w:rPr>
              <w:t>,</w:t>
            </w:r>
            <w:r w:rsidRPr="0040541B">
              <w:rPr>
                <w:rFonts w:ascii="Arial Narrow" w:hAnsi="Arial Narrow" w:cs="Arial"/>
                <w:sz w:val="16"/>
                <w:szCs w:val="16"/>
                <w:lang w:eastAsia="en-AU"/>
              </w:rPr>
              <w:t>367</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-0.3%</w:t>
            </w:r>
          </w:p>
        </w:tc>
      </w:tr>
      <w:tr w:rsidR="009B075E" w:rsidRPr="00532794" w:rsidTr="0040541B">
        <w:trPr>
          <w:trHeight w:val="255"/>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2008-09</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5,234,695</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297</w:t>
            </w:r>
            <w:r w:rsidR="00C65FAB">
              <w:rPr>
                <w:rFonts w:ascii="Arial Narrow" w:hAnsi="Arial Narrow" w:cs="Arial"/>
                <w:sz w:val="16"/>
                <w:szCs w:val="16"/>
                <w:lang w:eastAsia="en-AU"/>
              </w:rPr>
              <w:t>,</w:t>
            </w:r>
            <w:r w:rsidRPr="0040541B">
              <w:rPr>
                <w:rFonts w:ascii="Arial Narrow" w:hAnsi="Arial Narrow" w:cs="Arial"/>
                <w:sz w:val="16"/>
                <w:szCs w:val="16"/>
                <w:lang w:eastAsia="en-AU"/>
              </w:rPr>
              <w:t>904</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6.0%</w:t>
            </w:r>
          </w:p>
        </w:tc>
      </w:tr>
      <w:tr w:rsidR="009B075E" w:rsidRPr="00532794" w:rsidTr="0040541B">
        <w:trPr>
          <w:trHeight w:val="255"/>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2009-10</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5,389,025</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154</w:t>
            </w:r>
            <w:r w:rsidR="00C65FAB">
              <w:rPr>
                <w:rFonts w:ascii="Arial Narrow" w:hAnsi="Arial Narrow" w:cs="Arial"/>
                <w:sz w:val="16"/>
                <w:szCs w:val="16"/>
                <w:lang w:eastAsia="en-AU"/>
              </w:rPr>
              <w:t>,</w:t>
            </w:r>
            <w:r w:rsidRPr="0040541B">
              <w:rPr>
                <w:rFonts w:ascii="Arial Narrow" w:hAnsi="Arial Narrow" w:cs="Arial"/>
                <w:sz w:val="16"/>
                <w:szCs w:val="16"/>
                <w:lang w:eastAsia="en-AU"/>
              </w:rPr>
              <w:t>330</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2.9%</w:t>
            </w:r>
          </w:p>
        </w:tc>
      </w:tr>
      <w:tr w:rsidR="009B075E" w:rsidRPr="00532794" w:rsidTr="0040541B">
        <w:trPr>
          <w:trHeight w:val="255"/>
        </w:trPr>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2010-11</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5,466,022</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76</w:t>
            </w:r>
            <w:r w:rsidR="00C65FAB">
              <w:rPr>
                <w:rFonts w:ascii="Arial Narrow" w:hAnsi="Arial Narrow" w:cs="Arial"/>
                <w:sz w:val="16"/>
                <w:szCs w:val="16"/>
                <w:lang w:eastAsia="en-AU"/>
              </w:rPr>
              <w:t>,</w:t>
            </w:r>
            <w:r w:rsidRPr="0040541B">
              <w:rPr>
                <w:rFonts w:ascii="Arial Narrow" w:hAnsi="Arial Narrow" w:cs="Arial"/>
                <w:sz w:val="16"/>
                <w:szCs w:val="16"/>
                <w:lang w:eastAsia="en-AU"/>
              </w:rPr>
              <w:t>997</w:t>
            </w:r>
          </w:p>
        </w:tc>
        <w:tc>
          <w:tcPr>
            <w:tcW w:w="0" w:type="auto"/>
            <w:noWrap/>
            <w:vAlign w:val="center"/>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1.4%</w:t>
            </w:r>
          </w:p>
        </w:tc>
      </w:tr>
    </w:tbl>
    <w:p w:rsidR="00964763" w:rsidRDefault="00964763">
      <w:pPr>
        <w:spacing w:after="0" w:line="240" w:lineRule="auto"/>
        <w:rPr>
          <w:rFonts w:ascii="Arial" w:hAnsi="Arial" w:cs="Arial"/>
        </w:rPr>
        <w:sectPr w:rsidR="00964763" w:rsidSect="001A73A4">
          <w:pgSz w:w="11906" w:h="16838"/>
          <w:pgMar w:top="1021" w:right="1191" w:bottom="1021" w:left="1191" w:header="709" w:footer="709" w:gutter="0"/>
          <w:cols w:space="708"/>
          <w:docGrid w:linePitch="360"/>
        </w:sectPr>
      </w:pPr>
    </w:p>
    <w:p w:rsidR="009B075E" w:rsidRDefault="009B075E">
      <w:pPr>
        <w:spacing w:after="0" w:line="240" w:lineRule="auto"/>
        <w:rPr>
          <w:rFonts w:ascii="Arial" w:hAnsi="Arial" w:cs="Arial"/>
          <w:b/>
          <w:bCs/>
        </w:rPr>
      </w:pPr>
    </w:p>
    <w:p w:rsidR="009B075E" w:rsidRDefault="009B075E" w:rsidP="00125EB0">
      <w:pPr>
        <w:pStyle w:val="Caption"/>
        <w:jc w:val="left"/>
        <w:rPr>
          <w:rFonts w:ascii="Arial" w:hAnsi="Arial" w:cs="Arial"/>
          <w:sz w:val="22"/>
          <w:szCs w:val="22"/>
        </w:rPr>
      </w:pPr>
      <w:bookmarkStart w:id="114" w:name="_Ref338340443"/>
      <w:r w:rsidRPr="00B71ED4">
        <w:rPr>
          <w:rFonts w:ascii="Arial" w:hAnsi="Arial" w:cs="Arial"/>
          <w:sz w:val="22"/>
          <w:szCs w:val="22"/>
        </w:rPr>
        <w:t xml:space="preserve">Table </w:t>
      </w:r>
      <w:r w:rsidR="00855AAF" w:rsidRPr="00B71ED4">
        <w:rPr>
          <w:rFonts w:ascii="Arial" w:hAnsi="Arial" w:cs="Arial"/>
          <w:sz w:val="22"/>
          <w:szCs w:val="22"/>
        </w:rPr>
        <w:fldChar w:fldCharType="begin"/>
      </w:r>
      <w:r w:rsidRPr="00B71ED4">
        <w:rPr>
          <w:rFonts w:ascii="Arial" w:hAnsi="Arial" w:cs="Arial"/>
          <w:sz w:val="22"/>
          <w:szCs w:val="22"/>
        </w:rPr>
        <w:instrText xml:space="preserve"> SEQ Table \* ARABIC </w:instrText>
      </w:r>
      <w:r w:rsidR="00855AAF" w:rsidRPr="00B71ED4">
        <w:rPr>
          <w:rFonts w:ascii="Arial" w:hAnsi="Arial" w:cs="Arial"/>
          <w:sz w:val="22"/>
          <w:szCs w:val="22"/>
        </w:rPr>
        <w:fldChar w:fldCharType="separate"/>
      </w:r>
      <w:r w:rsidR="00584343">
        <w:rPr>
          <w:rFonts w:ascii="Arial" w:hAnsi="Arial" w:cs="Arial"/>
          <w:noProof/>
          <w:sz w:val="22"/>
          <w:szCs w:val="22"/>
        </w:rPr>
        <w:t>23</w:t>
      </w:r>
      <w:r w:rsidR="00855AAF" w:rsidRPr="00B71ED4">
        <w:rPr>
          <w:rFonts w:ascii="Arial" w:hAnsi="Arial" w:cs="Arial"/>
          <w:sz w:val="22"/>
          <w:szCs w:val="22"/>
        </w:rPr>
        <w:fldChar w:fldCharType="end"/>
      </w:r>
      <w:bookmarkEnd w:id="114"/>
      <w:r w:rsidRPr="00B71ED4">
        <w:rPr>
          <w:rFonts w:ascii="Arial" w:hAnsi="Arial" w:cs="Arial"/>
          <w:sz w:val="22"/>
          <w:szCs w:val="22"/>
        </w:rPr>
        <w:t>:</w:t>
      </w:r>
      <w:r w:rsidRPr="00125EB0">
        <w:rPr>
          <w:rFonts w:ascii="Arial" w:hAnsi="Arial" w:cs="Arial"/>
          <w:sz w:val="22"/>
          <w:szCs w:val="22"/>
        </w:rPr>
        <w:t xml:space="preserve"> Trends in concessional cardholders</w:t>
      </w:r>
      <w:r>
        <w:rPr>
          <w:rFonts w:ascii="Arial" w:hAnsi="Arial" w:cs="Arial"/>
          <w:sz w:val="22"/>
          <w:szCs w:val="22"/>
        </w:rPr>
        <w:t>, by card types</w:t>
      </w:r>
    </w:p>
    <w:tbl>
      <w:tblPr>
        <w:tblW w:w="14280" w:type="dxa"/>
        <w:tblLook w:val="00A0" w:firstRow="1" w:lastRow="0" w:firstColumn="1" w:lastColumn="0" w:noHBand="0" w:noVBand="0"/>
      </w:tblPr>
      <w:tblGrid>
        <w:gridCol w:w="3500"/>
        <w:gridCol w:w="1180"/>
        <w:gridCol w:w="960"/>
        <w:gridCol w:w="960"/>
        <w:gridCol w:w="960"/>
        <w:gridCol w:w="960"/>
        <w:gridCol w:w="960"/>
        <w:gridCol w:w="960"/>
        <w:gridCol w:w="960"/>
        <w:gridCol w:w="960"/>
        <w:gridCol w:w="960"/>
        <w:gridCol w:w="960"/>
      </w:tblGrid>
      <w:tr w:rsidR="009B075E" w:rsidRPr="00125EB0" w:rsidTr="00125EB0">
        <w:trPr>
          <w:trHeight w:val="255"/>
        </w:trPr>
        <w:tc>
          <w:tcPr>
            <w:tcW w:w="3500" w:type="dxa"/>
            <w:tcBorders>
              <w:top w:val="single" w:sz="8" w:space="0" w:color="auto"/>
              <w:left w:val="single" w:sz="8" w:space="0" w:color="auto"/>
              <w:bottom w:val="single" w:sz="4" w:space="0" w:color="auto"/>
              <w:right w:val="single" w:sz="4"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Concessional Card Holders (,000)</w:t>
            </w:r>
          </w:p>
        </w:tc>
        <w:tc>
          <w:tcPr>
            <w:tcW w:w="1180" w:type="dxa"/>
            <w:tcBorders>
              <w:top w:val="single" w:sz="8" w:space="0" w:color="auto"/>
              <w:left w:val="nil"/>
              <w:bottom w:val="single" w:sz="4" w:space="0" w:color="auto"/>
              <w:right w:val="single" w:sz="4"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2000-01</w:t>
            </w:r>
          </w:p>
        </w:tc>
        <w:tc>
          <w:tcPr>
            <w:tcW w:w="960" w:type="dxa"/>
            <w:tcBorders>
              <w:top w:val="single" w:sz="8" w:space="0" w:color="auto"/>
              <w:left w:val="nil"/>
              <w:bottom w:val="single" w:sz="4" w:space="0" w:color="auto"/>
              <w:right w:val="single" w:sz="4"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2001-02</w:t>
            </w:r>
          </w:p>
        </w:tc>
        <w:tc>
          <w:tcPr>
            <w:tcW w:w="960" w:type="dxa"/>
            <w:tcBorders>
              <w:top w:val="single" w:sz="8" w:space="0" w:color="auto"/>
              <w:left w:val="nil"/>
              <w:bottom w:val="single" w:sz="4" w:space="0" w:color="auto"/>
              <w:right w:val="single" w:sz="4"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2002-03</w:t>
            </w:r>
          </w:p>
        </w:tc>
        <w:tc>
          <w:tcPr>
            <w:tcW w:w="960" w:type="dxa"/>
            <w:tcBorders>
              <w:top w:val="single" w:sz="8" w:space="0" w:color="auto"/>
              <w:left w:val="nil"/>
              <w:bottom w:val="single" w:sz="4" w:space="0" w:color="auto"/>
              <w:right w:val="single" w:sz="4"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2003-04</w:t>
            </w:r>
          </w:p>
        </w:tc>
        <w:tc>
          <w:tcPr>
            <w:tcW w:w="960" w:type="dxa"/>
            <w:tcBorders>
              <w:top w:val="single" w:sz="8" w:space="0" w:color="auto"/>
              <w:left w:val="nil"/>
              <w:bottom w:val="single" w:sz="4" w:space="0" w:color="auto"/>
              <w:right w:val="single" w:sz="4"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2004-05</w:t>
            </w:r>
          </w:p>
        </w:tc>
        <w:tc>
          <w:tcPr>
            <w:tcW w:w="960" w:type="dxa"/>
            <w:tcBorders>
              <w:top w:val="single" w:sz="8" w:space="0" w:color="auto"/>
              <w:left w:val="nil"/>
              <w:bottom w:val="single" w:sz="4" w:space="0" w:color="auto"/>
              <w:right w:val="single" w:sz="4"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2005-06</w:t>
            </w:r>
          </w:p>
        </w:tc>
        <w:tc>
          <w:tcPr>
            <w:tcW w:w="960" w:type="dxa"/>
            <w:tcBorders>
              <w:top w:val="single" w:sz="8" w:space="0" w:color="auto"/>
              <w:left w:val="nil"/>
              <w:bottom w:val="single" w:sz="4" w:space="0" w:color="auto"/>
              <w:right w:val="single" w:sz="4"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2006-07</w:t>
            </w:r>
          </w:p>
        </w:tc>
        <w:tc>
          <w:tcPr>
            <w:tcW w:w="960" w:type="dxa"/>
            <w:tcBorders>
              <w:top w:val="single" w:sz="8" w:space="0" w:color="auto"/>
              <w:left w:val="nil"/>
              <w:bottom w:val="single" w:sz="4" w:space="0" w:color="auto"/>
              <w:right w:val="single" w:sz="4"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2007-08</w:t>
            </w:r>
          </w:p>
        </w:tc>
        <w:tc>
          <w:tcPr>
            <w:tcW w:w="960" w:type="dxa"/>
            <w:tcBorders>
              <w:top w:val="single" w:sz="8" w:space="0" w:color="auto"/>
              <w:left w:val="nil"/>
              <w:bottom w:val="single" w:sz="4" w:space="0" w:color="auto"/>
              <w:right w:val="single" w:sz="4"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2008-09</w:t>
            </w:r>
          </w:p>
        </w:tc>
        <w:tc>
          <w:tcPr>
            <w:tcW w:w="960" w:type="dxa"/>
            <w:tcBorders>
              <w:top w:val="single" w:sz="8" w:space="0" w:color="auto"/>
              <w:left w:val="nil"/>
              <w:bottom w:val="single" w:sz="4" w:space="0" w:color="auto"/>
              <w:right w:val="single" w:sz="4"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2009-10</w:t>
            </w:r>
          </w:p>
        </w:tc>
        <w:tc>
          <w:tcPr>
            <w:tcW w:w="960" w:type="dxa"/>
            <w:tcBorders>
              <w:top w:val="single" w:sz="8" w:space="0" w:color="auto"/>
              <w:left w:val="nil"/>
              <w:bottom w:val="single" w:sz="4" w:space="0" w:color="auto"/>
              <w:right w:val="single" w:sz="8" w:space="0" w:color="auto"/>
            </w:tcBorders>
            <w:noWrap/>
            <w:vAlign w:val="bottom"/>
          </w:tcPr>
          <w:p w:rsidR="009B075E" w:rsidRPr="00125EB0" w:rsidRDefault="009B075E" w:rsidP="00125EB0">
            <w:pPr>
              <w:spacing w:after="0" w:line="240" w:lineRule="auto"/>
              <w:rPr>
                <w:rFonts w:ascii="Arial Narrow" w:hAnsi="Arial Narrow" w:cs="Arial"/>
                <w:b/>
                <w:bCs/>
                <w:sz w:val="16"/>
                <w:szCs w:val="16"/>
                <w:lang w:eastAsia="en-AU"/>
              </w:rPr>
            </w:pPr>
            <w:r w:rsidRPr="00125EB0">
              <w:rPr>
                <w:rFonts w:ascii="Arial Narrow" w:hAnsi="Arial Narrow" w:cs="Arial"/>
                <w:b/>
                <w:bCs/>
                <w:sz w:val="16"/>
                <w:szCs w:val="16"/>
                <w:lang w:eastAsia="en-AU"/>
              </w:rPr>
              <w:t>2010-11</w:t>
            </w:r>
          </w:p>
        </w:tc>
      </w:tr>
      <w:tr w:rsidR="009B075E" w:rsidRPr="00125EB0" w:rsidTr="00125EB0">
        <w:trPr>
          <w:trHeight w:val="255"/>
        </w:trPr>
        <w:tc>
          <w:tcPr>
            <w:tcW w:w="3500" w:type="dxa"/>
            <w:tcBorders>
              <w:top w:val="nil"/>
              <w:left w:val="single" w:sz="8" w:space="0" w:color="auto"/>
              <w:bottom w:val="single" w:sz="4" w:space="0" w:color="auto"/>
              <w:right w:val="single" w:sz="4" w:space="0" w:color="auto"/>
            </w:tcBorders>
            <w:noWrap/>
            <w:vAlign w:val="center"/>
          </w:tcPr>
          <w:p w:rsidR="009B075E" w:rsidRPr="00125EB0" w:rsidRDefault="009B075E" w:rsidP="00125EB0">
            <w:pPr>
              <w:spacing w:after="0" w:line="240" w:lineRule="auto"/>
              <w:rPr>
                <w:rFonts w:ascii="Arial Narrow" w:hAnsi="Arial Narrow" w:cs="Arial"/>
                <w:sz w:val="16"/>
                <w:szCs w:val="16"/>
                <w:lang w:eastAsia="en-AU"/>
              </w:rPr>
            </w:pPr>
            <w:r w:rsidRPr="00125EB0">
              <w:rPr>
                <w:rFonts w:ascii="Arial Narrow" w:hAnsi="Arial Narrow" w:cs="Arial"/>
                <w:sz w:val="16"/>
                <w:szCs w:val="16"/>
                <w:lang w:eastAsia="en-AU"/>
              </w:rPr>
              <w:t xml:space="preserve"> Commonwealth Seniors Health Card  </w:t>
            </w:r>
          </w:p>
        </w:tc>
        <w:tc>
          <w:tcPr>
            <w:tcW w:w="118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226</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278</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283</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287</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300</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311</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318</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278</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280</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275</w:t>
            </w:r>
          </w:p>
        </w:tc>
        <w:tc>
          <w:tcPr>
            <w:tcW w:w="960" w:type="dxa"/>
            <w:tcBorders>
              <w:top w:val="nil"/>
              <w:left w:val="nil"/>
              <w:bottom w:val="single" w:sz="4" w:space="0" w:color="auto"/>
              <w:right w:val="single" w:sz="8" w:space="0" w:color="auto"/>
            </w:tcBorders>
            <w:shd w:val="clear" w:color="D8D8D8" w:fill="D8D8D8"/>
            <w:noWrap/>
            <w:vAlign w:val="center"/>
          </w:tcPr>
          <w:p w:rsidR="009B075E" w:rsidRPr="00125EB0" w:rsidRDefault="009B075E" w:rsidP="00125EB0">
            <w:pPr>
              <w:spacing w:after="0" w:line="240" w:lineRule="auto"/>
              <w:jc w:val="right"/>
              <w:rPr>
                <w:rFonts w:ascii="Arial Narrow" w:hAnsi="Arial Narrow" w:cs="Arial"/>
                <w:color w:val="000000"/>
                <w:sz w:val="16"/>
                <w:szCs w:val="16"/>
                <w:lang w:eastAsia="en-AU"/>
              </w:rPr>
            </w:pPr>
            <w:r w:rsidRPr="00125EB0">
              <w:rPr>
                <w:rFonts w:ascii="Arial Narrow" w:hAnsi="Arial Narrow" w:cs="Arial"/>
                <w:color w:val="000000"/>
                <w:sz w:val="16"/>
                <w:szCs w:val="16"/>
                <w:lang w:eastAsia="en-AU"/>
              </w:rPr>
              <w:t>282.2</w:t>
            </w:r>
          </w:p>
        </w:tc>
      </w:tr>
      <w:tr w:rsidR="009B075E" w:rsidRPr="00125EB0" w:rsidTr="00125EB0">
        <w:trPr>
          <w:trHeight w:val="255"/>
        </w:trPr>
        <w:tc>
          <w:tcPr>
            <w:tcW w:w="3500" w:type="dxa"/>
            <w:tcBorders>
              <w:top w:val="nil"/>
              <w:left w:val="single" w:sz="8" w:space="0" w:color="auto"/>
              <w:bottom w:val="single" w:sz="4" w:space="0" w:color="auto"/>
              <w:right w:val="single" w:sz="4" w:space="0" w:color="auto"/>
            </w:tcBorders>
            <w:noWrap/>
            <w:vAlign w:val="center"/>
          </w:tcPr>
          <w:p w:rsidR="009B075E" w:rsidRPr="00125EB0" w:rsidRDefault="009B075E" w:rsidP="00125EB0">
            <w:pPr>
              <w:spacing w:after="0" w:line="240" w:lineRule="auto"/>
              <w:rPr>
                <w:rFonts w:ascii="Arial Narrow" w:hAnsi="Arial Narrow" w:cs="Arial"/>
                <w:sz w:val="16"/>
                <w:szCs w:val="16"/>
                <w:lang w:eastAsia="en-AU"/>
              </w:rPr>
            </w:pPr>
            <w:r w:rsidRPr="00125EB0">
              <w:rPr>
                <w:rFonts w:ascii="Arial Narrow" w:hAnsi="Arial Narrow" w:cs="Arial"/>
                <w:sz w:val="16"/>
                <w:szCs w:val="16"/>
                <w:lang w:eastAsia="en-AU"/>
              </w:rPr>
              <w:t xml:space="preserve"> (Low Income) Health Care Card  </w:t>
            </w:r>
          </w:p>
        </w:tc>
        <w:tc>
          <w:tcPr>
            <w:tcW w:w="118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354</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369</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330</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315</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308</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332</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364</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358</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381</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404</w:t>
            </w:r>
          </w:p>
        </w:tc>
        <w:tc>
          <w:tcPr>
            <w:tcW w:w="960" w:type="dxa"/>
            <w:tcBorders>
              <w:top w:val="nil"/>
              <w:left w:val="nil"/>
              <w:bottom w:val="single" w:sz="4" w:space="0" w:color="auto"/>
              <w:right w:val="single" w:sz="8" w:space="0" w:color="auto"/>
            </w:tcBorders>
            <w:shd w:val="clear" w:color="D8D8D8" w:fill="D8D8D8"/>
            <w:noWrap/>
            <w:vAlign w:val="center"/>
          </w:tcPr>
          <w:p w:rsidR="009B075E" w:rsidRPr="00125EB0" w:rsidRDefault="009B075E" w:rsidP="00125EB0">
            <w:pPr>
              <w:spacing w:after="0" w:line="240" w:lineRule="auto"/>
              <w:jc w:val="right"/>
              <w:rPr>
                <w:rFonts w:ascii="Arial Narrow" w:hAnsi="Arial Narrow" w:cs="Arial"/>
                <w:color w:val="000000"/>
                <w:sz w:val="16"/>
                <w:szCs w:val="16"/>
                <w:lang w:eastAsia="en-AU"/>
              </w:rPr>
            </w:pPr>
            <w:r w:rsidRPr="00125EB0">
              <w:rPr>
                <w:rFonts w:ascii="Arial Narrow" w:hAnsi="Arial Narrow" w:cs="Arial"/>
                <w:color w:val="000000"/>
                <w:sz w:val="16"/>
                <w:szCs w:val="16"/>
                <w:lang w:eastAsia="en-AU"/>
              </w:rPr>
              <w:t>435.7</w:t>
            </w:r>
          </w:p>
        </w:tc>
      </w:tr>
      <w:tr w:rsidR="009B075E" w:rsidRPr="00125EB0" w:rsidTr="00125EB0">
        <w:trPr>
          <w:trHeight w:val="255"/>
        </w:trPr>
        <w:tc>
          <w:tcPr>
            <w:tcW w:w="3500" w:type="dxa"/>
            <w:tcBorders>
              <w:top w:val="nil"/>
              <w:left w:val="single" w:sz="8" w:space="0" w:color="auto"/>
              <w:bottom w:val="single" w:sz="4" w:space="0" w:color="auto"/>
              <w:right w:val="single" w:sz="4" w:space="0" w:color="auto"/>
            </w:tcBorders>
            <w:noWrap/>
            <w:vAlign w:val="center"/>
          </w:tcPr>
          <w:p w:rsidR="009B075E" w:rsidRPr="00125EB0" w:rsidRDefault="009B075E" w:rsidP="00125EB0">
            <w:pPr>
              <w:spacing w:after="0" w:line="240" w:lineRule="auto"/>
              <w:rPr>
                <w:rFonts w:ascii="Arial Narrow" w:hAnsi="Arial Narrow" w:cs="Arial"/>
                <w:sz w:val="16"/>
                <w:szCs w:val="16"/>
                <w:lang w:eastAsia="en-AU"/>
              </w:rPr>
            </w:pPr>
            <w:r w:rsidRPr="00125EB0">
              <w:rPr>
                <w:rFonts w:ascii="Arial Narrow" w:hAnsi="Arial Narrow" w:cs="Arial"/>
                <w:sz w:val="16"/>
                <w:szCs w:val="16"/>
                <w:lang w:eastAsia="en-AU"/>
              </w:rPr>
              <w:t xml:space="preserve"> Health Care Card  </w:t>
            </w:r>
          </w:p>
        </w:tc>
        <w:tc>
          <w:tcPr>
            <w:tcW w:w="118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1</w:t>
            </w:r>
            <w:r w:rsidR="00C65FAB">
              <w:rPr>
                <w:rFonts w:ascii="Arial Narrow" w:hAnsi="Arial Narrow" w:cs="Arial"/>
                <w:sz w:val="16"/>
                <w:szCs w:val="16"/>
                <w:lang w:eastAsia="en-AU"/>
              </w:rPr>
              <w:t>,</w:t>
            </w:r>
            <w:r w:rsidRPr="00125EB0">
              <w:rPr>
                <w:rFonts w:ascii="Arial Narrow" w:hAnsi="Arial Narrow" w:cs="Arial"/>
                <w:sz w:val="16"/>
                <w:szCs w:val="16"/>
                <w:lang w:eastAsia="en-AU"/>
              </w:rPr>
              <w:t>394</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1</w:t>
            </w:r>
            <w:r w:rsidR="00C65FAB">
              <w:rPr>
                <w:rFonts w:ascii="Arial Narrow" w:hAnsi="Arial Narrow" w:cs="Arial"/>
                <w:sz w:val="16"/>
                <w:szCs w:val="16"/>
                <w:lang w:eastAsia="en-AU"/>
              </w:rPr>
              <w:t>,</w:t>
            </w:r>
            <w:r w:rsidRPr="00125EB0">
              <w:rPr>
                <w:rFonts w:ascii="Arial Narrow" w:hAnsi="Arial Narrow" w:cs="Arial"/>
                <w:sz w:val="16"/>
                <w:szCs w:val="16"/>
                <w:lang w:eastAsia="en-AU"/>
              </w:rPr>
              <w:t>333</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1</w:t>
            </w:r>
            <w:r w:rsidR="00C65FAB">
              <w:rPr>
                <w:rFonts w:ascii="Arial Narrow" w:hAnsi="Arial Narrow" w:cs="Arial"/>
                <w:sz w:val="16"/>
                <w:szCs w:val="16"/>
                <w:lang w:eastAsia="en-AU"/>
              </w:rPr>
              <w:t>,</w:t>
            </w:r>
            <w:r w:rsidRPr="00125EB0">
              <w:rPr>
                <w:rFonts w:ascii="Arial Narrow" w:hAnsi="Arial Narrow" w:cs="Arial"/>
                <w:sz w:val="16"/>
                <w:szCs w:val="16"/>
                <w:lang w:eastAsia="en-AU"/>
              </w:rPr>
              <w:t>326</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1</w:t>
            </w:r>
            <w:r w:rsidR="00C65FAB">
              <w:rPr>
                <w:rFonts w:ascii="Arial Narrow" w:hAnsi="Arial Narrow" w:cs="Arial"/>
                <w:sz w:val="16"/>
                <w:szCs w:val="16"/>
                <w:lang w:eastAsia="en-AU"/>
              </w:rPr>
              <w:t>,</w:t>
            </w:r>
            <w:r w:rsidRPr="00125EB0">
              <w:rPr>
                <w:rFonts w:ascii="Arial Narrow" w:hAnsi="Arial Narrow" w:cs="Arial"/>
                <w:sz w:val="16"/>
                <w:szCs w:val="16"/>
                <w:lang w:eastAsia="en-AU"/>
              </w:rPr>
              <w:t>237</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1</w:t>
            </w:r>
            <w:r w:rsidR="00C65FAB">
              <w:rPr>
                <w:rFonts w:ascii="Arial Narrow" w:hAnsi="Arial Narrow" w:cs="Arial"/>
                <w:sz w:val="16"/>
                <w:szCs w:val="16"/>
                <w:lang w:eastAsia="en-AU"/>
              </w:rPr>
              <w:t>,</w:t>
            </w:r>
            <w:r w:rsidRPr="00125EB0">
              <w:rPr>
                <w:rFonts w:ascii="Arial Narrow" w:hAnsi="Arial Narrow" w:cs="Arial"/>
                <w:sz w:val="16"/>
                <w:szCs w:val="16"/>
                <w:lang w:eastAsia="en-AU"/>
              </w:rPr>
              <w:t>162</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1</w:t>
            </w:r>
            <w:r w:rsidR="00C65FAB">
              <w:rPr>
                <w:rFonts w:ascii="Arial Narrow" w:hAnsi="Arial Narrow" w:cs="Arial"/>
                <w:sz w:val="16"/>
                <w:szCs w:val="16"/>
                <w:lang w:eastAsia="en-AU"/>
              </w:rPr>
              <w:t>,</w:t>
            </w:r>
            <w:r w:rsidRPr="00125EB0">
              <w:rPr>
                <w:rFonts w:ascii="Arial Narrow" w:hAnsi="Arial Narrow" w:cs="Arial"/>
                <w:sz w:val="16"/>
                <w:szCs w:val="16"/>
                <w:lang w:eastAsia="en-AU"/>
              </w:rPr>
              <w:t>116</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1</w:t>
            </w:r>
            <w:r w:rsidR="00C65FAB">
              <w:rPr>
                <w:rFonts w:ascii="Arial Narrow" w:hAnsi="Arial Narrow" w:cs="Arial"/>
                <w:sz w:val="16"/>
                <w:szCs w:val="16"/>
                <w:lang w:eastAsia="en-AU"/>
              </w:rPr>
              <w:t>,</w:t>
            </w:r>
            <w:r w:rsidRPr="00125EB0">
              <w:rPr>
                <w:rFonts w:ascii="Arial Narrow" w:hAnsi="Arial Narrow" w:cs="Arial"/>
                <w:sz w:val="16"/>
                <w:szCs w:val="16"/>
                <w:lang w:eastAsia="en-AU"/>
              </w:rPr>
              <w:t>101</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1</w:t>
            </w:r>
            <w:r w:rsidR="00C65FAB">
              <w:rPr>
                <w:rFonts w:ascii="Arial Narrow" w:hAnsi="Arial Narrow" w:cs="Arial"/>
                <w:sz w:val="16"/>
                <w:szCs w:val="16"/>
                <w:lang w:eastAsia="en-AU"/>
              </w:rPr>
              <w:t>,</w:t>
            </w:r>
            <w:r w:rsidRPr="00125EB0">
              <w:rPr>
                <w:rFonts w:ascii="Arial Narrow" w:hAnsi="Arial Narrow" w:cs="Arial"/>
                <w:sz w:val="16"/>
                <w:szCs w:val="16"/>
                <w:lang w:eastAsia="en-AU"/>
              </w:rPr>
              <w:t>022</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1</w:t>
            </w:r>
            <w:r w:rsidR="00C65FAB">
              <w:rPr>
                <w:rFonts w:ascii="Arial Narrow" w:hAnsi="Arial Narrow" w:cs="Arial"/>
                <w:sz w:val="16"/>
                <w:szCs w:val="16"/>
                <w:lang w:eastAsia="en-AU"/>
              </w:rPr>
              <w:t>,</w:t>
            </w:r>
            <w:r w:rsidRPr="00125EB0">
              <w:rPr>
                <w:rFonts w:ascii="Arial Narrow" w:hAnsi="Arial Narrow" w:cs="Arial"/>
                <w:sz w:val="16"/>
                <w:szCs w:val="16"/>
                <w:lang w:eastAsia="en-AU"/>
              </w:rPr>
              <w:t>149</w:t>
            </w:r>
          </w:p>
        </w:tc>
        <w:tc>
          <w:tcPr>
            <w:tcW w:w="960" w:type="dxa"/>
            <w:tcBorders>
              <w:top w:val="nil"/>
              <w:left w:val="nil"/>
              <w:bottom w:val="single" w:sz="4"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1</w:t>
            </w:r>
            <w:r w:rsidR="00C65FAB">
              <w:rPr>
                <w:rFonts w:ascii="Arial Narrow" w:hAnsi="Arial Narrow" w:cs="Arial"/>
                <w:sz w:val="16"/>
                <w:szCs w:val="16"/>
                <w:lang w:eastAsia="en-AU"/>
              </w:rPr>
              <w:t>,</w:t>
            </w:r>
            <w:r w:rsidRPr="00125EB0">
              <w:rPr>
                <w:rFonts w:ascii="Arial Narrow" w:hAnsi="Arial Narrow" w:cs="Arial"/>
                <w:sz w:val="16"/>
                <w:szCs w:val="16"/>
                <w:lang w:eastAsia="en-AU"/>
              </w:rPr>
              <w:t>179</w:t>
            </w:r>
          </w:p>
        </w:tc>
        <w:tc>
          <w:tcPr>
            <w:tcW w:w="960" w:type="dxa"/>
            <w:tcBorders>
              <w:top w:val="nil"/>
              <w:left w:val="nil"/>
              <w:bottom w:val="single" w:sz="4" w:space="0" w:color="auto"/>
              <w:right w:val="single" w:sz="8" w:space="0" w:color="auto"/>
            </w:tcBorders>
            <w:shd w:val="clear" w:color="D8D8D8" w:fill="D8D8D8"/>
            <w:noWrap/>
            <w:vAlign w:val="center"/>
          </w:tcPr>
          <w:p w:rsidR="009B075E" w:rsidRPr="00125EB0" w:rsidRDefault="009B075E" w:rsidP="00125EB0">
            <w:pPr>
              <w:spacing w:after="0" w:line="240" w:lineRule="auto"/>
              <w:jc w:val="right"/>
              <w:rPr>
                <w:rFonts w:ascii="Arial Narrow" w:hAnsi="Arial Narrow" w:cs="Arial"/>
                <w:color w:val="000000"/>
                <w:sz w:val="16"/>
                <w:szCs w:val="16"/>
                <w:lang w:eastAsia="en-AU"/>
              </w:rPr>
            </w:pPr>
            <w:r w:rsidRPr="00125EB0">
              <w:rPr>
                <w:rFonts w:ascii="Arial Narrow" w:hAnsi="Arial Narrow" w:cs="Arial"/>
                <w:color w:val="000000"/>
                <w:sz w:val="16"/>
                <w:szCs w:val="16"/>
                <w:lang w:eastAsia="en-AU"/>
              </w:rPr>
              <w:t>1</w:t>
            </w:r>
            <w:r w:rsidR="00C65FAB">
              <w:rPr>
                <w:rFonts w:ascii="Arial Narrow" w:hAnsi="Arial Narrow" w:cs="Arial"/>
                <w:color w:val="000000"/>
                <w:sz w:val="16"/>
                <w:szCs w:val="16"/>
                <w:lang w:eastAsia="en-AU"/>
              </w:rPr>
              <w:t>,</w:t>
            </w:r>
            <w:r w:rsidRPr="00125EB0">
              <w:rPr>
                <w:rFonts w:ascii="Arial Narrow" w:hAnsi="Arial Narrow" w:cs="Arial"/>
                <w:color w:val="000000"/>
                <w:sz w:val="16"/>
                <w:szCs w:val="16"/>
                <w:lang w:eastAsia="en-AU"/>
              </w:rPr>
              <w:t>130.5</w:t>
            </w:r>
          </w:p>
        </w:tc>
      </w:tr>
      <w:tr w:rsidR="009B075E" w:rsidRPr="00125EB0" w:rsidTr="00125EB0">
        <w:trPr>
          <w:trHeight w:val="270"/>
        </w:trPr>
        <w:tc>
          <w:tcPr>
            <w:tcW w:w="3500" w:type="dxa"/>
            <w:tcBorders>
              <w:top w:val="nil"/>
              <w:left w:val="single" w:sz="8" w:space="0" w:color="auto"/>
              <w:bottom w:val="single" w:sz="8" w:space="0" w:color="auto"/>
              <w:right w:val="single" w:sz="4" w:space="0" w:color="auto"/>
            </w:tcBorders>
            <w:noWrap/>
            <w:vAlign w:val="center"/>
          </w:tcPr>
          <w:p w:rsidR="009B075E" w:rsidRPr="00125EB0" w:rsidRDefault="009B075E" w:rsidP="00125EB0">
            <w:pPr>
              <w:spacing w:after="0" w:line="240" w:lineRule="auto"/>
              <w:rPr>
                <w:rFonts w:ascii="Arial Narrow" w:hAnsi="Arial Narrow" w:cs="Arial"/>
                <w:sz w:val="16"/>
                <w:szCs w:val="16"/>
                <w:lang w:eastAsia="en-AU"/>
              </w:rPr>
            </w:pPr>
            <w:r w:rsidRPr="00125EB0">
              <w:rPr>
                <w:rFonts w:ascii="Arial Narrow" w:hAnsi="Arial Narrow" w:cs="Arial"/>
                <w:sz w:val="16"/>
                <w:szCs w:val="16"/>
                <w:lang w:eastAsia="en-AU"/>
              </w:rPr>
              <w:t xml:space="preserve"> Pensioner Concession Card  </w:t>
            </w:r>
          </w:p>
        </w:tc>
        <w:tc>
          <w:tcPr>
            <w:tcW w:w="1180" w:type="dxa"/>
            <w:tcBorders>
              <w:top w:val="nil"/>
              <w:left w:val="nil"/>
              <w:bottom w:val="single" w:sz="8"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2</w:t>
            </w:r>
            <w:r w:rsidR="00C65FAB">
              <w:rPr>
                <w:rFonts w:ascii="Arial Narrow" w:hAnsi="Arial Narrow" w:cs="Arial"/>
                <w:sz w:val="16"/>
                <w:szCs w:val="16"/>
                <w:lang w:eastAsia="en-AU"/>
              </w:rPr>
              <w:t>,</w:t>
            </w:r>
            <w:r w:rsidRPr="00125EB0">
              <w:rPr>
                <w:rFonts w:ascii="Arial Narrow" w:hAnsi="Arial Narrow" w:cs="Arial"/>
                <w:sz w:val="16"/>
                <w:szCs w:val="16"/>
                <w:lang w:eastAsia="en-AU"/>
              </w:rPr>
              <w:t>985</w:t>
            </w:r>
          </w:p>
        </w:tc>
        <w:tc>
          <w:tcPr>
            <w:tcW w:w="960" w:type="dxa"/>
            <w:tcBorders>
              <w:top w:val="nil"/>
              <w:left w:val="nil"/>
              <w:bottom w:val="single" w:sz="8"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w:t>
            </w:r>
            <w:r w:rsidR="00C65FAB">
              <w:rPr>
                <w:rFonts w:ascii="Arial Narrow" w:hAnsi="Arial Narrow" w:cs="Arial"/>
                <w:sz w:val="16"/>
                <w:szCs w:val="16"/>
                <w:lang w:eastAsia="en-AU"/>
              </w:rPr>
              <w:t>,</w:t>
            </w:r>
            <w:r w:rsidRPr="00125EB0">
              <w:rPr>
                <w:rFonts w:ascii="Arial Narrow" w:hAnsi="Arial Narrow" w:cs="Arial"/>
                <w:sz w:val="16"/>
                <w:szCs w:val="16"/>
                <w:lang w:eastAsia="en-AU"/>
              </w:rPr>
              <w:t>060</w:t>
            </w:r>
          </w:p>
        </w:tc>
        <w:tc>
          <w:tcPr>
            <w:tcW w:w="960" w:type="dxa"/>
            <w:tcBorders>
              <w:top w:val="nil"/>
              <w:left w:val="nil"/>
              <w:bottom w:val="single" w:sz="8"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w:t>
            </w:r>
            <w:r w:rsidR="00C65FAB">
              <w:rPr>
                <w:rFonts w:ascii="Arial Narrow" w:hAnsi="Arial Narrow" w:cs="Arial"/>
                <w:sz w:val="16"/>
                <w:szCs w:val="16"/>
                <w:lang w:eastAsia="en-AU"/>
              </w:rPr>
              <w:t>,</w:t>
            </w:r>
            <w:r w:rsidRPr="00125EB0">
              <w:rPr>
                <w:rFonts w:ascii="Arial Narrow" w:hAnsi="Arial Narrow" w:cs="Arial"/>
                <w:sz w:val="16"/>
                <w:szCs w:val="16"/>
                <w:lang w:eastAsia="en-AU"/>
              </w:rPr>
              <w:t>122</w:t>
            </w:r>
          </w:p>
        </w:tc>
        <w:tc>
          <w:tcPr>
            <w:tcW w:w="960" w:type="dxa"/>
            <w:tcBorders>
              <w:top w:val="nil"/>
              <w:left w:val="nil"/>
              <w:bottom w:val="single" w:sz="8"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w:t>
            </w:r>
            <w:r w:rsidR="00C65FAB">
              <w:rPr>
                <w:rFonts w:ascii="Arial Narrow" w:hAnsi="Arial Narrow" w:cs="Arial"/>
                <w:sz w:val="16"/>
                <w:szCs w:val="16"/>
                <w:lang w:eastAsia="en-AU"/>
              </w:rPr>
              <w:t>,</w:t>
            </w:r>
            <w:r w:rsidRPr="00125EB0">
              <w:rPr>
                <w:rFonts w:ascii="Arial Narrow" w:hAnsi="Arial Narrow" w:cs="Arial"/>
                <w:sz w:val="16"/>
                <w:szCs w:val="16"/>
                <w:lang w:eastAsia="en-AU"/>
              </w:rPr>
              <w:t>172</w:t>
            </w:r>
          </w:p>
        </w:tc>
        <w:tc>
          <w:tcPr>
            <w:tcW w:w="960" w:type="dxa"/>
            <w:tcBorders>
              <w:top w:val="nil"/>
              <w:left w:val="nil"/>
              <w:bottom w:val="single" w:sz="8"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w:t>
            </w:r>
            <w:r w:rsidR="00C65FAB">
              <w:rPr>
                <w:rFonts w:ascii="Arial Narrow" w:hAnsi="Arial Narrow" w:cs="Arial"/>
                <w:sz w:val="16"/>
                <w:szCs w:val="16"/>
                <w:lang w:eastAsia="en-AU"/>
              </w:rPr>
              <w:t>,</w:t>
            </w:r>
            <w:r w:rsidRPr="00125EB0">
              <w:rPr>
                <w:rFonts w:ascii="Arial Narrow" w:hAnsi="Arial Narrow" w:cs="Arial"/>
                <w:sz w:val="16"/>
                <w:szCs w:val="16"/>
                <w:lang w:eastAsia="en-AU"/>
              </w:rPr>
              <w:t>167</w:t>
            </w:r>
          </w:p>
        </w:tc>
        <w:tc>
          <w:tcPr>
            <w:tcW w:w="960" w:type="dxa"/>
            <w:tcBorders>
              <w:top w:val="nil"/>
              <w:left w:val="nil"/>
              <w:bottom w:val="single" w:sz="8"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w:t>
            </w:r>
            <w:r w:rsidR="00C65FAB">
              <w:rPr>
                <w:rFonts w:ascii="Arial Narrow" w:hAnsi="Arial Narrow" w:cs="Arial"/>
                <w:sz w:val="16"/>
                <w:szCs w:val="16"/>
                <w:lang w:eastAsia="en-AU"/>
              </w:rPr>
              <w:t>,</w:t>
            </w:r>
            <w:r w:rsidRPr="00125EB0">
              <w:rPr>
                <w:rFonts w:ascii="Arial Narrow" w:hAnsi="Arial Narrow" w:cs="Arial"/>
                <w:sz w:val="16"/>
                <w:szCs w:val="16"/>
                <w:lang w:eastAsia="en-AU"/>
              </w:rPr>
              <w:t>158</w:t>
            </w:r>
          </w:p>
        </w:tc>
        <w:tc>
          <w:tcPr>
            <w:tcW w:w="960" w:type="dxa"/>
            <w:tcBorders>
              <w:top w:val="nil"/>
              <w:left w:val="nil"/>
              <w:bottom w:val="single" w:sz="8"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w:t>
            </w:r>
            <w:r w:rsidR="00C65FAB">
              <w:rPr>
                <w:rFonts w:ascii="Arial Narrow" w:hAnsi="Arial Narrow" w:cs="Arial"/>
                <w:sz w:val="16"/>
                <w:szCs w:val="16"/>
                <w:lang w:eastAsia="en-AU"/>
              </w:rPr>
              <w:t>,</w:t>
            </w:r>
            <w:r w:rsidRPr="00125EB0">
              <w:rPr>
                <w:rFonts w:ascii="Arial Narrow" w:hAnsi="Arial Narrow" w:cs="Arial"/>
                <w:sz w:val="16"/>
                <w:szCs w:val="16"/>
                <w:lang w:eastAsia="en-AU"/>
              </w:rPr>
              <w:t>167</w:t>
            </w:r>
          </w:p>
        </w:tc>
        <w:tc>
          <w:tcPr>
            <w:tcW w:w="960" w:type="dxa"/>
            <w:tcBorders>
              <w:top w:val="nil"/>
              <w:left w:val="nil"/>
              <w:bottom w:val="single" w:sz="8"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w:t>
            </w:r>
            <w:r w:rsidR="00C65FAB">
              <w:rPr>
                <w:rFonts w:ascii="Arial Narrow" w:hAnsi="Arial Narrow" w:cs="Arial"/>
                <w:sz w:val="16"/>
                <w:szCs w:val="16"/>
                <w:lang w:eastAsia="en-AU"/>
              </w:rPr>
              <w:t>,</w:t>
            </w:r>
            <w:r w:rsidRPr="00125EB0">
              <w:rPr>
                <w:rFonts w:ascii="Arial Narrow" w:hAnsi="Arial Narrow" w:cs="Arial"/>
                <w:sz w:val="16"/>
                <w:szCs w:val="16"/>
                <w:lang w:eastAsia="en-AU"/>
              </w:rPr>
              <w:t>278</w:t>
            </w:r>
          </w:p>
        </w:tc>
        <w:tc>
          <w:tcPr>
            <w:tcW w:w="960" w:type="dxa"/>
            <w:tcBorders>
              <w:top w:val="nil"/>
              <w:left w:val="nil"/>
              <w:bottom w:val="single" w:sz="8"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w:t>
            </w:r>
            <w:r w:rsidR="00C65FAB">
              <w:rPr>
                <w:rFonts w:ascii="Arial Narrow" w:hAnsi="Arial Narrow" w:cs="Arial"/>
                <w:sz w:val="16"/>
                <w:szCs w:val="16"/>
                <w:lang w:eastAsia="en-AU"/>
              </w:rPr>
              <w:t>,</w:t>
            </w:r>
            <w:r w:rsidRPr="00125EB0">
              <w:rPr>
                <w:rFonts w:ascii="Arial Narrow" w:hAnsi="Arial Narrow" w:cs="Arial"/>
                <w:sz w:val="16"/>
                <w:szCs w:val="16"/>
                <w:lang w:eastAsia="en-AU"/>
              </w:rPr>
              <w:t>425</w:t>
            </w:r>
          </w:p>
        </w:tc>
        <w:tc>
          <w:tcPr>
            <w:tcW w:w="960" w:type="dxa"/>
            <w:tcBorders>
              <w:top w:val="nil"/>
              <w:left w:val="nil"/>
              <w:bottom w:val="single" w:sz="8" w:space="0" w:color="auto"/>
              <w:right w:val="single" w:sz="4" w:space="0" w:color="auto"/>
            </w:tcBorders>
            <w:noWrap/>
            <w:vAlign w:val="center"/>
          </w:tcPr>
          <w:p w:rsidR="009B075E" w:rsidRPr="00125EB0" w:rsidRDefault="009B075E" w:rsidP="00125EB0">
            <w:pPr>
              <w:spacing w:after="0" w:line="240" w:lineRule="auto"/>
              <w:jc w:val="right"/>
              <w:rPr>
                <w:rFonts w:ascii="Arial Narrow" w:hAnsi="Arial Narrow" w:cs="Arial"/>
                <w:sz w:val="16"/>
                <w:szCs w:val="16"/>
                <w:lang w:eastAsia="en-AU"/>
              </w:rPr>
            </w:pPr>
            <w:r w:rsidRPr="00125EB0">
              <w:rPr>
                <w:rFonts w:ascii="Arial Narrow" w:hAnsi="Arial Narrow" w:cs="Arial"/>
                <w:sz w:val="16"/>
                <w:szCs w:val="16"/>
                <w:lang w:eastAsia="en-AU"/>
              </w:rPr>
              <w:t>3</w:t>
            </w:r>
            <w:r w:rsidR="00C65FAB">
              <w:rPr>
                <w:rFonts w:ascii="Arial Narrow" w:hAnsi="Arial Narrow" w:cs="Arial"/>
                <w:sz w:val="16"/>
                <w:szCs w:val="16"/>
                <w:lang w:eastAsia="en-AU"/>
              </w:rPr>
              <w:t>,</w:t>
            </w:r>
            <w:r w:rsidRPr="00125EB0">
              <w:rPr>
                <w:rFonts w:ascii="Arial Narrow" w:hAnsi="Arial Narrow" w:cs="Arial"/>
                <w:sz w:val="16"/>
                <w:szCs w:val="16"/>
                <w:lang w:eastAsia="en-AU"/>
              </w:rPr>
              <w:t>531</w:t>
            </w:r>
          </w:p>
        </w:tc>
        <w:tc>
          <w:tcPr>
            <w:tcW w:w="960" w:type="dxa"/>
            <w:tcBorders>
              <w:top w:val="nil"/>
              <w:left w:val="nil"/>
              <w:bottom w:val="single" w:sz="8" w:space="0" w:color="auto"/>
              <w:right w:val="single" w:sz="8" w:space="0" w:color="auto"/>
            </w:tcBorders>
            <w:shd w:val="clear" w:color="D8D8D8" w:fill="D8D8D8"/>
            <w:noWrap/>
            <w:vAlign w:val="center"/>
          </w:tcPr>
          <w:p w:rsidR="009B075E" w:rsidRPr="00125EB0" w:rsidRDefault="009B075E" w:rsidP="00125EB0">
            <w:pPr>
              <w:spacing w:after="0" w:line="240" w:lineRule="auto"/>
              <w:jc w:val="right"/>
              <w:rPr>
                <w:rFonts w:ascii="Arial Narrow" w:hAnsi="Arial Narrow" w:cs="Arial"/>
                <w:color w:val="000000"/>
                <w:sz w:val="16"/>
                <w:szCs w:val="16"/>
                <w:lang w:eastAsia="en-AU"/>
              </w:rPr>
            </w:pPr>
            <w:r w:rsidRPr="00125EB0">
              <w:rPr>
                <w:rFonts w:ascii="Arial Narrow" w:hAnsi="Arial Narrow" w:cs="Arial"/>
                <w:color w:val="000000"/>
                <w:sz w:val="16"/>
                <w:szCs w:val="16"/>
                <w:lang w:eastAsia="en-AU"/>
              </w:rPr>
              <w:t>3</w:t>
            </w:r>
            <w:r w:rsidR="00C65FAB">
              <w:rPr>
                <w:rFonts w:ascii="Arial Narrow" w:hAnsi="Arial Narrow" w:cs="Arial"/>
                <w:color w:val="000000"/>
                <w:sz w:val="16"/>
                <w:szCs w:val="16"/>
                <w:lang w:eastAsia="en-AU"/>
              </w:rPr>
              <w:t>,</w:t>
            </w:r>
            <w:r w:rsidRPr="00125EB0">
              <w:rPr>
                <w:rFonts w:ascii="Arial Narrow" w:hAnsi="Arial Narrow" w:cs="Arial"/>
                <w:color w:val="000000"/>
                <w:sz w:val="16"/>
                <w:szCs w:val="16"/>
                <w:lang w:eastAsia="en-AU"/>
              </w:rPr>
              <w:t>617.6</w:t>
            </w:r>
          </w:p>
        </w:tc>
      </w:tr>
    </w:tbl>
    <w:p w:rsidR="009B075E" w:rsidRDefault="009B075E" w:rsidP="00594F0D">
      <w:pPr>
        <w:pStyle w:val="Caption"/>
        <w:jc w:val="left"/>
        <w:rPr>
          <w:rFonts w:ascii="Arial" w:hAnsi="Arial" w:cs="Arial"/>
          <w:sz w:val="22"/>
          <w:szCs w:val="22"/>
        </w:rPr>
      </w:pPr>
    </w:p>
    <w:p w:rsidR="009B075E" w:rsidRPr="00B71ED4" w:rsidRDefault="009B075E" w:rsidP="00594F0D">
      <w:pPr>
        <w:pStyle w:val="Caption"/>
        <w:jc w:val="left"/>
      </w:pPr>
      <w:bookmarkStart w:id="115" w:name="_Ref337032245"/>
      <w:r w:rsidRPr="00B71ED4">
        <w:rPr>
          <w:rFonts w:ascii="Arial" w:hAnsi="Arial" w:cs="Arial"/>
          <w:sz w:val="22"/>
          <w:szCs w:val="22"/>
        </w:rPr>
        <w:t xml:space="preserve">Table </w:t>
      </w:r>
      <w:r w:rsidR="00855AAF" w:rsidRPr="00B71ED4">
        <w:rPr>
          <w:rFonts w:ascii="Arial" w:hAnsi="Arial" w:cs="Arial"/>
          <w:sz w:val="22"/>
          <w:szCs w:val="22"/>
        </w:rPr>
        <w:fldChar w:fldCharType="begin"/>
      </w:r>
      <w:r w:rsidRPr="00B71ED4">
        <w:rPr>
          <w:rFonts w:ascii="Arial" w:hAnsi="Arial" w:cs="Arial"/>
          <w:sz w:val="22"/>
          <w:szCs w:val="22"/>
        </w:rPr>
        <w:instrText xml:space="preserve"> SEQ Table \* ARABIC </w:instrText>
      </w:r>
      <w:r w:rsidR="00855AAF" w:rsidRPr="00B71ED4">
        <w:rPr>
          <w:rFonts w:ascii="Arial" w:hAnsi="Arial" w:cs="Arial"/>
          <w:sz w:val="22"/>
          <w:szCs w:val="22"/>
        </w:rPr>
        <w:fldChar w:fldCharType="separate"/>
      </w:r>
      <w:r w:rsidR="00584343">
        <w:rPr>
          <w:rFonts w:ascii="Arial" w:hAnsi="Arial" w:cs="Arial"/>
          <w:noProof/>
          <w:sz w:val="22"/>
          <w:szCs w:val="22"/>
        </w:rPr>
        <w:t>24</w:t>
      </w:r>
      <w:r w:rsidR="00855AAF" w:rsidRPr="00B71ED4">
        <w:rPr>
          <w:rFonts w:ascii="Arial" w:hAnsi="Arial" w:cs="Arial"/>
          <w:sz w:val="22"/>
          <w:szCs w:val="22"/>
        </w:rPr>
        <w:fldChar w:fldCharType="end"/>
      </w:r>
      <w:bookmarkEnd w:id="113"/>
      <w:bookmarkEnd w:id="115"/>
      <w:r w:rsidRPr="00B71ED4">
        <w:rPr>
          <w:rFonts w:ascii="Arial" w:hAnsi="Arial" w:cs="Arial"/>
          <w:sz w:val="22"/>
          <w:szCs w:val="22"/>
        </w:rPr>
        <w:t xml:space="preserve">: </w:t>
      </w:r>
      <w:r>
        <w:rPr>
          <w:rFonts w:ascii="Arial" w:hAnsi="Arial" w:cs="Arial"/>
          <w:sz w:val="22"/>
          <w:szCs w:val="22"/>
        </w:rPr>
        <w:t>Highly Specialised Drugs expenditure in hospitals</w:t>
      </w:r>
    </w:p>
    <w:tbl>
      <w:tblPr>
        <w:tblW w:w="11960" w:type="dxa"/>
        <w:tblInd w:w="93" w:type="dxa"/>
        <w:tblLook w:val="00A0" w:firstRow="1" w:lastRow="0" w:firstColumn="1" w:lastColumn="0" w:noHBand="0" w:noVBand="0"/>
      </w:tblPr>
      <w:tblGrid>
        <w:gridCol w:w="1716"/>
        <w:gridCol w:w="3524"/>
        <w:gridCol w:w="1680"/>
        <w:gridCol w:w="1680"/>
        <w:gridCol w:w="1680"/>
        <w:gridCol w:w="1680"/>
      </w:tblGrid>
      <w:tr w:rsidR="009B075E" w:rsidRPr="00594F0D" w:rsidTr="00964763">
        <w:trPr>
          <w:trHeight w:val="255"/>
        </w:trPr>
        <w:tc>
          <w:tcPr>
            <w:tcW w:w="1716" w:type="dxa"/>
            <w:tcBorders>
              <w:top w:val="single" w:sz="8" w:space="0" w:color="auto"/>
              <w:left w:val="single" w:sz="8" w:space="0" w:color="auto"/>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w:t>
            </w:r>
          </w:p>
        </w:tc>
        <w:tc>
          <w:tcPr>
            <w:tcW w:w="3524" w:type="dxa"/>
            <w:tcBorders>
              <w:top w:val="single" w:sz="8" w:space="0" w:color="auto"/>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2006-07</w:t>
            </w:r>
          </w:p>
        </w:tc>
        <w:tc>
          <w:tcPr>
            <w:tcW w:w="1680" w:type="dxa"/>
            <w:tcBorders>
              <w:top w:val="single" w:sz="8" w:space="0" w:color="auto"/>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2007-08</w:t>
            </w:r>
          </w:p>
        </w:tc>
        <w:tc>
          <w:tcPr>
            <w:tcW w:w="1680" w:type="dxa"/>
            <w:tcBorders>
              <w:top w:val="single" w:sz="8" w:space="0" w:color="auto"/>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2008-09</w:t>
            </w:r>
          </w:p>
        </w:tc>
        <w:tc>
          <w:tcPr>
            <w:tcW w:w="1680" w:type="dxa"/>
            <w:tcBorders>
              <w:top w:val="single" w:sz="8" w:space="0" w:color="auto"/>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2009-10</w:t>
            </w:r>
          </w:p>
        </w:tc>
        <w:tc>
          <w:tcPr>
            <w:tcW w:w="1680" w:type="dxa"/>
            <w:tcBorders>
              <w:top w:val="single" w:sz="8" w:space="0" w:color="auto"/>
              <w:left w:val="nil"/>
              <w:bottom w:val="single" w:sz="4" w:space="0" w:color="auto"/>
              <w:right w:val="single" w:sz="8"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2010-11</w:t>
            </w:r>
          </w:p>
        </w:tc>
      </w:tr>
      <w:tr w:rsidR="009B075E" w:rsidRPr="00594F0D" w:rsidTr="00964763">
        <w:trPr>
          <w:trHeight w:val="255"/>
        </w:trPr>
        <w:tc>
          <w:tcPr>
            <w:tcW w:w="1716" w:type="dxa"/>
            <w:tcBorders>
              <w:top w:val="nil"/>
              <w:left w:val="single" w:sz="8" w:space="0" w:color="auto"/>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Public hospitals</w:t>
            </w:r>
          </w:p>
        </w:tc>
        <w:tc>
          <w:tcPr>
            <w:tcW w:w="3524" w:type="dxa"/>
            <w:tcBorders>
              <w:top w:val="nil"/>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468,065,494 </w:t>
            </w:r>
          </w:p>
        </w:tc>
        <w:tc>
          <w:tcPr>
            <w:tcW w:w="1680" w:type="dxa"/>
            <w:tcBorders>
              <w:top w:val="nil"/>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497,928,004 </w:t>
            </w:r>
          </w:p>
        </w:tc>
        <w:tc>
          <w:tcPr>
            <w:tcW w:w="1680" w:type="dxa"/>
            <w:tcBorders>
              <w:top w:val="nil"/>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562,140,859 </w:t>
            </w:r>
          </w:p>
        </w:tc>
        <w:tc>
          <w:tcPr>
            <w:tcW w:w="1680" w:type="dxa"/>
            <w:tcBorders>
              <w:top w:val="nil"/>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645,720,293 </w:t>
            </w:r>
          </w:p>
        </w:tc>
        <w:tc>
          <w:tcPr>
            <w:tcW w:w="1680" w:type="dxa"/>
            <w:tcBorders>
              <w:top w:val="nil"/>
              <w:left w:val="nil"/>
              <w:bottom w:val="single" w:sz="4" w:space="0" w:color="auto"/>
              <w:right w:val="single" w:sz="8"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729,800,000 </w:t>
            </w:r>
          </w:p>
        </w:tc>
      </w:tr>
      <w:tr w:rsidR="009B075E" w:rsidRPr="00594F0D" w:rsidTr="00964763">
        <w:trPr>
          <w:trHeight w:val="285"/>
        </w:trPr>
        <w:tc>
          <w:tcPr>
            <w:tcW w:w="1716" w:type="dxa"/>
            <w:tcBorders>
              <w:top w:val="nil"/>
              <w:left w:val="single" w:sz="8" w:space="0" w:color="auto"/>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Private hospitals</w:t>
            </w:r>
          </w:p>
        </w:tc>
        <w:tc>
          <w:tcPr>
            <w:tcW w:w="3524" w:type="dxa"/>
            <w:tcBorders>
              <w:top w:val="nil"/>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135,238,636 </w:t>
            </w:r>
          </w:p>
        </w:tc>
        <w:tc>
          <w:tcPr>
            <w:tcW w:w="1680" w:type="dxa"/>
            <w:tcBorders>
              <w:top w:val="nil"/>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174,911,640 </w:t>
            </w:r>
          </w:p>
        </w:tc>
        <w:tc>
          <w:tcPr>
            <w:tcW w:w="1680" w:type="dxa"/>
            <w:tcBorders>
              <w:top w:val="nil"/>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213,659,194 </w:t>
            </w:r>
          </w:p>
        </w:tc>
        <w:tc>
          <w:tcPr>
            <w:tcW w:w="1680" w:type="dxa"/>
            <w:tcBorders>
              <w:top w:val="nil"/>
              <w:left w:val="nil"/>
              <w:bottom w:val="single" w:sz="4"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235,026,943 </w:t>
            </w:r>
          </w:p>
        </w:tc>
        <w:tc>
          <w:tcPr>
            <w:tcW w:w="1680" w:type="dxa"/>
            <w:tcBorders>
              <w:top w:val="nil"/>
              <w:left w:val="nil"/>
              <w:bottom w:val="single" w:sz="4" w:space="0" w:color="auto"/>
              <w:right w:val="single" w:sz="8"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248,900,000 </w:t>
            </w:r>
          </w:p>
        </w:tc>
      </w:tr>
      <w:tr w:rsidR="009B075E" w:rsidRPr="00594F0D" w:rsidTr="00964763">
        <w:trPr>
          <w:trHeight w:val="300"/>
        </w:trPr>
        <w:tc>
          <w:tcPr>
            <w:tcW w:w="1716" w:type="dxa"/>
            <w:tcBorders>
              <w:top w:val="nil"/>
              <w:left w:val="single" w:sz="8" w:space="0" w:color="auto"/>
              <w:bottom w:val="single" w:sz="8"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Total</w:t>
            </w:r>
          </w:p>
        </w:tc>
        <w:tc>
          <w:tcPr>
            <w:tcW w:w="3524" w:type="dxa"/>
            <w:tcBorders>
              <w:top w:val="nil"/>
              <w:left w:val="nil"/>
              <w:bottom w:val="single" w:sz="8"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603,304,130 </w:t>
            </w:r>
          </w:p>
        </w:tc>
        <w:tc>
          <w:tcPr>
            <w:tcW w:w="1680" w:type="dxa"/>
            <w:tcBorders>
              <w:top w:val="nil"/>
              <w:left w:val="nil"/>
              <w:bottom w:val="single" w:sz="8"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672,839,644 </w:t>
            </w:r>
          </w:p>
        </w:tc>
        <w:tc>
          <w:tcPr>
            <w:tcW w:w="1680" w:type="dxa"/>
            <w:tcBorders>
              <w:top w:val="nil"/>
              <w:left w:val="nil"/>
              <w:bottom w:val="single" w:sz="8"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775,800,053 </w:t>
            </w:r>
          </w:p>
        </w:tc>
        <w:tc>
          <w:tcPr>
            <w:tcW w:w="1680" w:type="dxa"/>
            <w:tcBorders>
              <w:top w:val="nil"/>
              <w:left w:val="nil"/>
              <w:bottom w:val="single" w:sz="8" w:space="0" w:color="auto"/>
              <w:right w:val="single" w:sz="4"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880,747,236 </w:t>
            </w:r>
          </w:p>
        </w:tc>
        <w:tc>
          <w:tcPr>
            <w:tcW w:w="1680" w:type="dxa"/>
            <w:tcBorders>
              <w:top w:val="nil"/>
              <w:left w:val="nil"/>
              <w:bottom w:val="single" w:sz="8" w:space="0" w:color="auto"/>
              <w:right w:val="single" w:sz="8" w:space="0" w:color="auto"/>
            </w:tcBorders>
            <w:noWrap/>
            <w:vAlign w:val="bottom"/>
          </w:tcPr>
          <w:p w:rsidR="009B075E" w:rsidRPr="00594F0D" w:rsidRDefault="009B075E" w:rsidP="00594F0D">
            <w:pPr>
              <w:spacing w:after="0" w:line="240" w:lineRule="auto"/>
              <w:rPr>
                <w:rFonts w:ascii="Arial Narrow" w:hAnsi="Arial Narrow" w:cs="Arial"/>
                <w:sz w:val="16"/>
                <w:szCs w:val="16"/>
                <w:lang w:eastAsia="en-AU"/>
              </w:rPr>
            </w:pPr>
            <w:r w:rsidRPr="00594F0D">
              <w:rPr>
                <w:rFonts w:ascii="Arial Narrow" w:hAnsi="Arial Narrow" w:cs="Arial"/>
                <w:sz w:val="16"/>
                <w:szCs w:val="16"/>
                <w:lang w:eastAsia="en-AU"/>
              </w:rPr>
              <w:t xml:space="preserve"> $     978,700,000 </w:t>
            </w:r>
          </w:p>
        </w:tc>
      </w:tr>
    </w:tbl>
    <w:p w:rsidR="009B075E" w:rsidRDefault="009B075E">
      <w:pPr>
        <w:spacing w:after="0" w:line="240" w:lineRule="auto"/>
        <w:rPr>
          <w:rFonts w:ascii="Arial" w:hAnsi="Arial" w:cs="Arial"/>
        </w:rPr>
      </w:pPr>
    </w:p>
    <w:p w:rsidR="009B075E" w:rsidRPr="00B71ED4" w:rsidRDefault="009B075E" w:rsidP="000A7EB4">
      <w:pPr>
        <w:pStyle w:val="Caption"/>
        <w:jc w:val="left"/>
      </w:pPr>
      <w:bookmarkStart w:id="116" w:name="_Ref318378855"/>
      <w:r w:rsidRPr="00B71ED4">
        <w:rPr>
          <w:rFonts w:ascii="Arial" w:hAnsi="Arial" w:cs="Arial"/>
          <w:sz w:val="22"/>
          <w:szCs w:val="22"/>
        </w:rPr>
        <w:t xml:space="preserve">Table </w:t>
      </w:r>
      <w:r w:rsidR="00855AAF" w:rsidRPr="00B71ED4">
        <w:rPr>
          <w:rFonts w:ascii="Arial" w:hAnsi="Arial" w:cs="Arial"/>
          <w:sz w:val="22"/>
          <w:szCs w:val="22"/>
        </w:rPr>
        <w:fldChar w:fldCharType="begin"/>
      </w:r>
      <w:r w:rsidRPr="00B71ED4">
        <w:rPr>
          <w:rFonts w:ascii="Arial" w:hAnsi="Arial" w:cs="Arial"/>
          <w:sz w:val="22"/>
          <w:szCs w:val="22"/>
        </w:rPr>
        <w:instrText xml:space="preserve"> SEQ Table \* ARABIC </w:instrText>
      </w:r>
      <w:r w:rsidR="00855AAF" w:rsidRPr="00B71ED4">
        <w:rPr>
          <w:rFonts w:ascii="Arial" w:hAnsi="Arial" w:cs="Arial"/>
          <w:sz w:val="22"/>
          <w:szCs w:val="22"/>
        </w:rPr>
        <w:fldChar w:fldCharType="separate"/>
      </w:r>
      <w:r w:rsidR="00584343">
        <w:rPr>
          <w:rFonts w:ascii="Arial" w:hAnsi="Arial" w:cs="Arial"/>
          <w:noProof/>
          <w:sz w:val="22"/>
          <w:szCs w:val="22"/>
        </w:rPr>
        <w:t>25</w:t>
      </w:r>
      <w:r w:rsidR="00855AAF" w:rsidRPr="00B71ED4">
        <w:rPr>
          <w:rFonts w:ascii="Arial" w:hAnsi="Arial" w:cs="Arial"/>
          <w:sz w:val="22"/>
          <w:szCs w:val="22"/>
        </w:rPr>
        <w:fldChar w:fldCharType="end"/>
      </w:r>
      <w:bookmarkEnd w:id="116"/>
      <w:r w:rsidRPr="00B71ED4">
        <w:rPr>
          <w:rFonts w:ascii="Arial" w:hAnsi="Arial" w:cs="Arial"/>
          <w:sz w:val="22"/>
          <w:szCs w:val="22"/>
        </w:rPr>
        <w:t xml:space="preserve">: </w:t>
      </w:r>
      <w:r w:rsidRPr="000A7EB4">
        <w:rPr>
          <w:rFonts w:ascii="Arial" w:hAnsi="Arial" w:cs="Arial"/>
          <w:sz w:val="22"/>
          <w:szCs w:val="22"/>
        </w:rPr>
        <w:t>Percent contribution to overall growth in HSD program expenditure</w:t>
      </w:r>
    </w:p>
    <w:tbl>
      <w:tblPr>
        <w:tblW w:w="0" w:type="auto"/>
        <w:tblInd w:w="91" w:type="dxa"/>
        <w:tblLook w:val="00A0" w:firstRow="1" w:lastRow="0" w:firstColumn="1" w:lastColumn="0" w:noHBand="0" w:noVBand="0"/>
      </w:tblPr>
      <w:tblGrid>
        <w:gridCol w:w="1179"/>
        <w:gridCol w:w="698"/>
        <w:gridCol w:w="698"/>
        <w:gridCol w:w="698"/>
        <w:gridCol w:w="698"/>
      </w:tblGrid>
      <w:tr w:rsidR="009B075E" w:rsidRPr="000A7EB4" w:rsidTr="000A7EB4">
        <w:trPr>
          <w:trHeight w:val="285"/>
        </w:trPr>
        <w:tc>
          <w:tcPr>
            <w:tcW w:w="0" w:type="auto"/>
            <w:tcBorders>
              <w:top w:val="single" w:sz="8" w:space="0" w:color="auto"/>
              <w:left w:val="single" w:sz="8" w:space="0" w:color="auto"/>
              <w:bottom w:val="single" w:sz="4"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 </w:t>
            </w:r>
          </w:p>
        </w:tc>
        <w:tc>
          <w:tcPr>
            <w:tcW w:w="0" w:type="auto"/>
            <w:tcBorders>
              <w:top w:val="single" w:sz="8" w:space="0" w:color="auto"/>
              <w:left w:val="nil"/>
              <w:bottom w:val="single" w:sz="4"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2007-08</w:t>
            </w:r>
          </w:p>
        </w:tc>
        <w:tc>
          <w:tcPr>
            <w:tcW w:w="0" w:type="auto"/>
            <w:tcBorders>
              <w:top w:val="single" w:sz="8" w:space="0" w:color="auto"/>
              <w:left w:val="nil"/>
              <w:bottom w:val="single" w:sz="4"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2008-09</w:t>
            </w:r>
          </w:p>
        </w:tc>
        <w:tc>
          <w:tcPr>
            <w:tcW w:w="0" w:type="auto"/>
            <w:tcBorders>
              <w:top w:val="single" w:sz="8" w:space="0" w:color="auto"/>
              <w:left w:val="nil"/>
              <w:bottom w:val="single" w:sz="4"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2009-10</w:t>
            </w:r>
          </w:p>
        </w:tc>
        <w:tc>
          <w:tcPr>
            <w:tcW w:w="0" w:type="auto"/>
            <w:tcBorders>
              <w:top w:val="single" w:sz="8" w:space="0" w:color="auto"/>
              <w:left w:val="nil"/>
              <w:bottom w:val="single" w:sz="4" w:space="0" w:color="auto"/>
              <w:right w:val="single" w:sz="8"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2010-11</w:t>
            </w:r>
          </w:p>
        </w:tc>
      </w:tr>
      <w:tr w:rsidR="009B075E" w:rsidRPr="000A7EB4" w:rsidTr="000A7EB4">
        <w:trPr>
          <w:trHeight w:val="255"/>
        </w:trPr>
        <w:tc>
          <w:tcPr>
            <w:tcW w:w="0" w:type="auto"/>
            <w:tcBorders>
              <w:top w:val="nil"/>
              <w:left w:val="single" w:sz="8" w:space="0" w:color="auto"/>
              <w:bottom w:val="single" w:sz="4"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Public hospitals</w:t>
            </w:r>
          </w:p>
        </w:tc>
        <w:tc>
          <w:tcPr>
            <w:tcW w:w="0" w:type="auto"/>
            <w:tcBorders>
              <w:top w:val="nil"/>
              <w:left w:val="nil"/>
              <w:bottom w:val="single" w:sz="4"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43%</w:t>
            </w:r>
          </w:p>
        </w:tc>
        <w:tc>
          <w:tcPr>
            <w:tcW w:w="0" w:type="auto"/>
            <w:tcBorders>
              <w:top w:val="nil"/>
              <w:left w:val="nil"/>
              <w:bottom w:val="single" w:sz="4"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62%</w:t>
            </w:r>
          </w:p>
        </w:tc>
        <w:tc>
          <w:tcPr>
            <w:tcW w:w="0" w:type="auto"/>
            <w:tcBorders>
              <w:top w:val="nil"/>
              <w:left w:val="nil"/>
              <w:bottom w:val="single" w:sz="4"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80%</w:t>
            </w:r>
          </w:p>
        </w:tc>
        <w:tc>
          <w:tcPr>
            <w:tcW w:w="0" w:type="auto"/>
            <w:tcBorders>
              <w:top w:val="nil"/>
              <w:left w:val="nil"/>
              <w:bottom w:val="single" w:sz="4" w:space="0" w:color="auto"/>
              <w:right w:val="single" w:sz="8"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86%</w:t>
            </w:r>
          </w:p>
        </w:tc>
      </w:tr>
      <w:tr w:rsidR="009B075E" w:rsidRPr="000A7EB4" w:rsidTr="000A7EB4">
        <w:trPr>
          <w:trHeight w:val="270"/>
        </w:trPr>
        <w:tc>
          <w:tcPr>
            <w:tcW w:w="0" w:type="auto"/>
            <w:tcBorders>
              <w:top w:val="nil"/>
              <w:left w:val="single" w:sz="8" w:space="0" w:color="auto"/>
              <w:bottom w:val="single" w:sz="8"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Private hospitals</w:t>
            </w:r>
          </w:p>
        </w:tc>
        <w:tc>
          <w:tcPr>
            <w:tcW w:w="0" w:type="auto"/>
            <w:tcBorders>
              <w:top w:val="nil"/>
              <w:left w:val="nil"/>
              <w:bottom w:val="single" w:sz="8"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57%</w:t>
            </w:r>
          </w:p>
        </w:tc>
        <w:tc>
          <w:tcPr>
            <w:tcW w:w="0" w:type="auto"/>
            <w:tcBorders>
              <w:top w:val="nil"/>
              <w:left w:val="nil"/>
              <w:bottom w:val="single" w:sz="8"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38%</w:t>
            </w:r>
          </w:p>
        </w:tc>
        <w:tc>
          <w:tcPr>
            <w:tcW w:w="0" w:type="auto"/>
            <w:tcBorders>
              <w:top w:val="nil"/>
              <w:left w:val="nil"/>
              <w:bottom w:val="single" w:sz="8" w:space="0" w:color="auto"/>
              <w:right w:val="single" w:sz="4"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20%</w:t>
            </w:r>
          </w:p>
        </w:tc>
        <w:tc>
          <w:tcPr>
            <w:tcW w:w="0" w:type="auto"/>
            <w:tcBorders>
              <w:top w:val="nil"/>
              <w:left w:val="nil"/>
              <w:bottom w:val="single" w:sz="8" w:space="0" w:color="auto"/>
              <w:right w:val="single" w:sz="8" w:space="0" w:color="auto"/>
            </w:tcBorders>
            <w:noWrap/>
            <w:vAlign w:val="center"/>
          </w:tcPr>
          <w:p w:rsidR="009B075E" w:rsidRPr="000A7EB4" w:rsidRDefault="009B075E" w:rsidP="000A7EB4">
            <w:pPr>
              <w:spacing w:after="0" w:line="240" w:lineRule="auto"/>
              <w:jc w:val="center"/>
              <w:rPr>
                <w:rFonts w:ascii="Arial Narrow" w:hAnsi="Arial Narrow" w:cs="Arial"/>
                <w:sz w:val="16"/>
                <w:szCs w:val="16"/>
                <w:lang w:eastAsia="en-AU"/>
              </w:rPr>
            </w:pPr>
            <w:r w:rsidRPr="000A7EB4">
              <w:rPr>
                <w:rFonts w:ascii="Arial Narrow" w:hAnsi="Arial Narrow" w:cs="Arial"/>
                <w:sz w:val="16"/>
                <w:szCs w:val="16"/>
                <w:lang w:eastAsia="en-AU"/>
              </w:rPr>
              <w:t>14%</w:t>
            </w:r>
          </w:p>
        </w:tc>
      </w:tr>
    </w:tbl>
    <w:p w:rsidR="009B075E" w:rsidRDefault="009B075E">
      <w:pPr>
        <w:spacing w:after="0" w:line="240" w:lineRule="auto"/>
        <w:rPr>
          <w:rFonts w:ascii="Arial" w:hAnsi="Arial" w:cs="Arial"/>
        </w:rPr>
      </w:pPr>
    </w:p>
    <w:p w:rsidR="00964763" w:rsidRDefault="00964763">
      <w:pPr>
        <w:spacing w:after="0" w:line="240" w:lineRule="auto"/>
        <w:rPr>
          <w:rFonts w:ascii="Arial" w:hAnsi="Arial" w:cs="Arial"/>
        </w:rPr>
        <w:sectPr w:rsidR="00964763" w:rsidSect="00964763">
          <w:pgSz w:w="16838" w:h="11906" w:orient="landscape"/>
          <w:pgMar w:top="1191" w:right="1021" w:bottom="1191" w:left="1021" w:header="709" w:footer="709" w:gutter="0"/>
          <w:cols w:space="708"/>
          <w:docGrid w:linePitch="360"/>
        </w:sectPr>
      </w:pPr>
    </w:p>
    <w:p w:rsidR="009B075E" w:rsidRDefault="009B075E">
      <w:pPr>
        <w:spacing w:after="0" w:line="240" w:lineRule="auto"/>
        <w:rPr>
          <w:rFonts w:ascii="Arial" w:hAnsi="Arial" w:cs="Arial"/>
          <w:b/>
          <w:bCs/>
        </w:rPr>
      </w:pPr>
    </w:p>
    <w:p w:rsidR="009B075E" w:rsidRPr="00B71ED4" w:rsidRDefault="009B075E" w:rsidP="000A7EB4">
      <w:pPr>
        <w:pStyle w:val="Caption"/>
        <w:jc w:val="left"/>
      </w:pPr>
      <w:bookmarkStart w:id="117" w:name="_Ref318378860"/>
      <w:r w:rsidRPr="00B71ED4">
        <w:rPr>
          <w:rFonts w:ascii="Arial" w:hAnsi="Arial" w:cs="Arial"/>
          <w:sz w:val="22"/>
          <w:szCs w:val="22"/>
        </w:rPr>
        <w:t xml:space="preserve">Table </w:t>
      </w:r>
      <w:r w:rsidR="00855AAF" w:rsidRPr="00B71ED4">
        <w:rPr>
          <w:rFonts w:ascii="Arial" w:hAnsi="Arial" w:cs="Arial"/>
          <w:sz w:val="22"/>
          <w:szCs w:val="22"/>
        </w:rPr>
        <w:fldChar w:fldCharType="begin"/>
      </w:r>
      <w:r w:rsidRPr="00B71ED4">
        <w:rPr>
          <w:rFonts w:ascii="Arial" w:hAnsi="Arial" w:cs="Arial"/>
          <w:sz w:val="22"/>
          <w:szCs w:val="22"/>
        </w:rPr>
        <w:instrText xml:space="preserve"> SEQ Table \* ARABIC </w:instrText>
      </w:r>
      <w:r w:rsidR="00855AAF" w:rsidRPr="00B71ED4">
        <w:rPr>
          <w:rFonts w:ascii="Arial" w:hAnsi="Arial" w:cs="Arial"/>
          <w:sz w:val="22"/>
          <w:szCs w:val="22"/>
        </w:rPr>
        <w:fldChar w:fldCharType="separate"/>
      </w:r>
      <w:r w:rsidR="00584343">
        <w:rPr>
          <w:rFonts w:ascii="Arial" w:hAnsi="Arial" w:cs="Arial"/>
          <w:noProof/>
          <w:sz w:val="22"/>
          <w:szCs w:val="22"/>
        </w:rPr>
        <w:t>26</w:t>
      </w:r>
      <w:r w:rsidR="00855AAF" w:rsidRPr="00B71ED4">
        <w:rPr>
          <w:rFonts w:ascii="Arial" w:hAnsi="Arial" w:cs="Arial"/>
          <w:sz w:val="22"/>
          <w:szCs w:val="22"/>
        </w:rPr>
        <w:fldChar w:fldCharType="end"/>
      </w:r>
      <w:bookmarkEnd w:id="117"/>
      <w:r w:rsidRPr="00B71ED4">
        <w:rPr>
          <w:rFonts w:ascii="Arial" w:hAnsi="Arial" w:cs="Arial"/>
          <w:sz w:val="22"/>
          <w:szCs w:val="22"/>
        </w:rPr>
        <w:t xml:space="preserve">: </w:t>
      </w:r>
      <w:r w:rsidRPr="007357B2">
        <w:rPr>
          <w:rFonts w:ascii="Arial" w:hAnsi="Arial" w:cs="Arial"/>
          <w:sz w:val="22"/>
          <w:szCs w:val="22"/>
        </w:rPr>
        <w:t>Percent contribution to expenditure in Highly Specialised Drugs Program</w:t>
      </w:r>
      <w:r>
        <w:rPr>
          <w:rFonts w:ascii="Arial" w:hAnsi="Arial" w:cs="Arial"/>
          <w:sz w:val="22"/>
          <w:szCs w:val="22"/>
        </w:rPr>
        <w:t xml:space="preserve"> </w:t>
      </w:r>
      <w:r w:rsidRPr="007357B2">
        <w:rPr>
          <w:rFonts w:ascii="Arial" w:hAnsi="Arial" w:cs="Arial"/>
          <w:sz w:val="22"/>
          <w:szCs w:val="22"/>
        </w:rPr>
        <w:t>by indications groupings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7"/>
        <w:gridCol w:w="698"/>
        <w:gridCol w:w="698"/>
        <w:gridCol w:w="698"/>
      </w:tblGrid>
      <w:tr w:rsidR="009B075E" w:rsidRPr="00E22C8E" w:rsidTr="0040541B">
        <w:trPr>
          <w:trHeight w:val="25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p>
        </w:tc>
        <w:tc>
          <w:tcPr>
            <w:tcW w:w="0" w:type="auto"/>
            <w:noWrap/>
          </w:tcPr>
          <w:p w:rsidR="009B075E" w:rsidRPr="0040541B" w:rsidRDefault="009B075E" w:rsidP="0040541B">
            <w:pPr>
              <w:spacing w:after="0" w:line="240" w:lineRule="auto"/>
              <w:jc w:val="center"/>
              <w:rPr>
                <w:rFonts w:ascii="Arial Narrow" w:hAnsi="Arial Narrow" w:cs="Arial"/>
                <w:b/>
                <w:sz w:val="16"/>
                <w:szCs w:val="16"/>
                <w:lang w:eastAsia="en-AU"/>
              </w:rPr>
            </w:pPr>
            <w:r w:rsidRPr="0040541B">
              <w:rPr>
                <w:rFonts w:ascii="Arial Narrow" w:hAnsi="Arial Narrow" w:cs="Arial"/>
                <w:b/>
                <w:sz w:val="16"/>
                <w:szCs w:val="16"/>
                <w:lang w:eastAsia="en-AU"/>
              </w:rPr>
              <w:t>2006-07</w:t>
            </w:r>
          </w:p>
        </w:tc>
        <w:tc>
          <w:tcPr>
            <w:tcW w:w="0" w:type="auto"/>
            <w:noWrap/>
          </w:tcPr>
          <w:p w:rsidR="009B075E" w:rsidRPr="0040541B" w:rsidRDefault="009B075E" w:rsidP="0040541B">
            <w:pPr>
              <w:spacing w:after="0" w:line="240" w:lineRule="auto"/>
              <w:jc w:val="center"/>
              <w:rPr>
                <w:rFonts w:ascii="Arial Narrow" w:hAnsi="Arial Narrow" w:cs="Arial"/>
                <w:b/>
                <w:sz w:val="16"/>
                <w:szCs w:val="16"/>
                <w:lang w:eastAsia="en-AU"/>
              </w:rPr>
            </w:pPr>
            <w:r w:rsidRPr="0040541B">
              <w:rPr>
                <w:rFonts w:ascii="Arial Narrow" w:hAnsi="Arial Narrow" w:cs="Arial"/>
                <w:b/>
                <w:sz w:val="16"/>
                <w:szCs w:val="16"/>
                <w:lang w:eastAsia="en-AU"/>
              </w:rPr>
              <w:t>2008-09</w:t>
            </w:r>
          </w:p>
        </w:tc>
        <w:tc>
          <w:tcPr>
            <w:tcW w:w="0" w:type="auto"/>
            <w:noWrap/>
          </w:tcPr>
          <w:p w:rsidR="009B075E" w:rsidRPr="0040541B" w:rsidRDefault="009B075E" w:rsidP="0040541B">
            <w:pPr>
              <w:spacing w:after="0" w:line="240" w:lineRule="auto"/>
              <w:jc w:val="center"/>
              <w:rPr>
                <w:rFonts w:ascii="Arial Narrow" w:hAnsi="Arial Narrow" w:cs="Arial"/>
                <w:b/>
                <w:sz w:val="16"/>
                <w:szCs w:val="16"/>
                <w:lang w:eastAsia="en-AU"/>
              </w:rPr>
            </w:pPr>
            <w:r w:rsidRPr="0040541B">
              <w:rPr>
                <w:rFonts w:ascii="Arial Narrow" w:hAnsi="Arial Narrow" w:cs="Arial"/>
                <w:b/>
                <w:sz w:val="16"/>
                <w:szCs w:val="16"/>
                <w:lang w:eastAsia="en-AU"/>
              </w:rPr>
              <w:t>2009-10</w:t>
            </w:r>
          </w:p>
        </w:tc>
      </w:tr>
      <w:tr w:rsidR="009B075E" w:rsidRPr="00E22C8E" w:rsidTr="0040541B">
        <w:trPr>
          <w:trHeight w:val="28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Other Conditions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8%</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10%</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10%</w:t>
            </w:r>
          </w:p>
        </w:tc>
      </w:tr>
      <w:tr w:rsidR="009B075E" w:rsidRPr="00E22C8E" w:rsidTr="0040541B">
        <w:trPr>
          <w:trHeight w:val="28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Immunocompromised Conditions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w:t>
            </w:r>
          </w:p>
        </w:tc>
      </w:tr>
      <w:tr w:rsidR="009B075E" w:rsidRPr="00E22C8E" w:rsidTr="0040541B">
        <w:trPr>
          <w:trHeight w:val="28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Iron Overload Agents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w:t>
            </w:r>
          </w:p>
        </w:tc>
      </w:tr>
      <w:tr w:rsidR="009B075E" w:rsidRPr="00E22C8E" w:rsidTr="0040541B">
        <w:trPr>
          <w:trHeight w:val="28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Bisphosphonate Agents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4%</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3%</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3%</w:t>
            </w:r>
          </w:p>
        </w:tc>
      </w:tr>
      <w:tr w:rsidR="009B075E" w:rsidRPr="00E22C8E" w:rsidTr="0040541B">
        <w:trPr>
          <w:trHeight w:val="28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Acromegaly Agents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3%</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3%</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3%</w:t>
            </w:r>
          </w:p>
        </w:tc>
      </w:tr>
      <w:tr w:rsidR="009B075E" w:rsidRPr="00E22C8E" w:rsidTr="0040541B">
        <w:trPr>
          <w:trHeight w:val="28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Pulmonary Arterial Hypertension Agents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3%</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4%</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5%</w:t>
            </w:r>
          </w:p>
        </w:tc>
      </w:tr>
      <w:tr w:rsidR="009B075E" w:rsidRPr="00E22C8E" w:rsidTr="0040541B">
        <w:trPr>
          <w:trHeight w:val="28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Antiarthritic Agents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4%</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8%</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8%</w:t>
            </w:r>
          </w:p>
        </w:tc>
      </w:tr>
      <w:tr w:rsidR="009B075E" w:rsidRPr="00E22C8E" w:rsidTr="0040541B">
        <w:trPr>
          <w:trHeight w:val="28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Hepatitis B or C Agents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11%</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10%</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10%</w:t>
            </w:r>
          </w:p>
        </w:tc>
      </w:tr>
      <w:tr w:rsidR="009B075E" w:rsidRPr="00E22C8E" w:rsidTr="0040541B">
        <w:trPr>
          <w:trHeight w:val="28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Immunosuppressive Agents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10%</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9%</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11%</w:t>
            </w:r>
          </w:p>
        </w:tc>
      </w:tr>
      <w:tr w:rsidR="009B075E" w:rsidRPr="00E22C8E" w:rsidTr="0040541B">
        <w:trPr>
          <w:trHeight w:val="28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Malignancy Agents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13%</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12%</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12%</w:t>
            </w:r>
          </w:p>
        </w:tc>
      </w:tr>
      <w:tr w:rsidR="009B075E" w:rsidRPr="00E22C8E" w:rsidTr="0040541B">
        <w:trPr>
          <w:trHeight w:val="285"/>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Haemopoietic Agents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21%</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18%</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16%</w:t>
            </w:r>
          </w:p>
        </w:tc>
      </w:tr>
      <w:tr w:rsidR="009B075E" w:rsidRPr="00E22C8E" w:rsidTr="0040541B">
        <w:trPr>
          <w:trHeight w:val="300"/>
        </w:trPr>
        <w:tc>
          <w:tcPr>
            <w:tcW w:w="0" w:type="auto"/>
            <w:noWrap/>
          </w:tcPr>
          <w:p w:rsidR="009B075E" w:rsidRPr="0040541B" w:rsidRDefault="009B075E" w:rsidP="0040541B">
            <w:pPr>
              <w:spacing w:after="0" w:line="240" w:lineRule="auto"/>
              <w:rPr>
                <w:rFonts w:ascii="Arial Narrow" w:hAnsi="Arial Narrow" w:cs="Arial"/>
                <w:sz w:val="16"/>
                <w:szCs w:val="16"/>
                <w:lang w:eastAsia="en-AU"/>
              </w:rPr>
            </w:pPr>
            <w:r w:rsidRPr="0040541B">
              <w:rPr>
                <w:rFonts w:ascii="Arial Narrow" w:hAnsi="Arial Narrow" w:cs="Arial"/>
                <w:sz w:val="16"/>
                <w:szCs w:val="16"/>
                <w:lang w:eastAsia="en-AU"/>
              </w:rPr>
              <w:t xml:space="preserve"> </w:t>
            </w:r>
            <w:r w:rsidRPr="0040541B">
              <w:rPr>
                <w:rFonts w:ascii="Arial Narrow" w:hAnsi="Arial Narrow" w:cs="Arial"/>
                <w:color w:val="000000"/>
                <w:sz w:val="16"/>
                <w:szCs w:val="16"/>
                <w:lang w:eastAsia="en-AU"/>
              </w:rPr>
              <w:t xml:space="preserve">HIV/AIDS Antiretroviral Agents </w:t>
            </w:r>
            <w:r w:rsidRPr="0040541B">
              <w:rPr>
                <w:rFonts w:ascii="Arial Narrow" w:hAnsi="Arial Narrow" w:cs="Arial"/>
                <w:sz w:val="16"/>
                <w:szCs w:val="16"/>
                <w:lang w:eastAsia="en-AU"/>
              </w:rPr>
              <w:t xml:space="preserve"> </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20%</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19%</w:t>
            </w:r>
          </w:p>
        </w:tc>
        <w:tc>
          <w:tcPr>
            <w:tcW w:w="0" w:type="auto"/>
            <w:noWrap/>
          </w:tcPr>
          <w:p w:rsidR="009B075E" w:rsidRPr="0040541B" w:rsidRDefault="009B075E" w:rsidP="0040541B">
            <w:pPr>
              <w:spacing w:after="0" w:line="240" w:lineRule="auto"/>
              <w:jc w:val="center"/>
              <w:rPr>
                <w:rFonts w:ascii="Arial Narrow" w:hAnsi="Arial Narrow" w:cs="Arial"/>
                <w:sz w:val="16"/>
                <w:szCs w:val="16"/>
                <w:lang w:eastAsia="en-AU"/>
              </w:rPr>
            </w:pPr>
            <w:r w:rsidRPr="0040541B">
              <w:rPr>
                <w:rFonts w:ascii="Arial Narrow" w:hAnsi="Arial Narrow" w:cs="Arial"/>
                <w:sz w:val="16"/>
                <w:szCs w:val="16"/>
                <w:lang w:eastAsia="en-AU"/>
              </w:rPr>
              <w:t>19%</w:t>
            </w:r>
          </w:p>
        </w:tc>
      </w:tr>
    </w:tbl>
    <w:p w:rsidR="009B075E" w:rsidRDefault="009B075E">
      <w:pPr>
        <w:spacing w:after="0" w:line="240" w:lineRule="auto"/>
        <w:rPr>
          <w:rFonts w:ascii="Arial" w:hAnsi="Arial" w:cs="Arial"/>
        </w:rPr>
      </w:pPr>
    </w:p>
    <w:p w:rsidR="00563501" w:rsidRDefault="00563501">
      <w:pPr>
        <w:spacing w:after="0" w:line="240" w:lineRule="auto"/>
        <w:rPr>
          <w:rFonts w:ascii="Arial" w:hAnsi="Arial" w:cs="Arial"/>
        </w:rPr>
      </w:pPr>
      <w:r>
        <w:rPr>
          <w:rFonts w:ascii="Arial" w:hAnsi="Arial" w:cs="Arial"/>
        </w:rPr>
        <w:br w:type="page"/>
      </w:r>
    </w:p>
    <w:p w:rsidR="00563501" w:rsidRPr="00A30088" w:rsidRDefault="00563501" w:rsidP="00A30088">
      <w:pPr>
        <w:pStyle w:val="Heading1"/>
        <w:jc w:val="right"/>
        <w:rPr>
          <w:rFonts w:ascii="Arial" w:hAnsi="Arial" w:cs="Arial"/>
          <w:sz w:val="24"/>
          <w:szCs w:val="24"/>
        </w:rPr>
      </w:pPr>
      <w:bookmarkStart w:id="118" w:name="_Toc357174848"/>
      <w:r w:rsidRPr="00A30088">
        <w:rPr>
          <w:rFonts w:ascii="Arial" w:hAnsi="Arial" w:cs="Arial"/>
          <w:sz w:val="24"/>
          <w:szCs w:val="24"/>
        </w:rPr>
        <w:lastRenderedPageBreak/>
        <w:t>Attachment A</w:t>
      </w:r>
      <w:r w:rsidR="00A30088">
        <w:rPr>
          <w:rFonts w:ascii="Arial" w:hAnsi="Arial" w:cs="Arial"/>
          <w:sz w:val="24"/>
          <w:szCs w:val="24"/>
        </w:rPr>
        <w:br/>
      </w:r>
      <w:r w:rsidR="00A30088">
        <w:rPr>
          <w:rFonts w:ascii="Arial" w:hAnsi="Arial" w:cs="Arial"/>
          <w:sz w:val="24"/>
          <w:szCs w:val="24"/>
        </w:rPr>
        <w:br/>
      </w:r>
      <w:r w:rsidRPr="00A30088">
        <w:rPr>
          <w:rFonts w:ascii="Arial" w:hAnsi="Arial" w:cs="Arial"/>
          <w:sz w:val="24"/>
          <w:szCs w:val="24"/>
        </w:rPr>
        <w:t>Framework for the joint monitoring of PBS expenditure trends and growth drivers</w:t>
      </w:r>
      <w:bookmarkEnd w:id="118"/>
    </w:p>
    <w:p w:rsidR="00563501" w:rsidRDefault="00563501" w:rsidP="00563501">
      <w:pPr>
        <w:jc w:val="center"/>
        <w:rPr>
          <w:sz w:val="40"/>
          <w:szCs w:val="40"/>
        </w:rPr>
      </w:pPr>
    </w:p>
    <w:p w:rsidR="00563501" w:rsidRDefault="00563501" w:rsidP="00563501">
      <w:pPr>
        <w:rPr>
          <w:u w:val="single"/>
        </w:rPr>
      </w:pPr>
      <w:r w:rsidRPr="00456796">
        <w:rPr>
          <w:u w:val="single"/>
        </w:rPr>
        <w:t>Background</w:t>
      </w:r>
    </w:p>
    <w:p w:rsidR="00563501" w:rsidRDefault="00563501" w:rsidP="00563501">
      <w:r>
        <w:t>Paragraph 7 of the Memorandum of Understanding dated September 2010 between the Government and Medicines Australia (the MoU) states that:</w:t>
      </w:r>
    </w:p>
    <w:p w:rsidR="00563501" w:rsidRPr="0073703D" w:rsidRDefault="00563501" w:rsidP="00563501">
      <w:pPr>
        <w:rPr>
          <w:i/>
        </w:rPr>
      </w:pPr>
      <w:r w:rsidRPr="0073703D">
        <w:rPr>
          <w:i/>
        </w:rPr>
        <w:t xml:space="preserve">Both parties undertake to jointly monitor trends in, and the drivers of, PBS expenditure through the Access to Medicines Working Group (AMWG), which will also develop a framework for this purpose.  This will commence not later than 1 January 2011.  The Commonwealth agrees to share with Medicines </w:t>
      </w:r>
      <w:smartTag w:uri="urn:schemas-microsoft-com:office:smarttags" w:element="place">
        <w:smartTag w:uri="urn:schemas-microsoft-com:office:smarttags" w:element="country-region">
          <w:r w:rsidRPr="0073703D">
            <w:rPr>
              <w:i/>
            </w:rPr>
            <w:t>Australia</w:t>
          </w:r>
        </w:smartTag>
      </w:smartTag>
      <w:r w:rsidRPr="0073703D">
        <w:rPr>
          <w:i/>
        </w:rPr>
        <w:t>, without cost, the information and analyses required to achieve this.</w:t>
      </w:r>
    </w:p>
    <w:p w:rsidR="00563501" w:rsidRDefault="00563501" w:rsidP="00563501">
      <w:r>
        <w:t>The AMWG Sub-group established a Data Working Group (DWG) to progress the development of a framework.  The DWG has representatives from the Department, Medicines Australia and industry.</w:t>
      </w:r>
    </w:p>
    <w:p w:rsidR="00563501" w:rsidRDefault="00563501" w:rsidP="00563501">
      <w:r>
        <w:t>At its 19 August 2010 meeting, the AMWG noted that a useful starting point in the development of a framework would be to identify a series of questions that could be answered through this exercise so that appropriate sources of data could be identified.</w:t>
      </w:r>
      <w:r w:rsidRPr="00B43930">
        <w:t xml:space="preserve"> </w:t>
      </w:r>
      <w:r>
        <w:t xml:space="preserve">The AMWG requested that the working group articulate, for consideration at the AMWG co-chairs teleconference on </w:t>
      </w:r>
      <w:r>
        <w:br/>
        <w:t xml:space="preserve">28 October 2010, a set of questions/indicators against which PBS expenditure is to be analysed.  An initial set of questions, indicators and possible data sources was provided to the co-chairs meeting and feedback has been incorporated in the lists at </w:t>
      </w:r>
      <w:r w:rsidRPr="00E865D6">
        <w:rPr>
          <w:u w:val="single"/>
        </w:rPr>
        <w:t>Attachment A</w:t>
      </w:r>
      <w:r w:rsidRPr="000174B2">
        <w:t xml:space="preserve"> and</w:t>
      </w:r>
      <w:r>
        <w:rPr>
          <w:u w:val="single"/>
        </w:rPr>
        <w:t xml:space="preserve"> Attachment B</w:t>
      </w:r>
      <w:r>
        <w:t>.</w:t>
      </w:r>
    </w:p>
    <w:p w:rsidR="00563501" w:rsidRPr="00456796" w:rsidRDefault="00563501" w:rsidP="00563501">
      <w:pPr>
        <w:rPr>
          <w:u w:val="single"/>
        </w:rPr>
      </w:pPr>
      <w:r w:rsidRPr="00456796">
        <w:rPr>
          <w:u w:val="single"/>
        </w:rPr>
        <w:t>Scope</w:t>
      </w:r>
    </w:p>
    <w:p w:rsidR="00563501" w:rsidRDefault="00563501" w:rsidP="00563501">
      <w:r>
        <w:t xml:space="preserve">It is proposed that trends in, and growth drivers of, PBS expenditure will be measured primarily using Medicare Australia PBS data, accessing other data sources (such as IMS and BEACH, see </w:t>
      </w:r>
      <w:r w:rsidRPr="00D12F38">
        <w:rPr>
          <w:u w:val="single"/>
        </w:rPr>
        <w:t>Attachment A</w:t>
      </w:r>
      <w:r w:rsidRPr="00D0787B">
        <w:t xml:space="preserve"> and</w:t>
      </w:r>
      <w:r>
        <w:rPr>
          <w:u w:val="single"/>
        </w:rPr>
        <w:t xml:space="preserve"> Attachment B</w:t>
      </w:r>
      <w:r>
        <w:t xml:space="preserve">) as appropriate to set a context for the Medicare Australia data.  </w:t>
      </w:r>
    </w:p>
    <w:p w:rsidR="00563501" w:rsidRDefault="00563501" w:rsidP="00563501">
      <w:r>
        <w:t>Detailed PBS expenditure on prescriptions not processed through Medicare Australia will not be included in the framework.  However, S100 expenditure (including expenditure on Highly Specialised Drugs) will be included at the national level, not disaggregated by drug.</w:t>
      </w:r>
    </w:p>
    <w:p w:rsidR="00563501" w:rsidRDefault="00563501" w:rsidP="00563501">
      <w:r>
        <w:t>Repatriation Pharmaceutical Benefits Scheme (RPBS) prescriptions and expenditure are not included under this framework.  The RPBS customer base has a significantly different profile to the general PBS population in terms of size, medicines use and demographic characteristics.</w:t>
      </w:r>
    </w:p>
    <w:p w:rsidR="00563501" w:rsidRDefault="00563501" w:rsidP="00563501">
      <w:r w:rsidRPr="00F74A02">
        <w:t xml:space="preserve">The 28 October co-chairs meeting included a request to expand the joint </w:t>
      </w:r>
      <w:r>
        <w:t xml:space="preserve">monitoring framework to include analyses of predicted versus </w:t>
      </w:r>
      <w:r w:rsidRPr="00F74A02">
        <w:t>actual expenditure</w:t>
      </w:r>
      <w:r>
        <w:t xml:space="preserve"> for medicines listed on the PBS undertaken by the Drug Utilisation Sub-Committee (DUSC).  It is noted that there is already work in progress in relation to this between Medicines Australia and the Department.  The integration of this existing work into the joint monitoring work could be considered as part of this framework.</w:t>
      </w:r>
    </w:p>
    <w:p w:rsidR="00563501" w:rsidRPr="00192F91" w:rsidRDefault="00563501" w:rsidP="00563501">
      <w:pPr>
        <w:rPr>
          <w:u w:val="single"/>
        </w:rPr>
      </w:pPr>
      <w:r>
        <w:rPr>
          <w:u w:val="single"/>
        </w:rPr>
        <w:br w:type="page"/>
      </w:r>
      <w:r w:rsidRPr="00192F91">
        <w:rPr>
          <w:u w:val="single"/>
        </w:rPr>
        <w:lastRenderedPageBreak/>
        <w:t>Governance</w:t>
      </w:r>
    </w:p>
    <w:p w:rsidR="00563501" w:rsidRDefault="00563501" w:rsidP="00563501">
      <w:r>
        <w:t xml:space="preserve">High level governance for the joint monitoring framework and the operation of the DWG will be provided by the AMWG.  Direct advice for the DWG on operational matters relating to joint monitoring will be provided by the AMWG Sub-group.  The DWG will be responsible for day-to-day decisions around the joint monitoring process. </w:t>
      </w:r>
    </w:p>
    <w:p w:rsidR="00563501" w:rsidRPr="00192F91" w:rsidRDefault="00563501" w:rsidP="00563501">
      <w:pPr>
        <w:spacing w:after="120"/>
        <w:rPr>
          <w:i/>
        </w:rPr>
      </w:pPr>
      <w:r w:rsidRPr="00192F91">
        <w:rPr>
          <w:i/>
        </w:rPr>
        <w:t>Roles and Responsibilities</w:t>
      </w:r>
    </w:p>
    <w:p w:rsidR="00563501" w:rsidRDefault="00563501" w:rsidP="00563501">
      <w:pPr>
        <w:spacing w:after="120"/>
      </w:pPr>
      <w:r>
        <w:t>AMWG</w:t>
      </w:r>
    </w:p>
    <w:p w:rsidR="00563501" w:rsidRDefault="00563501" w:rsidP="0098384D">
      <w:pPr>
        <w:numPr>
          <w:ilvl w:val="0"/>
          <w:numId w:val="43"/>
        </w:numPr>
        <w:tabs>
          <w:tab w:val="clear" w:pos="720"/>
          <w:tab w:val="num" w:pos="360"/>
        </w:tabs>
        <w:spacing w:after="0" w:line="240" w:lineRule="auto"/>
        <w:ind w:left="360"/>
      </w:pPr>
      <w:r>
        <w:t>High level advice on the joint monitoring process.</w:t>
      </w:r>
    </w:p>
    <w:p w:rsidR="00563501" w:rsidRDefault="00563501" w:rsidP="0098384D">
      <w:pPr>
        <w:numPr>
          <w:ilvl w:val="0"/>
          <w:numId w:val="43"/>
        </w:numPr>
        <w:tabs>
          <w:tab w:val="clear" w:pos="720"/>
          <w:tab w:val="num" w:pos="360"/>
        </w:tabs>
        <w:spacing w:after="0" w:line="240" w:lineRule="auto"/>
        <w:ind w:left="360"/>
      </w:pPr>
      <w:r>
        <w:t>Final endorsement of joint monitoring reports.</w:t>
      </w:r>
    </w:p>
    <w:p w:rsidR="00563501" w:rsidRDefault="00563501" w:rsidP="0098384D">
      <w:pPr>
        <w:numPr>
          <w:ilvl w:val="0"/>
          <w:numId w:val="43"/>
        </w:numPr>
        <w:tabs>
          <w:tab w:val="clear" w:pos="720"/>
          <w:tab w:val="num" w:pos="360"/>
        </w:tabs>
        <w:spacing w:after="0" w:line="240" w:lineRule="auto"/>
        <w:ind w:left="360"/>
      </w:pPr>
      <w:r>
        <w:t>Final approving authority for any public release of reports.</w:t>
      </w:r>
    </w:p>
    <w:p w:rsidR="00563501" w:rsidRDefault="00563501" w:rsidP="0098384D">
      <w:pPr>
        <w:numPr>
          <w:ilvl w:val="0"/>
          <w:numId w:val="43"/>
        </w:numPr>
        <w:tabs>
          <w:tab w:val="clear" w:pos="720"/>
          <w:tab w:val="num" w:pos="360"/>
        </w:tabs>
        <w:spacing w:after="0" w:line="240" w:lineRule="auto"/>
        <w:ind w:left="360"/>
      </w:pPr>
      <w:r>
        <w:t>Resolution of issues referred by the DWG or AMWG Sub-group.</w:t>
      </w:r>
    </w:p>
    <w:p w:rsidR="00563501" w:rsidRDefault="00563501" w:rsidP="00FF14C4">
      <w:pPr>
        <w:spacing w:before="240" w:after="120"/>
      </w:pPr>
      <w:r>
        <w:t>AMWG Sub-group</w:t>
      </w:r>
    </w:p>
    <w:p w:rsidR="00563501" w:rsidRDefault="00563501" w:rsidP="0098384D">
      <w:pPr>
        <w:numPr>
          <w:ilvl w:val="0"/>
          <w:numId w:val="44"/>
        </w:numPr>
        <w:spacing w:after="0" w:line="240" w:lineRule="auto"/>
      </w:pPr>
      <w:r>
        <w:t>Endorsement of joint monitoring reports before tabling to AMWG.</w:t>
      </w:r>
    </w:p>
    <w:p w:rsidR="00563501" w:rsidRDefault="00563501" w:rsidP="0098384D">
      <w:pPr>
        <w:numPr>
          <w:ilvl w:val="0"/>
          <w:numId w:val="44"/>
        </w:numPr>
        <w:spacing w:after="0" w:line="240" w:lineRule="auto"/>
      </w:pPr>
      <w:r>
        <w:t>Approval of requests made for additional analysis under this framework.</w:t>
      </w:r>
    </w:p>
    <w:p w:rsidR="00563501" w:rsidRDefault="00563501" w:rsidP="0098384D">
      <w:pPr>
        <w:numPr>
          <w:ilvl w:val="0"/>
          <w:numId w:val="44"/>
        </w:numPr>
        <w:spacing w:after="0" w:line="240" w:lineRule="auto"/>
      </w:pPr>
      <w:r>
        <w:t>Advising DWG on higher level policy matters related to joint monitoring.</w:t>
      </w:r>
    </w:p>
    <w:p w:rsidR="00563501" w:rsidRDefault="00563501" w:rsidP="0098384D">
      <w:pPr>
        <w:numPr>
          <w:ilvl w:val="0"/>
          <w:numId w:val="44"/>
        </w:numPr>
        <w:spacing w:after="0" w:line="240" w:lineRule="auto"/>
      </w:pPr>
      <w:r>
        <w:t>Resolution of issues referred by the DWG.</w:t>
      </w:r>
    </w:p>
    <w:p w:rsidR="00563501" w:rsidRDefault="00563501" w:rsidP="00FF14C4">
      <w:pPr>
        <w:spacing w:before="240" w:after="120"/>
      </w:pPr>
      <w:r>
        <w:t>DWG</w:t>
      </w:r>
    </w:p>
    <w:p w:rsidR="00563501" w:rsidRDefault="00563501" w:rsidP="0098384D">
      <w:pPr>
        <w:numPr>
          <w:ilvl w:val="0"/>
          <w:numId w:val="44"/>
        </w:numPr>
        <w:spacing w:after="0" w:line="240" w:lineRule="auto"/>
      </w:pPr>
      <w:r>
        <w:t>Development and implementation of a joint monitoring framework.</w:t>
      </w:r>
    </w:p>
    <w:p w:rsidR="00563501" w:rsidRDefault="00563501" w:rsidP="0098384D">
      <w:pPr>
        <w:numPr>
          <w:ilvl w:val="0"/>
          <w:numId w:val="44"/>
        </w:numPr>
        <w:spacing w:after="0" w:line="240" w:lineRule="auto"/>
      </w:pPr>
      <w:r>
        <w:t>Joint production of joint monitoring reports.</w:t>
      </w:r>
    </w:p>
    <w:p w:rsidR="00563501" w:rsidRDefault="00563501" w:rsidP="0098384D">
      <w:pPr>
        <w:numPr>
          <w:ilvl w:val="0"/>
          <w:numId w:val="44"/>
        </w:numPr>
        <w:spacing w:after="0" w:line="240" w:lineRule="auto"/>
      </w:pPr>
      <w:r>
        <w:t>Resolution of day-to-day operational and policy matters related to joint monitoring.</w:t>
      </w:r>
    </w:p>
    <w:p w:rsidR="00563501" w:rsidRDefault="00563501" w:rsidP="00FF14C4">
      <w:pPr>
        <w:spacing w:before="240"/>
        <w:rPr>
          <w:u w:val="single"/>
        </w:rPr>
      </w:pPr>
      <w:r>
        <w:rPr>
          <w:u w:val="single"/>
        </w:rPr>
        <w:t>Monitoring and Reporting</w:t>
      </w:r>
    </w:p>
    <w:p w:rsidR="00563501" w:rsidRDefault="00563501" w:rsidP="00563501">
      <w:r>
        <w:t>PBS expenditure trends and growth drivers will be monitored on a half-yearly basis.  Half-yearly reporting provides a balance between responsiveness and administrative burden in ongoing monitoring and reporting.  Reporting would occur each six months for the preceding 12 months.  Reporting will occur at the next AMWG sub-group meeting after the end of a reporting period, providing at least two months after the end of a reporting period is available for data extraction, analysis and report production. It is proposed that the schedule of reporting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45"/>
      </w:tblGrid>
      <w:tr w:rsidR="00563501" w:rsidRPr="00757441" w:rsidTr="001A73A4">
        <w:tc>
          <w:tcPr>
            <w:tcW w:w="4219" w:type="dxa"/>
          </w:tcPr>
          <w:p w:rsidR="00563501" w:rsidRPr="00757441" w:rsidRDefault="00563501" w:rsidP="001A73A4">
            <w:pPr>
              <w:rPr>
                <w:b/>
              </w:rPr>
            </w:pPr>
            <w:r w:rsidRPr="00757441">
              <w:rPr>
                <w:b/>
              </w:rPr>
              <w:t>Reporting period</w:t>
            </w:r>
          </w:p>
        </w:tc>
        <w:tc>
          <w:tcPr>
            <w:tcW w:w="5245" w:type="dxa"/>
          </w:tcPr>
          <w:p w:rsidR="00563501" w:rsidRPr="00757441" w:rsidRDefault="00563501" w:rsidP="001A73A4">
            <w:r w:rsidRPr="00757441">
              <w:rPr>
                <w:b/>
              </w:rPr>
              <w:t>Report due to AMWG</w:t>
            </w:r>
          </w:p>
        </w:tc>
      </w:tr>
      <w:tr w:rsidR="00563501" w:rsidRPr="00757441" w:rsidTr="001A73A4">
        <w:tc>
          <w:tcPr>
            <w:tcW w:w="4219" w:type="dxa"/>
          </w:tcPr>
          <w:p w:rsidR="00563501" w:rsidRPr="00757441" w:rsidRDefault="00563501" w:rsidP="001A73A4">
            <w:r w:rsidRPr="00757441">
              <w:t>1 J</w:t>
            </w:r>
            <w:r>
              <w:t>uly</w:t>
            </w:r>
            <w:r w:rsidRPr="00757441">
              <w:t xml:space="preserve"> – 30 June</w:t>
            </w:r>
          </w:p>
        </w:tc>
        <w:tc>
          <w:tcPr>
            <w:tcW w:w="5245" w:type="dxa"/>
          </w:tcPr>
          <w:p w:rsidR="00563501" w:rsidRPr="00757441" w:rsidRDefault="00563501" w:rsidP="001A73A4">
            <w:r>
              <w:t>First</w:t>
            </w:r>
            <w:r w:rsidRPr="00757441">
              <w:t xml:space="preserve"> AMWG meeting </w:t>
            </w:r>
            <w:r>
              <w:t>after August</w:t>
            </w:r>
          </w:p>
        </w:tc>
      </w:tr>
      <w:tr w:rsidR="00563501" w:rsidRPr="00757441" w:rsidTr="001A73A4">
        <w:tc>
          <w:tcPr>
            <w:tcW w:w="4219" w:type="dxa"/>
          </w:tcPr>
          <w:p w:rsidR="00563501" w:rsidRPr="00757441" w:rsidRDefault="00563501" w:rsidP="001A73A4">
            <w:r w:rsidRPr="00757441">
              <w:t xml:space="preserve">1 </w:t>
            </w:r>
            <w:r>
              <w:t>January</w:t>
            </w:r>
            <w:r w:rsidRPr="00757441">
              <w:t xml:space="preserve"> – 31 December</w:t>
            </w:r>
          </w:p>
        </w:tc>
        <w:tc>
          <w:tcPr>
            <w:tcW w:w="5245" w:type="dxa"/>
          </w:tcPr>
          <w:p w:rsidR="00563501" w:rsidRPr="00757441" w:rsidRDefault="00563501" w:rsidP="001A73A4">
            <w:r>
              <w:t>First</w:t>
            </w:r>
            <w:r w:rsidRPr="00757441">
              <w:t xml:space="preserve"> AMWG meeting</w:t>
            </w:r>
            <w:r>
              <w:t xml:space="preserve"> after February</w:t>
            </w:r>
          </w:p>
        </w:tc>
      </w:tr>
    </w:tbl>
    <w:p w:rsidR="00563501" w:rsidRDefault="00563501" w:rsidP="00FF14C4">
      <w:pPr>
        <w:spacing w:before="240"/>
      </w:pPr>
      <w:r>
        <w:t xml:space="preserve">Monitoring will be undertaken against a list of key drivers, data and data sets that are mutually agreed between Medicines Australia and the Department.  It is acknowledged that drivers and sources of data thought useful and appropriate could be considered for inclusion in the analysis. It is agreed that the primary data source for the joint monitoring is Medicare </w:t>
      </w:r>
      <w:smartTag w:uri="urn:schemas-microsoft-com:office:smarttags" w:element="country-region">
        <w:smartTag w:uri="urn:schemas-microsoft-com:office:smarttags" w:element="place">
          <w:r>
            <w:t>Australia</w:t>
          </w:r>
        </w:smartTag>
      </w:smartTag>
      <w:r>
        <w:t xml:space="preserve"> prescription data. The list of possible drivers and data sets put forward for discussion is at </w:t>
      </w:r>
      <w:r w:rsidRPr="002A0412">
        <w:rPr>
          <w:u w:val="single"/>
        </w:rPr>
        <w:t>Attachment A</w:t>
      </w:r>
      <w:r w:rsidRPr="000174B2">
        <w:t xml:space="preserve"> with more detail in </w:t>
      </w:r>
      <w:r>
        <w:rPr>
          <w:u w:val="single"/>
        </w:rPr>
        <w:t>Attachment B</w:t>
      </w:r>
      <w:r>
        <w:t xml:space="preserve">.    </w:t>
      </w:r>
    </w:p>
    <w:p w:rsidR="00563501" w:rsidRDefault="00563501" w:rsidP="00563501"/>
    <w:p w:rsidR="00563501" w:rsidRDefault="00563501" w:rsidP="00563501">
      <w:r>
        <w:lastRenderedPageBreak/>
        <w:t>It is agreed that the Department will take primary responsibility for analysing data against the agreed list of drivers using an agreed methodology and that it will share the full workings with Medicines Australia (subject to privacy issues noted below)</w:t>
      </w:r>
      <w:r w:rsidRPr="00885808">
        <w:t xml:space="preserve"> </w:t>
      </w:r>
      <w:r>
        <w:t xml:space="preserve">on a regular basis, with frequency to be agreed mutually. </w:t>
      </w:r>
    </w:p>
    <w:p w:rsidR="00563501" w:rsidRPr="00456796" w:rsidRDefault="00563501" w:rsidP="00563501">
      <w:pPr>
        <w:rPr>
          <w:u w:val="single"/>
        </w:rPr>
      </w:pPr>
      <w:r w:rsidRPr="00456796">
        <w:rPr>
          <w:u w:val="single"/>
        </w:rPr>
        <w:t>Other issues</w:t>
      </w:r>
    </w:p>
    <w:p w:rsidR="00563501" w:rsidRPr="00C74995" w:rsidRDefault="00563501" w:rsidP="00563501">
      <w:pPr>
        <w:spacing w:after="120"/>
        <w:rPr>
          <w:i/>
        </w:rPr>
      </w:pPr>
      <w:r>
        <w:rPr>
          <w:i/>
        </w:rPr>
        <w:t>Forecasting</w:t>
      </w:r>
    </w:p>
    <w:p w:rsidR="00563501" w:rsidRPr="008618CE" w:rsidRDefault="00563501" w:rsidP="00563501">
      <w:r>
        <w:t xml:space="preserve">Under the monitoring framework there will be no forecasting of future PBS expenditure or measurement of future actual expenditure against such a forecast.  Data shared with Medicines </w:t>
      </w:r>
      <w:smartTag w:uri="urn:schemas-microsoft-com:office:smarttags" w:element="place">
        <w:smartTag w:uri="urn:schemas-microsoft-com:office:smarttags" w:element="country-region">
          <w:r>
            <w:t>Australia</w:t>
          </w:r>
        </w:smartTag>
      </w:smartTag>
      <w:r>
        <w:t xml:space="preserve"> under the MoU (or other existing arrangements with the Department) may allow Medicines Australia to forecast PBS expenditure, however the Department will not support nor endorse any such forecasts.</w:t>
      </w:r>
    </w:p>
    <w:p w:rsidR="00563501" w:rsidRDefault="00563501" w:rsidP="00563501">
      <w:pPr>
        <w:spacing w:after="120"/>
        <w:rPr>
          <w:i/>
        </w:rPr>
      </w:pPr>
      <w:r>
        <w:rPr>
          <w:i/>
        </w:rPr>
        <w:t>Interoperability of data and analysis</w:t>
      </w:r>
    </w:p>
    <w:p w:rsidR="00563501" w:rsidRPr="00D54213" w:rsidRDefault="00563501" w:rsidP="00563501">
      <w:r>
        <w:t>The Department and Medicines Australia will use their best efforts to ensure that, where data or analyses are  transferred between the two organisations as part of this framework, the data are in a format that is compatible with the IT environment of the other organisation.</w:t>
      </w:r>
    </w:p>
    <w:p w:rsidR="00563501" w:rsidRPr="008618CE" w:rsidRDefault="00563501" w:rsidP="00563501">
      <w:pPr>
        <w:spacing w:after="120"/>
        <w:rPr>
          <w:i/>
        </w:rPr>
      </w:pPr>
      <w:r>
        <w:rPr>
          <w:i/>
        </w:rPr>
        <w:t>Reporting processes</w:t>
      </w:r>
    </w:p>
    <w:p w:rsidR="00563501" w:rsidRDefault="00563501" w:rsidP="00563501">
      <w:r>
        <w:t>The DWG will analyse the trends and drivers and prepare a joint report for the AMWG Sub-group’s endorsement.  After endorsement, the report will be tabled to the AMWG.</w:t>
      </w:r>
    </w:p>
    <w:p w:rsidR="00563501" w:rsidRPr="008618CE" w:rsidRDefault="00563501" w:rsidP="00563501">
      <w:pPr>
        <w:spacing w:after="120"/>
        <w:rPr>
          <w:i/>
        </w:rPr>
      </w:pPr>
      <w:r w:rsidRPr="003F2B27">
        <w:rPr>
          <w:i/>
        </w:rPr>
        <w:t xml:space="preserve">Protocols for requests from Medicines Australia for </w:t>
      </w:r>
      <w:r>
        <w:rPr>
          <w:i/>
        </w:rPr>
        <w:t xml:space="preserve">additional PBS </w:t>
      </w:r>
      <w:r w:rsidRPr="003F2B27">
        <w:rPr>
          <w:i/>
        </w:rPr>
        <w:t>data</w:t>
      </w:r>
      <w:r>
        <w:rPr>
          <w:i/>
        </w:rPr>
        <w:t xml:space="preserve"> or tables</w:t>
      </w:r>
    </w:p>
    <w:p w:rsidR="00563501" w:rsidRDefault="00563501" w:rsidP="00563501">
      <w:r>
        <w:t xml:space="preserve">From time to time monitoring may highlight aspects of PBS expenditure or prescription volume that either the Department or Medicines Australia believe should be examined in more detail and which may require one or more separate additional data extractions.  </w:t>
      </w:r>
    </w:p>
    <w:p w:rsidR="00563501" w:rsidRDefault="00563501" w:rsidP="00563501">
      <w:r>
        <w:t>The protocols will take into account issues such as:</w:t>
      </w:r>
    </w:p>
    <w:p w:rsidR="00563501" w:rsidRDefault="00563501" w:rsidP="0098384D">
      <w:pPr>
        <w:numPr>
          <w:ilvl w:val="0"/>
          <w:numId w:val="8"/>
        </w:numPr>
        <w:spacing w:after="0" w:line="240" w:lineRule="auto"/>
      </w:pPr>
      <w:r>
        <w:t xml:space="preserve">Privacy (ie, could highly disaggregated data be considered personal information under the </w:t>
      </w:r>
      <w:r w:rsidRPr="006010B9">
        <w:rPr>
          <w:i/>
        </w:rPr>
        <w:t>National Health Act 1953</w:t>
      </w:r>
      <w:r>
        <w:t>?, is the data commercially sensitive?); and</w:t>
      </w:r>
    </w:p>
    <w:p w:rsidR="00563501" w:rsidRDefault="00563501" w:rsidP="0098384D">
      <w:pPr>
        <w:numPr>
          <w:ilvl w:val="0"/>
          <w:numId w:val="8"/>
        </w:numPr>
        <w:spacing w:after="0" w:line="240" w:lineRule="auto"/>
      </w:pPr>
      <w:r>
        <w:t>Resource capacity in the Department to undertake the data extraction or analysis work.</w:t>
      </w:r>
    </w:p>
    <w:p w:rsidR="00563501" w:rsidRDefault="00563501" w:rsidP="00FF14C4">
      <w:pPr>
        <w:spacing w:before="240"/>
      </w:pPr>
      <w:r>
        <w:t>Additional analysis will only be undertaken after the AMWG Sub-group approves a formal request made to it.  The request should include the reasons for, and the benefits of, such an analysis. The timeframes for such analysis are to be specified by the AMWG Sub-group.</w:t>
      </w:r>
    </w:p>
    <w:p w:rsidR="00563501" w:rsidRPr="008618CE" w:rsidRDefault="00563501" w:rsidP="00563501">
      <w:pPr>
        <w:spacing w:after="120"/>
        <w:rPr>
          <w:i/>
        </w:rPr>
      </w:pPr>
      <w:r w:rsidRPr="003F2B27">
        <w:rPr>
          <w:i/>
        </w:rPr>
        <w:t>Release of tables and data</w:t>
      </w:r>
      <w:r>
        <w:rPr>
          <w:i/>
        </w:rPr>
        <w:t xml:space="preserve"> outside of the AMWG</w:t>
      </w:r>
    </w:p>
    <w:p w:rsidR="00563501" w:rsidRDefault="00563501" w:rsidP="00563501">
      <w:r>
        <w:t xml:space="preserve">While data and/or analysis may be provided by the Department to Medicines Australia under this joint monitoring framework, the Commonwealth retains ownership of this transferred data and/or analysis.  Where data and/or analyses are provided by Medicines Australia to the Department under this framework Medicines Australia similarly retains ownership of the transferred material.  It is proposed that </w:t>
      </w:r>
      <w:r w:rsidRPr="001B1A14">
        <w:t xml:space="preserve">Medicines Australia </w:t>
      </w:r>
      <w:r>
        <w:t>may</w:t>
      </w:r>
      <w:r w:rsidRPr="001B1A14">
        <w:t xml:space="preserve"> not release any data or tables provided for the purpose of joint monitoring outside of </w:t>
      </w:r>
      <w:r>
        <w:t>the DWG</w:t>
      </w:r>
      <w:r w:rsidRPr="001B1A14">
        <w:t xml:space="preserve"> without </w:t>
      </w:r>
      <w:r>
        <w:t>seeking written</w:t>
      </w:r>
      <w:r w:rsidRPr="001B1A14">
        <w:t xml:space="preserve"> permission </w:t>
      </w:r>
      <w:r>
        <w:t xml:space="preserve">from </w:t>
      </w:r>
      <w:r w:rsidRPr="001B1A14">
        <w:t xml:space="preserve">the Department.  </w:t>
      </w:r>
      <w:r>
        <w:t xml:space="preserve">The Department will use its best endeavours to respond to any such requests in a reasonable timeframe. </w:t>
      </w:r>
    </w:p>
    <w:p w:rsidR="00563501" w:rsidRDefault="00563501" w:rsidP="00563501">
      <w:r w:rsidRPr="001B1A14">
        <w:t xml:space="preserve">Release outside </w:t>
      </w:r>
      <w:r>
        <w:t>the DWG</w:t>
      </w:r>
      <w:r w:rsidRPr="001B1A14">
        <w:t xml:space="preserve"> includes release to any of Medicines Australia’s member organisations</w:t>
      </w:r>
      <w:r>
        <w:t xml:space="preserve"> other than members that are already on the DWG</w:t>
      </w:r>
      <w:r w:rsidRPr="001B1A14">
        <w:t>.</w:t>
      </w:r>
      <w:r>
        <w:t xml:space="preserve">  The Department commits not to release any in-confidence data it obtains from DWG members under this framework outside the Department or use it for any </w:t>
      </w:r>
      <w:r>
        <w:lastRenderedPageBreak/>
        <w:t>purpose other than the joint monitoring of PBS expenditure trends and growth drivers without consent from Medicines Australia.</w:t>
      </w:r>
    </w:p>
    <w:p w:rsidR="00563501" w:rsidRDefault="00563501" w:rsidP="00563501">
      <w:r>
        <w:t xml:space="preserve">It is proposed that a summary of the analysis may be released publicly via the DoHA and Medicines Australia websites, subject to the approval of the AMWG. </w:t>
      </w:r>
    </w:p>
    <w:p w:rsidR="00563501" w:rsidRPr="008618CE" w:rsidRDefault="00563501" w:rsidP="00563501">
      <w:pPr>
        <w:spacing w:after="120"/>
        <w:rPr>
          <w:i/>
        </w:rPr>
      </w:pPr>
      <w:r w:rsidRPr="008B1684">
        <w:rPr>
          <w:i/>
        </w:rPr>
        <w:t>Dispute resolution</w:t>
      </w:r>
    </w:p>
    <w:p w:rsidR="00563501" w:rsidRDefault="00563501" w:rsidP="00563501">
      <w:r>
        <w:t xml:space="preserve">Members of the DWG will continue to work together in a spirit of collaboration and mutual respect. </w:t>
      </w:r>
    </w:p>
    <w:p w:rsidR="00563501" w:rsidRPr="00FB766C" w:rsidRDefault="00563501" w:rsidP="00563501">
      <w:r>
        <w:t>In the highly unlikely event that an issue cannot be resolved in the DWG, it would be referred to the AMWG Sub-group for resolution.  If the matter remains unresolved by the AMWG Sub-group, it would be referred to the AMWG.</w:t>
      </w:r>
    </w:p>
    <w:p w:rsidR="00563501" w:rsidRDefault="00563501" w:rsidP="00563501"/>
    <w:p w:rsidR="00563501" w:rsidRDefault="00563501" w:rsidP="00563501">
      <w:pPr>
        <w:ind w:right="-221"/>
        <w:sectPr w:rsidR="00563501" w:rsidSect="001A73A4">
          <w:pgSz w:w="11906" w:h="16838"/>
          <w:pgMar w:top="1021" w:right="1191" w:bottom="1021" w:left="1191" w:header="709" w:footer="709" w:gutter="0"/>
          <w:cols w:space="708"/>
          <w:docGrid w:linePitch="360"/>
        </w:sectPr>
      </w:pPr>
    </w:p>
    <w:p w:rsidR="00563501" w:rsidRPr="0089487A" w:rsidRDefault="00563501" w:rsidP="00563501">
      <w:pPr>
        <w:rPr>
          <w:b/>
        </w:rPr>
      </w:pPr>
      <w:r w:rsidRPr="0089487A">
        <w:rPr>
          <w:b/>
        </w:rPr>
        <w:lastRenderedPageBreak/>
        <w:t xml:space="preserve">Proposed </w:t>
      </w:r>
      <w:r>
        <w:rPr>
          <w:b/>
        </w:rPr>
        <w:t xml:space="preserve">high level guiding questions and possible </w:t>
      </w:r>
      <w:r w:rsidRPr="0089487A">
        <w:rPr>
          <w:b/>
        </w:rPr>
        <w:t xml:space="preserve">PBS </w:t>
      </w:r>
      <w:r>
        <w:rPr>
          <w:b/>
        </w:rPr>
        <w:t>e</w:t>
      </w:r>
      <w:r w:rsidRPr="0089487A">
        <w:rPr>
          <w:b/>
        </w:rPr>
        <w:t xml:space="preserve">xpenditure </w:t>
      </w:r>
      <w:r>
        <w:rPr>
          <w:b/>
        </w:rPr>
        <w:t>indicators</w:t>
      </w:r>
      <w:r w:rsidRPr="0089487A">
        <w:rPr>
          <w:b/>
        </w:rPr>
        <w:t xml:space="preserve"> to be </w:t>
      </w:r>
      <w:r>
        <w:rPr>
          <w:b/>
        </w:rPr>
        <w:t>analysed</w:t>
      </w:r>
    </w:p>
    <w:tbl>
      <w:tblPr>
        <w:tblW w:w="9975"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5"/>
        <w:gridCol w:w="1482"/>
        <w:gridCol w:w="2058"/>
      </w:tblGrid>
      <w:tr w:rsidR="00563501" w:rsidTr="001A73A4">
        <w:tc>
          <w:tcPr>
            <w:tcW w:w="6435" w:type="dxa"/>
            <w:shd w:val="clear" w:color="auto" w:fill="FFFF99"/>
          </w:tcPr>
          <w:p w:rsidR="00563501" w:rsidRPr="00757441" w:rsidRDefault="00563501" w:rsidP="001A73A4">
            <w:pPr>
              <w:spacing w:after="120"/>
              <w:rPr>
                <w:b/>
              </w:rPr>
            </w:pPr>
            <w:r w:rsidRPr="00757441">
              <w:rPr>
                <w:b/>
              </w:rPr>
              <w:t>Possible high level guiding questions and possible indicators to be analysed</w:t>
            </w:r>
          </w:p>
        </w:tc>
        <w:tc>
          <w:tcPr>
            <w:tcW w:w="1482" w:type="dxa"/>
            <w:shd w:val="clear" w:color="auto" w:fill="FFFF99"/>
          </w:tcPr>
          <w:p w:rsidR="00563501" w:rsidRPr="00757441" w:rsidRDefault="00563501" w:rsidP="001A73A4">
            <w:pPr>
              <w:rPr>
                <w:b/>
                <w:vertAlign w:val="superscript"/>
              </w:rPr>
            </w:pPr>
            <w:r w:rsidRPr="00757441">
              <w:rPr>
                <w:b/>
              </w:rPr>
              <w:t>Data sources</w:t>
            </w:r>
            <w:r w:rsidRPr="00757441">
              <w:rPr>
                <w:b/>
                <w:vertAlign w:val="superscript"/>
              </w:rPr>
              <w:t xml:space="preserve"> (1)</w:t>
            </w:r>
          </w:p>
          <w:p w:rsidR="00563501" w:rsidRPr="00757441" w:rsidRDefault="00563501" w:rsidP="001A73A4">
            <w:pPr>
              <w:rPr>
                <w:b/>
              </w:rPr>
            </w:pPr>
            <w:r w:rsidRPr="00757441">
              <w:rPr>
                <w:b/>
              </w:rPr>
              <w:t>a 3-5 year trend</w:t>
            </w:r>
          </w:p>
        </w:tc>
        <w:tc>
          <w:tcPr>
            <w:tcW w:w="2058" w:type="dxa"/>
            <w:shd w:val="clear" w:color="auto" w:fill="FFFF99"/>
          </w:tcPr>
          <w:p w:rsidR="00563501" w:rsidRPr="00757441" w:rsidRDefault="00563501" w:rsidP="001A73A4">
            <w:pPr>
              <w:rPr>
                <w:b/>
              </w:rPr>
            </w:pPr>
            <w:r w:rsidRPr="00757441">
              <w:rPr>
                <w:b/>
              </w:rPr>
              <w:t>Possible other data sources</w:t>
            </w:r>
            <w:r w:rsidRPr="00757441">
              <w:rPr>
                <w:b/>
                <w:vertAlign w:val="superscript"/>
              </w:rPr>
              <w:t xml:space="preserve"> (2)(3)</w:t>
            </w:r>
          </w:p>
        </w:tc>
      </w:tr>
      <w:tr w:rsidR="00563501" w:rsidTr="001A73A4">
        <w:tc>
          <w:tcPr>
            <w:tcW w:w="6435" w:type="dxa"/>
          </w:tcPr>
          <w:p w:rsidR="00563501" w:rsidRPr="00757441" w:rsidRDefault="00563501" w:rsidP="001A73A4">
            <w:pPr>
              <w:spacing w:after="120"/>
              <w:rPr>
                <w:sz w:val="20"/>
                <w:szCs w:val="20"/>
              </w:rPr>
            </w:pPr>
            <w:r>
              <w:t>Are there particular groups of patients contributing more to PBS growth? eg is the aging population impacting on PBS growth?</w:t>
            </w:r>
          </w:p>
          <w:p w:rsidR="00563501" w:rsidRPr="00757441" w:rsidRDefault="00563501" w:rsidP="0098384D">
            <w:pPr>
              <w:numPr>
                <w:ilvl w:val="0"/>
                <w:numId w:val="10"/>
              </w:numPr>
              <w:spacing w:after="120" w:line="240" w:lineRule="auto"/>
              <w:rPr>
                <w:sz w:val="20"/>
                <w:szCs w:val="20"/>
              </w:rPr>
            </w:pPr>
            <w:r w:rsidRPr="00757441">
              <w:rPr>
                <w:sz w:val="20"/>
                <w:szCs w:val="20"/>
              </w:rPr>
              <w:t>Number of patients, expenditure and prescriptions by patient category (general/concessional).</w:t>
            </w:r>
          </w:p>
          <w:p w:rsidR="00563501" w:rsidRPr="00757441" w:rsidRDefault="00563501" w:rsidP="0098384D">
            <w:pPr>
              <w:numPr>
                <w:ilvl w:val="0"/>
                <w:numId w:val="10"/>
              </w:numPr>
              <w:spacing w:after="120" w:line="240" w:lineRule="auto"/>
              <w:rPr>
                <w:sz w:val="20"/>
                <w:szCs w:val="20"/>
              </w:rPr>
            </w:pPr>
            <w:r w:rsidRPr="00757441">
              <w:rPr>
                <w:sz w:val="20"/>
                <w:szCs w:val="20"/>
              </w:rPr>
              <w:t>Number of patients, expenditure and prescriptions by patient age</w:t>
            </w:r>
            <w:r w:rsidRPr="00757441">
              <w:rPr>
                <w:sz w:val="20"/>
                <w:szCs w:val="20"/>
              </w:rPr>
              <w:br/>
              <w:t>(and perhaps further split by concessional status).</w:t>
            </w:r>
          </w:p>
          <w:p w:rsidR="00563501" w:rsidRPr="00757441" w:rsidRDefault="00563501" w:rsidP="0098384D">
            <w:pPr>
              <w:numPr>
                <w:ilvl w:val="0"/>
                <w:numId w:val="10"/>
              </w:numPr>
              <w:spacing w:after="120" w:line="240" w:lineRule="auto"/>
              <w:rPr>
                <w:sz w:val="20"/>
                <w:szCs w:val="20"/>
              </w:rPr>
            </w:pPr>
            <w:r w:rsidRPr="00757441">
              <w:rPr>
                <w:sz w:val="20"/>
                <w:szCs w:val="20"/>
              </w:rPr>
              <w:t>Number of persons covered by safety net cards.</w:t>
            </w:r>
          </w:p>
          <w:p w:rsidR="00563501" w:rsidRPr="00757441" w:rsidRDefault="00563501" w:rsidP="0098384D">
            <w:pPr>
              <w:numPr>
                <w:ilvl w:val="0"/>
                <w:numId w:val="10"/>
              </w:numPr>
              <w:spacing w:after="120" w:line="240" w:lineRule="auto"/>
              <w:rPr>
                <w:sz w:val="20"/>
                <w:szCs w:val="20"/>
              </w:rPr>
            </w:pPr>
            <w:r w:rsidRPr="00757441">
              <w:rPr>
                <w:sz w:val="20"/>
                <w:szCs w:val="20"/>
              </w:rPr>
              <w:t>Number of persons covered by concession cards.</w:t>
            </w:r>
          </w:p>
          <w:p w:rsidR="00563501" w:rsidRPr="00757441" w:rsidRDefault="00563501" w:rsidP="0098384D">
            <w:pPr>
              <w:numPr>
                <w:ilvl w:val="0"/>
                <w:numId w:val="10"/>
              </w:numPr>
              <w:spacing w:after="120" w:line="240" w:lineRule="auto"/>
              <w:rPr>
                <w:sz w:val="20"/>
                <w:szCs w:val="20"/>
              </w:rPr>
            </w:pPr>
            <w:r w:rsidRPr="00757441">
              <w:rPr>
                <w:sz w:val="20"/>
                <w:szCs w:val="20"/>
              </w:rPr>
              <w:t>Expenditure and prescription for specified chronic disease groups</w:t>
            </w:r>
          </w:p>
          <w:p w:rsidR="00563501" w:rsidRPr="00757441" w:rsidRDefault="00563501" w:rsidP="0098384D">
            <w:pPr>
              <w:numPr>
                <w:ilvl w:val="0"/>
                <w:numId w:val="10"/>
              </w:numPr>
              <w:spacing w:after="120" w:line="240" w:lineRule="auto"/>
              <w:rPr>
                <w:sz w:val="20"/>
                <w:szCs w:val="20"/>
              </w:rPr>
            </w:pPr>
            <w:r w:rsidRPr="00757441">
              <w:rPr>
                <w:sz w:val="20"/>
                <w:szCs w:val="20"/>
              </w:rPr>
              <w:t>Number of persons in the population (total and by age)</w:t>
            </w:r>
          </w:p>
        </w:tc>
        <w:tc>
          <w:tcPr>
            <w:tcW w:w="1482" w:type="dxa"/>
          </w:tcPr>
          <w:p w:rsidR="00563501" w:rsidRDefault="00563501" w:rsidP="001A73A4">
            <w:r>
              <w:t xml:space="preserve">Medicare </w:t>
            </w:r>
            <w:smartTag w:uri="urn:schemas-microsoft-com:office:smarttags" w:element="place">
              <w:smartTag w:uri="urn:schemas-microsoft-com:office:smarttags" w:element="country-region">
                <w:r>
                  <w:t>Australia</w:t>
                </w:r>
              </w:smartTag>
            </w:smartTag>
            <w:r>
              <w:t>, FaHCSIA, ABS</w:t>
            </w:r>
          </w:p>
        </w:tc>
        <w:tc>
          <w:tcPr>
            <w:tcW w:w="2058" w:type="dxa"/>
          </w:tcPr>
          <w:p w:rsidR="00563501" w:rsidRDefault="00563501" w:rsidP="001A73A4">
            <w:r>
              <w:t>DUSC, BEACH</w:t>
            </w:r>
          </w:p>
        </w:tc>
      </w:tr>
      <w:tr w:rsidR="00563501" w:rsidTr="001A73A4">
        <w:tc>
          <w:tcPr>
            <w:tcW w:w="6435" w:type="dxa"/>
          </w:tcPr>
          <w:p w:rsidR="00563501" w:rsidRPr="00FB1062" w:rsidRDefault="00563501" w:rsidP="001A73A4">
            <w:pPr>
              <w:spacing w:after="120"/>
            </w:pPr>
            <w:r>
              <w:t>Are there particular drugs or groups of drugs contributing more to PBS growth?</w:t>
            </w:r>
          </w:p>
          <w:p w:rsidR="00563501" w:rsidRPr="00757441" w:rsidRDefault="00563501" w:rsidP="0098384D">
            <w:pPr>
              <w:numPr>
                <w:ilvl w:val="0"/>
                <w:numId w:val="10"/>
              </w:numPr>
              <w:spacing w:after="120" w:line="240" w:lineRule="auto"/>
              <w:rPr>
                <w:sz w:val="20"/>
                <w:szCs w:val="20"/>
              </w:rPr>
            </w:pPr>
            <w:r w:rsidRPr="00757441">
              <w:rPr>
                <w:sz w:val="20"/>
                <w:szCs w:val="20"/>
              </w:rPr>
              <w:t>Expenditure and prescription volume by Formulary.</w:t>
            </w:r>
          </w:p>
          <w:p w:rsidR="00563501" w:rsidRPr="00757441" w:rsidRDefault="00563501" w:rsidP="0098384D">
            <w:pPr>
              <w:numPr>
                <w:ilvl w:val="0"/>
                <w:numId w:val="10"/>
              </w:numPr>
              <w:spacing w:after="120" w:line="240" w:lineRule="auto"/>
              <w:rPr>
                <w:sz w:val="20"/>
                <w:szCs w:val="20"/>
              </w:rPr>
            </w:pPr>
            <w:r w:rsidRPr="00757441">
              <w:rPr>
                <w:sz w:val="20"/>
                <w:szCs w:val="20"/>
              </w:rPr>
              <w:t>Expenditure and prescription volume by ATC level 2.</w:t>
            </w:r>
          </w:p>
          <w:p w:rsidR="00563501" w:rsidRPr="00757441" w:rsidRDefault="00563501" w:rsidP="0098384D">
            <w:pPr>
              <w:numPr>
                <w:ilvl w:val="0"/>
                <w:numId w:val="10"/>
              </w:numPr>
              <w:spacing w:after="120" w:line="240" w:lineRule="auto"/>
              <w:rPr>
                <w:sz w:val="20"/>
                <w:szCs w:val="20"/>
              </w:rPr>
            </w:pPr>
            <w:r w:rsidRPr="00757441">
              <w:rPr>
                <w:sz w:val="20"/>
                <w:szCs w:val="20"/>
              </w:rPr>
              <w:t>For the top three ATC level two groups by expenditure, disaggregate by drug name.</w:t>
            </w:r>
          </w:p>
          <w:p w:rsidR="00563501" w:rsidRPr="00757441" w:rsidRDefault="00563501" w:rsidP="0098384D">
            <w:pPr>
              <w:numPr>
                <w:ilvl w:val="0"/>
                <w:numId w:val="10"/>
              </w:numPr>
              <w:spacing w:after="120" w:line="240" w:lineRule="auto"/>
              <w:rPr>
                <w:sz w:val="20"/>
                <w:szCs w:val="20"/>
              </w:rPr>
            </w:pPr>
            <w:r w:rsidRPr="00757441">
              <w:rPr>
                <w:sz w:val="20"/>
                <w:szCs w:val="20"/>
              </w:rPr>
              <w:t>Expenditure and prescriptions for the top 10 drug names by prescription volume.</w:t>
            </w:r>
          </w:p>
          <w:p w:rsidR="00563501" w:rsidRPr="00757441" w:rsidRDefault="00563501" w:rsidP="0098384D">
            <w:pPr>
              <w:numPr>
                <w:ilvl w:val="0"/>
                <w:numId w:val="10"/>
              </w:numPr>
              <w:spacing w:after="120" w:line="240" w:lineRule="auto"/>
              <w:rPr>
                <w:sz w:val="20"/>
                <w:szCs w:val="20"/>
              </w:rPr>
            </w:pPr>
            <w:r w:rsidRPr="00757441">
              <w:rPr>
                <w:sz w:val="20"/>
                <w:szCs w:val="20"/>
              </w:rPr>
              <w:t>Expenditure and prescriptions for the top 10 drug names by contribution to PBS growth.</w:t>
            </w:r>
          </w:p>
        </w:tc>
        <w:tc>
          <w:tcPr>
            <w:tcW w:w="1482" w:type="dxa"/>
          </w:tcPr>
          <w:p w:rsidR="00563501" w:rsidRDefault="00563501" w:rsidP="001A73A4">
            <w:r>
              <w:t xml:space="preserve">Medicare </w:t>
            </w:r>
            <w:smartTag w:uri="urn:schemas-microsoft-com:office:smarttags" w:element="place">
              <w:smartTag w:uri="urn:schemas-microsoft-com:office:smarttags" w:element="country-region">
                <w:r>
                  <w:t>Australia</w:t>
                </w:r>
              </w:smartTag>
            </w:smartTag>
          </w:p>
        </w:tc>
        <w:tc>
          <w:tcPr>
            <w:tcW w:w="2058" w:type="dxa"/>
          </w:tcPr>
          <w:p w:rsidR="00563501" w:rsidRDefault="00563501" w:rsidP="001A73A4">
            <w:r>
              <w:t>DUSC, IMS, BEACH</w:t>
            </w:r>
          </w:p>
        </w:tc>
      </w:tr>
      <w:tr w:rsidR="00563501" w:rsidTr="001A73A4">
        <w:tc>
          <w:tcPr>
            <w:tcW w:w="6435" w:type="dxa"/>
          </w:tcPr>
          <w:p w:rsidR="00563501" w:rsidRPr="00FB1062" w:rsidRDefault="00563501" w:rsidP="001A73A4">
            <w:pPr>
              <w:spacing w:after="120"/>
            </w:pPr>
            <w:r>
              <w:t>W</w:t>
            </w:r>
            <w:r w:rsidRPr="00745474">
              <w:t>hat is the contribution of newly listed medicines to PBS expenditure growth in comparison to already listed medicines?</w:t>
            </w:r>
            <w:r w:rsidRPr="00FB1062">
              <w:t xml:space="preserve"> </w:t>
            </w:r>
          </w:p>
          <w:p w:rsidR="00563501" w:rsidRPr="00757441" w:rsidRDefault="00563501" w:rsidP="0098384D">
            <w:pPr>
              <w:numPr>
                <w:ilvl w:val="0"/>
                <w:numId w:val="10"/>
              </w:numPr>
              <w:spacing w:after="120" w:line="240" w:lineRule="auto"/>
              <w:rPr>
                <w:sz w:val="20"/>
                <w:szCs w:val="20"/>
              </w:rPr>
            </w:pPr>
            <w:r w:rsidRPr="00757441">
              <w:rPr>
                <w:sz w:val="20"/>
                <w:szCs w:val="20"/>
              </w:rPr>
              <w:t>The contribution to expenditure of new medicines listed on the PBS in the previous 12 months.</w:t>
            </w:r>
          </w:p>
          <w:p w:rsidR="00563501" w:rsidRPr="00757441" w:rsidRDefault="00563501" w:rsidP="0098384D">
            <w:pPr>
              <w:numPr>
                <w:ilvl w:val="0"/>
                <w:numId w:val="10"/>
              </w:numPr>
              <w:spacing w:after="120" w:line="240" w:lineRule="auto"/>
              <w:rPr>
                <w:sz w:val="20"/>
                <w:szCs w:val="20"/>
              </w:rPr>
            </w:pPr>
            <w:r w:rsidRPr="00757441">
              <w:rPr>
                <w:sz w:val="20"/>
                <w:szCs w:val="20"/>
              </w:rPr>
              <w:t>The net contribution to expenditure of new medicines listing and medicines de-listing in the last 12 months</w:t>
            </w:r>
          </w:p>
          <w:p w:rsidR="00563501" w:rsidRPr="00757441" w:rsidRDefault="00563501" w:rsidP="0098384D">
            <w:pPr>
              <w:numPr>
                <w:ilvl w:val="0"/>
                <w:numId w:val="10"/>
              </w:numPr>
              <w:spacing w:after="120" w:line="240" w:lineRule="auto"/>
              <w:rPr>
                <w:sz w:val="20"/>
                <w:szCs w:val="20"/>
              </w:rPr>
            </w:pPr>
            <w:r w:rsidRPr="00757441">
              <w:rPr>
                <w:sz w:val="20"/>
                <w:szCs w:val="20"/>
              </w:rPr>
              <w:t>The contribution to expenditure of new medicines listed on the PBS in the previous 4 years.</w:t>
            </w:r>
          </w:p>
        </w:tc>
        <w:tc>
          <w:tcPr>
            <w:tcW w:w="1482" w:type="dxa"/>
          </w:tcPr>
          <w:p w:rsidR="00563501" w:rsidRDefault="00563501" w:rsidP="001A73A4">
            <w:r>
              <w:t xml:space="preserve">Medicare </w:t>
            </w:r>
            <w:smartTag w:uri="urn:schemas-microsoft-com:office:smarttags" w:element="place">
              <w:smartTag w:uri="urn:schemas-microsoft-com:office:smarttags" w:element="country-region">
                <w:r>
                  <w:t>Australia</w:t>
                </w:r>
              </w:smartTag>
            </w:smartTag>
          </w:p>
        </w:tc>
        <w:tc>
          <w:tcPr>
            <w:tcW w:w="2058" w:type="dxa"/>
          </w:tcPr>
          <w:p w:rsidR="00563501" w:rsidRDefault="00563501" w:rsidP="001A73A4"/>
        </w:tc>
      </w:tr>
      <w:tr w:rsidR="00563501" w:rsidTr="001A73A4">
        <w:tc>
          <w:tcPr>
            <w:tcW w:w="6435" w:type="dxa"/>
          </w:tcPr>
          <w:p w:rsidR="00563501" w:rsidRDefault="00563501" w:rsidP="001A73A4">
            <w:pPr>
              <w:spacing w:after="120"/>
            </w:pPr>
            <w:r>
              <w:t>A</w:t>
            </w:r>
            <w:r w:rsidRPr="00745474">
              <w:t>re generic PBS medicines growing at a faster or slower rate than the general PBS?</w:t>
            </w:r>
          </w:p>
          <w:p w:rsidR="00563501" w:rsidRPr="00757441" w:rsidRDefault="00563501" w:rsidP="0098384D">
            <w:pPr>
              <w:numPr>
                <w:ilvl w:val="0"/>
                <w:numId w:val="11"/>
              </w:numPr>
              <w:spacing w:after="120" w:line="240" w:lineRule="auto"/>
              <w:rPr>
                <w:sz w:val="20"/>
                <w:szCs w:val="20"/>
              </w:rPr>
            </w:pPr>
            <w:r w:rsidRPr="00757441">
              <w:rPr>
                <w:sz w:val="20"/>
                <w:szCs w:val="20"/>
              </w:rPr>
              <w:t>Market share of generic medicines by PBS expenditure and prescription volume (noting that issues around the definition of a generic medicine will have to be resolved)</w:t>
            </w:r>
          </w:p>
        </w:tc>
        <w:tc>
          <w:tcPr>
            <w:tcW w:w="1482" w:type="dxa"/>
          </w:tcPr>
          <w:p w:rsidR="00563501" w:rsidRDefault="00563501" w:rsidP="001A73A4">
            <w:r>
              <w:t xml:space="preserve">Medicare </w:t>
            </w:r>
            <w:smartTag w:uri="urn:schemas-microsoft-com:office:smarttags" w:element="place">
              <w:smartTag w:uri="urn:schemas-microsoft-com:office:smarttags" w:element="country-region">
                <w:r>
                  <w:t>Australia</w:t>
                </w:r>
              </w:smartTag>
            </w:smartTag>
          </w:p>
        </w:tc>
        <w:tc>
          <w:tcPr>
            <w:tcW w:w="2058" w:type="dxa"/>
          </w:tcPr>
          <w:p w:rsidR="00563501" w:rsidRDefault="00563501" w:rsidP="001A73A4">
            <w:r>
              <w:t>DUSC, IMS</w:t>
            </w:r>
          </w:p>
        </w:tc>
      </w:tr>
      <w:tr w:rsidR="00563501" w:rsidTr="001A73A4">
        <w:trPr>
          <w:cantSplit/>
        </w:trPr>
        <w:tc>
          <w:tcPr>
            <w:tcW w:w="6435" w:type="dxa"/>
          </w:tcPr>
          <w:p w:rsidR="00563501" w:rsidRDefault="00563501" w:rsidP="001A73A4">
            <w:pPr>
              <w:spacing w:after="120"/>
            </w:pPr>
            <w:r>
              <w:lastRenderedPageBreak/>
              <w:t xml:space="preserve">Additional questions that may be considered - </w:t>
            </w:r>
          </w:p>
          <w:p w:rsidR="00563501" w:rsidRDefault="00563501" w:rsidP="0098384D">
            <w:pPr>
              <w:numPr>
                <w:ilvl w:val="0"/>
                <w:numId w:val="11"/>
              </w:numPr>
              <w:spacing w:after="120" w:line="240" w:lineRule="auto"/>
            </w:pPr>
            <w:r>
              <w:t>To what extent do economic factors (income, employment, hours worked) impact on PBS growth?</w:t>
            </w:r>
          </w:p>
          <w:p w:rsidR="00563501" w:rsidRDefault="00563501" w:rsidP="0098384D">
            <w:pPr>
              <w:numPr>
                <w:ilvl w:val="0"/>
                <w:numId w:val="11"/>
              </w:numPr>
              <w:spacing w:after="120" w:line="240" w:lineRule="auto"/>
            </w:pPr>
            <w:r>
              <w:t>To what extent to changes in pharmacy remuneration impact on PBS growth?</w:t>
            </w:r>
          </w:p>
          <w:p w:rsidR="00563501" w:rsidRDefault="00563501" w:rsidP="0098384D">
            <w:pPr>
              <w:numPr>
                <w:ilvl w:val="0"/>
                <w:numId w:val="11"/>
              </w:numPr>
              <w:spacing w:after="120" w:line="240" w:lineRule="auto"/>
            </w:pPr>
            <w:r>
              <w:t>To what extent do changes to PBS pricing policy affect PBS growth?</w:t>
            </w:r>
          </w:p>
          <w:p w:rsidR="00563501" w:rsidRDefault="00563501" w:rsidP="0098384D">
            <w:pPr>
              <w:numPr>
                <w:ilvl w:val="0"/>
                <w:numId w:val="11"/>
              </w:numPr>
              <w:spacing w:after="120" w:line="240" w:lineRule="auto"/>
            </w:pPr>
            <w:r>
              <w:t>To what extent do general Government policy changes affect PBS growth?</w:t>
            </w:r>
          </w:p>
          <w:p w:rsidR="00563501" w:rsidRDefault="00563501" w:rsidP="0098384D">
            <w:pPr>
              <w:numPr>
                <w:ilvl w:val="0"/>
                <w:numId w:val="11"/>
              </w:numPr>
              <w:spacing w:after="120" w:line="240" w:lineRule="auto"/>
            </w:pPr>
            <w:r>
              <w:t>Do patient compliance programs have an impact on PBS growth?</w:t>
            </w:r>
          </w:p>
          <w:p w:rsidR="00563501" w:rsidRDefault="00563501" w:rsidP="0098384D">
            <w:pPr>
              <w:numPr>
                <w:ilvl w:val="0"/>
                <w:numId w:val="11"/>
              </w:numPr>
              <w:spacing w:after="120" w:line="240" w:lineRule="auto"/>
            </w:pPr>
            <w:r>
              <w:t>What is the contribution of S100 and HSD medicines to overall PBS growth?</w:t>
            </w:r>
          </w:p>
        </w:tc>
        <w:tc>
          <w:tcPr>
            <w:tcW w:w="3540" w:type="dxa"/>
            <w:gridSpan w:val="2"/>
            <w:vAlign w:val="center"/>
          </w:tcPr>
          <w:p w:rsidR="00563501" w:rsidRDefault="00563501" w:rsidP="001A73A4">
            <w:r>
              <w:t>Available data sources and what might be possible measurable indicators will need to be more closely considered for these questions.</w:t>
            </w:r>
          </w:p>
        </w:tc>
      </w:tr>
    </w:tbl>
    <w:p w:rsidR="00563501" w:rsidRDefault="00563501" w:rsidP="00563501">
      <w:pPr>
        <w:ind w:left="-342" w:right="-221"/>
        <w:rPr>
          <w:sz w:val="20"/>
        </w:rPr>
      </w:pPr>
    </w:p>
    <w:p w:rsidR="00563501" w:rsidRPr="001C356E" w:rsidRDefault="00563501" w:rsidP="00563501">
      <w:pPr>
        <w:ind w:left="-342" w:right="-221"/>
        <w:rPr>
          <w:sz w:val="20"/>
        </w:rPr>
      </w:pPr>
      <w:r w:rsidRPr="001C356E">
        <w:rPr>
          <w:sz w:val="20"/>
        </w:rPr>
        <w:t>Notes:</w:t>
      </w:r>
    </w:p>
    <w:p w:rsidR="00563501" w:rsidRPr="001C356E" w:rsidRDefault="00563501" w:rsidP="0098384D">
      <w:pPr>
        <w:numPr>
          <w:ilvl w:val="0"/>
          <w:numId w:val="9"/>
        </w:numPr>
        <w:tabs>
          <w:tab w:val="clear" w:pos="360"/>
          <w:tab w:val="num" w:pos="0"/>
        </w:tabs>
        <w:spacing w:after="0" w:line="240" w:lineRule="auto"/>
        <w:ind w:left="-342" w:right="-221" w:firstLine="0"/>
        <w:rPr>
          <w:sz w:val="20"/>
        </w:rPr>
      </w:pPr>
      <w:r>
        <w:rPr>
          <w:sz w:val="20"/>
        </w:rPr>
        <w:t>FaHCSIA = Department of Families, Housing, Community Services and Indigenous Affairs, ABS = Australian Bureau of Statistics.</w:t>
      </w:r>
    </w:p>
    <w:p w:rsidR="00563501" w:rsidRPr="001C356E" w:rsidRDefault="00563501" w:rsidP="0098384D">
      <w:pPr>
        <w:numPr>
          <w:ilvl w:val="0"/>
          <w:numId w:val="9"/>
        </w:numPr>
        <w:tabs>
          <w:tab w:val="clear" w:pos="360"/>
          <w:tab w:val="num" w:pos="0"/>
        </w:tabs>
        <w:spacing w:after="0" w:line="240" w:lineRule="auto"/>
        <w:ind w:left="-342" w:right="-221" w:firstLine="0"/>
        <w:rPr>
          <w:sz w:val="20"/>
        </w:rPr>
      </w:pPr>
      <w:r w:rsidRPr="001C356E">
        <w:rPr>
          <w:sz w:val="20"/>
        </w:rPr>
        <w:t xml:space="preserve">These data sources could add some context to the data obtained through Medicare </w:t>
      </w:r>
      <w:smartTag w:uri="urn:schemas-microsoft-com:office:smarttags" w:element="place">
        <w:smartTag w:uri="urn:schemas-microsoft-com:office:smarttags" w:element="country-region">
          <w:r w:rsidRPr="001C356E">
            <w:rPr>
              <w:sz w:val="20"/>
            </w:rPr>
            <w:t>Australia</w:t>
          </w:r>
        </w:smartTag>
      </w:smartTag>
      <w:r w:rsidRPr="001C356E">
        <w:rPr>
          <w:sz w:val="20"/>
        </w:rPr>
        <w:t xml:space="preserve"> only.  For example the undercopayment prescription data available from the DUSC data could further inform trends seen in subsidised medicines and help understand movements from above to below copay.</w:t>
      </w:r>
    </w:p>
    <w:p w:rsidR="00563501" w:rsidRPr="004C79E2" w:rsidRDefault="00563501" w:rsidP="0098384D">
      <w:pPr>
        <w:numPr>
          <w:ilvl w:val="0"/>
          <w:numId w:val="9"/>
        </w:numPr>
        <w:tabs>
          <w:tab w:val="clear" w:pos="360"/>
          <w:tab w:val="num" w:pos="0"/>
        </w:tabs>
        <w:spacing w:after="0" w:line="240" w:lineRule="auto"/>
        <w:ind w:left="-342" w:right="-221" w:firstLine="0"/>
        <w:rPr>
          <w:sz w:val="20"/>
        </w:rPr>
      </w:pPr>
      <w:r w:rsidRPr="001C356E">
        <w:rPr>
          <w:sz w:val="20"/>
        </w:rPr>
        <w:t>DUSC = Drug Utilisation Sub-Committee dataset including Guild survey data on undercopay and private prescriptions, IMS = pharmaceutical industry data sourced through IMS Health, BEACH = data on GP prescribing from the Bettering the Evaluation and Care of Health survey.</w:t>
      </w:r>
    </w:p>
    <w:p w:rsidR="00563501" w:rsidRDefault="00563501" w:rsidP="00563501"/>
    <w:p w:rsidR="00563501" w:rsidRDefault="00563501" w:rsidP="00563501">
      <w:pPr>
        <w:spacing w:after="120"/>
      </w:pPr>
    </w:p>
    <w:p w:rsidR="00563501" w:rsidRDefault="00563501" w:rsidP="00563501">
      <w:pPr>
        <w:spacing w:after="120"/>
        <w:sectPr w:rsidR="00563501" w:rsidSect="001A73A4">
          <w:headerReference w:type="even" r:id="rId64"/>
          <w:headerReference w:type="default" r:id="rId65"/>
          <w:headerReference w:type="first" r:id="rId66"/>
          <w:pgSz w:w="11906" w:h="16838"/>
          <w:pgMar w:top="1021" w:right="1191" w:bottom="1021" w:left="1191" w:header="709" w:footer="709" w:gutter="0"/>
          <w:cols w:space="708"/>
          <w:docGrid w:linePitch="360"/>
        </w:sectPr>
      </w:pPr>
    </w:p>
    <w:p w:rsidR="00563501" w:rsidRDefault="00563501" w:rsidP="00563501">
      <w:pPr>
        <w:spacing w:after="120"/>
      </w:pPr>
    </w:p>
    <w:p w:rsidR="00563501" w:rsidRDefault="00563501" w:rsidP="00563501">
      <w:pPr>
        <w:spacing w:after="120"/>
        <w:rPr>
          <w:rFonts w:ascii="Arial" w:hAnsi="Arial" w:cs="Arial"/>
          <w:sz w:val="40"/>
          <w:szCs w:val="40"/>
        </w:rPr>
      </w:pPr>
      <w:r>
        <w:rPr>
          <w:rFonts w:ascii="Arial" w:hAnsi="Arial" w:cs="Arial"/>
          <w:sz w:val="40"/>
          <w:szCs w:val="40"/>
        </w:rPr>
        <w:t>Identification and reporting f</w:t>
      </w:r>
      <w:r w:rsidRPr="00816228">
        <w:rPr>
          <w:rFonts w:ascii="Arial" w:hAnsi="Arial" w:cs="Arial"/>
          <w:sz w:val="40"/>
          <w:szCs w:val="40"/>
        </w:rPr>
        <w:t>ramework</w:t>
      </w:r>
    </w:p>
    <w:p w:rsidR="00563501" w:rsidRDefault="00563501" w:rsidP="00563501">
      <w:pPr>
        <w:spacing w:after="120"/>
        <w:rPr>
          <w:rFonts w:ascii="Arial" w:hAnsi="Arial" w:cs="Arial"/>
          <w:sz w:val="40"/>
          <w:szCs w:val="40"/>
        </w:rPr>
      </w:pPr>
    </w:p>
    <w:p w:rsidR="00563501" w:rsidRDefault="00563501" w:rsidP="00563501">
      <w:pPr>
        <w:spacing w:after="120"/>
      </w:pPr>
      <w:r>
        <w:rPr>
          <w:noProof/>
          <w:lang w:eastAsia="en-AU"/>
        </w:rPr>
        <w:drawing>
          <wp:anchor distT="12192" distB="5969" distL="132588" distR="129540" simplePos="0" relativeHeight="251662336" behindDoc="0" locked="0" layoutInCell="1" allowOverlap="1">
            <wp:simplePos x="0" y="0"/>
            <wp:positionH relativeFrom="column">
              <wp:posOffset>725678</wp:posOffset>
            </wp:positionH>
            <wp:positionV relativeFrom="paragraph">
              <wp:posOffset>-166878</wp:posOffset>
            </wp:positionV>
            <wp:extent cx="8098790" cy="883920"/>
            <wp:effectExtent l="0" t="0" r="35560" b="11430"/>
            <wp:wrapSquare wrapText="bothSides"/>
            <wp:docPr id="97" name="Diagram 97" descr="Identification and reporting framework"/>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H relativeFrom="page">
              <wp14:pctWidth>0</wp14:pctWidth>
            </wp14:sizeRelH>
            <wp14:sizeRelV relativeFrom="page">
              <wp14:pctHeight>0</wp14:pctHeight>
            </wp14:sizeRelV>
          </wp:anchor>
        </w:drawing>
      </w:r>
    </w:p>
    <w:p w:rsidR="00563501" w:rsidRDefault="00563501" w:rsidP="00563501">
      <w:pPr>
        <w:spacing w:after="120"/>
      </w:pPr>
    </w:p>
    <w:p w:rsidR="00563501" w:rsidRDefault="00563501" w:rsidP="00563501">
      <w:pPr>
        <w:spacing w:after="120"/>
      </w:pPr>
    </w:p>
    <w:p w:rsidR="00563501" w:rsidRDefault="0079792D" w:rsidP="00563501">
      <w:pPr>
        <w:spacing w:after="120"/>
      </w:pPr>
      <w:bookmarkStart w:id="119" w:name="_GoBack"/>
      <w:bookmarkEnd w:id="119"/>
      <w:r>
        <w:rPr>
          <w:noProof/>
          <w:lang w:eastAsia="en-AU"/>
        </w:rPr>
        <w:drawing>
          <wp:anchor distT="0" distB="0" distL="114300" distR="114300" simplePos="0" relativeHeight="251661312" behindDoc="0" locked="0" layoutInCell="1" allowOverlap="1" wp14:anchorId="7B878853" wp14:editId="1985C70D">
            <wp:simplePos x="0" y="0"/>
            <wp:positionH relativeFrom="column">
              <wp:posOffset>1823085</wp:posOffset>
            </wp:positionH>
            <wp:positionV relativeFrom="paragraph">
              <wp:posOffset>247650</wp:posOffset>
            </wp:positionV>
            <wp:extent cx="5988685" cy="3958590"/>
            <wp:effectExtent l="0" t="0" r="0" b="3810"/>
            <wp:wrapSquare wrapText="bothSides"/>
            <wp:docPr id="95" name="Picture 95" descr="Identification and report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88685" cy="395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3501" w:rsidRDefault="00563501" w:rsidP="00563501">
      <w:pPr>
        <w:spacing w:after="120"/>
      </w:pPr>
    </w:p>
    <w:p w:rsidR="00563501" w:rsidRDefault="00563501" w:rsidP="00563501">
      <w:pPr>
        <w:spacing w:after="120"/>
      </w:pPr>
    </w:p>
    <w:p w:rsidR="00563501" w:rsidRPr="00456796" w:rsidRDefault="00563501" w:rsidP="00563501">
      <w:pPr>
        <w:spacing w:after="120"/>
      </w:pPr>
    </w:p>
    <w:tbl>
      <w:tblPr>
        <w:tblW w:w="1501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2559"/>
        <w:gridCol w:w="2451"/>
        <w:gridCol w:w="3591"/>
        <w:gridCol w:w="4074"/>
        <w:gridCol w:w="2337"/>
      </w:tblGrid>
      <w:tr w:rsidR="00563501" w:rsidRPr="006C311F" w:rsidTr="001A73A4">
        <w:trPr>
          <w:trHeight w:val="699"/>
          <w:tblHeader/>
        </w:trPr>
        <w:tc>
          <w:tcPr>
            <w:tcW w:w="2559" w:type="dxa"/>
            <w:tcBorders>
              <w:top w:val="single" w:sz="8" w:space="0" w:color="FFFFFF"/>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b/>
                <w:bCs/>
                <w:color w:val="FFFFFF"/>
              </w:rPr>
            </w:pPr>
            <w:r w:rsidRPr="006C311F">
              <w:rPr>
                <w:rFonts w:ascii="Arial Narrow" w:hAnsi="Arial Narrow"/>
                <w:b/>
                <w:bCs/>
                <w:color w:val="FFFFFF"/>
              </w:rPr>
              <w:lastRenderedPageBreak/>
              <w:t>Variables</w:t>
            </w:r>
          </w:p>
        </w:tc>
        <w:tc>
          <w:tcPr>
            <w:tcW w:w="24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1A73A4">
            <w:pPr>
              <w:jc w:val="center"/>
              <w:rPr>
                <w:rFonts w:ascii="Arial Narrow" w:hAnsi="Arial Narrow"/>
                <w:b/>
                <w:bCs/>
                <w:color w:val="FFFFFF"/>
              </w:rPr>
            </w:pPr>
            <w:r w:rsidRPr="006C311F">
              <w:rPr>
                <w:rFonts w:ascii="Arial Narrow" w:hAnsi="Arial Narrow"/>
                <w:b/>
                <w:bCs/>
                <w:color w:val="FFFFFF"/>
              </w:rPr>
              <w:t>Metric</w:t>
            </w:r>
          </w:p>
        </w:tc>
        <w:tc>
          <w:tcPr>
            <w:tcW w:w="359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1A73A4">
            <w:pPr>
              <w:jc w:val="center"/>
              <w:rPr>
                <w:rFonts w:ascii="Arial Narrow" w:hAnsi="Arial Narrow"/>
                <w:b/>
                <w:bCs/>
                <w:color w:val="FFFFFF"/>
              </w:rPr>
            </w:pPr>
            <w:r w:rsidRPr="006C311F">
              <w:rPr>
                <w:rFonts w:ascii="Arial Narrow" w:hAnsi="Arial Narrow"/>
                <w:b/>
                <w:bCs/>
                <w:color w:val="FFFFFF"/>
              </w:rPr>
              <w:t>Data required</w:t>
            </w:r>
            <w:r>
              <w:rPr>
                <w:rFonts w:ascii="Arial Narrow" w:hAnsi="Arial Narrow"/>
                <w:b/>
                <w:bCs/>
                <w:color w:val="FFFFFF"/>
              </w:rPr>
              <w:t xml:space="preserve"> </w:t>
            </w:r>
            <w:r w:rsidRPr="00A64C0F">
              <w:rPr>
                <w:rFonts w:ascii="Arial Narrow" w:hAnsi="Arial Narrow"/>
                <w:b/>
                <w:bCs/>
                <w:color w:val="FFFFFF"/>
                <w:vertAlign w:val="superscript"/>
              </w:rPr>
              <w:t>(1)</w:t>
            </w:r>
          </w:p>
        </w:tc>
        <w:tc>
          <w:tcPr>
            <w:tcW w:w="40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1A73A4">
            <w:pPr>
              <w:jc w:val="center"/>
              <w:rPr>
                <w:rFonts w:ascii="Arial Narrow" w:hAnsi="Arial Narrow"/>
                <w:b/>
                <w:bCs/>
                <w:color w:val="FFFFFF"/>
              </w:rPr>
            </w:pPr>
            <w:r w:rsidRPr="006C311F">
              <w:rPr>
                <w:rFonts w:ascii="Arial Narrow" w:hAnsi="Arial Narrow"/>
                <w:b/>
                <w:bCs/>
                <w:color w:val="FFFFFF"/>
              </w:rPr>
              <w:t>Source</w:t>
            </w:r>
            <w:r>
              <w:rPr>
                <w:rFonts w:ascii="Arial Narrow" w:hAnsi="Arial Narrow"/>
                <w:b/>
                <w:bCs/>
                <w:color w:val="FFFFFF"/>
              </w:rPr>
              <w:t xml:space="preserve"> </w:t>
            </w:r>
            <w:r w:rsidRPr="00A64C0F">
              <w:rPr>
                <w:rFonts w:ascii="Arial Narrow" w:hAnsi="Arial Narrow"/>
                <w:b/>
                <w:bCs/>
                <w:color w:val="FFFFFF"/>
                <w:vertAlign w:val="superscript"/>
              </w:rPr>
              <w:t>(2)</w:t>
            </w:r>
          </w:p>
        </w:tc>
        <w:tc>
          <w:tcPr>
            <w:tcW w:w="2337" w:type="dxa"/>
            <w:tcBorders>
              <w:top w:val="single" w:sz="8" w:space="0" w:color="FFFFFF"/>
              <w:left w:val="single" w:sz="8" w:space="0" w:color="FFFFFF"/>
              <w:bottom w:val="single" w:sz="8" w:space="0" w:color="FFFFFF"/>
            </w:tcBorders>
            <w:shd w:val="clear" w:color="auto" w:fill="A7BFDE"/>
            <w:vAlign w:val="center"/>
          </w:tcPr>
          <w:p w:rsidR="00563501" w:rsidRPr="006C311F" w:rsidRDefault="00563501" w:rsidP="001A73A4">
            <w:pPr>
              <w:jc w:val="center"/>
              <w:rPr>
                <w:rFonts w:ascii="Arial Narrow" w:hAnsi="Arial Narrow"/>
                <w:b/>
                <w:bCs/>
                <w:color w:val="FFFFFF"/>
              </w:rPr>
            </w:pPr>
            <w:r>
              <w:rPr>
                <w:rFonts w:ascii="Arial Narrow" w:hAnsi="Arial Narrow"/>
                <w:b/>
                <w:bCs/>
                <w:color w:val="FFFFFF"/>
              </w:rPr>
              <w:t xml:space="preserve">Remarks </w:t>
            </w:r>
          </w:p>
        </w:tc>
      </w:tr>
      <w:tr w:rsidR="00563501" w:rsidRPr="006C311F" w:rsidTr="001A73A4">
        <w:tc>
          <w:tcPr>
            <w:tcW w:w="2559" w:type="dxa"/>
            <w:tcBorders>
              <w:top w:val="single" w:sz="8" w:space="0" w:color="FFFFFF"/>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sidRPr="006C311F">
              <w:rPr>
                <w:rFonts w:ascii="Arial Narrow" w:hAnsi="Arial Narrow" w:cs="Arial"/>
                <w:b/>
                <w:bCs/>
                <w:color w:val="FFFFFF"/>
              </w:rPr>
              <w:t>New listings</w:t>
            </w:r>
            <w:r>
              <w:rPr>
                <w:rFonts w:ascii="Arial Narrow" w:hAnsi="Arial Narrow" w:cs="Arial"/>
                <w:b/>
                <w:bCs/>
                <w:color w:val="FFFFFF"/>
              </w:rPr>
              <w:t xml:space="preserve"> </w:t>
            </w:r>
            <w:r w:rsidRPr="00005178">
              <w:rPr>
                <w:rFonts w:ascii="Arial Narrow" w:hAnsi="Arial Narrow" w:cs="Arial"/>
                <w:b/>
                <w:bCs/>
                <w:color w:val="FFFFFF"/>
                <w:vertAlign w:val="superscript"/>
              </w:rPr>
              <w:t>(3)</w:t>
            </w:r>
            <w:r>
              <w:rPr>
                <w:rFonts w:ascii="Arial Narrow" w:hAnsi="Arial Narrow" w:cs="Arial"/>
                <w:b/>
                <w:bCs/>
                <w:color w:val="FFFFFF"/>
              </w:rPr>
              <w:t xml:space="preserve"> </w:t>
            </w:r>
            <w:r w:rsidRPr="006C311F">
              <w:rPr>
                <w:rFonts w:ascii="Arial Narrow" w:hAnsi="Arial Narrow" w:cs="Arial"/>
                <w:b/>
                <w:bCs/>
                <w:color w:val="FFFFFF"/>
              </w:rPr>
              <w:t>on the PBS</w:t>
            </w:r>
            <w:r>
              <w:rPr>
                <w:rFonts w:ascii="Arial Narrow" w:hAnsi="Arial Narrow" w:cs="Arial"/>
                <w:b/>
                <w:bCs/>
                <w:color w:val="FFFFFF"/>
              </w:rPr>
              <w:t xml:space="preserve"> in previous 12 months</w:t>
            </w:r>
          </w:p>
        </w:tc>
        <w:tc>
          <w:tcPr>
            <w:tcW w:w="24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1A73A4">
            <w:pPr>
              <w:jc w:val="center"/>
              <w:rPr>
                <w:rFonts w:ascii="Arial Narrow" w:hAnsi="Arial Narrow"/>
              </w:rPr>
            </w:pPr>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attributable to new medicine listings in last 12 months</w:t>
            </w:r>
          </w:p>
        </w:tc>
        <w:tc>
          <w:tcPr>
            <w:tcW w:w="359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98384D">
            <w:pPr>
              <w:pStyle w:val="ListParagraph"/>
              <w:numPr>
                <w:ilvl w:val="0"/>
                <w:numId w:val="12"/>
              </w:numPr>
              <w:spacing w:after="0" w:line="240" w:lineRule="auto"/>
              <w:rPr>
                <w:rFonts w:ascii="Arial Narrow" w:hAnsi="Arial Narrow"/>
                <w:sz w:val="24"/>
                <w:szCs w:val="24"/>
              </w:rPr>
            </w:pPr>
            <w:r w:rsidRPr="006C311F">
              <w:rPr>
                <w:rFonts w:ascii="Arial Narrow" w:hAnsi="Arial Narrow"/>
                <w:sz w:val="24"/>
                <w:szCs w:val="24"/>
              </w:rPr>
              <w:t>New listings on the PBS</w:t>
            </w:r>
            <w:r>
              <w:rPr>
                <w:rFonts w:ascii="Arial Narrow" w:hAnsi="Arial Narrow"/>
                <w:sz w:val="24"/>
                <w:szCs w:val="24"/>
              </w:rPr>
              <w:t xml:space="preserve"> in previous 12 months</w:t>
            </w:r>
          </w:p>
          <w:p w:rsidR="00563501" w:rsidRDefault="00563501" w:rsidP="0098384D">
            <w:pPr>
              <w:pStyle w:val="ListParagraph"/>
              <w:numPr>
                <w:ilvl w:val="0"/>
                <w:numId w:val="12"/>
              </w:numPr>
              <w:spacing w:after="0" w:line="240" w:lineRule="auto"/>
              <w:rPr>
                <w:rFonts w:ascii="Arial Narrow" w:hAnsi="Arial Narrow"/>
                <w:sz w:val="24"/>
                <w:szCs w:val="24"/>
              </w:rPr>
            </w:pPr>
            <w:r w:rsidRPr="006C311F">
              <w:rPr>
                <w:rFonts w:ascii="Arial Narrow" w:hAnsi="Arial Narrow"/>
                <w:sz w:val="24"/>
                <w:szCs w:val="24"/>
              </w:rPr>
              <w:t xml:space="preserve">Expenditure on new listings </w:t>
            </w:r>
            <w:r>
              <w:rPr>
                <w:rFonts w:ascii="Arial Narrow" w:hAnsi="Arial Narrow"/>
                <w:sz w:val="24"/>
                <w:szCs w:val="24"/>
              </w:rPr>
              <w:t xml:space="preserve">(previous 12 months) </w:t>
            </w:r>
            <w:r w:rsidRPr="006C311F">
              <w:rPr>
                <w:rFonts w:ascii="Arial Narrow" w:hAnsi="Arial Narrow"/>
                <w:sz w:val="24"/>
                <w:szCs w:val="24"/>
              </w:rPr>
              <w:t>on the PBS</w:t>
            </w:r>
          </w:p>
          <w:p w:rsidR="00563501" w:rsidRPr="006C311F" w:rsidRDefault="00563501" w:rsidP="0098384D">
            <w:pPr>
              <w:pStyle w:val="ListParagraph"/>
              <w:numPr>
                <w:ilvl w:val="0"/>
                <w:numId w:val="12"/>
              </w:numPr>
              <w:spacing w:after="0" w:line="240" w:lineRule="auto"/>
              <w:rPr>
                <w:rFonts w:ascii="Arial Narrow" w:hAnsi="Arial Narrow"/>
                <w:sz w:val="24"/>
                <w:szCs w:val="24"/>
              </w:rPr>
            </w:pPr>
            <w:r>
              <w:rPr>
                <w:rFonts w:ascii="Arial Narrow" w:hAnsi="Arial Narrow"/>
                <w:sz w:val="24"/>
                <w:szCs w:val="24"/>
              </w:rPr>
              <w:t xml:space="preserve">Reports on predicted vs actual expenditure for new PBS listings </w:t>
            </w:r>
            <w:r w:rsidRPr="00CE44F5">
              <w:rPr>
                <w:rFonts w:ascii="Arial Narrow" w:hAnsi="Arial Narrow"/>
                <w:b/>
                <w:sz w:val="24"/>
                <w:szCs w:val="24"/>
                <w:vertAlign w:val="superscript"/>
              </w:rPr>
              <w:t>(</w:t>
            </w:r>
            <w:r>
              <w:rPr>
                <w:rFonts w:ascii="Arial Narrow" w:hAnsi="Arial Narrow"/>
                <w:b/>
                <w:sz w:val="24"/>
                <w:szCs w:val="24"/>
                <w:vertAlign w:val="superscript"/>
              </w:rPr>
              <w:t>4</w:t>
            </w:r>
            <w:r w:rsidRPr="00CE44F5">
              <w:rPr>
                <w:rFonts w:ascii="Arial Narrow" w:hAnsi="Arial Narrow"/>
                <w:b/>
                <w:sz w:val="24"/>
                <w:szCs w:val="24"/>
                <w:vertAlign w:val="superscript"/>
              </w:rPr>
              <w:t>)</w:t>
            </w:r>
          </w:p>
        </w:tc>
        <w:tc>
          <w:tcPr>
            <w:tcW w:w="40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98384D">
            <w:pPr>
              <w:pStyle w:val="ListParagraph"/>
              <w:numPr>
                <w:ilvl w:val="0"/>
                <w:numId w:val="13"/>
              </w:numPr>
              <w:spacing w:after="0" w:line="240" w:lineRule="auto"/>
              <w:rPr>
                <w:rFonts w:ascii="Arial Narrow" w:hAnsi="Arial Narrow"/>
                <w:sz w:val="24"/>
                <w:szCs w:val="24"/>
              </w:rPr>
            </w:pPr>
            <w:r w:rsidRPr="006C311F">
              <w:rPr>
                <w:rFonts w:ascii="Arial Narrow" w:hAnsi="Arial Narrow"/>
                <w:sz w:val="24"/>
                <w:szCs w:val="24"/>
              </w:rPr>
              <w:t>PBAC or pbs.gov.au - New Listings and Changes fact sheets (</w:t>
            </w:r>
            <w:hyperlink r:id="rId73" w:history="1">
              <w:r w:rsidRPr="006C311F">
                <w:rPr>
                  <w:rStyle w:val="Hyperlink"/>
                  <w:rFonts w:ascii="Arial Narrow" w:hAnsi="Arial Narrow"/>
                  <w:sz w:val="24"/>
                  <w:szCs w:val="24"/>
                </w:rPr>
                <w:t>http://pbs.gov.au/html/healthpro/publication/list</w:t>
              </w:r>
            </w:hyperlink>
            <w:r w:rsidRPr="006C311F">
              <w:rPr>
                <w:rFonts w:ascii="Arial Narrow" w:hAnsi="Arial Narrow"/>
                <w:sz w:val="24"/>
                <w:szCs w:val="24"/>
              </w:rPr>
              <w:t xml:space="preserve"> )</w:t>
            </w:r>
          </w:p>
          <w:p w:rsidR="00563501" w:rsidRDefault="00563501" w:rsidP="0098384D">
            <w:pPr>
              <w:pStyle w:val="ListParagraph"/>
              <w:numPr>
                <w:ilvl w:val="0"/>
                <w:numId w:val="13"/>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sidRPr="006C311F">
              <w:rPr>
                <w:rFonts w:ascii="Arial Narrow" w:hAnsi="Arial Narrow"/>
                <w:sz w:val="24"/>
                <w:szCs w:val="24"/>
              </w:rPr>
              <w:t xml:space="preserve"> data</w:t>
            </w:r>
          </w:p>
          <w:p w:rsidR="00563501" w:rsidRPr="006C311F" w:rsidRDefault="00563501" w:rsidP="0098384D">
            <w:pPr>
              <w:pStyle w:val="ListParagraph"/>
              <w:numPr>
                <w:ilvl w:val="0"/>
                <w:numId w:val="13"/>
              </w:numPr>
              <w:spacing w:after="0" w:line="240" w:lineRule="auto"/>
              <w:rPr>
                <w:rFonts w:ascii="Arial Narrow" w:hAnsi="Arial Narrow"/>
                <w:sz w:val="24"/>
                <w:szCs w:val="24"/>
              </w:rPr>
            </w:pPr>
            <w:r>
              <w:rPr>
                <w:rFonts w:ascii="Arial Narrow" w:hAnsi="Arial Narrow"/>
                <w:sz w:val="24"/>
                <w:szCs w:val="24"/>
              </w:rPr>
              <w:t>DUSC reports</w:t>
            </w:r>
          </w:p>
        </w:tc>
        <w:tc>
          <w:tcPr>
            <w:tcW w:w="2337" w:type="dxa"/>
            <w:tcBorders>
              <w:top w:val="single" w:sz="8" w:space="0" w:color="FFFFFF"/>
              <w:left w:val="single" w:sz="8" w:space="0" w:color="FFFFFF"/>
              <w:bottom w:val="single" w:sz="8" w:space="0" w:color="FFFFFF"/>
            </w:tcBorders>
            <w:shd w:val="clear" w:color="auto" w:fill="A7BFD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Where it is possible to identify the effect of a new or extended listing, examine expenditure of these new listings in relation to overall PBS growth</w:t>
            </w:r>
          </w:p>
        </w:tc>
      </w:tr>
      <w:tr w:rsidR="00563501" w:rsidRPr="006C311F" w:rsidTr="001A73A4">
        <w:tc>
          <w:tcPr>
            <w:tcW w:w="2559" w:type="dxa"/>
            <w:tcBorders>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sidRPr="006C311F">
              <w:rPr>
                <w:rFonts w:ascii="Arial Narrow" w:hAnsi="Arial Narrow" w:cs="Arial"/>
                <w:b/>
                <w:bCs/>
                <w:color w:val="FFFFFF"/>
              </w:rPr>
              <w:t>New listings</w:t>
            </w:r>
            <w:r>
              <w:rPr>
                <w:rFonts w:ascii="Arial Narrow" w:hAnsi="Arial Narrow" w:cs="Arial"/>
                <w:b/>
                <w:bCs/>
                <w:color w:val="FFFFFF"/>
              </w:rPr>
              <w:t xml:space="preserve"> </w:t>
            </w:r>
            <w:r w:rsidRPr="00005178">
              <w:rPr>
                <w:rFonts w:ascii="Arial Narrow" w:hAnsi="Arial Narrow" w:cs="Arial"/>
                <w:b/>
                <w:bCs/>
                <w:color w:val="FFFFFF"/>
                <w:vertAlign w:val="superscript"/>
              </w:rPr>
              <w:t>(3)</w:t>
            </w:r>
            <w:r>
              <w:rPr>
                <w:rFonts w:ascii="Arial Narrow" w:hAnsi="Arial Narrow" w:cs="Arial"/>
                <w:b/>
                <w:bCs/>
                <w:color w:val="FFFFFF"/>
              </w:rPr>
              <w:t xml:space="preserve"> </w:t>
            </w:r>
            <w:r w:rsidRPr="006C311F">
              <w:rPr>
                <w:rFonts w:ascii="Arial Narrow" w:hAnsi="Arial Narrow" w:cs="Arial"/>
                <w:b/>
                <w:bCs/>
                <w:color w:val="FFFFFF"/>
              </w:rPr>
              <w:t>on the PBS</w:t>
            </w:r>
            <w:r>
              <w:rPr>
                <w:rFonts w:ascii="Arial Narrow" w:hAnsi="Arial Narrow" w:cs="Arial"/>
                <w:b/>
                <w:bCs/>
                <w:color w:val="FFFFFF"/>
              </w:rPr>
              <w:t xml:space="preserve"> in previous 4 years</w:t>
            </w:r>
          </w:p>
        </w:tc>
        <w:tc>
          <w:tcPr>
            <w:tcW w:w="2451" w:type="dxa"/>
            <w:shd w:val="clear" w:color="auto" w:fill="D3DFEE"/>
            <w:vAlign w:val="center"/>
          </w:tcPr>
          <w:p w:rsidR="00563501" w:rsidRPr="006C311F" w:rsidRDefault="00563501" w:rsidP="001A73A4">
            <w:pPr>
              <w:jc w:val="center"/>
              <w:rPr>
                <w:rFonts w:ascii="Arial Narrow" w:hAnsi="Arial Narrow"/>
              </w:rPr>
            </w:pPr>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attributable to new medicine listings in last 4 years</w:t>
            </w:r>
          </w:p>
        </w:tc>
        <w:tc>
          <w:tcPr>
            <w:tcW w:w="3591" w:type="dxa"/>
            <w:shd w:val="clear" w:color="auto" w:fill="D3DFEE"/>
            <w:vAlign w:val="center"/>
          </w:tcPr>
          <w:p w:rsidR="00563501" w:rsidRPr="006C311F" w:rsidRDefault="00563501" w:rsidP="0098384D">
            <w:pPr>
              <w:pStyle w:val="ListParagraph"/>
              <w:numPr>
                <w:ilvl w:val="0"/>
                <w:numId w:val="14"/>
              </w:numPr>
              <w:spacing w:after="0" w:line="240" w:lineRule="auto"/>
              <w:rPr>
                <w:rFonts w:ascii="Arial Narrow" w:hAnsi="Arial Narrow"/>
                <w:sz w:val="24"/>
                <w:szCs w:val="24"/>
              </w:rPr>
            </w:pPr>
            <w:r w:rsidRPr="006C311F">
              <w:rPr>
                <w:rFonts w:ascii="Arial Narrow" w:hAnsi="Arial Narrow"/>
                <w:sz w:val="24"/>
                <w:szCs w:val="24"/>
              </w:rPr>
              <w:t>New listings on the PBS</w:t>
            </w:r>
            <w:r>
              <w:rPr>
                <w:rFonts w:ascii="Arial Narrow" w:hAnsi="Arial Narrow"/>
                <w:sz w:val="24"/>
                <w:szCs w:val="24"/>
              </w:rPr>
              <w:t xml:space="preserve"> in previous 4 years</w:t>
            </w:r>
          </w:p>
          <w:p w:rsidR="00563501" w:rsidRDefault="00563501" w:rsidP="0098384D">
            <w:pPr>
              <w:pStyle w:val="ListParagraph"/>
              <w:numPr>
                <w:ilvl w:val="0"/>
                <w:numId w:val="14"/>
              </w:numPr>
              <w:spacing w:after="0" w:line="240" w:lineRule="auto"/>
              <w:rPr>
                <w:rFonts w:ascii="Arial Narrow" w:hAnsi="Arial Narrow"/>
                <w:sz w:val="24"/>
                <w:szCs w:val="24"/>
              </w:rPr>
            </w:pPr>
            <w:r w:rsidRPr="006C311F">
              <w:rPr>
                <w:rFonts w:ascii="Arial Narrow" w:hAnsi="Arial Narrow"/>
                <w:sz w:val="24"/>
                <w:szCs w:val="24"/>
              </w:rPr>
              <w:t xml:space="preserve">Expenditure on new listings </w:t>
            </w:r>
            <w:r>
              <w:rPr>
                <w:rFonts w:ascii="Arial Narrow" w:hAnsi="Arial Narrow"/>
                <w:sz w:val="24"/>
                <w:szCs w:val="24"/>
              </w:rPr>
              <w:t xml:space="preserve">(previous 4 years) </w:t>
            </w:r>
            <w:r w:rsidRPr="006C311F">
              <w:rPr>
                <w:rFonts w:ascii="Arial Narrow" w:hAnsi="Arial Narrow"/>
                <w:sz w:val="24"/>
                <w:szCs w:val="24"/>
              </w:rPr>
              <w:t>on the PBS</w:t>
            </w:r>
          </w:p>
          <w:p w:rsidR="00563501" w:rsidRPr="006C311F" w:rsidRDefault="00563501" w:rsidP="0098384D">
            <w:pPr>
              <w:pStyle w:val="ListParagraph"/>
              <w:numPr>
                <w:ilvl w:val="0"/>
                <w:numId w:val="14"/>
              </w:numPr>
              <w:spacing w:after="0" w:line="240" w:lineRule="auto"/>
              <w:rPr>
                <w:rFonts w:ascii="Arial Narrow" w:hAnsi="Arial Narrow"/>
                <w:sz w:val="24"/>
                <w:szCs w:val="24"/>
              </w:rPr>
            </w:pPr>
            <w:r>
              <w:rPr>
                <w:rFonts w:ascii="Arial Narrow" w:hAnsi="Arial Narrow"/>
                <w:sz w:val="24"/>
                <w:szCs w:val="24"/>
              </w:rPr>
              <w:t xml:space="preserve">Reports on predicted vs actual expenditure for new PBS listings </w:t>
            </w:r>
            <w:r w:rsidRPr="00CE44F5">
              <w:rPr>
                <w:rFonts w:ascii="Arial Narrow" w:hAnsi="Arial Narrow"/>
                <w:b/>
                <w:sz w:val="24"/>
                <w:szCs w:val="24"/>
                <w:vertAlign w:val="superscript"/>
              </w:rPr>
              <w:t>(</w:t>
            </w:r>
            <w:r>
              <w:rPr>
                <w:rFonts w:ascii="Arial Narrow" w:hAnsi="Arial Narrow"/>
                <w:b/>
                <w:sz w:val="24"/>
                <w:szCs w:val="24"/>
                <w:vertAlign w:val="superscript"/>
              </w:rPr>
              <w:t>4</w:t>
            </w:r>
            <w:r w:rsidRPr="00CE44F5">
              <w:rPr>
                <w:rFonts w:ascii="Arial Narrow" w:hAnsi="Arial Narrow"/>
                <w:b/>
                <w:sz w:val="24"/>
                <w:szCs w:val="24"/>
                <w:vertAlign w:val="superscript"/>
              </w:rPr>
              <w:t>)</w:t>
            </w:r>
          </w:p>
        </w:tc>
        <w:tc>
          <w:tcPr>
            <w:tcW w:w="4074" w:type="dxa"/>
            <w:shd w:val="clear" w:color="auto" w:fill="D3DFEE"/>
            <w:vAlign w:val="center"/>
          </w:tcPr>
          <w:p w:rsidR="00563501" w:rsidRPr="006C311F" w:rsidRDefault="00563501" w:rsidP="0098384D">
            <w:pPr>
              <w:pStyle w:val="ListParagraph"/>
              <w:numPr>
                <w:ilvl w:val="0"/>
                <w:numId w:val="16"/>
              </w:numPr>
              <w:spacing w:after="0" w:line="240" w:lineRule="auto"/>
              <w:rPr>
                <w:rFonts w:ascii="Arial Narrow" w:hAnsi="Arial Narrow"/>
                <w:sz w:val="24"/>
                <w:szCs w:val="24"/>
              </w:rPr>
            </w:pPr>
            <w:r w:rsidRPr="006C311F">
              <w:rPr>
                <w:rFonts w:ascii="Arial Narrow" w:hAnsi="Arial Narrow"/>
                <w:sz w:val="24"/>
                <w:szCs w:val="24"/>
              </w:rPr>
              <w:t>PBAC or pbs.gov.au - New Listings and Changes fact sheets (</w:t>
            </w:r>
            <w:hyperlink r:id="rId74" w:history="1">
              <w:r w:rsidRPr="006C311F">
                <w:rPr>
                  <w:rStyle w:val="Hyperlink"/>
                  <w:rFonts w:ascii="Arial Narrow" w:hAnsi="Arial Narrow"/>
                  <w:sz w:val="24"/>
                  <w:szCs w:val="24"/>
                </w:rPr>
                <w:t>http://pbs.gov.au/html/healthpro/publication/list</w:t>
              </w:r>
            </w:hyperlink>
            <w:r w:rsidRPr="006C311F">
              <w:rPr>
                <w:rFonts w:ascii="Arial Narrow" w:hAnsi="Arial Narrow"/>
                <w:sz w:val="24"/>
                <w:szCs w:val="24"/>
              </w:rPr>
              <w:t xml:space="preserve"> )</w:t>
            </w:r>
          </w:p>
          <w:p w:rsidR="00563501" w:rsidRDefault="00563501" w:rsidP="0098384D">
            <w:pPr>
              <w:pStyle w:val="ListParagraph"/>
              <w:numPr>
                <w:ilvl w:val="0"/>
                <w:numId w:val="16"/>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sidRPr="006C311F">
              <w:rPr>
                <w:rFonts w:ascii="Arial Narrow" w:hAnsi="Arial Narrow"/>
                <w:sz w:val="24"/>
                <w:szCs w:val="24"/>
              </w:rPr>
              <w:t xml:space="preserve"> data</w:t>
            </w:r>
          </w:p>
          <w:p w:rsidR="00563501" w:rsidRPr="006C311F" w:rsidRDefault="00563501" w:rsidP="0098384D">
            <w:pPr>
              <w:pStyle w:val="ListParagraph"/>
              <w:numPr>
                <w:ilvl w:val="0"/>
                <w:numId w:val="16"/>
              </w:numPr>
              <w:spacing w:after="0" w:line="240" w:lineRule="auto"/>
              <w:rPr>
                <w:rFonts w:ascii="Arial Narrow" w:hAnsi="Arial Narrow"/>
                <w:sz w:val="24"/>
                <w:szCs w:val="24"/>
              </w:rPr>
            </w:pPr>
            <w:r>
              <w:rPr>
                <w:rFonts w:ascii="Arial Narrow" w:hAnsi="Arial Narrow"/>
                <w:sz w:val="24"/>
                <w:szCs w:val="24"/>
              </w:rPr>
              <w:t>DUSC reports</w:t>
            </w:r>
          </w:p>
        </w:tc>
        <w:tc>
          <w:tcPr>
            <w:tcW w:w="2337" w:type="dxa"/>
            <w:shd w:val="clear" w:color="auto" w:fill="D3DFE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Where it is possible to identify the effect of a new or extended listing, examine expenditure of these new listings in relation to overall PBS growth</w:t>
            </w:r>
          </w:p>
        </w:tc>
      </w:tr>
      <w:tr w:rsidR="00563501" w:rsidRPr="006C311F" w:rsidTr="001A73A4">
        <w:trPr>
          <w:cantSplit/>
        </w:trPr>
        <w:tc>
          <w:tcPr>
            <w:tcW w:w="2559" w:type="dxa"/>
            <w:tcBorders>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sidRPr="006C311F">
              <w:rPr>
                <w:rFonts w:ascii="Arial Narrow" w:hAnsi="Arial Narrow" w:cs="Arial"/>
                <w:b/>
                <w:bCs/>
                <w:color w:val="FFFFFF"/>
              </w:rPr>
              <w:t>Prescriptions</w:t>
            </w:r>
          </w:p>
        </w:tc>
        <w:tc>
          <w:tcPr>
            <w:tcW w:w="2451" w:type="dxa"/>
            <w:shd w:val="clear" w:color="auto" w:fill="D3DFEE"/>
            <w:vAlign w:val="center"/>
          </w:tcPr>
          <w:p w:rsidR="00563501" w:rsidRPr="006C311F" w:rsidRDefault="00563501" w:rsidP="001A73A4">
            <w:pPr>
              <w:jc w:val="center"/>
              <w:rPr>
                <w:rFonts w:ascii="Arial Narrow" w:hAnsi="Arial Narrow"/>
              </w:rPr>
            </w:pPr>
            <w:r w:rsidRPr="006C311F">
              <w:rPr>
                <w:rFonts w:ascii="Arial Narrow" w:hAnsi="Arial Narrow"/>
              </w:rPr>
              <w:t>% contribution total increase in PBS expenditure</w:t>
            </w:r>
          </w:p>
        </w:tc>
        <w:tc>
          <w:tcPr>
            <w:tcW w:w="3591" w:type="dxa"/>
            <w:shd w:val="clear" w:color="auto" w:fill="D3DFEE"/>
            <w:vAlign w:val="center"/>
          </w:tcPr>
          <w:p w:rsidR="00563501" w:rsidRPr="006C311F" w:rsidRDefault="00563501" w:rsidP="0098384D">
            <w:pPr>
              <w:pStyle w:val="ListParagraph"/>
              <w:numPr>
                <w:ilvl w:val="0"/>
                <w:numId w:val="15"/>
              </w:numPr>
              <w:spacing w:after="0" w:line="240" w:lineRule="auto"/>
              <w:rPr>
                <w:rFonts w:ascii="Arial Narrow" w:hAnsi="Arial Narrow"/>
                <w:sz w:val="24"/>
                <w:szCs w:val="24"/>
              </w:rPr>
            </w:pPr>
            <w:r>
              <w:rPr>
                <w:rFonts w:ascii="Arial Narrow" w:hAnsi="Arial Narrow"/>
                <w:sz w:val="24"/>
                <w:szCs w:val="24"/>
              </w:rPr>
              <w:t>PBS e</w:t>
            </w:r>
            <w:r w:rsidRPr="006C311F">
              <w:rPr>
                <w:rFonts w:ascii="Arial Narrow" w:hAnsi="Arial Narrow"/>
                <w:sz w:val="24"/>
                <w:szCs w:val="24"/>
              </w:rPr>
              <w:t>xpenditure and prescription</w:t>
            </w:r>
            <w:r>
              <w:rPr>
                <w:rFonts w:ascii="Arial Narrow" w:hAnsi="Arial Narrow"/>
                <w:sz w:val="24"/>
                <w:szCs w:val="24"/>
              </w:rPr>
              <w:t>s</w:t>
            </w:r>
            <w:r w:rsidRPr="006C311F">
              <w:rPr>
                <w:rFonts w:ascii="Arial Narrow" w:hAnsi="Arial Narrow"/>
                <w:sz w:val="24"/>
                <w:szCs w:val="24"/>
              </w:rPr>
              <w:t xml:space="preserve"> by item code</w:t>
            </w:r>
          </w:p>
          <w:p w:rsidR="00563501" w:rsidRPr="006C311F" w:rsidRDefault="00563501" w:rsidP="0098384D">
            <w:pPr>
              <w:pStyle w:val="ListParagraph"/>
              <w:numPr>
                <w:ilvl w:val="0"/>
                <w:numId w:val="15"/>
              </w:numPr>
              <w:spacing w:after="0" w:line="240" w:lineRule="auto"/>
              <w:rPr>
                <w:rFonts w:ascii="Arial Narrow" w:hAnsi="Arial Narrow"/>
                <w:sz w:val="24"/>
                <w:szCs w:val="24"/>
              </w:rPr>
            </w:pPr>
            <w:r w:rsidRPr="006C311F">
              <w:rPr>
                <w:rFonts w:ascii="Arial Narrow" w:hAnsi="Arial Narrow"/>
                <w:sz w:val="24"/>
                <w:szCs w:val="24"/>
              </w:rPr>
              <w:t>Change in script by item code</w:t>
            </w:r>
          </w:p>
          <w:p w:rsidR="00563501" w:rsidRDefault="00563501" w:rsidP="0098384D">
            <w:pPr>
              <w:pStyle w:val="ListParagraph"/>
              <w:numPr>
                <w:ilvl w:val="0"/>
                <w:numId w:val="15"/>
              </w:numPr>
              <w:spacing w:after="0" w:line="240" w:lineRule="auto"/>
              <w:rPr>
                <w:rFonts w:ascii="Arial Narrow" w:hAnsi="Arial Narrow"/>
                <w:sz w:val="24"/>
                <w:szCs w:val="24"/>
              </w:rPr>
            </w:pPr>
            <w:r>
              <w:rPr>
                <w:rFonts w:ascii="Arial Narrow" w:hAnsi="Arial Narrow"/>
                <w:sz w:val="24"/>
                <w:szCs w:val="24"/>
              </w:rPr>
              <w:t>average number of prescriptions per GP visit</w:t>
            </w:r>
          </w:p>
          <w:p w:rsidR="00563501" w:rsidRPr="006C311F" w:rsidRDefault="00563501" w:rsidP="0098384D">
            <w:pPr>
              <w:pStyle w:val="ListParagraph"/>
              <w:numPr>
                <w:ilvl w:val="0"/>
                <w:numId w:val="15"/>
              </w:numPr>
              <w:spacing w:after="0" w:line="240" w:lineRule="auto"/>
              <w:rPr>
                <w:rFonts w:ascii="Arial Narrow" w:hAnsi="Arial Narrow"/>
                <w:sz w:val="24"/>
                <w:szCs w:val="24"/>
              </w:rPr>
            </w:pPr>
            <w:r>
              <w:rPr>
                <w:rFonts w:ascii="Arial Narrow" w:hAnsi="Arial Narrow"/>
                <w:sz w:val="24"/>
                <w:szCs w:val="24"/>
              </w:rPr>
              <w:t>Number of GP visits</w:t>
            </w:r>
          </w:p>
        </w:tc>
        <w:tc>
          <w:tcPr>
            <w:tcW w:w="4074" w:type="dxa"/>
            <w:shd w:val="clear" w:color="auto" w:fill="D3DFEE"/>
            <w:vAlign w:val="center"/>
          </w:tcPr>
          <w:p w:rsidR="00563501" w:rsidRDefault="00563501" w:rsidP="0098384D">
            <w:pPr>
              <w:pStyle w:val="ListParagraph"/>
              <w:numPr>
                <w:ilvl w:val="0"/>
                <w:numId w:val="17"/>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data (PBS and MBS)</w:t>
            </w:r>
          </w:p>
          <w:p w:rsidR="00563501" w:rsidRPr="006C311F" w:rsidRDefault="00563501" w:rsidP="0098384D">
            <w:pPr>
              <w:pStyle w:val="ListParagraph"/>
              <w:numPr>
                <w:ilvl w:val="0"/>
                <w:numId w:val="17"/>
              </w:numPr>
              <w:spacing w:after="0" w:line="240" w:lineRule="auto"/>
              <w:rPr>
                <w:rFonts w:ascii="Arial Narrow" w:hAnsi="Arial Narrow"/>
                <w:sz w:val="24"/>
                <w:szCs w:val="24"/>
              </w:rPr>
            </w:pPr>
            <w:r>
              <w:rPr>
                <w:rFonts w:ascii="Arial Narrow" w:hAnsi="Arial Narrow"/>
                <w:sz w:val="24"/>
                <w:szCs w:val="24"/>
              </w:rPr>
              <w:t>DUSC under-copayment and private prescription data</w:t>
            </w:r>
          </w:p>
          <w:p w:rsidR="00563501" w:rsidRDefault="00563501" w:rsidP="0098384D">
            <w:pPr>
              <w:pStyle w:val="ListParagraph"/>
              <w:numPr>
                <w:ilvl w:val="0"/>
                <w:numId w:val="17"/>
              </w:numPr>
              <w:spacing w:after="0" w:line="240" w:lineRule="auto"/>
              <w:rPr>
                <w:rFonts w:ascii="Arial Narrow" w:hAnsi="Arial Narrow"/>
                <w:sz w:val="24"/>
                <w:szCs w:val="24"/>
              </w:rPr>
            </w:pPr>
            <w:r w:rsidRPr="006C311F">
              <w:rPr>
                <w:rFonts w:ascii="Arial Narrow" w:hAnsi="Arial Narrow"/>
                <w:sz w:val="24"/>
                <w:szCs w:val="24"/>
              </w:rPr>
              <w:t>PBS schedule</w:t>
            </w:r>
          </w:p>
          <w:p w:rsidR="00563501" w:rsidRPr="006C311F" w:rsidRDefault="00563501" w:rsidP="0098384D">
            <w:pPr>
              <w:pStyle w:val="ListParagraph"/>
              <w:numPr>
                <w:ilvl w:val="0"/>
                <w:numId w:val="17"/>
              </w:numPr>
              <w:spacing w:after="0" w:line="240" w:lineRule="auto"/>
              <w:rPr>
                <w:rFonts w:ascii="Arial Narrow" w:hAnsi="Arial Narrow"/>
                <w:sz w:val="24"/>
                <w:szCs w:val="24"/>
              </w:rPr>
            </w:pPr>
            <w:r>
              <w:rPr>
                <w:rFonts w:ascii="Arial Narrow" w:hAnsi="Arial Narrow"/>
                <w:sz w:val="24"/>
                <w:szCs w:val="24"/>
              </w:rPr>
              <w:t>BEACH survey data</w:t>
            </w:r>
          </w:p>
        </w:tc>
        <w:tc>
          <w:tcPr>
            <w:tcW w:w="2337" w:type="dxa"/>
            <w:shd w:val="clear" w:color="auto" w:fill="D3DFE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Decompose total PBS expenditure growth into growth caused by prescription growth and growth caused by price changes</w:t>
            </w:r>
          </w:p>
        </w:tc>
      </w:tr>
      <w:tr w:rsidR="00563501" w:rsidRPr="006C311F" w:rsidTr="001A73A4">
        <w:trPr>
          <w:cantSplit/>
        </w:trPr>
        <w:tc>
          <w:tcPr>
            <w:tcW w:w="2559" w:type="dxa"/>
            <w:tcBorders>
              <w:top w:val="single" w:sz="8" w:space="0" w:color="FFFFFF"/>
              <w:bottom w:val="nil"/>
              <w:right w:val="single" w:sz="24" w:space="0" w:color="FFFFFF"/>
            </w:tcBorders>
            <w:shd w:val="clear" w:color="auto" w:fill="4F81BD"/>
            <w:vAlign w:val="center"/>
          </w:tcPr>
          <w:p w:rsidR="00563501" w:rsidRPr="006C311F" w:rsidRDefault="00563501" w:rsidP="001A73A4">
            <w:pPr>
              <w:spacing w:after="120"/>
              <w:jc w:val="center"/>
              <w:rPr>
                <w:rFonts w:ascii="Arial Narrow" w:hAnsi="Arial Narrow" w:cs="Arial"/>
                <w:b/>
                <w:bCs/>
                <w:color w:val="FFFFFF"/>
              </w:rPr>
            </w:pPr>
            <w:r w:rsidRPr="006C311F">
              <w:rPr>
                <w:rFonts w:ascii="Arial Narrow" w:hAnsi="Arial Narrow" w:cs="Arial"/>
                <w:b/>
                <w:bCs/>
                <w:color w:val="FFFFFF"/>
              </w:rPr>
              <w:t>Price</w:t>
            </w:r>
          </w:p>
        </w:tc>
        <w:tc>
          <w:tcPr>
            <w:tcW w:w="24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1A73A4">
            <w:pPr>
              <w:jc w:val="center"/>
              <w:rPr>
                <w:rFonts w:ascii="Arial Narrow" w:hAnsi="Arial Narrow"/>
              </w:rPr>
            </w:pPr>
            <w:r w:rsidRPr="006C311F">
              <w:rPr>
                <w:rFonts w:ascii="Arial Narrow" w:hAnsi="Arial Narrow"/>
              </w:rPr>
              <w:t>% contribution total increase in PBS expenditure</w:t>
            </w:r>
          </w:p>
        </w:tc>
        <w:tc>
          <w:tcPr>
            <w:tcW w:w="359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98384D">
            <w:pPr>
              <w:pStyle w:val="ListParagraph"/>
              <w:numPr>
                <w:ilvl w:val="0"/>
                <w:numId w:val="18"/>
              </w:numPr>
              <w:spacing w:after="0" w:line="240" w:lineRule="auto"/>
              <w:rPr>
                <w:rFonts w:ascii="Arial Narrow" w:hAnsi="Arial Narrow"/>
                <w:sz w:val="24"/>
                <w:szCs w:val="24"/>
              </w:rPr>
            </w:pPr>
            <w:r>
              <w:rPr>
                <w:rFonts w:ascii="Arial Narrow" w:hAnsi="Arial Narrow"/>
                <w:sz w:val="24"/>
                <w:szCs w:val="24"/>
              </w:rPr>
              <w:t>PBS e</w:t>
            </w:r>
            <w:r w:rsidRPr="006C311F">
              <w:rPr>
                <w:rFonts w:ascii="Arial Narrow" w:hAnsi="Arial Narrow"/>
                <w:sz w:val="24"/>
                <w:szCs w:val="24"/>
              </w:rPr>
              <w:t>xpenditure and prescription</w:t>
            </w:r>
            <w:r>
              <w:rPr>
                <w:rFonts w:ascii="Arial Narrow" w:hAnsi="Arial Narrow"/>
                <w:sz w:val="24"/>
                <w:szCs w:val="24"/>
              </w:rPr>
              <w:t>s</w:t>
            </w:r>
            <w:r w:rsidRPr="006C311F">
              <w:rPr>
                <w:rFonts w:ascii="Arial Narrow" w:hAnsi="Arial Narrow"/>
                <w:sz w:val="24"/>
                <w:szCs w:val="24"/>
              </w:rPr>
              <w:t xml:space="preserve"> by item code</w:t>
            </w:r>
          </w:p>
          <w:p w:rsidR="00563501" w:rsidRDefault="00563501" w:rsidP="0098384D">
            <w:pPr>
              <w:pStyle w:val="ListParagraph"/>
              <w:numPr>
                <w:ilvl w:val="0"/>
                <w:numId w:val="18"/>
              </w:numPr>
              <w:spacing w:after="0" w:line="240" w:lineRule="auto"/>
              <w:rPr>
                <w:rFonts w:ascii="Arial Narrow" w:hAnsi="Arial Narrow"/>
                <w:sz w:val="24"/>
                <w:szCs w:val="24"/>
              </w:rPr>
            </w:pPr>
            <w:r w:rsidRPr="006C311F">
              <w:rPr>
                <w:rFonts w:ascii="Arial Narrow" w:hAnsi="Arial Narrow"/>
                <w:sz w:val="24"/>
                <w:szCs w:val="24"/>
              </w:rPr>
              <w:t xml:space="preserve">Change in </w:t>
            </w:r>
            <w:r>
              <w:rPr>
                <w:rFonts w:ascii="Arial Narrow" w:hAnsi="Arial Narrow"/>
                <w:sz w:val="24"/>
                <w:szCs w:val="24"/>
              </w:rPr>
              <w:t>average government remuneration</w:t>
            </w:r>
            <w:r w:rsidRPr="006C311F">
              <w:rPr>
                <w:rFonts w:ascii="Arial Narrow" w:hAnsi="Arial Narrow"/>
                <w:sz w:val="24"/>
                <w:szCs w:val="24"/>
              </w:rPr>
              <w:t xml:space="preserve"> by item code</w:t>
            </w:r>
            <w:r>
              <w:rPr>
                <w:rFonts w:ascii="Arial Narrow" w:hAnsi="Arial Narrow"/>
                <w:sz w:val="24"/>
                <w:szCs w:val="24"/>
              </w:rPr>
              <w:t xml:space="preserve"> (at CDPMQ prices)</w:t>
            </w:r>
          </w:p>
          <w:p w:rsidR="00563501" w:rsidRPr="006C311F" w:rsidRDefault="00563501" w:rsidP="0098384D">
            <w:pPr>
              <w:pStyle w:val="ListParagraph"/>
              <w:numPr>
                <w:ilvl w:val="0"/>
                <w:numId w:val="18"/>
              </w:numPr>
              <w:spacing w:after="0" w:line="240" w:lineRule="auto"/>
              <w:rPr>
                <w:rFonts w:ascii="Arial Narrow" w:hAnsi="Arial Narrow"/>
                <w:sz w:val="24"/>
                <w:szCs w:val="24"/>
              </w:rPr>
            </w:pPr>
            <w:r>
              <w:rPr>
                <w:rFonts w:ascii="Arial Narrow" w:hAnsi="Arial Narrow"/>
                <w:sz w:val="24"/>
                <w:szCs w:val="24"/>
              </w:rPr>
              <w:t>Prices at ex-man level</w:t>
            </w:r>
          </w:p>
          <w:p w:rsidR="00563501" w:rsidRPr="006C311F" w:rsidRDefault="00563501" w:rsidP="001A73A4">
            <w:pPr>
              <w:jc w:val="center"/>
              <w:rPr>
                <w:rFonts w:ascii="Arial Narrow" w:hAnsi="Arial Narrow"/>
              </w:rPr>
            </w:pPr>
          </w:p>
        </w:tc>
        <w:tc>
          <w:tcPr>
            <w:tcW w:w="40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98384D">
            <w:pPr>
              <w:pStyle w:val="ListParagraph"/>
              <w:numPr>
                <w:ilvl w:val="0"/>
                <w:numId w:val="19"/>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data</w:t>
            </w:r>
          </w:p>
          <w:p w:rsidR="00563501" w:rsidRDefault="00563501" w:rsidP="0098384D">
            <w:pPr>
              <w:pStyle w:val="ListParagraph"/>
              <w:numPr>
                <w:ilvl w:val="0"/>
                <w:numId w:val="19"/>
              </w:numPr>
              <w:spacing w:after="0" w:line="240" w:lineRule="auto"/>
              <w:rPr>
                <w:rFonts w:ascii="Arial Narrow" w:hAnsi="Arial Narrow"/>
                <w:sz w:val="24"/>
                <w:szCs w:val="24"/>
              </w:rPr>
            </w:pPr>
            <w:r>
              <w:rPr>
                <w:rFonts w:ascii="Arial Narrow" w:hAnsi="Arial Narrow"/>
                <w:sz w:val="24"/>
                <w:szCs w:val="24"/>
              </w:rPr>
              <w:t>DUSC data</w:t>
            </w:r>
          </w:p>
          <w:p w:rsidR="00563501" w:rsidRPr="006C311F" w:rsidRDefault="00563501" w:rsidP="0098384D">
            <w:pPr>
              <w:pStyle w:val="ListParagraph"/>
              <w:numPr>
                <w:ilvl w:val="0"/>
                <w:numId w:val="19"/>
              </w:numPr>
              <w:spacing w:after="0" w:line="240" w:lineRule="auto"/>
              <w:rPr>
                <w:rFonts w:ascii="Arial Narrow" w:hAnsi="Arial Narrow"/>
                <w:sz w:val="24"/>
                <w:szCs w:val="24"/>
              </w:rPr>
            </w:pPr>
            <w:r w:rsidRPr="006C311F">
              <w:rPr>
                <w:rFonts w:ascii="Arial Narrow" w:hAnsi="Arial Narrow"/>
                <w:sz w:val="24"/>
                <w:szCs w:val="24"/>
              </w:rPr>
              <w:t>PBS schedule</w:t>
            </w:r>
          </w:p>
          <w:p w:rsidR="00563501" w:rsidRPr="006C311F" w:rsidRDefault="00563501" w:rsidP="001A73A4">
            <w:pPr>
              <w:jc w:val="center"/>
              <w:rPr>
                <w:rFonts w:ascii="Arial Narrow" w:hAnsi="Arial Narrow"/>
              </w:rPr>
            </w:pPr>
          </w:p>
        </w:tc>
        <w:tc>
          <w:tcPr>
            <w:tcW w:w="2337" w:type="dxa"/>
            <w:tcBorders>
              <w:top w:val="single" w:sz="8" w:space="0" w:color="FFFFFF"/>
              <w:left w:val="single" w:sz="8" w:space="0" w:color="FFFFFF"/>
              <w:bottom w:val="single" w:sz="8" w:space="0" w:color="FFFFFF"/>
            </w:tcBorders>
            <w:shd w:val="clear" w:color="auto" w:fill="A7BFD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Decompose total PBS expenditure growth into growth caused by prescription growth and growth caused by price changes</w:t>
            </w:r>
          </w:p>
        </w:tc>
      </w:tr>
      <w:tr w:rsidR="00563501" w:rsidRPr="006C311F" w:rsidTr="001A73A4">
        <w:trPr>
          <w:cantSplit/>
        </w:trPr>
        <w:tc>
          <w:tcPr>
            <w:tcW w:w="2559" w:type="dxa"/>
            <w:tcBorders>
              <w:top w:val="single" w:sz="8" w:space="0" w:color="FFFFFF"/>
              <w:bottom w:val="nil"/>
              <w:right w:val="single" w:sz="24" w:space="0" w:color="FFFFFF"/>
            </w:tcBorders>
            <w:shd w:val="clear" w:color="auto" w:fill="4F81BD"/>
            <w:vAlign w:val="center"/>
          </w:tcPr>
          <w:p w:rsidR="00563501" w:rsidRPr="006C311F" w:rsidRDefault="00563501" w:rsidP="001A73A4">
            <w:pPr>
              <w:spacing w:after="120"/>
              <w:jc w:val="center"/>
              <w:rPr>
                <w:rFonts w:ascii="Arial Narrow" w:hAnsi="Arial Narrow" w:cs="Arial"/>
                <w:b/>
                <w:bCs/>
                <w:color w:val="FFFFFF"/>
              </w:rPr>
            </w:pPr>
            <w:r w:rsidRPr="006C311F">
              <w:rPr>
                <w:rFonts w:ascii="Arial Narrow" w:hAnsi="Arial Narrow" w:cs="Arial"/>
                <w:b/>
                <w:bCs/>
                <w:color w:val="FFFFFF"/>
              </w:rPr>
              <w:lastRenderedPageBreak/>
              <w:t>Change in policy</w:t>
            </w:r>
            <w:r>
              <w:rPr>
                <w:rFonts w:ascii="Arial Narrow" w:hAnsi="Arial Narrow" w:cs="Arial"/>
                <w:b/>
                <w:bCs/>
                <w:color w:val="FFFFFF"/>
              </w:rPr>
              <w:t xml:space="preserve"> </w:t>
            </w:r>
            <w:r w:rsidRPr="005B3EAF">
              <w:rPr>
                <w:rFonts w:ascii="Arial Narrow" w:hAnsi="Arial Narrow" w:cs="Arial"/>
                <w:b/>
                <w:bCs/>
                <w:color w:val="FFFFFF"/>
                <w:vertAlign w:val="superscript"/>
              </w:rPr>
              <w:t>(</w:t>
            </w:r>
            <w:r>
              <w:rPr>
                <w:rFonts w:ascii="Arial Narrow" w:hAnsi="Arial Narrow" w:cs="Arial"/>
                <w:b/>
                <w:bCs/>
                <w:color w:val="FFFFFF"/>
                <w:vertAlign w:val="superscript"/>
              </w:rPr>
              <w:t>5</w:t>
            </w:r>
            <w:r w:rsidRPr="005B3EAF">
              <w:rPr>
                <w:rFonts w:ascii="Arial Narrow" w:hAnsi="Arial Narrow" w:cs="Arial"/>
                <w:b/>
                <w:bCs/>
                <w:color w:val="FFFFFF"/>
                <w:vertAlign w:val="superscript"/>
              </w:rPr>
              <w:t>)</w:t>
            </w:r>
          </w:p>
        </w:tc>
        <w:tc>
          <w:tcPr>
            <w:tcW w:w="24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1A73A4">
            <w:pPr>
              <w:jc w:val="center"/>
              <w:rPr>
                <w:rFonts w:ascii="Arial Narrow" w:hAnsi="Arial Narrow"/>
              </w:rPr>
            </w:pPr>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attributable to changes in policy</w:t>
            </w:r>
          </w:p>
        </w:tc>
        <w:tc>
          <w:tcPr>
            <w:tcW w:w="359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98384D">
            <w:pPr>
              <w:numPr>
                <w:ilvl w:val="0"/>
                <w:numId w:val="41"/>
              </w:numPr>
              <w:spacing w:after="0" w:line="240" w:lineRule="auto"/>
              <w:rPr>
                <w:rFonts w:ascii="Arial Narrow" w:hAnsi="Arial Narrow"/>
              </w:rPr>
            </w:pPr>
            <w:r>
              <w:rPr>
                <w:rFonts w:ascii="Arial Narrow" w:hAnsi="Arial Narrow"/>
              </w:rPr>
              <w:t>Identification</w:t>
            </w:r>
            <w:r>
              <w:rPr>
                <w:rFonts w:ascii="Arial Narrow" w:hAnsi="Arial Narrow"/>
                <w:b/>
                <w:vertAlign w:val="superscript"/>
              </w:rPr>
              <w:t xml:space="preserve"> </w:t>
            </w:r>
            <w:r>
              <w:rPr>
                <w:rFonts w:ascii="Arial Narrow" w:hAnsi="Arial Narrow"/>
              </w:rPr>
              <w:t>of relevant policy changes (such as policies that affect PBS prices and patient access to PBS).</w:t>
            </w:r>
          </w:p>
        </w:tc>
        <w:tc>
          <w:tcPr>
            <w:tcW w:w="40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98384D">
            <w:pPr>
              <w:pStyle w:val="ListParagraph"/>
              <w:numPr>
                <w:ilvl w:val="0"/>
                <w:numId w:val="42"/>
              </w:numPr>
              <w:spacing w:after="0" w:line="240" w:lineRule="auto"/>
              <w:rPr>
                <w:rFonts w:ascii="Arial Narrow" w:hAnsi="Arial Narrow"/>
                <w:sz w:val="24"/>
                <w:szCs w:val="24"/>
              </w:rPr>
            </w:pPr>
            <w:r>
              <w:rPr>
                <w:rFonts w:ascii="Arial Narrow" w:hAnsi="Arial Narrow"/>
                <w:sz w:val="24"/>
                <w:szCs w:val="24"/>
              </w:rPr>
              <w:t>Depends on policy change</w:t>
            </w:r>
          </w:p>
          <w:p w:rsidR="00563501" w:rsidRPr="006C311F" w:rsidRDefault="00563501" w:rsidP="001A73A4">
            <w:pPr>
              <w:rPr>
                <w:rFonts w:ascii="Arial Narrow" w:hAnsi="Arial Narrow"/>
              </w:rPr>
            </w:pPr>
          </w:p>
        </w:tc>
        <w:tc>
          <w:tcPr>
            <w:tcW w:w="2337" w:type="dxa"/>
            <w:tcBorders>
              <w:top w:val="single" w:sz="8" w:space="0" w:color="FFFFFF"/>
              <w:left w:val="single" w:sz="8" w:space="0" w:color="FFFFFF"/>
              <w:bottom w:val="single" w:sz="8" w:space="0" w:color="FFFFFF"/>
            </w:tcBorders>
            <w:shd w:val="clear" w:color="auto" w:fill="A7BFD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Investigate associations between the timing of policy changes and PBS expenditure changes</w:t>
            </w:r>
          </w:p>
        </w:tc>
      </w:tr>
      <w:tr w:rsidR="00563501" w:rsidRPr="006C311F" w:rsidTr="001A73A4">
        <w:trPr>
          <w:cantSplit/>
        </w:trPr>
        <w:tc>
          <w:tcPr>
            <w:tcW w:w="2559" w:type="dxa"/>
            <w:tcBorders>
              <w:bottom w:val="nil"/>
              <w:right w:val="single" w:sz="24" w:space="0" w:color="FFFFFF"/>
            </w:tcBorders>
            <w:shd w:val="clear" w:color="auto" w:fill="4F81BD"/>
            <w:vAlign w:val="center"/>
          </w:tcPr>
          <w:p w:rsidR="00563501" w:rsidRPr="006C311F" w:rsidRDefault="00563501" w:rsidP="001A73A4">
            <w:pPr>
              <w:spacing w:after="120"/>
              <w:jc w:val="center"/>
              <w:rPr>
                <w:rFonts w:ascii="Arial Narrow" w:hAnsi="Arial Narrow" w:cs="Arial"/>
                <w:b/>
                <w:bCs/>
                <w:color w:val="FFFFFF"/>
              </w:rPr>
            </w:pPr>
            <w:r w:rsidRPr="006C311F">
              <w:rPr>
                <w:rFonts w:ascii="Arial Narrow" w:hAnsi="Arial Narrow" w:cs="Arial"/>
                <w:b/>
                <w:bCs/>
                <w:color w:val="FFFFFF"/>
              </w:rPr>
              <w:t>Drugs/drug groups</w:t>
            </w:r>
            <w:r>
              <w:rPr>
                <w:rFonts w:ascii="Arial Narrow" w:hAnsi="Arial Narrow" w:cs="Arial"/>
                <w:b/>
                <w:bCs/>
                <w:color w:val="FFFFFF"/>
              </w:rPr>
              <w:t xml:space="preserve"> - Formulary</w:t>
            </w:r>
          </w:p>
        </w:tc>
        <w:tc>
          <w:tcPr>
            <w:tcW w:w="2451" w:type="dxa"/>
            <w:shd w:val="clear" w:color="auto" w:fill="D3DFEE"/>
            <w:vAlign w:val="center"/>
          </w:tcPr>
          <w:p w:rsidR="00563501" w:rsidRPr="006C311F" w:rsidRDefault="00563501" w:rsidP="001A73A4">
            <w:pPr>
              <w:jc w:val="center"/>
              <w:rPr>
                <w:rFonts w:ascii="Arial Narrow" w:hAnsi="Arial Narrow"/>
              </w:rPr>
            </w:pPr>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of each formulary </w:t>
            </w:r>
          </w:p>
        </w:tc>
        <w:tc>
          <w:tcPr>
            <w:tcW w:w="3591" w:type="dxa"/>
            <w:shd w:val="clear" w:color="auto" w:fill="D3DFEE"/>
            <w:vAlign w:val="center"/>
          </w:tcPr>
          <w:p w:rsidR="00563501" w:rsidRPr="006C311F" w:rsidRDefault="00563501" w:rsidP="0098384D">
            <w:pPr>
              <w:pStyle w:val="ListParagraph"/>
              <w:numPr>
                <w:ilvl w:val="0"/>
                <w:numId w:val="20"/>
              </w:numPr>
              <w:spacing w:after="0" w:line="240" w:lineRule="auto"/>
              <w:rPr>
                <w:rFonts w:ascii="Arial Narrow" w:hAnsi="Arial Narrow"/>
                <w:sz w:val="24"/>
                <w:szCs w:val="24"/>
              </w:rPr>
            </w:pPr>
            <w:r>
              <w:rPr>
                <w:rFonts w:ascii="Arial Narrow" w:hAnsi="Arial Narrow"/>
                <w:sz w:val="24"/>
                <w:szCs w:val="24"/>
              </w:rPr>
              <w:t>PBS e</w:t>
            </w:r>
            <w:r w:rsidRPr="006C311F">
              <w:rPr>
                <w:rFonts w:ascii="Arial Narrow" w:hAnsi="Arial Narrow"/>
                <w:sz w:val="24"/>
                <w:szCs w:val="24"/>
              </w:rPr>
              <w:t>xpenditure and prescription</w:t>
            </w:r>
            <w:r>
              <w:rPr>
                <w:rFonts w:ascii="Arial Narrow" w:hAnsi="Arial Narrow"/>
                <w:sz w:val="24"/>
                <w:szCs w:val="24"/>
              </w:rPr>
              <w:t>s</w:t>
            </w:r>
            <w:r w:rsidRPr="006C311F">
              <w:rPr>
                <w:rFonts w:ascii="Arial Narrow" w:hAnsi="Arial Narrow"/>
                <w:sz w:val="24"/>
                <w:szCs w:val="24"/>
              </w:rPr>
              <w:t xml:space="preserve"> by </w:t>
            </w:r>
            <w:r>
              <w:rPr>
                <w:rFonts w:ascii="Arial Narrow" w:hAnsi="Arial Narrow"/>
                <w:sz w:val="24"/>
                <w:szCs w:val="24"/>
              </w:rPr>
              <w:t>formulary</w:t>
            </w:r>
          </w:p>
          <w:p w:rsidR="00563501" w:rsidRPr="006C311F" w:rsidRDefault="00563501" w:rsidP="001A73A4">
            <w:pPr>
              <w:jc w:val="center"/>
              <w:rPr>
                <w:rFonts w:ascii="Arial Narrow" w:hAnsi="Arial Narrow"/>
              </w:rPr>
            </w:pPr>
          </w:p>
        </w:tc>
        <w:tc>
          <w:tcPr>
            <w:tcW w:w="4074" w:type="dxa"/>
            <w:shd w:val="clear" w:color="auto" w:fill="D3DFEE"/>
            <w:vAlign w:val="center"/>
          </w:tcPr>
          <w:p w:rsidR="00563501" w:rsidRDefault="00563501" w:rsidP="0098384D">
            <w:pPr>
              <w:pStyle w:val="ListParagraph"/>
              <w:numPr>
                <w:ilvl w:val="0"/>
                <w:numId w:val="21"/>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data</w:t>
            </w:r>
          </w:p>
          <w:p w:rsidR="00563501" w:rsidRDefault="00563501" w:rsidP="0098384D">
            <w:pPr>
              <w:pStyle w:val="ListParagraph"/>
              <w:numPr>
                <w:ilvl w:val="0"/>
                <w:numId w:val="21"/>
              </w:numPr>
              <w:spacing w:after="0" w:line="240" w:lineRule="auto"/>
              <w:rPr>
                <w:rFonts w:ascii="Arial Narrow" w:hAnsi="Arial Narrow"/>
                <w:sz w:val="24"/>
                <w:szCs w:val="24"/>
              </w:rPr>
            </w:pPr>
            <w:r>
              <w:rPr>
                <w:rFonts w:ascii="Arial Narrow" w:hAnsi="Arial Narrow"/>
                <w:sz w:val="24"/>
                <w:szCs w:val="24"/>
              </w:rPr>
              <w:t>Formulary allocation (pbs.gov.au)</w:t>
            </w:r>
          </w:p>
          <w:p w:rsidR="00563501" w:rsidRPr="006C311F" w:rsidRDefault="00563501" w:rsidP="001A73A4">
            <w:pPr>
              <w:jc w:val="center"/>
              <w:rPr>
                <w:rFonts w:ascii="Arial Narrow" w:hAnsi="Arial Narrow"/>
              </w:rPr>
            </w:pPr>
          </w:p>
        </w:tc>
        <w:tc>
          <w:tcPr>
            <w:tcW w:w="2337" w:type="dxa"/>
            <w:shd w:val="clear" w:color="auto" w:fill="D3DFE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Decompose PBS growth into formularies to see which formularies contribute the most to PBS growth</w:t>
            </w:r>
          </w:p>
        </w:tc>
      </w:tr>
      <w:tr w:rsidR="00563501" w:rsidRPr="006C311F" w:rsidTr="001A73A4">
        <w:tc>
          <w:tcPr>
            <w:tcW w:w="2559" w:type="dxa"/>
            <w:tcBorders>
              <w:top w:val="single" w:sz="8" w:space="0" w:color="FFFFFF"/>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sidRPr="006C311F">
              <w:rPr>
                <w:rFonts w:ascii="Arial Narrow" w:hAnsi="Arial Narrow" w:cs="Arial"/>
                <w:b/>
                <w:bCs/>
                <w:color w:val="FFFFFF"/>
              </w:rPr>
              <w:t>Drugs/drug groups</w:t>
            </w:r>
            <w:r>
              <w:rPr>
                <w:rFonts w:ascii="Arial Narrow" w:hAnsi="Arial Narrow" w:cs="Arial"/>
                <w:b/>
                <w:bCs/>
                <w:color w:val="FFFFFF"/>
              </w:rPr>
              <w:t xml:space="preserve"> – ATC2 group</w:t>
            </w:r>
          </w:p>
        </w:tc>
        <w:tc>
          <w:tcPr>
            <w:tcW w:w="24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1A73A4">
            <w:pPr>
              <w:jc w:val="center"/>
              <w:rPr>
                <w:rFonts w:ascii="Arial Narrow" w:hAnsi="Arial Narrow"/>
              </w:rPr>
            </w:pPr>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of each ATC2 group</w:t>
            </w:r>
          </w:p>
        </w:tc>
        <w:tc>
          <w:tcPr>
            <w:tcW w:w="359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98384D">
            <w:pPr>
              <w:pStyle w:val="ListParagraph"/>
              <w:numPr>
                <w:ilvl w:val="0"/>
                <w:numId w:val="23"/>
              </w:numPr>
              <w:spacing w:after="0" w:line="240" w:lineRule="auto"/>
              <w:rPr>
                <w:rFonts w:ascii="Arial Narrow" w:hAnsi="Arial Narrow"/>
                <w:sz w:val="24"/>
                <w:szCs w:val="24"/>
              </w:rPr>
            </w:pPr>
            <w:r>
              <w:rPr>
                <w:rFonts w:ascii="Arial Narrow" w:hAnsi="Arial Narrow"/>
                <w:sz w:val="24"/>
                <w:szCs w:val="24"/>
              </w:rPr>
              <w:t>PBS e</w:t>
            </w:r>
            <w:r w:rsidRPr="006C311F">
              <w:rPr>
                <w:rFonts w:ascii="Arial Narrow" w:hAnsi="Arial Narrow"/>
                <w:sz w:val="24"/>
                <w:szCs w:val="24"/>
              </w:rPr>
              <w:t>xpenditure and prescription</w:t>
            </w:r>
            <w:r>
              <w:rPr>
                <w:rFonts w:ascii="Arial Narrow" w:hAnsi="Arial Narrow"/>
                <w:sz w:val="24"/>
                <w:szCs w:val="24"/>
              </w:rPr>
              <w:t>s</w:t>
            </w:r>
            <w:r w:rsidRPr="006C311F">
              <w:rPr>
                <w:rFonts w:ascii="Arial Narrow" w:hAnsi="Arial Narrow"/>
                <w:sz w:val="24"/>
                <w:szCs w:val="24"/>
              </w:rPr>
              <w:t xml:space="preserve"> by </w:t>
            </w:r>
            <w:r>
              <w:rPr>
                <w:rFonts w:ascii="Arial Narrow" w:hAnsi="Arial Narrow"/>
                <w:sz w:val="24"/>
                <w:szCs w:val="24"/>
              </w:rPr>
              <w:t>ATC2 group</w:t>
            </w:r>
          </w:p>
          <w:p w:rsidR="00563501" w:rsidRPr="006C311F" w:rsidRDefault="00563501" w:rsidP="001A73A4">
            <w:pPr>
              <w:jc w:val="center"/>
              <w:rPr>
                <w:rFonts w:ascii="Arial Narrow" w:hAnsi="Arial Narrow"/>
              </w:rPr>
            </w:pPr>
          </w:p>
        </w:tc>
        <w:tc>
          <w:tcPr>
            <w:tcW w:w="40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98384D">
            <w:pPr>
              <w:pStyle w:val="ListParagraph"/>
              <w:numPr>
                <w:ilvl w:val="0"/>
                <w:numId w:val="24"/>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data</w:t>
            </w:r>
          </w:p>
          <w:p w:rsidR="00563501" w:rsidRPr="006C311F" w:rsidRDefault="00563501" w:rsidP="001A73A4">
            <w:pPr>
              <w:jc w:val="center"/>
              <w:rPr>
                <w:rFonts w:ascii="Arial Narrow" w:hAnsi="Arial Narrow"/>
              </w:rPr>
            </w:pPr>
          </w:p>
        </w:tc>
        <w:tc>
          <w:tcPr>
            <w:tcW w:w="2337" w:type="dxa"/>
            <w:tcBorders>
              <w:top w:val="single" w:sz="8" w:space="0" w:color="FFFFFF"/>
              <w:left w:val="single" w:sz="8" w:space="0" w:color="FFFFFF"/>
              <w:bottom w:val="single" w:sz="8" w:space="0" w:color="FFFFFF"/>
            </w:tcBorders>
            <w:shd w:val="clear" w:color="auto" w:fill="A7BFD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Decompose PBS growth into ATC2 groups to see which groups contribute the most to PBS growth</w:t>
            </w:r>
          </w:p>
        </w:tc>
      </w:tr>
      <w:tr w:rsidR="00563501" w:rsidRPr="006C311F" w:rsidTr="001A73A4">
        <w:trPr>
          <w:cantSplit/>
        </w:trPr>
        <w:tc>
          <w:tcPr>
            <w:tcW w:w="2559" w:type="dxa"/>
            <w:tcBorders>
              <w:top w:val="single" w:sz="8" w:space="0" w:color="FFFFFF"/>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sidRPr="006C311F">
              <w:rPr>
                <w:rFonts w:ascii="Arial Narrow" w:hAnsi="Arial Narrow" w:cs="Arial"/>
                <w:b/>
                <w:bCs/>
                <w:color w:val="FFFFFF"/>
              </w:rPr>
              <w:t>Drugs/drug groups</w:t>
            </w:r>
            <w:r>
              <w:rPr>
                <w:rFonts w:ascii="Arial Narrow" w:hAnsi="Arial Narrow" w:cs="Arial"/>
                <w:b/>
                <w:bCs/>
                <w:color w:val="FFFFFF"/>
              </w:rPr>
              <w:t xml:space="preserve"> – drugs</w:t>
            </w:r>
          </w:p>
        </w:tc>
        <w:tc>
          <w:tcPr>
            <w:tcW w:w="24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1A73A4">
            <w:pPr>
              <w:jc w:val="center"/>
              <w:rPr>
                <w:rFonts w:ascii="Arial Narrow" w:hAnsi="Arial Narrow"/>
              </w:rPr>
            </w:pPr>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of top 10 drugs within each of the top 5 ATC2 groups by contribution to PBS growth</w:t>
            </w:r>
          </w:p>
        </w:tc>
        <w:tc>
          <w:tcPr>
            <w:tcW w:w="359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98384D">
            <w:pPr>
              <w:pStyle w:val="ListParagraph"/>
              <w:numPr>
                <w:ilvl w:val="0"/>
                <w:numId w:val="22"/>
              </w:numPr>
              <w:spacing w:after="0" w:line="240" w:lineRule="auto"/>
              <w:rPr>
                <w:rFonts w:ascii="Arial Narrow" w:hAnsi="Arial Narrow"/>
                <w:sz w:val="24"/>
                <w:szCs w:val="24"/>
              </w:rPr>
            </w:pPr>
            <w:r>
              <w:rPr>
                <w:rFonts w:ascii="Arial Narrow" w:hAnsi="Arial Narrow"/>
                <w:sz w:val="24"/>
                <w:szCs w:val="24"/>
              </w:rPr>
              <w:t>PBS e</w:t>
            </w:r>
            <w:r w:rsidRPr="006C311F">
              <w:rPr>
                <w:rFonts w:ascii="Arial Narrow" w:hAnsi="Arial Narrow"/>
                <w:sz w:val="24"/>
                <w:szCs w:val="24"/>
              </w:rPr>
              <w:t>xpenditure and prescription</w:t>
            </w:r>
            <w:r>
              <w:rPr>
                <w:rFonts w:ascii="Arial Narrow" w:hAnsi="Arial Narrow"/>
                <w:sz w:val="24"/>
                <w:szCs w:val="24"/>
              </w:rPr>
              <w:t>s</w:t>
            </w:r>
            <w:r w:rsidRPr="006C311F">
              <w:rPr>
                <w:rFonts w:ascii="Arial Narrow" w:hAnsi="Arial Narrow"/>
                <w:sz w:val="24"/>
                <w:szCs w:val="24"/>
              </w:rPr>
              <w:t xml:space="preserve"> by </w:t>
            </w:r>
            <w:r>
              <w:rPr>
                <w:rFonts w:ascii="Arial Narrow" w:hAnsi="Arial Narrow"/>
                <w:sz w:val="24"/>
                <w:szCs w:val="24"/>
              </w:rPr>
              <w:t>drug name</w:t>
            </w:r>
          </w:p>
          <w:p w:rsidR="00563501" w:rsidRPr="006C311F" w:rsidRDefault="00563501" w:rsidP="001A73A4">
            <w:pPr>
              <w:jc w:val="center"/>
              <w:rPr>
                <w:rFonts w:ascii="Arial Narrow" w:hAnsi="Arial Narrow"/>
              </w:rPr>
            </w:pPr>
          </w:p>
        </w:tc>
        <w:tc>
          <w:tcPr>
            <w:tcW w:w="40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98384D">
            <w:pPr>
              <w:pStyle w:val="ListParagraph"/>
              <w:numPr>
                <w:ilvl w:val="0"/>
                <w:numId w:val="25"/>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data</w:t>
            </w:r>
          </w:p>
          <w:p w:rsidR="00563501" w:rsidRPr="006C311F" w:rsidRDefault="00563501" w:rsidP="001A73A4">
            <w:pPr>
              <w:jc w:val="center"/>
              <w:rPr>
                <w:rFonts w:ascii="Arial Narrow" w:hAnsi="Arial Narrow"/>
              </w:rPr>
            </w:pPr>
          </w:p>
        </w:tc>
        <w:tc>
          <w:tcPr>
            <w:tcW w:w="2337" w:type="dxa"/>
            <w:tcBorders>
              <w:top w:val="single" w:sz="8" w:space="0" w:color="FFFFFF"/>
              <w:left w:val="single" w:sz="8" w:space="0" w:color="FFFFFF"/>
              <w:bottom w:val="single" w:sz="8" w:space="0" w:color="FFFFFF"/>
            </w:tcBorders>
            <w:shd w:val="clear" w:color="auto" w:fill="A7BFD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 xml:space="preserve">Decompose PBS growth </w:t>
            </w:r>
            <w:r>
              <w:rPr>
                <w:rFonts w:ascii="Arial Narrow" w:hAnsi="Arial Narrow"/>
                <w:sz w:val="20"/>
                <w:szCs w:val="20"/>
              </w:rPr>
              <w:t xml:space="preserve">in the top 5 ATC2 groups </w:t>
            </w:r>
            <w:r w:rsidRPr="00C54CB9">
              <w:rPr>
                <w:rFonts w:ascii="Arial Narrow" w:hAnsi="Arial Narrow"/>
                <w:sz w:val="20"/>
                <w:szCs w:val="20"/>
              </w:rPr>
              <w:t>into drugs to see which drugs contribute the most to PBS growth</w:t>
            </w:r>
          </w:p>
        </w:tc>
      </w:tr>
      <w:tr w:rsidR="00563501" w:rsidRPr="006C311F" w:rsidTr="001A73A4">
        <w:tc>
          <w:tcPr>
            <w:tcW w:w="2559" w:type="dxa"/>
            <w:tcBorders>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sidRPr="006C311F">
              <w:rPr>
                <w:rFonts w:ascii="Arial Narrow" w:hAnsi="Arial Narrow" w:cs="Arial"/>
                <w:b/>
                <w:bCs/>
                <w:color w:val="FFFFFF"/>
              </w:rPr>
              <w:t>Ageing population</w:t>
            </w:r>
          </w:p>
        </w:tc>
        <w:tc>
          <w:tcPr>
            <w:tcW w:w="2451" w:type="dxa"/>
            <w:shd w:val="clear" w:color="auto" w:fill="D3DFEE"/>
            <w:vAlign w:val="center"/>
          </w:tcPr>
          <w:p w:rsidR="00563501" w:rsidRPr="006C311F" w:rsidRDefault="00563501" w:rsidP="001A73A4">
            <w:pPr>
              <w:jc w:val="center"/>
              <w:rPr>
                <w:rFonts w:ascii="Arial Narrow" w:hAnsi="Arial Narrow"/>
              </w:rPr>
            </w:pPr>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by patient age category</w:t>
            </w:r>
          </w:p>
        </w:tc>
        <w:tc>
          <w:tcPr>
            <w:tcW w:w="3591" w:type="dxa"/>
            <w:shd w:val="clear" w:color="auto" w:fill="D3DFEE"/>
            <w:vAlign w:val="center"/>
          </w:tcPr>
          <w:p w:rsidR="00563501" w:rsidRDefault="00563501" w:rsidP="0098384D">
            <w:pPr>
              <w:pStyle w:val="ListParagraph"/>
              <w:numPr>
                <w:ilvl w:val="0"/>
                <w:numId w:val="26"/>
              </w:numPr>
              <w:spacing w:after="0" w:line="240" w:lineRule="auto"/>
              <w:rPr>
                <w:rFonts w:ascii="Arial Narrow" w:hAnsi="Arial Narrow"/>
                <w:sz w:val="24"/>
                <w:szCs w:val="24"/>
              </w:rPr>
            </w:pPr>
            <w:r>
              <w:rPr>
                <w:rFonts w:ascii="Arial Narrow" w:hAnsi="Arial Narrow"/>
                <w:sz w:val="24"/>
                <w:szCs w:val="24"/>
              </w:rPr>
              <w:t>PBS e</w:t>
            </w:r>
            <w:r w:rsidRPr="006C311F">
              <w:rPr>
                <w:rFonts w:ascii="Arial Narrow" w:hAnsi="Arial Narrow"/>
                <w:sz w:val="24"/>
                <w:szCs w:val="24"/>
              </w:rPr>
              <w:t>xpenditure and prescription</w:t>
            </w:r>
            <w:r>
              <w:rPr>
                <w:rFonts w:ascii="Arial Narrow" w:hAnsi="Arial Narrow"/>
                <w:sz w:val="24"/>
                <w:szCs w:val="24"/>
              </w:rPr>
              <w:t>s</w:t>
            </w:r>
            <w:r w:rsidRPr="006C311F">
              <w:rPr>
                <w:rFonts w:ascii="Arial Narrow" w:hAnsi="Arial Narrow"/>
                <w:sz w:val="24"/>
                <w:szCs w:val="24"/>
              </w:rPr>
              <w:t xml:space="preserve"> by </w:t>
            </w:r>
            <w:r>
              <w:rPr>
                <w:rFonts w:ascii="Arial Narrow" w:hAnsi="Arial Narrow"/>
                <w:sz w:val="24"/>
                <w:szCs w:val="24"/>
              </w:rPr>
              <w:t xml:space="preserve">patient age </w:t>
            </w:r>
            <w:r w:rsidRPr="00734B90">
              <w:rPr>
                <w:rFonts w:ascii="Arial Narrow" w:hAnsi="Arial Narrow"/>
                <w:b/>
                <w:sz w:val="24"/>
                <w:szCs w:val="24"/>
                <w:vertAlign w:val="superscript"/>
              </w:rPr>
              <w:t>(6)</w:t>
            </w:r>
          </w:p>
          <w:p w:rsidR="00563501" w:rsidRPr="006C311F" w:rsidRDefault="00563501" w:rsidP="0098384D">
            <w:pPr>
              <w:pStyle w:val="ListParagraph"/>
              <w:numPr>
                <w:ilvl w:val="0"/>
                <w:numId w:val="26"/>
              </w:numPr>
              <w:spacing w:after="0" w:line="240" w:lineRule="auto"/>
              <w:rPr>
                <w:rFonts w:ascii="Arial Narrow" w:hAnsi="Arial Narrow"/>
                <w:sz w:val="24"/>
                <w:szCs w:val="24"/>
              </w:rPr>
            </w:pPr>
            <w:r>
              <w:rPr>
                <w:rFonts w:ascii="Arial Narrow" w:hAnsi="Arial Narrow"/>
                <w:sz w:val="24"/>
                <w:szCs w:val="24"/>
              </w:rPr>
              <w:t xml:space="preserve">number of PBS subsidised patients by patient age </w:t>
            </w:r>
            <w:r w:rsidRPr="00734B90">
              <w:rPr>
                <w:rFonts w:ascii="Arial Narrow" w:hAnsi="Arial Narrow"/>
                <w:b/>
                <w:sz w:val="24"/>
                <w:szCs w:val="24"/>
                <w:vertAlign w:val="superscript"/>
              </w:rPr>
              <w:t>(6)</w:t>
            </w:r>
          </w:p>
          <w:p w:rsidR="00563501" w:rsidRPr="006C311F" w:rsidRDefault="00563501" w:rsidP="001A73A4">
            <w:pPr>
              <w:jc w:val="center"/>
              <w:rPr>
                <w:rFonts w:ascii="Arial Narrow" w:hAnsi="Arial Narrow"/>
              </w:rPr>
            </w:pPr>
          </w:p>
        </w:tc>
        <w:tc>
          <w:tcPr>
            <w:tcW w:w="4074" w:type="dxa"/>
            <w:shd w:val="clear" w:color="auto" w:fill="D3DFEE"/>
            <w:vAlign w:val="center"/>
          </w:tcPr>
          <w:p w:rsidR="00563501" w:rsidRDefault="00563501" w:rsidP="0098384D">
            <w:pPr>
              <w:pStyle w:val="ListParagraph"/>
              <w:numPr>
                <w:ilvl w:val="0"/>
                <w:numId w:val="28"/>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data</w:t>
            </w:r>
          </w:p>
          <w:p w:rsidR="00563501" w:rsidRPr="006C311F" w:rsidRDefault="00563501" w:rsidP="001A73A4">
            <w:pPr>
              <w:jc w:val="center"/>
              <w:rPr>
                <w:rFonts w:ascii="Arial Narrow" w:hAnsi="Arial Narrow"/>
              </w:rPr>
            </w:pPr>
          </w:p>
        </w:tc>
        <w:tc>
          <w:tcPr>
            <w:tcW w:w="2337" w:type="dxa"/>
            <w:shd w:val="clear" w:color="auto" w:fill="D3DFE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Decompose PBS growth into patient age groups to see which age groups contribute the most to PBS growth</w:t>
            </w:r>
          </w:p>
        </w:tc>
      </w:tr>
      <w:tr w:rsidR="00563501" w:rsidRPr="006C311F" w:rsidTr="001A73A4">
        <w:trPr>
          <w:cantSplit/>
        </w:trPr>
        <w:tc>
          <w:tcPr>
            <w:tcW w:w="2559" w:type="dxa"/>
            <w:tcBorders>
              <w:top w:val="single" w:sz="8" w:space="0" w:color="FFFFFF"/>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sidRPr="006C311F">
              <w:rPr>
                <w:rFonts w:ascii="Arial Narrow" w:hAnsi="Arial Narrow" w:cs="Arial"/>
                <w:b/>
                <w:bCs/>
                <w:color w:val="FFFFFF"/>
              </w:rPr>
              <w:lastRenderedPageBreak/>
              <w:t xml:space="preserve">Concessional </w:t>
            </w:r>
            <w:r w:rsidRPr="006C311F">
              <w:rPr>
                <w:rFonts w:ascii="Arial Narrow" w:hAnsi="Arial Narrow" w:cs="Arial"/>
                <w:b/>
                <w:bCs/>
                <w:color w:val="FFFFFF"/>
              </w:rPr>
              <w:br/>
              <w:t>cards holders</w:t>
            </w:r>
          </w:p>
        </w:tc>
        <w:tc>
          <w:tcPr>
            <w:tcW w:w="24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1A73A4">
            <w:pPr>
              <w:jc w:val="center"/>
              <w:rPr>
                <w:rFonts w:ascii="Arial Narrow" w:hAnsi="Arial Narrow"/>
              </w:rPr>
            </w:pPr>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by patient concessional category</w:t>
            </w:r>
          </w:p>
        </w:tc>
        <w:tc>
          <w:tcPr>
            <w:tcW w:w="359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98384D">
            <w:pPr>
              <w:pStyle w:val="ListParagraph"/>
              <w:numPr>
                <w:ilvl w:val="0"/>
                <w:numId w:val="27"/>
              </w:numPr>
              <w:spacing w:after="0" w:line="240" w:lineRule="auto"/>
              <w:rPr>
                <w:rFonts w:ascii="Arial Narrow" w:hAnsi="Arial Narrow"/>
                <w:sz w:val="24"/>
                <w:szCs w:val="24"/>
              </w:rPr>
            </w:pPr>
            <w:r>
              <w:rPr>
                <w:rFonts w:ascii="Arial Narrow" w:hAnsi="Arial Narrow"/>
                <w:sz w:val="24"/>
                <w:szCs w:val="24"/>
              </w:rPr>
              <w:t>PBS e</w:t>
            </w:r>
            <w:r w:rsidRPr="006C311F">
              <w:rPr>
                <w:rFonts w:ascii="Arial Narrow" w:hAnsi="Arial Narrow"/>
                <w:sz w:val="24"/>
                <w:szCs w:val="24"/>
              </w:rPr>
              <w:t>xpenditure and prescription</w:t>
            </w:r>
            <w:r>
              <w:rPr>
                <w:rFonts w:ascii="Arial Narrow" w:hAnsi="Arial Narrow"/>
                <w:sz w:val="24"/>
                <w:szCs w:val="24"/>
              </w:rPr>
              <w:t>s</w:t>
            </w:r>
            <w:r w:rsidRPr="006C311F">
              <w:rPr>
                <w:rFonts w:ascii="Arial Narrow" w:hAnsi="Arial Narrow"/>
                <w:sz w:val="24"/>
                <w:szCs w:val="24"/>
              </w:rPr>
              <w:t xml:space="preserve"> by </w:t>
            </w:r>
            <w:r>
              <w:rPr>
                <w:rFonts w:ascii="Arial Narrow" w:hAnsi="Arial Narrow"/>
                <w:sz w:val="24"/>
                <w:szCs w:val="24"/>
              </w:rPr>
              <w:t>patient concessional status</w:t>
            </w:r>
          </w:p>
          <w:p w:rsidR="00563501" w:rsidRDefault="00563501" w:rsidP="0098384D">
            <w:pPr>
              <w:pStyle w:val="ListParagraph"/>
              <w:numPr>
                <w:ilvl w:val="0"/>
                <w:numId w:val="27"/>
              </w:numPr>
              <w:spacing w:after="0" w:line="240" w:lineRule="auto"/>
              <w:rPr>
                <w:rFonts w:ascii="Arial Narrow" w:hAnsi="Arial Narrow"/>
                <w:sz w:val="24"/>
                <w:szCs w:val="24"/>
              </w:rPr>
            </w:pPr>
            <w:r>
              <w:rPr>
                <w:rFonts w:ascii="Arial Narrow" w:hAnsi="Arial Narrow"/>
                <w:sz w:val="24"/>
                <w:szCs w:val="24"/>
              </w:rPr>
              <w:t>Number of persons covered by concession cards</w:t>
            </w:r>
          </w:p>
          <w:p w:rsidR="00563501" w:rsidRDefault="00563501" w:rsidP="0098384D">
            <w:pPr>
              <w:pStyle w:val="ListParagraph"/>
              <w:numPr>
                <w:ilvl w:val="0"/>
                <w:numId w:val="27"/>
              </w:numPr>
              <w:spacing w:after="0" w:line="240" w:lineRule="auto"/>
              <w:rPr>
                <w:rFonts w:ascii="Arial Narrow" w:hAnsi="Arial Narrow"/>
                <w:sz w:val="24"/>
                <w:szCs w:val="24"/>
              </w:rPr>
            </w:pPr>
            <w:r>
              <w:rPr>
                <w:rFonts w:ascii="Arial Narrow" w:hAnsi="Arial Narrow"/>
                <w:sz w:val="24"/>
                <w:szCs w:val="24"/>
              </w:rPr>
              <w:t>Number of persons covered by safety net cards</w:t>
            </w:r>
          </w:p>
          <w:p w:rsidR="00563501" w:rsidRPr="006C311F" w:rsidRDefault="00563501" w:rsidP="001A73A4">
            <w:pPr>
              <w:jc w:val="center"/>
              <w:rPr>
                <w:rFonts w:ascii="Arial Narrow" w:hAnsi="Arial Narrow"/>
              </w:rPr>
            </w:pPr>
          </w:p>
        </w:tc>
        <w:tc>
          <w:tcPr>
            <w:tcW w:w="40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98384D">
            <w:pPr>
              <w:pStyle w:val="ListParagraph"/>
              <w:numPr>
                <w:ilvl w:val="0"/>
                <w:numId w:val="29"/>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expenditure and prescriptions data</w:t>
            </w:r>
          </w:p>
          <w:p w:rsidR="00563501" w:rsidRDefault="00563501" w:rsidP="0098384D">
            <w:pPr>
              <w:pStyle w:val="ListParagraph"/>
              <w:numPr>
                <w:ilvl w:val="0"/>
                <w:numId w:val="29"/>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safety net card coverage data</w:t>
            </w:r>
          </w:p>
          <w:p w:rsidR="00563501" w:rsidRDefault="00563501" w:rsidP="0098384D">
            <w:pPr>
              <w:pStyle w:val="ListParagraph"/>
              <w:numPr>
                <w:ilvl w:val="0"/>
                <w:numId w:val="29"/>
              </w:numPr>
              <w:spacing w:after="0" w:line="240" w:lineRule="auto"/>
              <w:rPr>
                <w:rFonts w:ascii="Arial Narrow" w:hAnsi="Arial Narrow"/>
                <w:sz w:val="24"/>
                <w:szCs w:val="24"/>
              </w:rPr>
            </w:pPr>
            <w:r>
              <w:rPr>
                <w:rFonts w:ascii="Arial Narrow" w:hAnsi="Arial Narrow"/>
                <w:sz w:val="24"/>
                <w:szCs w:val="24"/>
              </w:rPr>
              <w:t>FaHCSIA concessional card coverage data</w:t>
            </w:r>
          </w:p>
          <w:p w:rsidR="00563501" w:rsidRPr="006C311F" w:rsidRDefault="00563501" w:rsidP="001A73A4">
            <w:pPr>
              <w:jc w:val="center"/>
              <w:rPr>
                <w:rFonts w:ascii="Arial Narrow" w:hAnsi="Arial Narrow"/>
              </w:rPr>
            </w:pPr>
          </w:p>
        </w:tc>
        <w:tc>
          <w:tcPr>
            <w:tcW w:w="2337" w:type="dxa"/>
            <w:tcBorders>
              <w:top w:val="single" w:sz="8" w:space="0" w:color="FFFFFF"/>
              <w:left w:val="single" w:sz="8" w:space="0" w:color="FFFFFF"/>
              <w:bottom w:val="single" w:sz="8" w:space="0" w:color="FFFFFF"/>
            </w:tcBorders>
            <w:shd w:val="clear" w:color="auto" w:fill="A7BFD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Decompose PBS growth into patient age groups to see which age groups contribute the most to PBS growth</w:t>
            </w:r>
          </w:p>
        </w:tc>
      </w:tr>
      <w:tr w:rsidR="00563501" w:rsidRPr="006C311F" w:rsidTr="001A73A4">
        <w:tc>
          <w:tcPr>
            <w:tcW w:w="2559" w:type="dxa"/>
            <w:tcBorders>
              <w:top w:val="single" w:sz="8" w:space="0" w:color="FFFFFF"/>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sidRPr="006C311F">
              <w:rPr>
                <w:rFonts w:ascii="Arial Narrow" w:hAnsi="Arial Narrow" w:cs="Arial"/>
                <w:b/>
                <w:bCs/>
                <w:color w:val="FFFFFF"/>
              </w:rPr>
              <w:t>Disease burden</w:t>
            </w:r>
          </w:p>
        </w:tc>
        <w:tc>
          <w:tcPr>
            <w:tcW w:w="24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1A73A4">
            <w:pPr>
              <w:jc w:val="center"/>
              <w:rPr>
                <w:rFonts w:ascii="Arial Narrow" w:hAnsi="Arial Narrow"/>
              </w:rPr>
            </w:pPr>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for specified chronic disease groups</w:t>
            </w:r>
          </w:p>
        </w:tc>
        <w:tc>
          <w:tcPr>
            <w:tcW w:w="359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98384D">
            <w:pPr>
              <w:numPr>
                <w:ilvl w:val="0"/>
                <w:numId w:val="30"/>
              </w:numPr>
              <w:spacing w:after="0" w:line="240" w:lineRule="auto"/>
              <w:rPr>
                <w:rFonts w:ascii="Arial Narrow" w:hAnsi="Arial Narrow"/>
              </w:rPr>
            </w:pPr>
            <w:r>
              <w:rPr>
                <w:rFonts w:ascii="Arial Narrow" w:hAnsi="Arial Narrow"/>
              </w:rPr>
              <w:t>PBS patients, e</w:t>
            </w:r>
            <w:r w:rsidRPr="006C311F">
              <w:rPr>
                <w:rFonts w:ascii="Arial Narrow" w:hAnsi="Arial Narrow"/>
              </w:rPr>
              <w:t>xpenditure and prescription</w:t>
            </w:r>
            <w:r>
              <w:rPr>
                <w:rFonts w:ascii="Arial Narrow" w:hAnsi="Arial Narrow"/>
              </w:rPr>
              <w:t>s</w:t>
            </w:r>
            <w:r w:rsidRPr="006C311F">
              <w:rPr>
                <w:rFonts w:ascii="Arial Narrow" w:hAnsi="Arial Narrow"/>
              </w:rPr>
              <w:t xml:space="preserve"> by </w:t>
            </w:r>
            <w:r>
              <w:rPr>
                <w:rFonts w:ascii="Arial Narrow" w:hAnsi="Arial Narrow"/>
              </w:rPr>
              <w:t>chronic disease group</w:t>
            </w:r>
          </w:p>
          <w:p w:rsidR="00563501" w:rsidRPr="006C311F" w:rsidRDefault="00563501" w:rsidP="0098384D">
            <w:pPr>
              <w:numPr>
                <w:ilvl w:val="0"/>
                <w:numId w:val="30"/>
              </w:numPr>
              <w:spacing w:after="0" w:line="240" w:lineRule="auto"/>
              <w:rPr>
                <w:rFonts w:ascii="Arial Narrow" w:hAnsi="Arial Narrow"/>
              </w:rPr>
            </w:pPr>
            <w:r>
              <w:rPr>
                <w:rFonts w:ascii="Arial Narrow" w:hAnsi="Arial Narrow"/>
              </w:rPr>
              <w:t>total incidence of chronic disease by chronic disease group</w:t>
            </w:r>
          </w:p>
        </w:tc>
        <w:tc>
          <w:tcPr>
            <w:tcW w:w="40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98384D">
            <w:pPr>
              <w:pStyle w:val="ListParagraph"/>
              <w:numPr>
                <w:ilvl w:val="0"/>
                <w:numId w:val="31"/>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expenditure and prescriptions data</w:t>
            </w:r>
          </w:p>
          <w:p w:rsidR="00563501" w:rsidRDefault="00563501" w:rsidP="0098384D">
            <w:pPr>
              <w:pStyle w:val="ListParagraph"/>
              <w:numPr>
                <w:ilvl w:val="0"/>
                <w:numId w:val="31"/>
              </w:numPr>
              <w:spacing w:after="0" w:line="240" w:lineRule="auto"/>
              <w:rPr>
                <w:rFonts w:ascii="Arial Narrow" w:hAnsi="Arial Narrow"/>
                <w:sz w:val="24"/>
                <w:szCs w:val="24"/>
              </w:rPr>
            </w:pPr>
            <w:r>
              <w:rPr>
                <w:rFonts w:ascii="Arial Narrow" w:hAnsi="Arial Narrow"/>
                <w:sz w:val="24"/>
                <w:szCs w:val="24"/>
              </w:rPr>
              <w:t>AIHW/ABS data on incidence of chronic disease</w:t>
            </w:r>
          </w:p>
          <w:p w:rsidR="00563501" w:rsidRPr="006C311F" w:rsidRDefault="00563501" w:rsidP="001A73A4">
            <w:pPr>
              <w:jc w:val="center"/>
              <w:rPr>
                <w:rFonts w:ascii="Arial Narrow" w:hAnsi="Arial Narrow"/>
              </w:rPr>
            </w:pPr>
          </w:p>
        </w:tc>
        <w:tc>
          <w:tcPr>
            <w:tcW w:w="2337" w:type="dxa"/>
            <w:tcBorders>
              <w:top w:val="single" w:sz="8" w:space="0" w:color="FFFFFF"/>
              <w:left w:val="single" w:sz="8" w:space="0" w:color="FFFFFF"/>
              <w:bottom w:val="single" w:sz="8" w:space="0" w:color="FFFFFF"/>
            </w:tcBorders>
            <w:shd w:val="clear" w:color="auto" w:fill="A7BFD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 xml:space="preserve">Decompose PBS growth into </w:t>
            </w:r>
            <w:smartTag w:uri="urn:schemas-microsoft-com:office:smarttags" w:element="place">
              <w:smartTag w:uri="urn:schemas-microsoft-com:office:smarttags" w:element="City">
                <w:r w:rsidRPr="00C54CB9">
                  <w:rPr>
                    <w:rFonts w:ascii="Arial Narrow" w:hAnsi="Arial Narrow"/>
                    <w:sz w:val="20"/>
                    <w:szCs w:val="20"/>
                  </w:rPr>
                  <w:t>DoHA</w:t>
                </w:r>
              </w:smartTag>
            </w:smartTag>
            <w:r w:rsidRPr="00C54CB9">
              <w:rPr>
                <w:rFonts w:ascii="Arial Narrow" w:hAnsi="Arial Narrow"/>
                <w:sz w:val="20"/>
                <w:szCs w:val="20"/>
              </w:rPr>
              <w:t xml:space="preserve"> defined chronic disease groups to see which groups contribute the most to PBS growth</w:t>
            </w:r>
          </w:p>
        </w:tc>
      </w:tr>
      <w:tr w:rsidR="00563501" w:rsidRPr="006C311F" w:rsidTr="001A73A4">
        <w:trPr>
          <w:cantSplit/>
        </w:trPr>
        <w:tc>
          <w:tcPr>
            <w:tcW w:w="2559" w:type="dxa"/>
            <w:tcBorders>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sidRPr="006C311F">
              <w:rPr>
                <w:rFonts w:ascii="Arial Narrow" w:hAnsi="Arial Narrow" w:cs="Arial"/>
                <w:b/>
                <w:bCs/>
                <w:color w:val="FFFFFF"/>
              </w:rPr>
              <w:t>Patient compliance</w:t>
            </w:r>
          </w:p>
        </w:tc>
        <w:tc>
          <w:tcPr>
            <w:tcW w:w="2451" w:type="dxa"/>
            <w:shd w:val="clear" w:color="auto" w:fill="D3DFEE"/>
            <w:vAlign w:val="center"/>
          </w:tcPr>
          <w:p w:rsidR="00563501" w:rsidRPr="006C311F" w:rsidRDefault="00563501" w:rsidP="001A73A4">
            <w:pPr>
              <w:jc w:val="center"/>
              <w:rPr>
                <w:rFonts w:ascii="Arial Narrow" w:hAnsi="Arial Narrow"/>
              </w:rPr>
            </w:pPr>
            <w:bookmarkStart w:id="120" w:name="OLE_LINK1"/>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attributable to</w:t>
            </w:r>
            <w:bookmarkEnd w:id="120"/>
            <w:r>
              <w:rPr>
                <w:rFonts w:ascii="Arial Narrow" w:hAnsi="Arial Narrow"/>
              </w:rPr>
              <w:t xml:space="preserve"> changing patterns of patient compliance</w:t>
            </w:r>
          </w:p>
        </w:tc>
        <w:tc>
          <w:tcPr>
            <w:tcW w:w="3591" w:type="dxa"/>
            <w:shd w:val="clear" w:color="auto" w:fill="D3DFEE"/>
            <w:vAlign w:val="center"/>
          </w:tcPr>
          <w:p w:rsidR="00563501" w:rsidRDefault="00563501" w:rsidP="0098384D">
            <w:pPr>
              <w:numPr>
                <w:ilvl w:val="0"/>
                <w:numId w:val="32"/>
              </w:numPr>
              <w:spacing w:after="0" w:line="240" w:lineRule="auto"/>
              <w:rPr>
                <w:rFonts w:ascii="Arial Narrow" w:hAnsi="Arial Narrow"/>
              </w:rPr>
            </w:pPr>
            <w:r>
              <w:rPr>
                <w:rFonts w:ascii="Arial Narrow" w:hAnsi="Arial Narrow"/>
              </w:rPr>
              <w:t>PBS patients, e</w:t>
            </w:r>
            <w:r w:rsidRPr="006C311F">
              <w:rPr>
                <w:rFonts w:ascii="Arial Narrow" w:hAnsi="Arial Narrow"/>
              </w:rPr>
              <w:t>xpenditure and prescription</w:t>
            </w:r>
            <w:r>
              <w:rPr>
                <w:rFonts w:ascii="Arial Narrow" w:hAnsi="Arial Narrow"/>
              </w:rPr>
              <w:t>s (dispensed)</w:t>
            </w:r>
          </w:p>
          <w:p w:rsidR="00563501" w:rsidRDefault="00563501" w:rsidP="0098384D">
            <w:pPr>
              <w:numPr>
                <w:ilvl w:val="0"/>
                <w:numId w:val="32"/>
              </w:numPr>
              <w:spacing w:after="0" w:line="240" w:lineRule="auto"/>
              <w:rPr>
                <w:rFonts w:ascii="Arial Narrow" w:hAnsi="Arial Narrow"/>
              </w:rPr>
            </w:pPr>
            <w:r>
              <w:rPr>
                <w:rFonts w:ascii="Arial Narrow" w:hAnsi="Arial Narrow"/>
              </w:rPr>
              <w:t>average number of prescriptions prescribed per patient</w:t>
            </w:r>
          </w:p>
          <w:p w:rsidR="00563501" w:rsidRPr="006C311F" w:rsidRDefault="00563501" w:rsidP="001A73A4">
            <w:pPr>
              <w:jc w:val="center"/>
              <w:rPr>
                <w:rFonts w:ascii="Arial Narrow" w:hAnsi="Arial Narrow"/>
              </w:rPr>
            </w:pPr>
          </w:p>
        </w:tc>
        <w:tc>
          <w:tcPr>
            <w:tcW w:w="4074" w:type="dxa"/>
            <w:shd w:val="clear" w:color="auto" w:fill="D3DFEE"/>
            <w:vAlign w:val="center"/>
          </w:tcPr>
          <w:p w:rsidR="00563501" w:rsidRDefault="00563501" w:rsidP="0098384D">
            <w:pPr>
              <w:pStyle w:val="ListParagraph"/>
              <w:numPr>
                <w:ilvl w:val="0"/>
                <w:numId w:val="33"/>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data</w:t>
            </w:r>
          </w:p>
          <w:p w:rsidR="00563501" w:rsidRPr="00213500" w:rsidRDefault="00563501" w:rsidP="0098384D">
            <w:pPr>
              <w:pStyle w:val="ListParagraph"/>
              <w:numPr>
                <w:ilvl w:val="0"/>
                <w:numId w:val="33"/>
              </w:numPr>
              <w:spacing w:after="0" w:line="240" w:lineRule="auto"/>
              <w:rPr>
                <w:rFonts w:ascii="Arial Narrow" w:hAnsi="Arial Narrow"/>
                <w:sz w:val="24"/>
                <w:szCs w:val="24"/>
              </w:rPr>
            </w:pPr>
            <w:r w:rsidRPr="00213500">
              <w:rPr>
                <w:rFonts w:ascii="Arial Narrow" w:hAnsi="Arial Narrow"/>
                <w:sz w:val="24"/>
                <w:szCs w:val="24"/>
              </w:rPr>
              <w:t>BEACH survey data</w:t>
            </w:r>
            <w:r>
              <w:rPr>
                <w:rFonts w:ascii="Arial Narrow" w:hAnsi="Arial Narrow"/>
                <w:sz w:val="24"/>
                <w:szCs w:val="24"/>
              </w:rPr>
              <w:t xml:space="preserve"> – </w:t>
            </w:r>
            <w:r w:rsidRPr="00364F85">
              <w:rPr>
                <w:rFonts w:ascii="Arial Narrow" w:hAnsi="Arial Narrow"/>
                <w:sz w:val="20"/>
                <w:szCs w:val="20"/>
              </w:rPr>
              <w:t>this data is available to the Department under contract with the AIHW</w:t>
            </w:r>
            <w:r>
              <w:rPr>
                <w:rFonts w:ascii="Arial Narrow" w:hAnsi="Arial Narrow"/>
                <w:sz w:val="20"/>
                <w:szCs w:val="20"/>
              </w:rPr>
              <w:t>.  The Department would need to investigate its ability to use the data for this purpose.</w:t>
            </w:r>
          </w:p>
        </w:tc>
        <w:tc>
          <w:tcPr>
            <w:tcW w:w="2337" w:type="dxa"/>
            <w:shd w:val="clear" w:color="auto" w:fill="D3DFE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Compare movements in “scripts dispensed per patient” to movements in “scripts prescribed per patient”</w:t>
            </w:r>
          </w:p>
        </w:tc>
      </w:tr>
      <w:tr w:rsidR="00563501" w:rsidRPr="006C311F" w:rsidTr="001A73A4">
        <w:tc>
          <w:tcPr>
            <w:tcW w:w="2559" w:type="dxa"/>
            <w:tcBorders>
              <w:top w:val="single" w:sz="8" w:space="0" w:color="FFFFFF"/>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sidRPr="006C311F">
              <w:rPr>
                <w:rFonts w:ascii="Arial Narrow" w:hAnsi="Arial Narrow" w:cs="Arial"/>
                <w:b/>
                <w:bCs/>
                <w:color w:val="FFFFFF"/>
              </w:rPr>
              <w:t>Below co-payment’s</w:t>
            </w:r>
            <w:r w:rsidRPr="006C311F">
              <w:rPr>
                <w:rFonts w:ascii="Arial Narrow" w:hAnsi="Arial Narrow" w:cs="Arial"/>
                <w:b/>
                <w:bCs/>
                <w:color w:val="FFFFFF"/>
              </w:rPr>
              <w:br/>
              <w:t xml:space="preserve"> market</w:t>
            </w:r>
          </w:p>
        </w:tc>
        <w:tc>
          <w:tcPr>
            <w:tcW w:w="24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Pr="006C311F" w:rsidRDefault="00563501" w:rsidP="001A73A4">
            <w:pPr>
              <w:jc w:val="center"/>
              <w:rPr>
                <w:rFonts w:ascii="Arial Narrow" w:hAnsi="Arial Narrow"/>
              </w:rPr>
            </w:pPr>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attributable to medicines dropping from above to below the general copayment</w:t>
            </w:r>
          </w:p>
        </w:tc>
        <w:tc>
          <w:tcPr>
            <w:tcW w:w="359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98384D">
            <w:pPr>
              <w:numPr>
                <w:ilvl w:val="0"/>
                <w:numId w:val="34"/>
              </w:numPr>
              <w:spacing w:after="0" w:line="240" w:lineRule="auto"/>
              <w:rPr>
                <w:rFonts w:ascii="Arial Narrow" w:hAnsi="Arial Narrow"/>
              </w:rPr>
            </w:pPr>
            <w:r>
              <w:rPr>
                <w:rFonts w:ascii="Arial Narrow" w:hAnsi="Arial Narrow"/>
              </w:rPr>
              <w:t>PBS e</w:t>
            </w:r>
            <w:r w:rsidRPr="006C311F">
              <w:rPr>
                <w:rFonts w:ascii="Arial Narrow" w:hAnsi="Arial Narrow"/>
              </w:rPr>
              <w:t>xpenditure and prescription</w:t>
            </w:r>
            <w:r>
              <w:rPr>
                <w:rFonts w:ascii="Arial Narrow" w:hAnsi="Arial Narrow"/>
              </w:rPr>
              <w:t>s</w:t>
            </w:r>
          </w:p>
          <w:p w:rsidR="00563501" w:rsidRDefault="00563501" w:rsidP="0098384D">
            <w:pPr>
              <w:numPr>
                <w:ilvl w:val="0"/>
                <w:numId w:val="34"/>
              </w:numPr>
              <w:spacing w:after="0" w:line="240" w:lineRule="auto"/>
              <w:rPr>
                <w:rFonts w:ascii="Arial Narrow" w:hAnsi="Arial Narrow"/>
              </w:rPr>
            </w:pPr>
            <w:r>
              <w:rPr>
                <w:rFonts w:ascii="Arial Narrow" w:hAnsi="Arial Narrow"/>
              </w:rPr>
              <w:t>PBS schedule</w:t>
            </w:r>
          </w:p>
          <w:p w:rsidR="00563501" w:rsidRPr="006C311F" w:rsidRDefault="00563501" w:rsidP="001A73A4">
            <w:pPr>
              <w:jc w:val="center"/>
              <w:rPr>
                <w:rFonts w:ascii="Arial Narrow" w:hAnsi="Arial Narrow"/>
              </w:rPr>
            </w:pPr>
          </w:p>
        </w:tc>
        <w:tc>
          <w:tcPr>
            <w:tcW w:w="40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98384D">
            <w:pPr>
              <w:pStyle w:val="ListParagraph"/>
              <w:numPr>
                <w:ilvl w:val="0"/>
                <w:numId w:val="35"/>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data</w:t>
            </w:r>
          </w:p>
          <w:p w:rsidR="00563501" w:rsidRDefault="00563501" w:rsidP="0098384D">
            <w:pPr>
              <w:pStyle w:val="ListParagraph"/>
              <w:numPr>
                <w:ilvl w:val="0"/>
                <w:numId w:val="35"/>
              </w:numPr>
              <w:spacing w:after="0" w:line="240" w:lineRule="auto"/>
              <w:rPr>
                <w:rFonts w:ascii="Arial Narrow" w:hAnsi="Arial Narrow"/>
                <w:sz w:val="24"/>
                <w:szCs w:val="24"/>
              </w:rPr>
            </w:pPr>
            <w:r>
              <w:rPr>
                <w:rFonts w:ascii="Arial Narrow" w:hAnsi="Arial Narrow"/>
                <w:sz w:val="24"/>
                <w:szCs w:val="24"/>
              </w:rPr>
              <w:t>PBS schedule</w:t>
            </w:r>
          </w:p>
          <w:p w:rsidR="00563501" w:rsidRPr="006C311F" w:rsidRDefault="00563501" w:rsidP="001A73A4">
            <w:pPr>
              <w:jc w:val="center"/>
              <w:rPr>
                <w:rFonts w:ascii="Arial Narrow" w:hAnsi="Arial Narrow"/>
              </w:rPr>
            </w:pPr>
          </w:p>
        </w:tc>
        <w:tc>
          <w:tcPr>
            <w:tcW w:w="2337" w:type="dxa"/>
            <w:tcBorders>
              <w:top w:val="single" w:sz="8" w:space="0" w:color="FFFFFF"/>
              <w:left w:val="single" w:sz="8" w:space="0" w:color="FFFFFF"/>
              <w:bottom w:val="single" w:sz="8" w:space="0" w:color="FFFFFF"/>
            </w:tcBorders>
            <w:shd w:val="clear" w:color="auto" w:fill="A7BFD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For each 12 month period consider the number and value of PBS drugs falling from above to below the general copayment</w:t>
            </w:r>
          </w:p>
        </w:tc>
      </w:tr>
      <w:tr w:rsidR="00563501" w:rsidRPr="006C311F" w:rsidTr="001A73A4">
        <w:tc>
          <w:tcPr>
            <w:tcW w:w="2559" w:type="dxa"/>
            <w:tcBorders>
              <w:top w:val="single" w:sz="8" w:space="0" w:color="FFFFFF"/>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Pr>
                <w:rFonts w:ascii="Arial Narrow" w:hAnsi="Arial Narrow" w:cs="Arial"/>
                <w:b/>
                <w:bCs/>
                <w:color w:val="FFFFFF"/>
              </w:rPr>
              <w:t>Supply chain remuneration</w:t>
            </w:r>
          </w:p>
        </w:tc>
        <w:tc>
          <w:tcPr>
            <w:tcW w:w="245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1A73A4">
            <w:pPr>
              <w:jc w:val="center"/>
              <w:rPr>
                <w:rFonts w:ascii="Arial Narrow" w:hAnsi="Arial Narrow"/>
              </w:rPr>
            </w:pPr>
            <w:r>
              <w:rPr>
                <w:rFonts w:ascii="Arial Narrow" w:hAnsi="Arial Narrow"/>
              </w:rPr>
              <w:t xml:space="preserve">% contribution of change in remuneration to total PBS </w:t>
            </w:r>
            <w:r>
              <w:rPr>
                <w:rFonts w:ascii="Arial Narrow" w:hAnsi="Arial Narrow"/>
              </w:rPr>
              <w:lastRenderedPageBreak/>
              <w:t>expenditure</w:t>
            </w:r>
          </w:p>
        </w:tc>
        <w:tc>
          <w:tcPr>
            <w:tcW w:w="359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98384D">
            <w:pPr>
              <w:numPr>
                <w:ilvl w:val="0"/>
                <w:numId w:val="39"/>
              </w:numPr>
              <w:spacing w:after="0" w:line="240" w:lineRule="auto"/>
              <w:rPr>
                <w:rFonts w:ascii="Arial Narrow" w:hAnsi="Arial Narrow"/>
              </w:rPr>
            </w:pPr>
            <w:r>
              <w:rPr>
                <w:rFonts w:ascii="Arial Narrow" w:hAnsi="Arial Narrow"/>
              </w:rPr>
              <w:lastRenderedPageBreak/>
              <w:t>PBS expenditure (at CDPMQ prices versus ex-man prices)</w:t>
            </w:r>
          </w:p>
          <w:p w:rsidR="00563501" w:rsidRDefault="00563501" w:rsidP="001A73A4">
            <w:pPr>
              <w:rPr>
                <w:rFonts w:ascii="Arial Narrow" w:hAnsi="Arial Narrow"/>
              </w:rPr>
            </w:pPr>
          </w:p>
        </w:tc>
        <w:tc>
          <w:tcPr>
            <w:tcW w:w="40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563501" w:rsidRDefault="00563501" w:rsidP="0098384D">
            <w:pPr>
              <w:pStyle w:val="ListParagraph"/>
              <w:numPr>
                <w:ilvl w:val="0"/>
                <w:numId w:val="40"/>
              </w:numPr>
              <w:spacing w:after="0" w:line="240" w:lineRule="auto"/>
              <w:rPr>
                <w:rFonts w:ascii="Arial Narrow" w:hAnsi="Arial Narrow"/>
                <w:sz w:val="24"/>
                <w:szCs w:val="24"/>
              </w:rPr>
            </w:pPr>
            <w:r w:rsidRPr="006C311F">
              <w:rPr>
                <w:rFonts w:ascii="Arial Narrow" w:hAnsi="Arial Narrow"/>
                <w:sz w:val="24"/>
                <w:szCs w:val="24"/>
              </w:rPr>
              <w:t xml:space="preserve">Medicare </w:t>
            </w:r>
            <w:smartTag w:uri="urn:schemas-microsoft-com:office:smarttags" w:element="place">
              <w:smartTag w:uri="urn:schemas-microsoft-com:office:smarttags" w:element="country-region">
                <w:r w:rsidRPr="006C311F">
                  <w:rPr>
                    <w:rFonts w:ascii="Arial Narrow" w:hAnsi="Arial Narrow"/>
                    <w:sz w:val="24"/>
                    <w:szCs w:val="24"/>
                  </w:rPr>
                  <w:t>Australia</w:t>
                </w:r>
              </w:smartTag>
            </w:smartTag>
            <w:r>
              <w:rPr>
                <w:rFonts w:ascii="Arial Narrow" w:hAnsi="Arial Narrow"/>
                <w:sz w:val="24"/>
                <w:szCs w:val="24"/>
              </w:rPr>
              <w:t xml:space="preserve"> data</w:t>
            </w:r>
          </w:p>
          <w:p w:rsidR="00563501" w:rsidRPr="006C311F" w:rsidRDefault="00563501" w:rsidP="001A73A4">
            <w:pPr>
              <w:pStyle w:val="ListParagraph"/>
              <w:spacing w:after="0" w:line="240" w:lineRule="auto"/>
              <w:ind w:left="360"/>
              <w:rPr>
                <w:rFonts w:ascii="Arial Narrow" w:hAnsi="Arial Narrow"/>
                <w:sz w:val="24"/>
                <w:szCs w:val="24"/>
              </w:rPr>
            </w:pPr>
          </w:p>
        </w:tc>
        <w:tc>
          <w:tcPr>
            <w:tcW w:w="2337" w:type="dxa"/>
            <w:tcBorders>
              <w:top w:val="single" w:sz="8" w:space="0" w:color="FFFFFF"/>
              <w:left w:val="single" w:sz="8" w:space="0" w:color="FFFFFF"/>
              <w:bottom w:val="single" w:sz="8" w:space="0" w:color="FFFFFF"/>
            </w:tcBorders>
            <w:shd w:val="clear" w:color="auto" w:fill="A7BFDE"/>
            <w:vAlign w:val="center"/>
          </w:tcPr>
          <w:p w:rsidR="00563501" w:rsidRPr="00C54CB9" w:rsidRDefault="00563501" w:rsidP="001A73A4">
            <w:pPr>
              <w:jc w:val="center"/>
              <w:rPr>
                <w:rFonts w:ascii="Arial Narrow" w:hAnsi="Arial Narrow"/>
                <w:sz w:val="20"/>
                <w:szCs w:val="20"/>
              </w:rPr>
            </w:pPr>
            <w:r>
              <w:rPr>
                <w:rFonts w:ascii="Arial Narrow" w:hAnsi="Arial Narrow"/>
                <w:sz w:val="20"/>
                <w:szCs w:val="20"/>
              </w:rPr>
              <w:t xml:space="preserve">Examine movements in the difference between total PBS expenditure at CDPMQ and </w:t>
            </w:r>
            <w:r>
              <w:rPr>
                <w:rFonts w:ascii="Arial Narrow" w:hAnsi="Arial Narrow"/>
                <w:sz w:val="20"/>
                <w:szCs w:val="20"/>
              </w:rPr>
              <w:lastRenderedPageBreak/>
              <w:t>ex-man prices.</w:t>
            </w:r>
          </w:p>
        </w:tc>
      </w:tr>
      <w:tr w:rsidR="00563501" w:rsidRPr="006C311F" w:rsidTr="001A73A4">
        <w:trPr>
          <w:cantSplit/>
        </w:trPr>
        <w:tc>
          <w:tcPr>
            <w:tcW w:w="2559" w:type="dxa"/>
            <w:tcBorders>
              <w:bottom w:val="nil"/>
              <w:right w:val="single" w:sz="24" w:space="0" w:color="FFFFFF"/>
            </w:tcBorders>
            <w:shd w:val="clear" w:color="auto" w:fill="4F81BD"/>
            <w:vAlign w:val="center"/>
          </w:tcPr>
          <w:p w:rsidR="00563501" w:rsidRPr="006C311F" w:rsidRDefault="00563501" w:rsidP="001A73A4">
            <w:pPr>
              <w:jc w:val="center"/>
              <w:rPr>
                <w:rFonts w:ascii="Arial Narrow" w:hAnsi="Arial Narrow" w:cs="Arial"/>
                <w:b/>
                <w:bCs/>
                <w:color w:val="FFFFFF"/>
              </w:rPr>
            </w:pPr>
            <w:r w:rsidRPr="006C311F">
              <w:rPr>
                <w:rFonts w:ascii="Arial Narrow" w:hAnsi="Arial Narrow" w:cs="Arial"/>
                <w:b/>
                <w:bCs/>
                <w:color w:val="FFFFFF"/>
              </w:rPr>
              <w:lastRenderedPageBreak/>
              <w:t xml:space="preserve">Highly specialised </w:t>
            </w:r>
            <w:r w:rsidRPr="006C311F">
              <w:rPr>
                <w:rFonts w:ascii="Arial Narrow" w:hAnsi="Arial Narrow" w:cs="Arial"/>
                <w:b/>
                <w:bCs/>
                <w:color w:val="FFFFFF"/>
              </w:rPr>
              <w:br/>
              <w:t>drugs program</w:t>
            </w:r>
          </w:p>
        </w:tc>
        <w:tc>
          <w:tcPr>
            <w:tcW w:w="2451" w:type="dxa"/>
            <w:tcBorders>
              <w:bottom w:val="single" w:sz="8" w:space="0" w:color="FFFFFF"/>
            </w:tcBorders>
            <w:shd w:val="clear" w:color="auto" w:fill="D3DFEE"/>
            <w:vAlign w:val="center"/>
          </w:tcPr>
          <w:p w:rsidR="00563501" w:rsidRPr="006C311F" w:rsidRDefault="00563501" w:rsidP="001A73A4">
            <w:pPr>
              <w:jc w:val="center"/>
              <w:rPr>
                <w:rFonts w:ascii="Arial Narrow" w:hAnsi="Arial Narrow"/>
              </w:rPr>
            </w:pPr>
            <w:r>
              <w:rPr>
                <w:rFonts w:ascii="Arial Narrow" w:hAnsi="Arial Narrow"/>
              </w:rPr>
              <w:t xml:space="preserve">% contribution to </w:t>
            </w:r>
            <w:r w:rsidRPr="006C311F">
              <w:rPr>
                <w:rFonts w:ascii="Arial Narrow" w:hAnsi="Arial Narrow"/>
              </w:rPr>
              <w:t>PBS expenditure</w:t>
            </w:r>
            <w:r>
              <w:rPr>
                <w:rFonts w:ascii="Arial Narrow" w:hAnsi="Arial Narrow"/>
              </w:rPr>
              <w:t xml:space="preserve"> growth attributable to HSD expenditure</w:t>
            </w:r>
          </w:p>
        </w:tc>
        <w:tc>
          <w:tcPr>
            <w:tcW w:w="3591" w:type="dxa"/>
            <w:tcBorders>
              <w:bottom w:val="single" w:sz="8" w:space="0" w:color="FFFFFF"/>
            </w:tcBorders>
            <w:shd w:val="clear" w:color="auto" w:fill="D3DFEE"/>
            <w:vAlign w:val="center"/>
          </w:tcPr>
          <w:p w:rsidR="00563501" w:rsidRDefault="00563501" w:rsidP="0098384D">
            <w:pPr>
              <w:numPr>
                <w:ilvl w:val="0"/>
                <w:numId w:val="36"/>
              </w:numPr>
              <w:spacing w:after="0" w:line="240" w:lineRule="auto"/>
              <w:rPr>
                <w:rFonts w:ascii="Arial Narrow" w:hAnsi="Arial Narrow"/>
              </w:rPr>
            </w:pPr>
            <w:r>
              <w:rPr>
                <w:rFonts w:ascii="Arial Narrow" w:hAnsi="Arial Narrow"/>
              </w:rPr>
              <w:t>Annual expenditure on HSDs</w:t>
            </w:r>
          </w:p>
          <w:p w:rsidR="00563501" w:rsidRPr="006C311F" w:rsidRDefault="00563501" w:rsidP="0098384D">
            <w:pPr>
              <w:numPr>
                <w:ilvl w:val="0"/>
                <w:numId w:val="36"/>
              </w:numPr>
              <w:spacing w:after="0" w:line="240" w:lineRule="auto"/>
              <w:rPr>
                <w:rFonts w:ascii="Arial Narrow" w:hAnsi="Arial Narrow"/>
              </w:rPr>
            </w:pPr>
            <w:r>
              <w:rPr>
                <w:rFonts w:ascii="Arial Narrow" w:hAnsi="Arial Narrow"/>
              </w:rPr>
              <w:t>PBS e</w:t>
            </w:r>
            <w:r w:rsidRPr="006C311F">
              <w:rPr>
                <w:rFonts w:ascii="Arial Narrow" w:hAnsi="Arial Narrow"/>
              </w:rPr>
              <w:t>xpenditure and prescription</w:t>
            </w:r>
            <w:r>
              <w:rPr>
                <w:rFonts w:ascii="Arial Narrow" w:hAnsi="Arial Narrow"/>
              </w:rPr>
              <w:t>s</w:t>
            </w:r>
          </w:p>
        </w:tc>
        <w:tc>
          <w:tcPr>
            <w:tcW w:w="4074" w:type="dxa"/>
            <w:tcBorders>
              <w:bottom w:val="single" w:sz="8" w:space="0" w:color="FFFFFF"/>
            </w:tcBorders>
            <w:shd w:val="clear" w:color="auto" w:fill="D3DFEE"/>
            <w:vAlign w:val="center"/>
          </w:tcPr>
          <w:p w:rsidR="00563501" w:rsidRDefault="00563501" w:rsidP="0098384D">
            <w:pPr>
              <w:numPr>
                <w:ilvl w:val="0"/>
                <w:numId w:val="37"/>
              </w:numPr>
              <w:spacing w:after="0" w:line="240" w:lineRule="auto"/>
              <w:rPr>
                <w:rFonts w:ascii="Arial Narrow" w:hAnsi="Arial Narrow"/>
              </w:rPr>
            </w:pPr>
            <w:r>
              <w:rPr>
                <w:rFonts w:ascii="Arial Narrow" w:hAnsi="Arial Narrow"/>
              </w:rPr>
              <w:t>Department of Health and Ageing</w:t>
            </w:r>
          </w:p>
          <w:p w:rsidR="00563501" w:rsidRPr="006C311F" w:rsidRDefault="00563501" w:rsidP="001A73A4">
            <w:pPr>
              <w:jc w:val="center"/>
              <w:rPr>
                <w:rFonts w:ascii="Arial Narrow" w:hAnsi="Arial Narrow"/>
              </w:rPr>
            </w:pPr>
          </w:p>
        </w:tc>
        <w:tc>
          <w:tcPr>
            <w:tcW w:w="2337" w:type="dxa"/>
            <w:tcBorders>
              <w:bottom w:val="single" w:sz="8" w:space="0" w:color="FFFFFF"/>
            </w:tcBorders>
            <w:shd w:val="clear" w:color="auto" w:fill="D3DFEE"/>
            <w:vAlign w:val="center"/>
          </w:tcPr>
          <w:p w:rsidR="00563501" w:rsidRPr="00C54CB9" w:rsidRDefault="00563501" w:rsidP="001A73A4">
            <w:pPr>
              <w:jc w:val="center"/>
              <w:rPr>
                <w:rFonts w:ascii="Arial Narrow" w:hAnsi="Arial Narrow"/>
                <w:sz w:val="20"/>
                <w:szCs w:val="20"/>
              </w:rPr>
            </w:pPr>
            <w:r w:rsidRPr="00C54CB9">
              <w:rPr>
                <w:rFonts w:ascii="Arial Narrow" w:hAnsi="Arial Narrow"/>
                <w:sz w:val="20"/>
                <w:szCs w:val="20"/>
              </w:rPr>
              <w:t>Consider growth rates of HSD expenditure in relation to S85 expenditure</w:t>
            </w:r>
          </w:p>
        </w:tc>
      </w:tr>
    </w:tbl>
    <w:p w:rsidR="00563501" w:rsidRPr="00005178" w:rsidRDefault="00563501" w:rsidP="00563501">
      <w:pPr>
        <w:spacing w:after="120"/>
        <w:rPr>
          <w:sz w:val="20"/>
          <w:szCs w:val="20"/>
        </w:rPr>
      </w:pPr>
      <w:r w:rsidRPr="00005178">
        <w:rPr>
          <w:sz w:val="20"/>
          <w:szCs w:val="20"/>
        </w:rPr>
        <w:t>In the table above, where not further specified:</w:t>
      </w:r>
    </w:p>
    <w:p w:rsidR="00563501" w:rsidRPr="00005178" w:rsidRDefault="00563501" w:rsidP="0098384D">
      <w:pPr>
        <w:numPr>
          <w:ilvl w:val="0"/>
          <w:numId w:val="38"/>
        </w:numPr>
        <w:spacing w:after="120" w:line="240" w:lineRule="auto"/>
        <w:rPr>
          <w:sz w:val="20"/>
          <w:szCs w:val="20"/>
        </w:rPr>
      </w:pPr>
      <w:r w:rsidRPr="00005178">
        <w:rPr>
          <w:sz w:val="20"/>
          <w:szCs w:val="20"/>
        </w:rPr>
        <w:t xml:space="preserve">PBS expenditure and prescriptions relates to S85 PBS data processed through Medicare </w:t>
      </w:r>
      <w:smartTag w:uri="urn:schemas-microsoft-com:office:smarttags" w:element="place">
        <w:smartTag w:uri="urn:schemas-microsoft-com:office:smarttags" w:element="country-region">
          <w:r w:rsidRPr="00005178">
            <w:rPr>
              <w:sz w:val="20"/>
              <w:szCs w:val="20"/>
            </w:rPr>
            <w:t>Australia</w:t>
          </w:r>
        </w:smartTag>
      </w:smartTag>
      <w:r w:rsidRPr="00005178">
        <w:rPr>
          <w:sz w:val="20"/>
          <w:szCs w:val="20"/>
        </w:rPr>
        <w:t>.</w:t>
      </w:r>
    </w:p>
    <w:p w:rsidR="00563501" w:rsidRPr="00005178" w:rsidRDefault="00563501" w:rsidP="0098384D">
      <w:pPr>
        <w:numPr>
          <w:ilvl w:val="0"/>
          <w:numId w:val="38"/>
        </w:numPr>
        <w:spacing w:after="120" w:line="240" w:lineRule="auto"/>
        <w:rPr>
          <w:sz w:val="20"/>
          <w:szCs w:val="20"/>
        </w:rPr>
      </w:pPr>
      <w:r w:rsidRPr="00005178">
        <w:rPr>
          <w:sz w:val="20"/>
          <w:szCs w:val="20"/>
        </w:rPr>
        <w:t xml:space="preserve">Medicare </w:t>
      </w:r>
      <w:smartTag w:uri="urn:schemas-microsoft-com:office:smarttags" w:element="country-region">
        <w:r w:rsidRPr="00005178">
          <w:rPr>
            <w:sz w:val="20"/>
            <w:szCs w:val="20"/>
          </w:rPr>
          <w:t>Australia</w:t>
        </w:r>
      </w:smartTag>
      <w:r w:rsidRPr="00005178">
        <w:rPr>
          <w:sz w:val="20"/>
          <w:szCs w:val="20"/>
        </w:rPr>
        <w:t xml:space="preserve"> data is PBS scripts and expenditure data the Department of Health and Aging obtains from Medicare </w:t>
      </w:r>
      <w:smartTag w:uri="urn:schemas-microsoft-com:office:smarttags" w:element="place">
        <w:smartTag w:uri="urn:schemas-microsoft-com:office:smarttags" w:element="country-region">
          <w:r w:rsidRPr="00005178">
            <w:rPr>
              <w:sz w:val="20"/>
              <w:szCs w:val="20"/>
            </w:rPr>
            <w:t>Australia</w:t>
          </w:r>
        </w:smartTag>
      </w:smartTag>
      <w:r w:rsidRPr="00005178">
        <w:rPr>
          <w:sz w:val="20"/>
          <w:szCs w:val="20"/>
        </w:rPr>
        <w:t>.  It contains information required for analysis, but not available on the Medicare Australia website (eg patient identifiers and patient date of birth).</w:t>
      </w:r>
    </w:p>
    <w:p w:rsidR="00563501" w:rsidRPr="00005178" w:rsidRDefault="00563501" w:rsidP="0098384D">
      <w:pPr>
        <w:numPr>
          <w:ilvl w:val="0"/>
          <w:numId w:val="38"/>
        </w:numPr>
        <w:spacing w:after="120" w:line="240" w:lineRule="auto"/>
        <w:rPr>
          <w:sz w:val="20"/>
          <w:szCs w:val="20"/>
        </w:rPr>
      </w:pPr>
      <w:r w:rsidRPr="00005178">
        <w:rPr>
          <w:sz w:val="20"/>
          <w:szCs w:val="20"/>
        </w:rPr>
        <w:t>‘New listings’ to include extensions where possible</w:t>
      </w:r>
    </w:p>
    <w:p w:rsidR="00563501" w:rsidRPr="00005178" w:rsidRDefault="00563501" w:rsidP="0098384D">
      <w:pPr>
        <w:numPr>
          <w:ilvl w:val="0"/>
          <w:numId w:val="38"/>
        </w:numPr>
        <w:spacing w:after="120" w:line="240" w:lineRule="auto"/>
        <w:rPr>
          <w:sz w:val="20"/>
          <w:szCs w:val="20"/>
        </w:rPr>
      </w:pPr>
      <w:r w:rsidRPr="00005178">
        <w:rPr>
          <w:sz w:val="20"/>
          <w:szCs w:val="20"/>
        </w:rPr>
        <w:t>Reports on predicted vs actual expenditure for new listings will be integrated into this monitoring and reporting structure after appropriate consideration is given to the current process already underway between Medicines Australia and the Department looking at how these reports may be used in the future.</w:t>
      </w:r>
    </w:p>
    <w:p w:rsidR="00563501" w:rsidRDefault="00563501" w:rsidP="0098384D">
      <w:pPr>
        <w:numPr>
          <w:ilvl w:val="0"/>
          <w:numId w:val="38"/>
        </w:numPr>
        <w:spacing w:after="120" w:line="240" w:lineRule="auto"/>
        <w:rPr>
          <w:sz w:val="20"/>
          <w:szCs w:val="20"/>
        </w:rPr>
      </w:pPr>
      <w:r>
        <w:rPr>
          <w:sz w:val="20"/>
          <w:szCs w:val="20"/>
        </w:rPr>
        <w:t xml:space="preserve">The focus of policy changes will be on changes that directly affect PBS prices and volume.  However, the </w:t>
      </w:r>
      <w:r w:rsidRPr="00D26A6B">
        <w:rPr>
          <w:sz w:val="20"/>
          <w:szCs w:val="20"/>
        </w:rPr>
        <w:t>DWG recognises that from time-to-time, it may need to evaluate the impact of other policy measures on overall consumption of pharmaceuticals.  In such cases, the DWG will make a recommendation to the AMWG Sub-group highlighting the benefits of investigating such policy measures.</w:t>
      </w:r>
    </w:p>
    <w:p w:rsidR="00563501" w:rsidRPr="00734B90" w:rsidRDefault="00563501" w:rsidP="0098384D">
      <w:pPr>
        <w:numPr>
          <w:ilvl w:val="0"/>
          <w:numId w:val="38"/>
        </w:numPr>
        <w:spacing w:after="120" w:line="240" w:lineRule="auto"/>
        <w:rPr>
          <w:sz w:val="20"/>
          <w:szCs w:val="20"/>
        </w:rPr>
      </w:pPr>
      <w:r w:rsidRPr="00734B90">
        <w:rPr>
          <w:sz w:val="20"/>
          <w:szCs w:val="20"/>
        </w:rPr>
        <w:t>Age categor</w:t>
      </w:r>
      <w:r>
        <w:rPr>
          <w:sz w:val="20"/>
          <w:szCs w:val="20"/>
        </w:rPr>
        <w:t>ies</w:t>
      </w:r>
      <w:r w:rsidRPr="00734B90">
        <w:rPr>
          <w:sz w:val="20"/>
          <w:szCs w:val="20"/>
        </w:rPr>
        <w:t xml:space="preserve"> to be based on </w:t>
      </w:r>
      <w:r>
        <w:rPr>
          <w:sz w:val="20"/>
          <w:szCs w:val="20"/>
        </w:rPr>
        <w:t xml:space="preserve">an appropriate </w:t>
      </w:r>
      <w:r w:rsidRPr="00734B90">
        <w:rPr>
          <w:sz w:val="20"/>
          <w:szCs w:val="20"/>
        </w:rPr>
        <w:t>ABS or AIHW</w:t>
      </w:r>
      <w:r>
        <w:rPr>
          <w:sz w:val="20"/>
          <w:szCs w:val="20"/>
        </w:rPr>
        <w:t xml:space="preserve"> </w:t>
      </w:r>
      <w:r w:rsidRPr="00734B90">
        <w:rPr>
          <w:sz w:val="20"/>
          <w:szCs w:val="20"/>
        </w:rPr>
        <w:t xml:space="preserve">standard </w:t>
      </w:r>
      <w:r>
        <w:rPr>
          <w:sz w:val="20"/>
          <w:szCs w:val="20"/>
        </w:rPr>
        <w:t xml:space="preserve">health </w:t>
      </w:r>
      <w:r w:rsidRPr="00734B90">
        <w:rPr>
          <w:sz w:val="20"/>
          <w:szCs w:val="20"/>
        </w:rPr>
        <w:t>classification</w:t>
      </w:r>
      <w:r>
        <w:rPr>
          <w:sz w:val="20"/>
          <w:szCs w:val="20"/>
        </w:rPr>
        <w:t>.</w:t>
      </w:r>
    </w:p>
    <w:p w:rsidR="00563501" w:rsidRPr="00A44305" w:rsidRDefault="00563501">
      <w:pPr>
        <w:spacing w:after="0" w:line="240" w:lineRule="auto"/>
        <w:rPr>
          <w:rFonts w:ascii="Arial" w:hAnsi="Arial" w:cs="Arial"/>
        </w:rPr>
      </w:pPr>
    </w:p>
    <w:sectPr w:rsidR="00563501" w:rsidRPr="00A44305" w:rsidSect="0044601D">
      <w:pgSz w:w="16838" w:h="11906" w:orient="landscape"/>
      <w:pgMar w:top="1440" w:right="253" w:bottom="993"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ADC" w:rsidRDefault="006E7ADC" w:rsidP="002E776C">
      <w:pPr>
        <w:spacing w:after="0" w:line="240" w:lineRule="auto"/>
      </w:pPr>
      <w:r>
        <w:separator/>
      </w:r>
    </w:p>
  </w:endnote>
  <w:endnote w:type="continuationSeparator" w:id="0">
    <w:p w:rsidR="006E7ADC" w:rsidRDefault="006E7ADC" w:rsidP="002E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BT-Light">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DC" w:rsidRDefault="006E7ADC">
    <w:pPr>
      <w:pStyle w:val="Footer"/>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BC1CFB">
      <w:rPr>
        <w:rFonts w:ascii="Arial" w:hAnsi="Arial" w:cs="Arial"/>
        <w:noProof/>
      </w:rPr>
      <w:t>45</w:t>
    </w:r>
    <w:r>
      <w:rPr>
        <w:rFonts w:ascii="Arial" w:hAnsi="Arial" w:cs="Arial"/>
      </w:rPr>
      <w:fldChar w:fldCharType="end"/>
    </w:r>
  </w:p>
  <w:p w:rsidR="006E7ADC" w:rsidRDefault="006E7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DC" w:rsidRDefault="006E7ADC">
    <w:pPr>
      <w:pStyle w:val="Footer"/>
      <w:jc w:val="center"/>
    </w:pPr>
  </w:p>
  <w:p w:rsidR="006E7ADC" w:rsidRDefault="006E7A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DC" w:rsidRDefault="006E7A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DC" w:rsidRDefault="006E7ADC">
    <w:pPr>
      <w:pStyle w:val="Footer"/>
      <w:jc w:val="center"/>
    </w:pPr>
    <w:r w:rsidRPr="00C11A33">
      <w:rPr>
        <w:rFonts w:ascii="Arial" w:hAnsi="Arial" w:cs="Arial"/>
      </w:rPr>
      <w:fldChar w:fldCharType="begin"/>
    </w:r>
    <w:r w:rsidRPr="00C11A33">
      <w:rPr>
        <w:rFonts w:ascii="Arial" w:hAnsi="Arial" w:cs="Arial"/>
      </w:rPr>
      <w:instrText xml:space="preserve"> PAGE   \* MERGEFORMAT </w:instrText>
    </w:r>
    <w:r w:rsidRPr="00C11A33">
      <w:rPr>
        <w:rFonts w:ascii="Arial" w:hAnsi="Arial" w:cs="Arial"/>
      </w:rPr>
      <w:fldChar w:fldCharType="separate"/>
    </w:r>
    <w:r w:rsidR="0079792D">
      <w:rPr>
        <w:rFonts w:ascii="Arial" w:hAnsi="Arial" w:cs="Arial"/>
        <w:noProof/>
      </w:rPr>
      <w:t>65</w:t>
    </w:r>
    <w:r w:rsidRPr="00C11A33">
      <w:rPr>
        <w:rFonts w:ascii="Arial" w:hAnsi="Arial" w:cs="Arial"/>
      </w:rPr>
      <w:fldChar w:fldCharType="end"/>
    </w:r>
  </w:p>
  <w:p w:rsidR="006E7ADC" w:rsidRDefault="006E7A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DC" w:rsidRPr="008670E5" w:rsidRDefault="006E7ADC" w:rsidP="001A73A4">
    <w:pPr>
      <w:pStyle w:val="Footer"/>
      <w:jc w:val="center"/>
      <w:rPr>
        <w:rFonts w:ascii="Arial" w:hAnsi="Arial" w:cs="Arial"/>
        <w:sz w:val="20"/>
        <w:szCs w:val="20"/>
      </w:rPr>
    </w:pPr>
    <w:r w:rsidRPr="008670E5">
      <w:rPr>
        <w:rStyle w:val="PageNumber"/>
        <w:rFonts w:ascii="Arial" w:hAnsi="Arial" w:cs="Arial"/>
      </w:rPr>
      <w:fldChar w:fldCharType="begin"/>
    </w:r>
    <w:r w:rsidRPr="008670E5">
      <w:rPr>
        <w:rStyle w:val="PageNumber"/>
        <w:rFonts w:ascii="Arial" w:hAnsi="Arial" w:cs="Arial"/>
      </w:rPr>
      <w:instrText xml:space="preserve"> PAGE </w:instrText>
    </w:r>
    <w:r w:rsidRPr="008670E5">
      <w:rPr>
        <w:rStyle w:val="PageNumber"/>
        <w:rFonts w:ascii="Arial" w:hAnsi="Arial" w:cs="Arial"/>
      </w:rPr>
      <w:fldChar w:fldCharType="separate"/>
    </w:r>
    <w:r w:rsidR="00354D83">
      <w:rPr>
        <w:rStyle w:val="PageNumber"/>
        <w:rFonts w:ascii="Arial" w:hAnsi="Arial" w:cs="Arial"/>
        <w:noProof/>
      </w:rPr>
      <w:t>69</w:t>
    </w:r>
    <w:r w:rsidRPr="008670E5">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ADC" w:rsidRDefault="006E7ADC" w:rsidP="002E776C">
      <w:pPr>
        <w:spacing w:after="0" w:line="240" w:lineRule="auto"/>
      </w:pPr>
      <w:r>
        <w:separator/>
      </w:r>
    </w:p>
  </w:footnote>
  <w:footnote w:type="continuationSeparator" w:id="0">
    <w:p w:rsidR="006E7ADC" w:rsidRDefault="006E7ADC" w:rsidP="002E776C">
      <w:pPr>
        <w:spacing w:after="0" w:line="240" w:lineRule="auto"/>
      </w:pPr>
      <w:r>
        <w:continuationSeparator/>
      </w:r>
    </w:p>
  </w:footnote>
  <w:footnote w:id="1">
    <w:p w:rsidR="006E7ADC" w:rsidRPr="007356D4" w:rsidRDefault="006E7ADC">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w:t>
      </w:r>
      <w:r w:rsidRPr="007356D4">
        <w:rPr>
          <w:rFonts w:ascii="Arial Narrow" w:hAnsi="Arial Narrow" w:cs="Arial"/>
          <w:sz w:val="18"/>
          <w:szCs w:val="18"/>
        </w:rPr>
        <w:t xml:space="preserve">PBS Section 85 refers to medicines dispensed under Section 85 of the </w:t>
      </w:r>
      <w:r w:rsidRPr="007356D4">
        <w:rPr>
          <w:rFonts w:ascii="Arial Narrow" w:hAnsi="Arial Narrow" w:cs="Arial"/>
          <w:i/>
          <w:sz w:val="18"/>
          <w:szCs w:val="18"/>
        </w:rPr>
        <w:t>National Health Act 1953</w:t>
      </w:r>
      <w:r w:rsidRPr="007356D4">
        <w:rPr>
          <w:rFonts w:ascii="Arial Narrow" w:hAnsi="Arial Narrow" w:cs="Arial"/>
          <w:sz w:val="18"/>
          <w:szCs w:val="18"/>
        </w:rPr>
        <w:t xml:space="preserve">.  Refer: </w:t>
      </w:r>
      <w:hyperlink r:id="rId1" w:history="1">
        <w:r w:rsidRPr="007356D4">
          <w:rPr>
            <w:rStyle w:val="Hyperlink"/>
            <w:rFonts w:ascii="Arial Narrow" w:hAnsi="Arial Narrow" w:cs="Arial"/>
            <w:sz w:val="18"/>
            <w:szCs w:val="18"/>
          </w:rPr>
          <w:t>http://www.comlaw.gov.au/Details/C2012C00607</w:t>
        </w:r>
      </w:hyperlink>
    </w:p>
  </w:footnote>
  <w:footnote w:id="2">
    <w:p w:rsidR="006E7ADC" w:rsidRPr="007356D4" w:rsidRDefault="006E7ADC" w:rsidP="003C2D43">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w:t>
      </w:r>
      <w:r w:rsidRPr="007356D4">
        <w:rPr>
          <w:rFonts w:ascii="Arial Narrow" w:hAnsi="Arial Narrow" w:cs="Arial"/>
          <w:sz w:val="18"/>
          <w:szCs w:val="18"/>
        </w:rPr>
        <w:t xml:space="preserve">Second Reading, </w:t>
      </w:r>
      <w:r w:rsidRPr="007356D4">
        <w:rPr>
          <w:rFonts w:ascii="Arial Narrow" w:hAnsi="Arial Narrow" w:cs="Arial"/>
          <w:i/>
          <w:sz w:val="18"/>
          <w:szCs w:val="18"/>
        </w:rPr>
        <w:t>National Health Amendment (Pharmaceutical Benefits Scheme) Bill 2010</w:t>
      </w:r>
      <w:r w:rsidRPr="007356D4">
        <w:rPr>
          <w:rFonts w:ascii="Arial Narrow" w:hAnsi="Arial Narrow" w:cs="Arial"/>
          <w:sz w:val="18"/>
          <w:szCs w:val="18"/>
        </w:rPr>
        <w:t xml:space="preserve">, Minister for Health and Ageing the Hon Nicola Roxon, 29 September 2010. Available online at: </w:t>
      </w:r>
      <w:hyperlink r:id="rId2" w:history="1">
        <w:r w:rsidRPr="007356D4">
          <w:rPr>
            <w:rStyle w:val="Hyperlink"/>
            <w:rFonts w:ascii="Arial Narrow" w:hAnsi="Arial Narrow" w:cs="Arial"/>
            <w:sz w:val="18"/>
            <w:szCs w:val="18"/>
          </w:rPr>
          <w:t>http://parlinfo.aph.gov.au/parlInfo/search/display/display.w3p;query=Title%3Anational%20Title%3Ahealth%20Title%3Aamendment%20Database%3Achamber%20Title%3A%22second%20reading%22%3F%20%20Context_Phrase%3Abill%3F%20Speaker%3A%3F%20Date%3A01%2F05%2F2010%20%3E%3E%2030%2F11%2F2010%20Speaker_Phrase%3A%22roxon,%20nicola,%20mp%22;rec=1;resCount=Default</w:t>
        </w:r>
      </w:hyperlink>
      <w:r w:rsidRPr="007356D4">
        <w:rPr>
          <w:rFonts w:ascii="Arial Narrow" w:hAnsi="Arial Narrow" w:cs="Arial"/>
          <w:sz w:val="18"/>
          <w:szCs w:val="18"/>
        </w:rPr>
        <w:t>.</w:t>
      </w:r>
    </w:p>
  </w:footnote>
  <w:footnote w:id="3">
    <w:p w:rsidR="006E7ADC" w:rsidRPr="007356D4" w:rsidRDefault="006E7ADC" w:rsidP="003C2D43">
      <w:pPr>
        <w:pStyle w:val="FootnoteText"/>
        <w:rPr>
          <w:rFonts w:ascii="Arial Narrow" w:hAnsi="Arial Narrow"/>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The Access to Medicines Working Group (AMWG) was formed by the Department of Health and Ageing and Medicines Australia as part of the 2007 PBS reforms to encourage the Government and the industry to work together and consider access to medicines issues. The AMWG oversees the AMWG Sub-group, which coordinates joint work undertaken by the DoHA and MA.</w:t>
      </w:r>
    </w:p>
  </w:footnote>
  <w:footnote w:id="4">
    <w:p w:rsidR="006E7ADC" w:rsidRPr="007356D4" w:rsidRDefault="006E7ADC" w:rsidP="003C2D43">
      <w:pPr>
        <w:pStyle w:val="FootnoteText"/>
        <w:rPr>
          <w:rFonts w:ascii="Arial Narrow" w:hAnsi="Arial Narrow"/>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See Data Working Group Framework (attachment A).</w:t>
      </w:r>
    </w:p>
  </w:footnote>
  <w:footnote w:id="5">
    <w:p w:rsidR="006E7ADC" w:rsidRPr="007356D4" w:rsidRDefault="006E7ADC" w:rsidP="003C2D43">
      <w:pPr>
        <w:pStyle w:val="FootnoteText"/>
        <w:rPr>
          <w:rFonts w:ascii="Arial Narrow" w:hAnsi="Arial Narrow"/>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See Data Working Group Framework – Attachment A</w:t>
      </w:r>
      <w:r w:rsidRPr="007356D4" w:rsidDel="00C75C82">
        <w:rPr>
          <w:rFonts w:ascii="Arial Narrow" w:hAnsi="Arial Narrow" w:cs="Arial"/>
          <w:sz w:val="18"/>
          <w:szCs w:val="18"/>
        </w:rPr>
        <w:t xml:space="preserve"> </w:t>
      </w:r>
      <w:r w:rsidRPr="007356D4">
        <w:rPr>
          <w:rFonts w:ascii="Arial Narrow" w:hAnsi="Arial Narrow" w:cs="Arial"/>
          <w:sz w:val="18"/>
          <w:szCs w:val="18"/>
        </w:rPr>
        <w:t>(attachment A).</w:t>
      </w:r>
    </w:p>
  </w:footnote>
  <w:footnote w:id="6">
    <w:p w:rsidR="006E7ADC" w:rsidRPr="007356D4" w:rsidRDefault="006E7ADC">
      <w:pPr>
        <w:pStyle w:val="FootnoteText"/>
        <w:rPr>
          <w:rFonts w:ascii="Arial Narrow" w:hAnsi="Arial Narrow" w:cs="Arial"/>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w:t>
      </w:r>
      <w:r w:rsidRPr="007356D4">
        <w:rPr>
          <w:rFonts w:ascii="Arial Narrow" w:hAnsi="Arial Narrow" w:cs="Arial"/>
          <w:sz w:val="18"/>
          <w:szCs w:val="18"/>
        </w:rPr>
        <w:t xml:space="preserve">Medicines supplied under Section 100 of the </w:t>
      </w:r>
      <w:r w:rsidRPr="007356D4">
        <w:rPr>
          <w:rFonts w:ascii="Arial Narrow" w:hAnsi="Arial Narrow" w:cs="Arial"/>
          <w:i/>
          <w:sz w:val="18"/>
          <w:szCs w:val="18"/>
        </w:rPr>
        <w:t>National Health Act 1953</w:t>
      </w:r>
      <w:r w:rsidRPr="007356D4">
        <w:rPr>
          <w:rFonts w:ascii="Arial Narrow" w:hAnsi="Arial Narrow" w:cs="Arial"/>
          <w:sz w:val="18"/>
          <w:szCs w:val="18"/>
        </w:rPr>
        <w:t>.</w:t>
      </w:r>
    </w:p>
  </w:footnote>
  <w:footnote w:id="7">
    <w:p w:rsidR="006E7ADC" w:rsidRPr="007356D4" w:rsidRDefault="006E7ADC">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w:t>
      </w:r>
      <w:r w:rsidRPr="007356D4">
        <w:rPr>
          <w:rFonts w:ascii="Arial Narrow" w:hAnsi="Arial Narrow" w:cs="Arial"/>
          <w:sz w:val="18"/>
          <w:szCs w:val="18"/>
        </w:rPr>
        <w:t>See definition in Appendix A.</w:t>
      </w:r>
      <w:r w:rsidRPr="007356D4">
        <w:rPr>
          <w:rFonts w:ascii="Arial Narrow" w:hAnsi="Arial Narrow"/>
          <w:sz w:val="18"/>
          <w:szCs w:val="18"/>
        </w:rPr>
        <w:t xml:space="preserve"> </w:t>
      </w:r>
    </w:p>
  </w:footnote>
  <w:footnote w:id="8">
    <w:p w:rsidR="006E7ADC" w:rsidRPr="007356D4" w:rsidRDefault="006E7ADC" w:rsidP="003C2D43">
      <w:pPr>
        <w:pStyle w:val="FootnoteText"/>
        <w:rPr>
          <w:rFonts w:ascii="Arial Narrow" w:hAnsi="Arial Narrow"/>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See Data Working Group Framework (attachment A).</w:t>
      </w:r>
    </w:p>
  </w:footnote>
  <w:footnote w:id="9">
    <w:p w:rsidR="006E7ADC" w:rsidRPr="007356D4" w:rsidRDefault="006E7ADC" w:rsidP="003C2D43">
      <w:pPr>
        <w:pStyle w:val="FootnoteText"/>
        <w:rPr>
          <w:rFonts w:ascii="Arial Narrow" w:hAnsi="Arial Narrow"/>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See Data Working Group Framework – Attachment B (attachment A).</w:t>
      </w:r>
    </w:p>
  </w:footnote>
  <w:footnote w:id="10">
    <w:p w:rsidR="006E7ADC" w:rsidRPr="007356D4" w:rsidRDefault="006E7ADC" w:rsidP="003C2D43">
      <w:pPr>
        <w:pStyle w:val="FootnoteText"/>
        <w:rPr>
          <w:rFonts w:ascii="Arial Narrow" w:hAnsi="Arial Narrow"/>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See Data Working Group Framework</w:t>
      </w:r>
      <w:r w:rsidRPr="007356D4" w:rsidDel="00C75C82">
        <w:rPr>
          <w:rFonts w:ascii="Arial Narrow" w:hAnsi="Arial Narrow" w:cs="Arial"/>
          <w:sz w:val="18"/>
          <w:szCs w:val="18"/>
        </w:rPr>
        <w:t xml:space="preserve"> </w:t>
      </w:r>
      <w:r w:rsidRPr="007356D4">
        <w:rPr>
          <w:rFonts w:ascii="Arial Narrow" w:hAnsi="Arial Narrow" w:cs="Arial"/>
          <w:sz w:val="18"/>
          <w:szCs w:val="18"/>
        </w:rPr>
        <w:t xml:space="preserve">– Attachment C(attachment A). </w:t>
      </w:r>
    </w:p>
  </w:footnote>
  <w:footnote w:id="11">
    <w:p w:rsidR="006E7ADC" w:rsidRPr="007356D4" w:rsidRDefault="006E7ADC">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w:t>
      </w:r>
      <w:r w:rsidRPr="007356D4">
        <w:rPr>
          <w:rFonts w:ascii="Arial Narrow" w:hAnsi="Arial Narrow" w:cs="Arial"/>
          <w:sz w:val="18"/>
          <w:szCs w:val="18"/>
        </w:rPr>
        <w:t>The BEACH survey is compiled by the Australian General Practice Statistics and Classification Centre</w:t>
      </w:r>
    </w:p>
  </w:footnote>
  <w:footnote w:id="12">
    <w:p w:rsidR="006E7ADC" w:rsidRPr="007356D4" w:rsidRDefault="006E7ADC">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Certain pharmaceutical benefits are provided without charge to prescribers who in turn can supply them free to patients for emergency use.  These are known as Doctors Bag prescriptions (also known as emergency supply prescriptions).</w:t>
      </w:r>
    </w:p>
  </w:footnote>
  <w:footnote w:id="13">
    <w:p w:rsidR="006E7ADC" w:rsidRPr="007356D4" w:rsidRDefault="006E7ADC">
      <w:pPr>
        <w:pStyle w:val="FootnoteText"/>
        <w:rPr>
          <w:rFonts w:ascii="Arial Narrow" w:hAnsi="Arial Narrow"/>
        </w:rPr>
      </w:pPr>
      <w:r w:rsidRPr="007356D4">
        <w:rPr>
          <w:rStyle w:val="FootnoteReference"/>
          <w:rFonts w:ascii="Arial Narrow" w:hAnsi="Arial Narrow"/>
          <w:sz w:val="18"/>
          <w:szCs w:val="18"/>
        </w:rPr>
        <w:footnoteRef/>
      </w:r>
      <w:r w:rsidRPr="007356D4">
        <w:rPr>
          <w:rFonts w:ascii="Arial Narrow" w:hAnsi="Arial Narrow"/>
          <w:sz w:val="18"/>
          <w:szCs w:val="18"/>
        </w:rPr>
        <w:t xml:space="preserve"> Note that the remuneration calculations for medicines supplied under the “Efficient Funding of Chemotherapy” measure are different to those applied for most other medicines</w:t>
      </w:r>
    </w:p>
  </w:footnote>
  <w:footnote w:id="14">
    <w:p w:rsidR="006E7ADC" w:rsidRPr="007356D4" w:rsidRDefault="006E7ADC" w:rsidP="003C2D43">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Australian Bureau of Statistics. National Health Survey: summary of results, 2007-08, from Australian Bureau of Statistics website: www.abs.gov.au.</w:t>
      </w:r>
    </w:p>
    <w:p w:rsidR="006E7ADC" w:rsidRDefault="006E7ADC" w:rsidP="003C2D43">
      <w:pPr>
        <w:pStyle w:val="FootnoteText"/>
      </w:pPr>
    </w:p>
  </w:footnote>
  <w:footnote w:id="15">
    <w:p w:rsidR="006E7ADC" w:rsidRPr="007356D4" w:rsidRDefault="006E7ADC">
      <w:pPr>
        <w:pStyle w:val="FootnoteText"/>
        <w:rPr>
          <w:rFonts w:ascii="Arial Narrow" w:hAnsi="Arial Narrow"/>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PBS benefits paid pharmaceuticals are those PBS listed medicines where a benefit is paid by the Government when they are dispensed.  This excludes RPBS only listed medicines, but does include medicines that are listed under both the PBS and RPBS where they are dispensed to PBS patients.</w:t>
      </w:r>
    </w:p>
  </w:footnote>
  <w:footnote w:id="16">
    <w:p w:rsidR="006E7ADC" w:rsidRPr="007356D4" w:rsidRDefault="006E7ADC">
      <w:pPr>
        <w:pStyle w:val="FootnoteText"/>
        <w:rPr>
          <w:rFonts w:ascii="Arial Narrow" w:hAnsi="Arial Narrow" w:cs="Arial"/>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See definition in Appendix 1.</w:t>
      </w:r>
    </w:p>
  </w:footnote>
  <w:footnote w:id="17">
    <w:p w:rsidR="006E7ADC" w:rsidRPr="007356D4" w:rsidRDefault="006E7ADC" w:rsidP="003A33E3">
      <w:pPr>
        <w:pStyle w:val="FootnoteText"/>
        <w:rPr>
          <w:rFonts w:ascii="Arial Narrow" w:hAnsi="Arial Narrow" w:cs="Arial"/>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Net new listings = New listings </w:t>
      </w:r>
      <w:r w:rsidRPr="007356D4">
        <w:rPr>
          <w:rFonts w:ascii="Arial Narrow" w:hAnsi="Arial Narrow" w:cs="Arial"/>
          <w:i/>
          <w:sz w:val="18"/>
          <w:szCs w:val="18"/>
        </w:rPr>
        <w:t>less</w:t>
      </w:r>
      <w:r w:rsidRPr="007356D4">
        <w:rPr>
          <w:rFonts w:ascii="Arial Narrow" w:hAnsi="Arial Narrow" w:cs="Arial"/>
          <w:sz w:val="18"/>
          <w:szCs w:val="18"/>
        </w:rPr>
        <w:t xml:space="preserve"> delisted medicines.</w:t>
      </w:r>
    </w:p>
  </w:footnote>
  <w:footnote w:id="18">
    <w:p w:rsidR="006E7ADC" w:rsidRPr="007356D4" w:rsidRDefault="006E7ADC">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Sweeney, K, “Trends in the Use and Cost of Pharmaceuticals under the Pharmaceutical Benefits Scheme”, Centre for Strategic Economic Studies, 2002.</w:t>
      </w:r>
    </w:p>
  </w:footnote>
  <w:footnote w:id="19">
    <w:p w:rsidR="006E7ADC" w:rsidRPr="007356D4" w:rsidRDefault="006E7ADC" w:rsidP="003A33E3">
      <w:pPr>
        <w:pStyle w:val="FootnoteText"/>
        <w:rPr>
          <w:rFonts w:ascii="Arial Narrow" w:hAnsi="Arial Narrow"/>
          <w:sz w:val="18"/>
          <w:szCs w:val="18"/>
        </w:rPr>
      </w:pPr>
      <w:r w:rsidRPr="007356D4">
        <w:rPr>
          <w:rStyle w:val="FootnoteReference"/>
          <w:rFonts w:ascii="Arial Narrow" w:eastAsia="Calibri" w:hAnsi="Arial Narrow"/>
          <w:sz w:val="18"/>
          <w:szCs w:val="18"/>
        </w:rPr>
        <w:footnoteRef/>
      </w:r>
      <w:r w:rsidRPr="007356D4">
        <w:rPr>
          <w:rFonts w:ascii="Arial Narrow" w:hAnsi="Arial Narrow"/>
          <w:sz w:val="18"/>
          <w:szCs w:val="18"/>
        </w:rPr>
        <w:t xml:space="preserve"> This analysis is based on Drug Utilisation estimates as provided by the Drug Utilisation Sub-Committee for all years except 2009-10 and 2010-11. Data used in this analysis for 2009-10 and 2010-11 is ‘date of supply’ data from Medicare Australia.</w:t>
      </w:r>
    </w:p>
  </w:footnote>
  <w:footnote w:id="20">
    <w:p w:rsidR="006E7ADC" w:rsidRPr="007356D4" w:rsidRDefault="006E7ADC" w:rsidP="003A33E3">
      <w:pPr>
        <w:pStyle w:val="FootnoteText"/>
        <w:rPr>
          <w:rFonts w:ascii="Arial Narrow" w:hAnsi="Arial Narrow"/>
          <w:sz w:val="18"/>
          <w:szCs w:val="18"/>
        </w:rPr>
      </w:pPr>
      <w:r w:rsidRPr="007356D4">
        <w:rPr>
          <w:rStyle w:val="FootnoteReference"/>
          <w:rFonts w:ascii="Arial Narrow" w:eastAsia="Calibri" w:hAnsi="Arial Narrow"/>
          <w:sz w:val="18"/>
          <w:szCs w:val="18"/>
        </w:rPr>
        <w:footnoteRef/>
      </w:r>
      <w:r w:rsidRPr="007356D4">
        <w:rPr>
          <w:rFonts w:ascii="Arial Narrow" w:hAnsi="Arial Narrow"/>
          <w:sz w:val="18"/>
          <w:szCs w:val="18"/>
        </w:rPr>
        <w:t xml:space="preserve"> Sweeny K, Trends and Outcomes in the Australian Pharmaceutical Benefits Scheme, </w:t>
      </w:r>
      <w:r w:rsidRPr="007356D4">
        <w:rPr>
          <w:rFonts w:ascii="Arial Narrow" w:hAnsi="Arial Narrow" w:cs="FuturaBT-Light"/>
          <w:sz w:val="18"/>
          <w:szCs w:val="18"/>
          <w:lang w:eastAsia="en-AU"/>
        </w:rPr>
        <w:t xml:space="preserve">Working Paper No. 36, Centre for Strategic Economic Studies, December 2007 accessed on 15 August 2011. Available at </w:t>
      </w:r>
      <w:hyperlink r:id="rId3" w:history="1">
        <w:r w:rsidRPr="007356D4">
          <w:rPr>
            <w:rStyle w:val="Hyperlink"/>
            <w:rFonts w:ascii="Arial Narrow" w:hAnsi="Arial Narrow" w:cs="FuturaBT-Light"/>
            <w:sz w:val="18"/>
            <w:szCs w:val="18"/>
            <w:lang w:eastAsia="en-AU"/>
          </w:rPr>
          <w:t>http://www.cfses.com/documents/pharma/36-Trends_Outcomes_PBS_Sweeny.pdf</w:t>
        </w:r>
      </w:hyperlink>
      <w:r w:rsidRPr="007356D4">
        <w:rPr>
          <w:rFonts w:ascii="Arial Narrow" w:hAnsi="Arial Narrow" w:cs="FuturaBT-Light"/>
          <w:sz w:val="18"/>
          <w:szCs w:val="18"/>
          <w:lang w:eastAsia="en-AU"/>
        </w:rPr>
        <w:t xml:space="preserve"> </w:t>
      </w:r>
    </w:p>
  </w:footnote>
  <w:footnote w:id="21">
    <w:p w:rsidR="006E7ADC" w:rsidRPr="007356D4" w:rsidRDefault="006E7ADC" w:rsidP="003A33E3">
      <w:pPr>
        <w:pStyle w:val="FootnoteText"/>
        <w:rPr>
          <w:sz w:val="18"/>
          <w:szCs w:val="18"/>
        </w:rPr>
      </w:pPr>
      <w:r w:rsidRPr="007356D4">
        <w:rPr>
          <w:rStyle w:val="FootnoteReference"/>
          <w:rFonts w:ascii="Arial Narrow" w:eastAsia="Calibri" w:hAnsi="Arial Narrow"/>
          <w:sz w:val="18"/>
          <w:szCs w:val="18"/>
        </w:rPr>
        <w:footnoteRef/>
      </w:r>
      <w:r w:rsidRPr="007356D4">
        <w:rPr>
          <w:rFonts w:ascii="Arial Narrow" w:hAnsi="Arial Narrow"/>
          <w:sz w:val="18"/>
          <w:szCs w:val="18"/>
        </w:rPr>
        <w:t xml:space="preserve"> This analysis is based on Drug Utilisation estimates as provided by the Drug Utilisation Sub-Committee for all years except 2009-10 and 2010-11. Data used in this analysis for 2009-10 and 2010-11 is ‘date of supply’ data from Medicare Australia.</w:t>
      </w:r>
    </w:p>
  </w:footnote>
  <w:footnote w:id="22">
    <w:p w:rsidR="006E7ADC" w:rsidRPr="007356D4" w:rsidRDefault="006E7ADC">
      <w:pPr>
        <w:pStyle w:val="FootnoteText"/>
        <w:rPr>
          <w:rFonts w:ascii="Arial Narrow" w:hAnsi="Arial Narrow" w:cs="Arial"/>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Disease burden is defined as a measure of the number of years of ‘healthy life’ lost due to disease or injury.</w:t>
      </w:r>
    </w:p>
  </w:footnote>
  <w:footnote w:id="23">
    <w:p w:rsidR="006E7ADC" w:rsidRPr="007356D4" w:rsidRDefault="006E7ADC" w:rsidP="00A865AA">
      <w:pPr>
        <w:pStyle w:val="FootnoteText"/>
        <w:rPr>
          <w:rFonts w:ascii="Arial Narrow" w:hAnsi="Arial Narrow" w:cs="Arial"/>
          <w:sz w:val="18"/>
          <w:szCs w:val="18"/>
        </w:rPr>
      </w:pPr>
      <w:r w:rsidRPr="007356D4">
        <w:rPr>
          <w:rFonts w:ascii="Arial Narrow" w:hAnsi="Arial Narrow" w:cs="Arial"/>
          <w:sz w:val="18"/>
          <w:szCs w:val="18"/>
          <w:vertAlign w:val="superscript"/>
        </w:rPr>
        <w:footnoteRef/>
      </w:r>
      <w:r w:rsidRPr="007356D4">
        <w:rPr>
          <w:rFonts w:ascii="Arial Narrow" w:hAnsi="Arial Narrow" w:cs="Arial"/>
          <w:sz w:val="18"/>
          <w:szCs w:val="18"/>
        </w:rPr>
        <w:t xml:space="preserve"> AIHW, 2010, Australia’s Health 2010, Chapter 4, Diseases and Injury, Box 4.1, pg 133.</w:t>
      </w:r>
    </w:p>
  </w:footnote>
  <w:footnote w:id="24">
    <w:p w:rsidR="006E7ADC" w:rsidRPr="007356D4" w:rsidRDefault="006E7ADC">
      <w:pPr>
        <w:pStyle w:val="FootnoteText"/>
        <w:rPr>
          <w:rFonts w:ascii="Arial Narrow" w:hAnsi="Arial Narrow" w:cs="Arial"/>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AIHW,2008, Australia’s Health 2008, Chapter 5, Diseases and Injury, Box 5.1, pg 175.</w:t>
      </w:r>
    </w:p>
  </w:footnote>
  <w:footnote w:id="25">
    <w:p w:rsidR="006E7ADC" w:rsidRPr="007356D4" w:rsidRDefault="006E7ADC" w:rsidP="00C02B50">
      <w:pPr>
        <w:pStyle w:val="FootnoteText"/>
        <w:rPr>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A patients in this context is defined as an individual who has claimed at least one benefits paid S85 PBS script in the year.  It does not include patients who used one or more HSD medicines, but no S85 medicine.</w:t>
      </w:r>
    </w:p>
  </w:footnote>
  <w:footnote w:id="26">
    <w:p w:rsidR="006E7ADC" w:rsidRPr="007356D4" w:rsidRDefault="006E7ADC" w:rsidP="007356D4">
      <w:pPr>
        <w:spacing w:after="0"/>
        <w:outlineLvl w:val="5"/>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w:t>
      </w:r>
      <w:r>
        <w:rPr>
          <w:rFonts w:ascii="Arial Narrow" w:hAnsi="Arial Narrow"/>
          <w:sz w:val="18"/>
          <w:szCs w:val="18"/>
        </w:rPr>
        <w:t xml:space="preserve">Under the 2005-06 Budget measure: </w:t>
      </w:r>
      <w:r w:rsidRPr="007356D4">
        <w:rPr>
          <w:rFonts w:ascii="Arial Narrow" w:hAnsi="Arial Narrow"/>
          <w:i/>
          <w:sz w:val="18"/>
          <w:szCs w:val="18"/>
        </w:rPr>
        <w:t>Pharmaceutical Benefits Scheme — increase concessional and general safety net thresholds</w:t>
      </w:r>
      <w:r>
        <w:rPr>
          <w:rFonts w:ascii="Arial Narrow" w:hAnsi="Arial Narrow"/>
          <w:sz w:val="18"/>
          <w:szCs w:val="18"/>
        </w:rPr>
        <w:t>, f</w:t>
      </w:r>
      <w:r w:rsidRPr="007356D4">
        <w:rPr>
          <w:rFonts w:ascii="Arial Narrow" w:hAnsi="Arial Narrow"/>
          <w:sz w:val="18"/>
          <w:szCs w:val="18"/>
        </w:rPr>
        <w:t xml:space="preserve">or concessional patients, the safety net threshold </w:t>
      </w:r>
      <w:r>
        <w:rPr>
          <w:rFonts w:ascii="Arial Narrow" w:hAnsi="Arial Narrow"/>
          <w:sz w:val="18"/>
          <w:szCs w:val="18"/>
        </w:rPr>
        <w:t>increased</w:t>
      </w:r>
      <w:r w:rsidRPr="007356D4">
        <w:rPr>
          <w:rFonts w:ascii="Arial Narrow" w:hAnsi="Arial Narrow"/>
          <w:sz w:val="18"/>
          <w:szCs w:val="18"/>
        </w:rPr>
        <w:t xml:space="preserve"> from 1 January 2006 from 52 prescriptions to 54 prescriptions, with further increases of two prescriptions occurring each year up to and including 1 January 2009. For general patients, the safety net threshold increase</w:t>
      </w:r>
      <w:r>
        <w:rPr>
          <w:rFonts w:ascii="Arial Narrow" w:hAnsi="Arial Narrow"/>
          <w:sz w:val="18"/>
          <w:szCs w:val="18"/>
        </w:rPr>
        <w:t>d</w:t>
      </w:r>
      <w:r w:rsidRPr="007356D4">
        <w:rPr>
          <w:rFonts w:ascii="Arial Narrow" w:hAnsi="Arial Narrow"/>
          <w:sz w:val="18"/>
          <w:szCs w:val="18"/>
        </w:rPr>
        <w:t xml:space="preserve"> from the current level of $874.90 by the dollar equivalent of two co-payments each year from 1 January 2006 until 1 January 2009. These increases </w:t>
      </w:r>
      <w:r>
        <w:rPr>
          <w:rFonts w:ascii="Arial Narrow" w:hAnsi="Arial Narrow"/>
          <w:sz w:val="18"/>
          <w:szCs w:val="18"/>
        </w:rPr>
        <w:t>were</w:t>
      </w:r>
      <w:r w:rsidRPr="007356D4">
        <w:rPr>
          <w:rFonts w:ascii="Arial Narrow" w:hAnsi="Arial Narrow"/>
          <w:sz w:val="18"/>
          <w:szCs w:val="18"/>
        </w:rPr>
        <w:t xml:space="preserve"> on top of the existing annual indexation of the safety net thresholds by the Consumer Price Index.</w:t>
      </w:r>
    </w:p>
  </w:footnote>
  <w:footnote w:id="27">
    <w:p w:rsidR="006E7ADC" w:rsidRPr="007356D4" w:rsidRDefault="006E7ADC">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w:t>
      </w:r>
      <w:r w:rsidRPr="007356D4">
        <w:rPr>
          <w:rFonts w:ascii="Arial Narrow" w:hAnsi="Arial Narrow" w:cs="Arial"/>
          <w:sz w:val="18"/>
          <w:szCs w:val="18"/>
          <w:lang w:val="en"/>
        </w:rPr>
        <w:t>An extemporaneously prepared formula is a PBS medicine compounded by a pharmacist from basic ingredients.</w:t>
      </w:r>
    </w:p>
  </w:footnote>
  <w:footnote w:id="28">
    <w:p w:rsidR="006E7ADC" w:rsidRPr="007356D4" w:rsidRDefault="006E7ADC">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Since 1 August 2007, drugs on the PBS, except those in single brand combination items, are included in separate formularies</w:t>
      </w:r>
      <w:r>
        <w:rPr>
          <w:rFonts w:ascii="Arial Narrow" w:hAnsi="Arial Narrow"/>
          <w:sz w:val="18"/>
          <w:szCs w:val="18"/>
        </w:rPr>
        <w:t xml:space="preserve"> (Formulary 1 (F1) and Formulary 2</w:t>
      </w:r>
      <w:r w:rsidRPr="00B8780F">
        <w:rPr>
          <w:rFonts w:ascii="Arial Narrow" w:hAnsi="Arial Narrow"/>
          <w:sz w:val="18"/>
          <w:szCs w:val="18"/>
        </w:rPr>
        <w:t xml:space="preserve"> </w:t>
      </w:r>
      <w:r>
        <w:rPr>
          <w:rFonts w:ascii="Arial Narrow" w:hAnsi="Arial Narrow"/>
          <w:sz w:val="18"/>
          <w:szCs w:val="18"/>
        </w:rPr>
        <w:t>(F2)).  S</w:t>
      </w:r>
      <w:r w:rsidRPr="005A6FC5">
        <w:rPr>
          <w:rFonts w:ascii="Arial Narrow" w:hAnsi="Arial Narrow"/>
          <w:sz w:val="18"/>
          <w:szCs w:val="18"/>
        </w:rPr>
        <w:t>ingle brand combination items</w:t>
      </w:r>
      <w:r>
        <w:rPr>
          <w:rFonts w:ascii="Arial Narrow" w:hAnsi="Arial Narrow"/>
          <w:sz w:val="18"/>
          <w:szCs w:val="18"/>
        </w:rPr>
        <w:t xml:space="preserve"> are referred to as combination items.</w:t>
      </w:r>
    </w:p>
  </w:footnote>
  <w:footnote w:id="29">
    <w:p w:rsidR="006E7ADC" w:rsidRPr="007356D4" w:rsidRDefault="006E7ADC">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w:t>
      </w:r>
      <w:r w:rsidRPr="007356D4">
        <w:rPr>
          <w:rFonts w:ascii="Arial Narrow" w:hAnsi="Arial Narrow" w:cs="Arial"/>
          <w:sz w:val="18"/>
          <w:szCs w:val="18"/>
        </w:rPr>
        <w:t>Pricing based on the clinical benefit and cost-effectiveness compared with other treatments or products for the same condition or use.</w:t>
      </w:r>
    </w:p>
  </w:footnote>
  <w:footnote w:id="30">
    <w:p w:rsidR="006E7ADC" w:rsidRPr="007356D4" w:rsidRDefault="006E7ADC">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w:t>
      </w:r>
      <w:r w:rsidRPr="007356D4">
        <w:rPr>
          <w:rFonts w:ascii="Arial Narrow" w:hAnsi="Arial Narrow" w:cs="Helv"/>
          <w:iCs/>
          <w:color w:val="000000"/>
          <w:sz w:val="18"/>
          <w:szCs w:val="18"/>
        </w:rPr>
        <w:t>Special pricing arrangements are commercial-in-confidence arrangements between the Commonwealth and pharmaceutical companies that affect the actual price paid by the Commonwealth for supplied medicines.</w:t>
      </w:r>
    </w:p>
  </w:footnote>
  <w:footnote w:id="31">
    <w:p w:rsidR="006E7ADC" w:rsidRPr="007356D4" w:rsidRDefault="006E7ADC">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w:t>
      </w:r>
      <w:r w:rsidRPr="007356D4">
        <w:rPr>
          <w:rFonts w:ascii="Arial Narrow" w:hAnsi="Arial Narrow" w:cs="Arial"/>
          <w:sz w:val="18"/>
          <w:szCs w:val="18"/>
        </w:rPr>
        <w:t>See definition in Appendix A.</w:t>
      </w:r>
    </w:p>
  </w:footnote>
  <w:footnote w:id="32">
    <w:p w:rsidR="006E7ADC" w:rsidRPr="007356D4" w:rsidRDefault="006E7ADC">
      <w:pPr>
        <w:pStyle w:val="FootnoteText"/>
        <w:rPr>
          <w:rFonts w:ascii="Arial Narrow" w:hAnsi="Arial Narrow" w:cs="Arial"/>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According to DoHA publication (Expenditure and prescription twelve months to 30 June 2011), expenditure on HSD for year ending June 2011 was $1014.8 million.  </w:t>
      </w:r>
    </w:p>
  </w:footnote>
  <w:footnote w:id="33">
    <w:p w:rsidR="006E7ADC" w:rsidRPr="007356D4" w:rsidRDefault="006E7ADC">
      <w:pPr>
        <w:pStyle w:val="FootnoteText"/>
        <w:rPr>
          <w:rFonts w:ascii="Arial Narrow" w:hAnsi="Arial Narrow"/>
          <w:sz w:val="18"/>
          <w:szCs w:val="18"/>
        </w:rPr>
      </w:pPr>
      <w:r w:rsidRPr="007356D4">
        <w:rPr>
          <w:rStyle w:val="FootnoteReference"/>
          <w:rFonts w:ascii="Arial Narrow" w:hAnsi="Arial Narrow"/>
          <w:sz w:val="18"/>
          <w:szCs w:val="18"/>
        </w:rPr>
        <w:footnoteRef/>
      </w:r>
      <w:r w:rsidRPr="007356D4">
        <w:rPr>
          <w:rFonts w:ascii="Arial Narrow" w:hAnsi="Arial Narrow"/>
          <w:sz w:val="18"/>
          <w:szCs w:val="18"/>
        </w:rPr>
        <w:t xml:space="preserve"> DoHA unpublished</w:t>
      </w:r>
    </w:p>
  </w:footnote>
  <w:footnote w:id="34">
    <w:p w:rsidR="006E7ADC" w:rsidRPr="007356D4" w:rsidRDefault="006E7ADC" w:rsidP="008319B8">
      <w:pPr>
        <w:pStyle w:val="FootnoteText"/>
        <w:rPr>
          <w:rFonts w:ascii="Arial Narrow" w:hAnsi="Arial Narrow" w:cs="Arial"/>
          <w:sz w:val="18"/>
          <w:szCs w:val="18"/>
        </w:rPr>
      </w:pPr>
      <w:r w:rsidRPr="007356D4">
        <w:rPr>
          <w:rStyle w:val="FootnoteReference"/>
          <w:rFonts w:ascii="Arial Narrow" w:hAnsi="Arial Narrow" w:cs="Arial"/>
          <w:sz w:val="18"/>
          <w:szCs w:val="18"/>
        </w:rPr>
        <w:footnoteRef/>
      </w:r>
      <w:r w:rsidRPr="007356D4">
        <w:rPr>
          <w:rFonts w:ascii="Arial Narrow" w:hAnsi="Arial Narrow" w:cs="Arial"/>
          <w:sz w:val="18"/>
          <w:szCs w:val="18"/>
        </w:rPr>
        <w:t xml:space="preserve"> Value based pricing is used for setting prices for medicines in the F1 formulary whereas the prices for medicines in the F2 formulary are based on market competition between multiple suppliers.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DC" w:rsidRDefault="006E7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DC" w:rsidRDefault="006E7A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DC" w:rsidRPr="00563501" w:rsidRDefault="006E7ADC" w:rsidP="005635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DC" w:rsidRDefault="006E7A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DC" w:rsidRPr="00563501" w:rsidRDefault="006E7ADC" w:rsidP="005635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ADC" w:rsidRDefault="006E7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01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3B266D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878172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A3832F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A95284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B1B34F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F637C58"/>
    <w:multiLevelType w:val="hybridMultilevel"/>
    <w:tmpl w:val="0B286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AC6AC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1B467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52733A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5D65A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160D2920"/>
    <w:multiLevelType w:val="hybridMultilevel"/>
    <w:tmpl w:val="254406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8732BDD"/>
    <w:multiLevelType w:val="hybridMultilevel"/>
    <w:tmpl w:val="1074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06199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1E32130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3867B1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46F6A0C"/>
    <w:multiLevelType w:val="hybridMultilevel"/>
    <w:tmpl w:val="2940DB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2A0C5962"/>
    <w:multiLevelType w:val="hybridMultilevel"/>
    <w:tmpl w:val="82CC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5B7838"/>
    <w:multiLevelType w:val="hybridMultilevel"/>
    <w:tmpl w:val="704690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F5208B0"/>
    <w:multiLevelType w:val="hybridMultilevel"/>
    <w:tmpl w:val="2EC0FED6"/>
    <w:lvl w:ilvl="0" w:tplc="D9F0520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31C753B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33824E18"/>
    <w:multiLevelType w:val="multilevel"/>
    <w:tmpl w:val="6A70D16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2">
    <w:nsid w:val="377708A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AA03F4F"/>
    <w:multiLevelType w:val="hybridMultilevel"/>
    <w:tmpl w:val="D06C6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BE4C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FCB7F5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41D42C3E"/>
    <w:multiLevelType w:val="hybridMultilevel"/>
    <w:tmpl w:val="E11A3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1D7CF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3DD3C2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42A4E77"/>
    <w:multiLevelType w:val="hybridMultilevel"/>
    <w:tmpl w:val="DC681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8F5187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3EA10D7"/>
    <w:multiLevelType w:val="hybridMultilevel"/>
    <w:tmpl w:val="98F68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5A3481"/>
    <w:multiLevelType w:val="hybridMultilevel"/>
    <w:tmpl w:val="E3B4F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56F4EE2"/>
    <w:multiLevelType w:val="hybridMultilevel"/>
    <w:tmpl w:val="78F004DE"/>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4">
    <w:nsid w:val="57A7572C"/>
    <w:multiLevelType w:val="multilevel"/>
    <w:tmpl w:val="122CA58E"/>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5">
    <w:nsid w:val="610829D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25F15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65475A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666910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6F1719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E450D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9DD5CC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C98169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7D6975B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3"/>
  </w:num>
  <w:num w:numId="2">
    <w:abstractNumId w:val="32"/>
  </w:num>
  <w:num w:numId="3">
    <w:abstractNumId w:val="12"/>
  </w:num>
  <w:num w:numId="4">
    <w:abstractNumId w:val="26"/>
  </w:num>
  <w:num w:numId="5">
    <w:abstractNumId w:val="17"/>
  </w:num>
  <w:num w:numId="6">
    <w:abstractNumId w:val="29"/>
  </w:num>
  <w:num w:numId="7">
    <w:abstractNumId w:val="16"/>
  </w:num>
  <w:num w:numId="8">
    <w:abstractNumId w:val="18"/>
  </w:num>
  <w:num w:numId="9">
    <w:abstractNumId w:val="19"/>
  </w:num>
  <w:num w:numId="10">
    <w:abstractNumId w:val="31"/>
  </w:num>
  <w:num w:numId="11">
    <w:abstractNumId w:val="6"/>
  </w:num>
  <w:num w:numId="12">
    <w:abstractNumId w:val="38"/>
  </w:num>
  <w:num w:numId="13">
    <w:abstractNumId w:val="9"/>
  </w:num>
  <w:num w:numId="14">
    <w:abstractNumId w:val="2"/>
  </w:num>
  <w:num w:numId="15">
    <w:abstractNumId w:val="4"/>
  </w:num>
  <w:num w:numId="16">
    <w:abstractNumId w:val="30"/>
  </w:num>
  <w:num w:numId="17">
    <w:abstractNumId w:val="36"/>
  </w:num>
  <w:num w:numId="18">
    <w:abstractNumId w:val="5"/>
  </w:num>
  <w:num w:numId="19">
    <w:abstractNumId w:val="20"/>
  </w:num>
  <w:num w:numId="20">
    <w:abstractNumId w:val="43"/>
  </w:num>
  <w:num w:numId="21">
    <w:abstractNumId w:val="28"/>
  </w:num>
  <w:num w:numId="22">
    <w:abstractNumId w:val="7"/>
  </w:num>
  <w:num w:numId="23">
    <w:abstractNumId w:val="37"/>
  </w:num>
  <w:num w:numId="24">
    <w:abstractNumId w:val="42"/>
  </w:num>
  <w:num w:numId="25">
    <w:abstractNumId w:val="8"/>
  </w:num>
  <w:num w:numId="26">
    <w:abstractNumId w:val="14"/>
  </w:num>
  <w:num w:numId="27">
    <w:abstractNumId w:val="24"/>
  </w:num>
  <w:num w:numId="28">
    <w:abstractNumId w:val="41"/>
  </w:num>
  <w:num w:numId="29">
    <w:abstractNumId w:val="3"/>
  </w:num>
  <w:num w:numId="30">
    <w:abstractNumId w:val="13"/>
  </w:num>
  <w:num w:numId="31">
    <w:abstractNumId w:val="22"/>
  </w:num>
  <w:num w:numId="32">
    <w:abstractNumId w:val="0"/>
  </w:num>
  <w:num w:numId="33">
    <w:abstractNumId w:val="1"/>
  </w:num>
  <w:num w:numId="34">
    <w:abstractNumId w:val="35"/>
  </w:num>
  <w:num w:numId="35">
    <w:abstractNumId w:val="25"/>
  </w:num>
  <w:num w:numId="36">
    <w:abstractNumId w:val="15"/>
  </w:num>
  <w:num w:numId="37">
    <w:abstractNumId w:val="10"/>
  </w:num>
  <w:num w:numId="38">
    <w:abstractNumId w:val="21"/>
  </w:num>
  <w:num w:numId="39">
    <w:abstractNumId w:val="34"/>
  </w:num>
  <w:num w:numId="40">
    <w:abstractNumId w:val="40"/>
  </w:num>
  <w:num w:numId="41">
    <w:abstractNumId w:val="39"/>
  </w:num>
  <w:num w:numId="42">
    <w:abstractNumId w:val="27"/>
  </w:num>
  <w:num w:numId="43">
    <w:abstractNumId w:val="23"/>
  </w:num>
  <w:num w:numId="4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2" w:val="Empty"/>
  </w:docVars>
  <w:rsids>
    <w:rsidRoot w:val="002E776C"/>
    <w:rsid w:val="00002CCE"/>
    <w:rsid w:val="000044A9"/>
    <w:rsid w:val="00005CF9"/>
    <w:rsid w:val="00005FD2"/>
    <w:rsid w:val="000070CB"/>
    <w:rsid w:val="000123F8"/>
    <w:rsid w:val="00012916"/>
    <w:rsid w:val="0001354D"/>
    <w:rsid w:val="00013A0C"/>
    <w:rsid w:val="00015560"/>
    <w:rsid w:val="000203B8"/>
    <w:rsid w:val="00022757"/>
    <w:rsid w:val="000235C8"/>
    <w:rsid w:val="00030993"/>
    <w:rsid w:val="000316CF"/>
    <w:rsid w:val="0003232C"/>
    <w:rsid w:val="0004003A"/>
    <w:rsid w:val="00040336"/>
    <w:rsid w:val="000423F6"/>
    <w:rsid w:val="0004257A"/>
    <w:rsid w:val="0004792C"/>
    <w:rsid w:val="00047F46"/>
    <w:rsid w:val="00051A6D"/>
    <w:rsid w:val="00054B34"/>
    <w:rsid w:val="00054DD1"/>
    <w:rsid w:val="00055160"/>
    <w:rsid w:val="00055795"/>
    <w:rsid w:val="0006119A"/>
    <w:rsid w:val="0006212F"/>
    <w:rsid w:val="000622E8"/>
    <w:rsid w:val="000625A2"/>
    <w:rsid w:val="00062F61"/>
    <w:rsid w:val="00063DAE"/>
    <w:rsid w:val="00065159"/>
    <w:rsid w:val="00070668"/>
    <w:rsid w:val="0007303B"/>
    <w:rsid w:val="000736FE"/>
    <w:rsid w:val="0007393D"/>
    <w:rsid w:val="0007637E"/>
    <w:rsid w:val="00080328"/>
    <w:rsid w:val="00082C11"/>
    <w:rsid w:val="00083F54"/>
    <w:rsid w:val="0008532F"/>
    <w:rsid w:val="000866FE"/>
    <w:rsid w:val="00090D45"/>
    <w:rsid w:val="000917A1"/>
    <w:rsid w:val="00092614"/>
    <w:rsid w:val="00092706"/>
    <w:rsid w:val="00095689"/>
    <w:rsid w:val="000A0F0B"/>
    <w:rsid w:val="000A2D68"/>
    <w:rsid w:val="000A3518"/>
    <w:rsid w:val="000A3AE5"/>
    <w:rsid w:val="000A4AE7"/>
    <w:rsid w:val="000A6310"/>
    <w:rsid w:val="000A6919"/>
    <w:rsid w:val="000A7EB4"/>
    <w:rsid w:val="000B32F9"/>
    <w:rsid w:val="000B4397"/>
    <w:rsid w:val="000B539A"/>
    <w:rsid w:val="000B5F1C"/>
    <w:rsid w:val="000B64B5"/>
    <w:rsid w:val="000C0792"/>
    <w:rsid w:val="000C44AE"/>
    <w:rsid w:val="000C66CA"/>
    <w:rsid w:val="000C79A4"/>
    <w:rsid w:val="000D22E5"/>
    <w:rsid w:val="000D416D"/>
    <w:rsid w:val="000D6318"/>
    <w:rsid w:val="000E4889"/>
    <w:rsid w:val="000E5129"/>
    <w:rsid w:val="000E6697"/>
    <w:rsid w:val="000E77BD"/>
    <w:rsid w:val="000F00EE"/>
    <w:rsid w:val="000F0B57"/>
    <w:rsid w:val="000F0D34"/>
    <w:rsid w:val="000F3AAA"/>
    <w:rsid w:val="000F414A"/>
    <w:rsid w:val="000F416C"/>
    <w:rsid w:val="000F5D09"/>
    <w:rsid w:val="000F5F1A"/>
    <w:rsid w:val="000F675C"/>
    <w:rsid w:val="00100880"/>
    <w:rsid w:val="001063BC"/>
    <w:rsid w:val="001077C7"/>
    <w:rsid w:val="0011033C"/>
    <w:rsid w:val="0011204E"/>
    <w:rsid w:val="0011647D"/>
    <w:rsid w:val="001203A5"/>
    <w:rsid w:val="00120E1C"/>
    <w:rsid w:val="00122754"/>
    <w:rsid w:val="00122E12"/>
    <w:rsid w:val="0012403D"/>
    <w:rsid w:val="00125022"/>
    <w:rsid w:val="00125EB0"/>
    <w:rsid w:val="00126F5A"/>
    <w:rsid w:val="0013046F"/>
    <w:rsid w:val="00130E2A"/>
    <w:rsid w:val="00137326"/>
    <w:rsid w:val="00145AE1"/>
    <w:rsid w:val="00145DE7"/>
    <w:rsid w:val="00146CFA"/>
    <w:rsid w:val="001502F9"/>
    <w:rsid w:val="00150E7E"/>
    <w:rsid w:val="00151013"/>
    <w:rsid w:val="00151F07"/>
    <w:rsid w:val="00152158"/>
    <w:rsid w:val="0015397D"/>
    <w:rsid w:val="00154097"/>
    <w:rsid w:val="001546E8"/>
    <w:rsid w:val="001637E7"/>
    <w:rsid w:val="00163D2C"/>
    <w:rsid w:val="00165D54"/>
    <w:rsid w:val="00170645"/>
    <w:rsid w:val="00180E9A"/>
    <w:rsid w:val="00182DD6"/>
    <w:rsid w:val="00184AED"/>
    <w:rsid w:val="00184B46"/>
    <w:rsid w:val="00185EEA"/>
    <w:rsid w:val="00186A55"/>
    <w:rsid w:val="001903AC"/>
    <w:rsid w:val="001917DA"/>
    <w:rsid w:val="001918E0"/>
    <w:rsid w:val="001A1038"/>
    <w:rsid w:val="001A5832"/>
    <w:rsid w:val="001A6993"/>
    <w:rsid w:val="001A73A4"/>
    <w:rsid w:val="001B0953"/>
    <w:rsid w:val="001B1E7D"/>
    <w:rsid w:val="001C1535"/>
    <w:rsid w:val="001C27BB"/>
    <w:rsid w:val="001C64D3"/>
    <w:rsid w:val="001C73FD"/>
    <w:rsid w:val="001C77CF"/>
    <w:rsid w:val="001D0481"/>
    <w:rsid w:val="001D19B6"/>
    <w:rsid w:val="001D2395"/>
    <w:rsid w:val="001E0428"/>
    <w:rsid w:val="001E04BD"/>
    <w:rsid w:val="001E2195"/>
    <w:rsid w:val="001E3731"/>
    <w:rsid w:val="001E3A90"/>
    <w:rsid w:val="001E43FA"/>
    <w:rsid w:val="001E629F"/>
    <w:rsid w:val="001F06CE"/>
    <w:rsid w:val="001F0C41"/>
    <w:rsid w:val="001F1ACB"/>
    <w:rsid w:val="001F4A82"/>
    <w:rsid w:val="001F585E"/>
    <w:rsid w:val="001F5CF3"/>
    <w:rsid w:val="0020175A"/>
    <w:rsid w:val="00201BCE"/>
    <w:rsid w:val="002032DF"/>
    <w:rsid w:val="00204298"/>
    <w:rsid w:val="0020480C"/>
    <w:rsid w:val="00204AFB"/>
    <w:rsid w:val="00204BDC"/>
    <w:rsid w:val="0020542D"/>
    <w:rsid w:val="002060A8"/>
    <w:rsid w:val="00206846"/>
    <w:rsid w:val="00213911"/>
    <w:rsid w:val="00213F34"/>
    <w:rsid w:val="00215A3D"/>
    <w:rsid w:val="00216CFB"/>
    <w:rsid w:val="002202DD"/>
    <w:rsid w:val="002217B5"/>
    <w:rsid w:val="002236D9"/>
    <w:rsid w:val="00224744"/>
    <w:rsid w:val="00224DD0"/>
    <w:rsid w:val="0022705F"/>
    <w:rsid w:val="00230631"/>
    <w:rsid w:val="00234E01"/>
    <w:rsid w:val="002356AE"/>
    <w:rsid w:val="00235F65"/>
    <w:rsid w:val="00241BE5"/>
    <w:rsid w:val="00245983"/>
    <w:rsid w:val="00246AD2"/>
    <w:rsid w:val="00246DC5"/>
    <w:rsid w:val="00251412"/>
    <w:rsid w:val="0025551D"/>
    <w:rsid w:val="002566C0"/>
    <w:rsid w:val="00261257"/>
    <w:rsid w:val="0026330E"/>
    <w:rsid w:val="00265BE3"/>
    <w:rsid w:val="0026767A"/>
    <w:rsid w:val="00270D8D"/>
    <w:rsid w:val="0027346D"/>
    <w:rsid w:val="00282B89"/>
    <w:rsid w:val="00284211"/>
    <w:rsid w:val="002846FB"/>
    <w:rsid w:val="00285C8C"/>
    <w:rsid w:val="002865B8"/>
    <w:rsid w:val="00290574"/>
    <w:rsid w:val="002908E1"/>
    <w:rsid w:val="00290CB2"/>
    <w:rsid w:val="00291DAF"/>
    <w:rsid w:val="00292067"/>
    <w:rsid w:val="0029570C"/>
    <w:rsid w:val="00296E55"/>
    <w:rsid w:val="002A0CF8"/>
    <w:rsid w:val="002A1C25"/>
    <w:rsid w:val="002A4B6C"/>
    <w:rsid w:val="002A6DFB"/>
    <w:rsid w:val="002B0414"/>
    <w:rsid w:val="002B0DEE"/>
    <w:rsid w:val="002B60CA"/>
    <w:rsid w:val="002B641D"/>
    <w:rsid w:val="002B7DDE"/>
    <w:rsid w:val="002C014C"/>
    <w:rsid w:val="002C252E"/>
    <w:rsid w:val="002C3AAB"/>
    <w:rsid w:val="002C422D"/>
    <w:rsid w:val="002C4FB4"/>
    <w:rsid w:val="002C6C5D"/>
    <w:rsid w:val="002C7DE5"/>
    <w:rsid w:val="002D102B"/>
    <w:rsid w:val="002D25DF"/>
    <w:rsid w:val="002D29F0"/>
    <w:rsid w:val="002D49AD"/>
    <w:rsid w:val="002D4C14"/>
    <w:rsid w:val="002D74F2"/>
    <w:rsid w:val="002E4878"/>
    <w:rsid w:val="002E776C"/>
    <w:rsid w:val="002E7D83"/>
    <w:rsid w:val="002F0D07"/>
    <w:rsid w:val="002F1240"/>
    <w:rsid w:val="002F24C9"/>
    <w:rsid w:val="002F33EE"/>
    <w:rsid w:val="002F4110"/>
    <w:rsid w:val="002F4E1B"/>
    <w:rsid w:val="002F598B"/>
    <w:rsid w:val="002F5E8F"/>
    <w:rsid w:val="002F709C"/>
    <w:rsid w:val="002F77B3"/>
    <w:rsid w:val="00304088"/>
    <w:rsid w:val="00304870"/>
    <w:rsid w:val="003058C5"/>
    <w:rsid w:val="003062A5"/>
    <w:rsid w:val="00306784"/>
    <w:rsid w:val="0031002A"/>
    <w:rsid w:val="00310955"/>
    <w:rsid w:val="003165A5"/>
    <w:rsid w:val="00321EB7"/>
    <w:rsid w:val="003240BE"/>
    <w:rsid w:val="0032621D"/>
    <w:rsid w:val="00326955"/>
    <w:rsid w:val="00332203"/>
    <w:rsid w:val="00332C92"/>
    <w:rsid w:val="003333B0"/>
    <w:rsid w:val="003339E1"/>
    <w:rsid w:val="00335C20"/>
    <w:rsid w:val="003365F2"/>
    <w:rsid w:val="0034009D"/>
    <w:rsid w:val="0034127A"/>
    <w:rsid w:val="00342617"/>
    <w:rsid w:val="003426F8"/>
    <w:rsid w:val="00343DAC"/>
    <w:rsid w:val="00354081"/>
    <w:rsid w:val="00354D83"/>
    <w:rsid w:val="00357AB9"/>
    <w:rsid w:val="0036063D"/>
    <w:rsid w:val="00360B84"/>
    <w:rsid w:val="00367B07"/>
    <w:rsid w:val="00367D5E"/>
    <w:rsid w:val="00370ADA"/>
    <w:rsid w:val="00371179"/>
    <w:rsid w:val="0037285F"/>
    <w:rsid w:val="003745FA"/>
    <w:rsid w:val="00375929"/>
    <w:rsid w:val="00381D01"/>
    <w:rsid w:val="00383C42"/>
    <w:rsid w:val="003879C7"/>
    <w:rsid w:val="00387A55"/>
    <w:rsid w:val="00387E33"/>
    <w:rsid w:val="003910C5"/>
    <w:rsid w:val="00394721"/>
    <w:rsid w:val="0039687E"/>
    <w:rsid w:val="003A073E"/>
    <w:rsid w:val="003A09C0"/>
    <w:rsid w:val="003A09D7"/>
    <w:rsid w:val="003A33E3"/>
    <w:rsid w:val="003A48C3"/>
    <w:rsid w:val="003A4B0C"/>
    <w:rsid w:val="003A66C2"/>
    <w:rsid w:val="003B1870"/>
    <w:rsid w:val="003C15FF"/>
    <w:rsid w:val="003C2B34"/>
    <w:rsid w:val="003C2D43"/>
    <w:rsid w:val="003C5953"/>
    <w:rsid w:val="003C641B"/>
    <w:rsid w:val="003C6CE4"/>
    <w:rsid w:val="003C76DE"/>
    <w:rsid w:val="003D1B98"/>
    <w:rsid w:val="003D267C"/>
    <w:rsid w:val="003D27C6"/>
    <w:rsid w:val="003D33D7"/>
    <w:rsid w:val="003D4B28"/>
    <w:rsid w:val="003D6DF7"/>
    <w:rsid w:val="003D7743"/>
    <w:rsid w:val="003E31C0"/>
    <w:rsid w:val="003E3E4E"/>
    <w:rsid w:val="003E4625"/>
    <w:rsid w:val="003E5105"/>
    <w:rsid w:val="003E6FC2"/>
    <w:rsid w:val="003E7194"/>
    <w:rsid w:val="003F0B68"/>
    <w:rsid w:val="003F4C5C"/>
    <w:rsid w:val="003F577D"/>
    <w:rsid w:val="003F5B67"/>
    <w:rsid w:val="003F5BF0"/>
    <w:rsid w:val="003F676C"/>
    <w:rsid w:val="00400B66"/>
    <w:rsid w:val="00402419"/>
    <w:rsid w:val="004048AD"/>
    <w:rsid w:val="0040541B"/>
    <w:rsid w:val="0040582D"/>
    <w:rsid w:val="00410F0D"/>
    <w:rsid w:val="00411B09"/>
    <w:rsid w:val="00415B4A"/>
    <w:rsid w:val="00416DE2"/>
    <w:rsid w:val="00417B8A"/>
    <w:rsid w:val="00422506"/>
    <w:rsid w:val="004234A2"/>
    <w:rsid w:val="00427510"/>
    <w:rsid w:val="004276AA"/>
    <w:rsid w:val="004373EF"/>
    <w:rsid w:val="00440CAC"/>
    <w:rsid w:val="00443268"/>
    <w:rsid w:val="00445BDB"/>
    <w:rsid w:val="0044601D"/>
    <w:rsid w:val="0044750F"/>
    <w:rsid w:val="00447C4F"/>
    <w:rsid w:val="00447D53"/>
    <w:rsid w:val="004504ED"/>
    <w:rsid w:val="00450DF8"/>
    <w:rsid w:val="00452B45"/>
    <w:rsid w:val="00454AEB"/>
    <w:rsid w:val="00455841"/>
    <w:rsid w:val="00455EF3"/>
    <w:rsid w:val="004571C3"/>
    <w:rsid w:val="004575FC"/>
    <w:rsid w:val="00460EDD"/>
    <w:rsid w:val="00461C91"/>
    <w:rsid w:val="00462A17"/>
    <w:rsid w:val="004644E6"/>
    <w:rsid w:val="0046470B"/>
    <w:rsid w:val="00466816"/>
    <w:rsid w:val="00472697"/>
    <w:rsid w:val="00472CD8"/>
    <w:rsid w:val="00473CE2"/>
    <w:rsid w:val="004759C8"/>
    <w:rsid w:val="00475D43"/>
    <w:rsid w:val="00476287"/>
    <w:rsid w:val="00476696"/>
    <w:rsid w:val="00476CFC"/>
    <w:rsid w:val="00477550"/>
    <w:rsid w:val="004827F5"/>
    <w:rsid w:val="0048360F"/>
    <w:rsid w:val="004843E5"/>
    <w:rsid w:val="00484BDC"/>
    <w:rsid w:val="00486ACF"/>
    <w:rsid w:val="00492618"/>
    <w:rsid w:val="00492A56"/>
    <w:rsid w:val="00492B12"/>
    <w:rsid w:val="00493427"/>
    <w:rsid w:val="00494C08"/>
    <w:rsid w:val="004A382A"/>
    <w:rsid w:val="004A453D"/>
    <w:rsid w:val="004A5DB7"/>
    <w:rsid w:val="004B0201"/>
    <w:rsid w:val="004B23CA"/>
    <w:rsid w:val="004C4277"/>
    <w:rsid w:val="004D37CA"/>
    <w:rsid w:val="004D4059"/>
    <w:rsid w:val="004D6CAC"/>
    <w:rsid w:val="004E276C"/>
    <w:rsid w:val="004E2973"/>
    <w:rsid w:val="004E4BA0"/>
    <w:rsid w:val="004E4D5F"/>
    <w:rsid w:val="004E51AC"/>
    <w:rsid w:val="004E7A20"/>
    <w:rsid w:val="004F3C25"/>
    <w:rsid w:val="004F5C3B"/>
    <w:rsid w:val="004F713B"/>
    <w:rsid w:val="004F7F8D"/>
    <w:rsid w:val="00500226"/>
    <w:rsid w:val="005011F4"/>
    <w:rsid w:val="005028F9"/>
    <w:rsid w:val="00502910"/>
    <w:rsid w:val="005029B3"/>
    <w:rsid w:val="005072B7"/>
    <w:rsid w:val="00507A5D"/>
    <w:rsid w:val="0051063F"/>
    <w:rsid w:val="00511467"/>
    <w:rsid w:val="005114BA"/>
    <w:rsid w:val="00513954"/>
    <w:rsid w:val="00515635"/>
    <w:rsid w:val="00515C3C"/>
    <w:rsid w:val="00515E9E"/>
    <w:rsid w:val="00516273"/>
    <w:rsid w:val="00516656"/>
    <w:rsid w:val="00516BA9"/>
    <w:rsid w:val="00521975"/>
    <w:rsid w:val="005224CF"/>
    <w:rsid w:val="0052629A"/>
    <w:rsid w:val="00527928"/>
    <w:rsid w:val="00532794"/>
    <w:rsid w:val="0053411C"/>
    <w:rsid w:val="005345A8"/>
    <w:rsid w:val="00534FA7"/>
    <w:rsid w:val="00540897"/>
    <w:rsid w:val="00543F6E"/>
    <w:rsid w:val="005479C9"/>
    <w:rsid w:val="00552180"/>
    <w:rsid w:val="005530E3"/>
    <w:rsid w:val="00553828"/>
    <w:rsid w:val="00556F11"/>
    <w:rsid w:val="005601FD"/>
    <w:rsid w:val="00560E9F"/>
    <w:rsid w:val="005625C2"/>
    <w:rsid w:val="00563501"/>
    <w:rsid w:val="0056389F"/>
    <w:rsid w:val="00563D6E"/>
    <w:rsid w:val="0056563A"/>
    <w:rsid w:val="00567384"/>
    <w:rsid w:val="00571897"/>
    <w:rsid w:val="00575C2B"/>
    <w:rsid w:val="00580D41"/>
    <w:rsid w:val="0058292D"/>
    <w:rsid w:val="00582E4B"/>
    <w:rsid w:val="00584343"/>
    <w:rsid w:val="00593091"/>
    <w:rsid w:val="00593631"/>
    <w:rsid w:val="00594930"/>
    <w:rsid w:val="00594F0D"/>
    <w:rsid w:val="005959C4"/>
    <w:rsid w:val="005B194E"/>
    <w:rsid w:val="005B52C2"/>
    <w:rsid w:val="005C1AE3"/>
    <w:rsid w:val="005C47BD"/>
    <w:rsid w:val="005C67E4"/>
    <w:rsid w:val="005C6A0A"/>
    <w:rsid w:val="005D20E7"/>
    <w:rsid w:val="005D309A"/>
    <w:rsid w:val="005D3A12"/>
    <w:rsid w:val="005D434D"/>
    <w:rsid w:val="005D6D3B"/>
    <w:rsid w:val="005D7381"/>
    <w:rsid w:val="005D7419"/>
    <w:rsid w:val="005D7F99"/>
    <w:rsid w:val="005E0A95"/>
    <w:rsid w:val="005E0CD9"/>
    <w:rsid w:val="005E341D"/>
    <w:rsid w:val="005F06EF"/>
    <w:rsid w:val="005F0835"/>
    <w:rsid w:val="005F1639"/>
    <w:rsid w:val="005F3725"/>
    <w:rsid w:val="005F3AEF"/>
    <w:rsid w:val="005F3C16"/>
    <w:rsid w:val="00604DDC"/>
    <w:rsid w:val="006064CE"/>
    <w:rsid w:val="0060652F"/>
    <w:rsid w:val="006125C5"/>
    <w:rsid w:val="00613116"/>
    <w:rsid w:val="006150B8"/>
    <w:rsid w:val="0062090C"/>
    <w:rsid w:val="0062212B"/>
    <w:rsid w:val="0062461B"/>
    <w:rsid w:val="00624E0F"/>
    <w:rsid w:val="00625D09"/>
    <w:rsid w:val="00626AD7"/>
    <w:rsid w:val="00627E58"/>
    <w:rsid w:val="00630B5F"/>
    <w:rsid w:val="00631A5D"/>
    <w:rsid w:val="00632575"/>
    <w:rsid w:val="0063558E"/>
    <w:rsid w:val="00636282"/>
    <w:rsid w:val="00637A61"/>
    <w:rsid w:val="006406E2"/>
    <w:rsid w:val="00642328"/>
    <w:rsid w:val="006429A2"/>
    <w:rsid w:val="00644F37"/>
    <w:rsid w:val="00651847"/>
    <w:rsid w:val="00651E87"/>
    <w:rsid w:val="006529EB"/>
    <w:rsid w:val="00652A61"/>
    <w:rsid w:val="006530A5"/>
    <w:rsid w:val="00661C31"/>
    <w:rsid w:val="00661E4A"/>
    <w:rsid w:val="00664A23"/>
    <w:rsid w:val="006664F6"/>
    <w:rsid w:val="00667AE8"/>
    <w:rsid w:val="00667E6C"/>
    <w:rsid w:val="00671229"/>
    <w:rsid w:val="006718E8"/>
    <w:rsid w:val="00672867"/>
    <w:rsid w:val="00672F57"/>
    <w:rsid w:val="006772EC"/>
    <w:rsid w:val="006777BA"/>
    <w:rsid w:val="00680330"/>
    <w:rsid w:val="006834DE"/>
    <w:rsid w:val="006860A2"/>
    <w:rsid w:val="00686128"/>
    <w:rsid w:val="00687711"/>
    <w:rsid w:val="00687B7A"/>
    <w:rsid w:val="0069275D"/>
    <w:rsid w:val="00693ECC"/>
    <w:rsid w:val="00694A21"/>
    <w:rsid w:val="00696407"/>
    <w:rsid w:val="0069685F"/>
    <w:rsid w:val="00696AF9"/>
    <w:rsid w:val="00696F47"/>
    <w:rsid w:val="00696FEE"/>
    <w:rsid w:val="006972B5"/>
    <w:rsid w:val="006A11AD"/>
    <w:rsid w:val="006A20A4"/>
    <w:rsid w:val="006A54E2"/>
    <w:rsid w:val="006A5DC7"/>
    <w:rsid w:val="006A6168"/>
    <w:rsid w:val="006A675F"/>
    <w:rsid w:val="006A6EAA"/>
    <w:rsid w:val="006A7758"/>
    <w:rsid w:val="006B0CC9"/>
    <w:rsid w:val="006C3E1D"/>
    <w:rsid w:val="006C58D6"/>
    <w:rsid w:val="006C5EB5"/>
    <w:rsid w:val="006C63B6"/>
    <w:rsid w:val="006D1F7B"/>
    <w:rsid w:val="006D55F5"/>
    <w:rsid w:val="006D5D1E"/>
    <w:rsid w:val="006D6709"/>
    <w:rsid w:val="006D6ABE"/>
    <w:rsid w:val="006E0CAD"/>
    <w:rsid w:val="006E220B"/>
    <w:rsid w:val="006E2B0B"/>
    <w:rsid w:val="006E335E"/>
    <w:rsid w:val="006E3EA5"/>
    <w:rsid w:val="006E7ADC"/>
    <w:rsid w:val="006E7EEF"/>
    <w:rsid w:val="006F3873"/>
    <w:rsid w:val="006F6817"/>
    <w:rsid w:val="007003F6"/>
    <w:rsid w:val="00705B50"/>
    <w:rsid w:val="00706DC1"/>
    <w:rsid w:val="00710A82"/>
    <w:rsid w:val="00712300"/>
    <w:rsid w:val="00713597"/>
    <w:rsid w:val="007165FD"/>
    <w:rsid w:val="007168B0"/>
    <w:rsid w:val="00717265"/>
    <w:rsid w:val="00720BEE"/>
    <w:rsid w:val="00721940"/>
    <w:rsid w:val="00722B3C"/>
    <w:rsid w:val="00722CA9"/>
    <w:rsid w:val="007234EE"/>
    <w:rsid w:val="007300A8"/>
    <w:rsid w:val="007338E7"/>
    <w:rsid w:val="007356D4"/>
    <w:rsid w:val="007357B2"/>
    <w:rsid w:val="00735E76"/>
    <w:rsid w:val="00740DEF"/>
    <w:rsid w:val="0074140C"/>
    <w:rsid w:val="0074332C"/>
    <w:rsid w:val="00744722"/>
    <w:rsid w:val="00744C97"/>
    <w:rsid w:val="0074699F"/>
    <w:rsid w:val="00747880"/>
    <w:rsid w:val="0075346D"/>
    <w:rsid w:val="00755538"/>
    <w:rsid w:val="007563B8"/>
    <w:rsid w:val="0076201D"/>
    <w:rsid w:val="00762B6D"/>
    <w:rsid w:val="00763034"/>
    <w:rsid w:val="00763973"/>
    <w:rsid w:val="00764191"/>
    <w:rsid w:val="00765A20"/>
    <w:rsid w:val="00767588"/>
    <w:rsid w:val="00772D6E"/>
    <w:rsid w:val="00777359"/>
    <w:rsid w:val="0078231A"/>
    <w:rsid w:val="00782714"/>
    <w:rsid w:val="00782AE5"/>
    <w:rsid w:val="00783278"/>
    <w:rsid w:val="00785562"/>
    <w:rsid w:val="007876C2"/>
    <w:rsid w:val="007937B4"/>
    <w:rsid w:val="00794739"/>
    <w:rsid w:val="00796798"/>
    <w:rsid w:val="0079792D"/>
    <w:rsid w:val="007A2F3B"/>
    <w:rsid w:val="007A33DB"/>
    <w:rsid w:val="007A57AD"/>
    <w:rsid w:val="007A66D8"/>
    <w:rsid w:val="007A70A7"/>
    <w:rsid w:val="007A7325"/>
    <w:rsid w:val="007A77C7"/>
    <w:rsid w:val="007B0895"/>
    <w:rsid w:val="007B1CDA"/>
    <w:rsid w:val="007B290D"/>
    <w:rsid w:val="007B58E5"/>
    <w:rsid w:val="007C2E78"/>
    <w:rsid w:val="007C336F"/>
    <w:rsid w:val="007C5929"/>
    <w:rsid w:val="007D0689"/>
    <w:rsid w:val="007D2064"/>
    <w:rsid w:val="007D5676"/>
    <w:rsid w:val="007E0641"/>
    <w:rsid w:val="007E0788"/>
    <w:rsid w:val="007F1E5F"/>
    <w:rsid w:val="007F336C"/>
    <w:rsid w:val="007F48C5"/>
    <w:rsid w:val="00802819"/>
    <w:rsid w:val="00803457"/>
    <w:rsid w:val="00803E93"/>
    <w:rsid w:val="00804259"/>
    <w:rsid w:val="008048BE"/>
    <w:rsid w:val="0080634E"/>
    <w:rsid w:val="00806820"/>
    <w:rsid w:val="00806F6B"/>
    <w:rsid w:val="00807623"/>
    <w:rsid w:val="00812E6F"/>
    <w:rsid w:val="00816CB0"/>
    <w:rsid w:val="008201A0"/>
    <w:rsid w:val="00820386"/>
    <w:rsid w:val="008209E9"/>
    <w:rsid w:val="00820EAA"/>
    <w:rsid w:val="008257B1"/>
    <w:rsid w:val="008316DF"/>
    <w:rsid w:val="008319B8"/>
    <w:rsid w:val="0083323F"/>
    <w:rsid w:val="00834F19"/>
    <w:rsid w:val="008359B9"/>
    <w:rsid w:val="00837E29"/>
    <w:rsid w:val="008406B3"/>
    <w:rsid w:val="00840D11"/>
    <w:rsid w:val="0084381F"/>
    <w:rsid w:val="00844A1C"/>
    <w:rsid w:val="00851589"/>
    <w:rsid w:val="00853EBE"/>
    <w:rsid w:val="00855AAF"/>
    <w:rsid w:val="00855BCB"/>
    <w:rsid w:val="008572B2"/>
    <w:rsid w:val="0086053F"/>
    <w:rsid w:val="0086138D"/>
    <w:rsid w:val="00861395"/>
    <w:rsid w:val="008619DE"/>
    <w:rsid w:val="008636E1"/>
    <w:rsid w:val="0086374E"/>
    <w:rsid w:val="0086442F"/>
    <w:rsid w:val="00864BF4"/>
    <w:rsid w:val="00865DAD"/>
    <w:rsid w:val="008670E5"/>
    <w:rsid w:val="00867A04"/>
    <w:rsid w:val="0087234C"/>
    <w:rsid w:val="00874354"/>
    <w:rsid w:val="00874F60"/>
    <w:rsid w:val="00880CA1"/>
    <w:rsid w:val="00880EB1"/>
    <w:rsid w:val="00882E1A"/>
    <w:rsid w:val="00883A25"/>
    <w:rsid w:val="00884469"/>
    <w:rsid w:val="0088642F"/>
    <w:rsid w:val="00886E37"/>
    <w:rsid w:val="00890D65"/>
    <w:rsid w:val="00890D8C"/>
    <w:rsid w:val="008941E6"/>
    <w:rsid w:val="00895C0F"/>
    <w:rsid w:val="00895FC8"/>
    <w:rsid w:val="0089727F"/>
    <w:rsid w:val="008A36BF"/>
    <w:rsid w:val="008A42EA"/>
    <w:rsid w:val="008A5B09"/>
    <w:rsid w:val="008A5D23"/>
    <w:rsid w:val="008A65BB"/>
    <w:rsid w:val="008A7C19"/>
    <w:rsid w:val="008B0CC7"/>
    <w:rsid w:val="008B1F83"/>
    <w:rsid w:val="008B4758"/>
    <w:rsid w:val="008B57C8"/>
    <w:rsid w:val="008B65C3"/>
    <w:rsid w:val="008B79E6"/>
    <w:rsid w:val="008C27AB"/>
    <w:rsid w:val="008C35FC"/>
    <w:rsid w:val="008C3613"/>
    <w:rsid w:val="008C525E"/>
    <w:rsid w:val="008C57DF"/>
    <w:rsid w:val="008C5B5B"/>
    <w:rsid w:val="008D000A"/>
    <w:rsid w:val="008D16E4"/>
    <w:rsid w:val="008D17FE"/>
    <w:rsid w:val="008D24C5"/>
    <w:rsid w:val="008D2D1A"/>
    <w:rsid w:val="008D3668"/>
    <w:rsid w:val="008D4DC8"/>
    <w:rsid w:val="008E0D4F"/>
    <w:rsid w:val="008E29BE"/>
    <w:rsid w:val="008E3666"/>
    <w:rsid w:val="008E43CF"/>
    <w:rsid w:val="008E5AF4"/>
    <w:rsid w:val="008F24A4"/>
    <w:rsid w:val="00900C84"/>
    <w:rsid w:val="00900CEA"/>
    <w:rsid w:val="00903ECC"/>
    <w:rsid w:val="00913A8A"/>
    <w:rsid w:val="00921BB8"/>
    <w:rsid w:val="00922C30"/>
    <w:rsid w:val="00922F79"/>
    <w:rsid w:val="0092352A"/>
    <w:rsid w:val="009239C8"/>
    <w:rsid w:val="00935881"/>
    <w:rsid w:val="00935AC2"/>
    <w:rsid w:val="00940A3A"/>
    <w:rsid w:val="00940F72"/>
    <w:rsid w:val="00941CDF"/>
    <w:rsid w:val="0094702E"/>
    <w:rsid w:val="009527CA"/>
    <w:rsid w:val="00952E6F"/>
    <w:rsid w:val="009556B3"/>
    <w:rsid w:val="00957487"/>
    <w:rsid w:val="009602C1"/>
    <w:rsid w:val="00960CC4"/>
    <w:rsid w:val="0096349B"/>
    <w:rsid w:val="00963AEC"/>
    <w:rsid w:val="00964763"/>
    <w:rsid w:val="00964A08"/>
    <w:rsid w:val="00965900"/>
    <w:rsid w:val="00966C87"/>
    <w:rsid w:val="00967624"/>
    <w:rsid w:val="009700FF"/>
    <w:rsid w:val="00971461"/>
    <w:rsid w:val="00973AF6"/>
    <w:rsid w:val="0097505C"/>
    <w:rsid w:val="00976E1B"/>
    <w:rsid w:val="0098384D"/>
    <w:rsid w:val="00987187"/>
    <w:rsid w:val="00987E20"/>
    <w:rsid w:val="0099194B"/>
    <w:rsid w:val="00992AE5"/>
    <w:rsid w:val="009938C5"/>
    <w:rsid w:val="00993BB4"/>
    <w:rsid w:val="009950B2"/>
    <w:rsid w:val="00995238"/>
    <w:rsid w:val="00997D11"/>
    <w:rsid w:val="00997E73"/>
    <w:rsid w:val="00997EBD"/>
    <w:rsid w:val="009A1195"/>
    <w:rsid w:val="009A2C0B"/>
    <w:rsid w:val="009A7893"/>
    <w:rsid w:val="009B075E"/>
    <w:rsid w:val="009B1D87"/>
    <w:rsid w:val="009B1D96"/>
    <w:rsid w:val="009B623D"/>
    <w:rsid w:val="009B7A82"/>
    <w:rsid w:val="009C62FF"/>
    <w:rsid w:val="009C78CB"/>
    <w:rsid w:val="009D2596"/>
    <w:rsid w:val="009E69E2"/>
    <w:rsid w:val="009F0083"/>
    <w:rsid w:val="009F0704"/>
    <w:rsid w:val="009F3D33"/>
    <w:rsid w:val="009F6192"/>
    <w:rsid w:val="009F642D"/>
    <w:rsid w:val="009F6500"/>
    <w:rsid w:val="009F690C"/>
    <w:rsid w:val="00A01552"/>
    <w:rsid w:val="00A03C3B"/>
    <w:rsid w:val="00A04219"/>
    <w:rsid w:val="00A06C6D"/>
    <w:rsid w:val="00A1168F"/>
    <w:rsid w:val="00A13798"/>
    <w:rsid w:val="00A13E02"/>
    <w:rsid w:val="00A17054"/>
    <w:rsid w:val="00A205CB"/>
    <w:rsid w:val="00A20C6E"/>
    <w:rsid w:val="00A231B5"/>
    <w:rsid w:val="00A23292"/>
    <w:rsid w:val="00A232DB"/>
    <w:rsid w:val="00A26F40"/>
    <w:rsid w:val="00A30088"/>
    <w:rsid w:val="00A3048A"/>
    <w:rsid w:val="00A30FC0"/>
    <w:rsid w:val="00A33E64"/>
    <w:rsid w:val="00A37906"/>
    <w:rsid w:val="00A42200"/>
    <w:rsid w:val="00A429F6"/>
    <w:rsid w:val="00A435BC"/>
    <w:rsid w:val="00A44305"/>
    <w:rsid w:val="00A47836"/>
    <w:rsid w:val="00A47CAD"/>
    <w:rsid w:val="00A518D0"/>
    <w:rsid w:val="00A53990"/>
    <w:rsid w:val="00A547B7"/>
    <w:rsid w:val="00A556AC"/>
    <w:rsid w:val="00A56A4F"/>
    <w:rsid w:val="00A57852"/>
    <w:rsid w:val="00A67821"/>
    <w:rsid w:val="00A70252"/>
    <w:rsid w:val="00A7409A"/>
    <w:rsid w:val="00A74246"/>
    <w:rsid w:val="00A75762"/>
    <w:rsid w:val="00A7668F"/>
    <w:rsid w:val="00A767C8"/>
    <w:rsid w:val="00A81463"/>
    <w:rsid w:val="00A8221E"/>
    <w:rsid w:val="00A84B7E"/>
    <w:rsid w:val="00A865AA"/>
    <w:rsid w:val="00A865C8"/>
    <w:rsid w:val="00A86E78"/>
    <w:rsid w:val="00A87304"/>
    <w:rsid w:val="00A9080D"/>
    <w:rsid w:val="00A91674"/>
    <w:rsid w:val="00A91A64"/>
    <w:rsid w:val="00A92006"/>
    <w:rsid w:val="00A92ADB"/>
    <w:rsid w:val="00A938B3"/>
    <w:rsid w:val="00A97C31"/>
    <w:rsid w:val="00AA1EAB"/>
    <w:rsid w:val="00AA5055"/>
    <w:rsid w:val="00AA5519"/>
    <w:rsid w:val="00AA5CE7"/>
    <w:rsid w:val="00AA5D91"/>
    <w:rsid w:val="00AA6BA3"/>
    <w:rsid w:val="00AB5E9C"/>
    <w:rsid w:val="00AB73B5"/>
    <w:rsid w:val="00AB77CF"/>
    <w:rsid w:val="00AB7F63"/>
    <w:rsid w:val="00AC33E9"/>
    <w:rsid w:val="00AC46A4"/>
    <w:rsid w:val="00AC59FF"/>
    <w:rsid w:val="00AC62D6"/>
    <w:rsid w:val="00AC6A0F"/>
    <w:rsid w:val="00AD2240"/>
    <w:rsid w:val="00AD27DD"/>
    <w:rsid w:val="00AD2874"/>
    <w:rsid w:val="00AD4123"/>
    <w:rsid w:val="00AD4AF4"/>
    <w:rsid w:val="00AD4E2B"/>
    <w:rsid w:val="00AE2388"/>
    <w:rsid w:val="00AE5ACC"/>
    <w:rsid w:val="00AE6AE1"/>
    <w:rsid w:val="00AE72AA"/>
    <w:rsid w:val="00AF10F9"/>
    <w:rsid w:val="00B0110D"/>
    <w:rsid w:val="00B02236"/>
    <w:rsid w:val="00B02B42"/>
    <w:rsid w:val="00B039BA"/>
    <w:rsid w:val="00B0424D"/>
    <w:rsid w:val="00B06B4E"/>
    <w:rsid w:val="00B125A7"/>
    <w:rsid w:val="00B13609"/>
    <w:rsid w:val="00B15A50"/>
    <w:rsid w:val="00B16721"/>
    <w:rsid w:val="00B169BF"/>
    <w:rsid w:val="00B16D12"/>
    <w:rsid w:val="00B171AB"/>
    <w:rsid w:val="00B21F7D"/>
    <w:rsid w:val="00B23B49"/>
    <w:rsid w:val="00B24AF4"/>
    <w:rsid w:val="00B25014"/>
    <w:rsid w:val="00B27449"/>
    <w:rsid w:val="00B319EE"/>
    <w:rsid w:val="00B32D57"/>
    <w:rsid w:val="00B32EE7"/>
    <w:rsid w:val="00B35823"/>
    <w:rsid w:val="00B410C8"/>
    <w:rsid w:val="00B4255A"/>
    <w:rsid w:val="00B4320A"/>
    <w:rsid w:val="00B445C6"/>
    <w:rsid w:val="00B44FAE"/>
    <w:rsid w:val="00B455AD"/>
    <w:rsid w:val="00B45994"/>
    <w:rsid w:val="00B4617D"/>
    <w:rsid w:val="00B551DF"/>
    <w:rsid w:val="00B55AE0"/>
    <w:rsid w:val="00B55B6C"/>
    <w:rsid w:val="00B57D94"/>
    <w:rsid w:val="00B602C3"/>
    <w:rsid w:val="00B611B8"/>
    <w:rsid w:val="00B62B86"/>
    <w:rsid w:val="00B62C57"/>
    <w:rsid w:val="00B64F4C"/>
    <w:rsid w:val="00B6631F"/>
    <w:rsid w:val="00B71C21"/>
    <w:rsid w:val="00B71ED4"/>
    <w:rsid w:val="00B772F9"/>
    <w:rsid w:val="00B8058A"/>
    <w:rsid w:val="00B80E77"/>
    <w:rsid w:val="00B826AE"/>
    <w:rsid w:val="00B83795"/>
    <w:rsid w:val="00B85C39"/>
    <w:rsid w:val="00B8752A"/>
    <w:rsid w:val="00B8780F"/>
    <w:rsid w:val="00B87C63"/>
    <w:rsid w:val="00B87D0E"/>
    <w:rsid w:val="00B92547"/>
    <w:rsid w:val="00B93411"/>
    <w:rsid w:val="00B95618"/>
    <w:rsid w:val="00BA61DB"/>
    <w:rsid w:val="00BB466D"/>
    <w:rsid w:val="00BB4B34"/>
    <w:rsid w:val="00BB5804"/>
    <w:rsid w:val="00BC1837"/>
    <w:rsid w:val="00BC1CFB"/>
    <w:rsid w:val="00BC3312"/>
    <w:rsid w:val="00BC43A9"/>
    <w:rsid w:val="00BC5AE6"/>
    <w:rsid w:val="00BD128C"/>
    <w:rsid w:val="00BD3136"/>
    <w:rsid w:val="00BD4AD1"/>
    <w:rsid w:val="00BD503E"/>
    <w:rsid w:val="00BD6557"/>
    <w:rsid w:val="00BD72E8"/>
    <w:rsid w:val="00BD75F0"/>
    <w:rsid w:val="00BD7C84"/>
    <w:rsid w:val="00BE1265"/>
    <w:rsid w:val="00BE1455"/>
    <w:rsid w:val="00BE3325"/>
    <w:rsid w:val="00BE3CD5"/>
    <w:rsid w:val="00BE4DEA"/>
    <w:rsid w:val="00BE5093"/>
    <w:rsid w:val="00BE5198"/>
    <w:rsid w:val="00BE7FBA"/>
    <w:rsid w:val="00BF12CF"/>
    <w:rsid w:val="00BF1503"/>
    <w:rsid w:val="00BF31EB"/>
    <w:rsid w:val="00BF3391"/>
    <w:rsid w:val="00BF38C7"/>
    <w:rsid w:val="00BF5D4B"/>
    <w:rsid w:val="00BF6423"/>
    <w:rsid w:val="00BF6AD8"/>
    <w:rsid w:val="00C00E11"/>
    <w:rsid w:val="00C02B50"/>
    <w:rsid w:val="00C058E5"/>
    <w:rsid w:val="00C0760E"/>
    <w:rsid w:val="00C07D90"/>
    <w:rsid w:val="00C07FB3"/>
    <w:rsid w:val="00C10985"/>
    <w:rsid w:val="00C11A33"/>
    <w:rsid w:val="00C12C49"/>
    <w:rsid w:val="00C166FF"/>
    <w:rsid w:val="00C17ED0"/>
    <w:rsid w:val="00C259E4"/>
    <w:rsid w:val="00C2739E"/>
    <w:rsid w:val="00C273B8"/>
    <w:rsid w:val="00C27500"/>
    <w:rsid w:val="00C31382"/>
    <w:rsid w:val="00C3158B"/>
    <w:rsid w:val="00C31A1C"/>
    <w:rsid w:val="00C33C9B"/>
    <w:rsid w:val="00C35E15"/>
    <w:rsid w:val="00C37C42"/>
    <w:rsid w:val="00C41812"/>
    <w:rsid w:val="00C42A96"/>
    <w:rsid w:val="00C506D7"/>
    <w:rsid w:val="00C512E9"/>
    <w:rsid w:val="00C51DE2"/>
    <w:rsid w:val="00C53E96"/>
    <w:rsid w:val="00C53F33"/>
    <w:rsid w:val="00C55421"/>
    <w:rsid w:val="00C56EC5"/>
    <w:rsid w:val="00C56F51"/>
    <w:rsid w:val="00C57C6A"/>
    <w:rsid w:val="00C6298C"/>
    <w:rsid w:val="00C63923"/>
    <w:rsid w:val="00C639FB"/>
    <w:rsid w:val="00C65FAB"/>
    <w:rsid w:val="00C71C4F"/>
    <w:rsid w:val="00C75C82"/>
    <w:rsid w:val="00C77242"/>
    <w:rsid w:val="00C77BEA"/>
    <w:rsid w:val="00C80840"/>
    <w:rsid w:val="00C8147F"/>
    <w:rsid w:val="00C81C00"/>
    <w:rsid w:val="00C81F55"/>
    <w:rsid w:val="00C82811"/>
    <w:rsid w:val="00C83715"/>
    <w:rsid w:val="00C84B81"/>
    <w:rsid w:val="00C85749"/>
    <w:rsid w:val="00C86E6C"/>
    <w:rsid w:val="00C90541"/>
    <w:rsid w:val="00C90EF3"/>
    <w:rsid w:val="00C950B1"/>
    <w:rsid w:val="00C9636D"/>
    <w:rsid w:val="00CA2D02"/>
    <w:rsid w:val="00CA5533"/>
    <w:rsid w:val="00CA6C93"/>
    <w:rsid w:val="00CB01F6"/>
    <w:rsid w:val="00CB0241"/>
    <w:rsid w:val="00CB114A"/>
    <w:rsid w:val="00CB11BF"/>
    <w:rsid w:val="00CB1743"/>
    <w:rsid w:val="00CB243D"/>
    <w:rsid w:val="00CB24FC"/>
    <w:rsid w:val="00CB4836"/>
    <w:rsid w:val="00CB493F"/>
    <w:rsid w:val="00CB58C4"/>
    <w:rsid w:val="00CB6EFB"/>
    <w:rsid w:val="00CC0138"/>
    <w:rsid w:val="00CC39CE"/>
    <w:rsid w:val="00CC3E18"/>
    <w:rsid w:val="00CC5037"/>
    <w:rsid w:val="00CD19A9"/>
    <w:rsid w:val="00CD440A"/>
    <w:rsid w:val="00CD48FC"/>
    <w:rsid w:val="00CD547F"/>
    <w:rsid w:val="00CD5DD4"/>
    <w:rsid w:val="00CD664E"/>
    <w:rsid w:val="00CD7430"/>
    <w:rsid w:val="00CE014A"/>
    <w:rsid w:val="00CE4524"/>
    <w:rsid w:val="00CE468C"/>
    <w:rsid w:val="00CE582A"/>
    <w:rsid w:val="00CE5D69"/>
    <w:rsid w:val="00CE7089"/>
    <w:rsid w:val="00CF19B9"/>
    <w:rsid w:val="00CF232D"/>
    <w:rsid w:val="00CF2865"/>
    <w:rsid w:val="00CF4F10"/>
    <w:rsid w:val="00CF56D1"/>
    <w:rsid w:val="00CF6126"/>
    <w:rsid w:val="00CF696F"/>
    <w:rsid w:val="00D04611"/>
    <w:rsid w:val="00D05596"/>
    <w:rsid w:val="00D059D9"/>
    <w:rsid w:val="00D07694"/>
    <w:rsid w:val="00D11393"/>
    <w:rsid w:val="00D13ECA"/>
    <w:rsid w:val="00D140C5"/>
    <w:rsid w:val="00D154A5"/>
    <w:rsid w:val="00D16F76"/>
    <w:rsid w:val="00D1709F"/>
    <w:rsid w:val="00D17E21"/>
    <w:rsid w:val="00D20B1D"/>
    <w:rsid w:val="00D20C2D"/>
    <w:rsid w:val="00D20FCA"/>
    <w:rsid w:val="00D265F7"/>
    <w:rsid w:val="00D2667A"/>
    <w:rsid w:val="00D26720"/>
    <w:rsid w:val="00D37E6C"/>
    <w:rsid w:val="00D40290"/>
    <w:rsid w:val="00D41A01"/>
    <w:rsid w:val="00D43353"/>
    <w:rsid w:val="00D43864"/>
    <w:rsid w:val="00D447FA"/>
    <w:rsid w:val="00D45A51"/>
    <w:rsid w:val="00D461BD"/>
    <w:rsid w:val="00D52012"/>
    <w:rsid w:val="00D53A5D"/>
    <w:rsid w:val="00D54C54"/>
    <w:rsid w:val="00D54FB7"/>
    <w:rsid w:val="00D61265"/>
    <w:rsid w:val="00D6293E"/>
    <w:rsid w:val="00D65ABF"/>
    <w:rsid w:val="00D7028C"/>
    <w:rsid w:val="00D71CF5"/>
    <w:rsid w:val="00D71DC1"/>
    <w:rsid w:val="00D72A9F"/>
    <w:rsid w:val="00D73589"/>
    <w:rsid w:val="00D73630"/>
    <w:rsid w:val="00D73D1E"/>
    <w:rsid w:val="00D773E2"/>
    <w:rsid w:val="00D77464"/>
    <w:rsid w:val="00D803FA"/>
    <w:rsid w:val="00D805D5"/>
    <w:rsid w:val="00D83C95"/>
    <w:rsid w:val="00D8576D"/>
    <w:rsid w:val="00D90D8D"/>
    <w:rsid w:val="00D91E9A"/>
    <w:rsid w:val="00D91FE8"/>
    <w:rsid w:val="00D95681"/>
    <w:rsid w:val="00D9781C"/>
    <w:rsid w:val="00DA0CB0"/>
    <w:rsid w:val="00DA1F5B"/>
    <w:rsid w:val="00DA20A9"/>
    <w:rsid w:val="00DA2DD5"/>
    <w:rsid w:val="00DA5068"/>
    <w:rsid w:val="00DA79D6"/>
    <w:rsid w:val="00DB00CF"/>
    <w:rsid w:val="00DB073C"/>
    <w:rsid w:val="00DB08E3"/>
    <w:rsid w:val="00DB2065"/>
    <w:rsid w:val="00DB2997"/>
    <w:rsid w:val="00DB2CB0"/>
    <w:rsid w:val="00DB2FA8"/>
    <w:rsid w:val="00DC2345"/>
    <w:rsid w:val="00DC3777"/>
    <w:rsid w:val="00DC3CA0"/>
    <w:rsid w:val="00DC448A"/>
    <w:rsid w:val="00DC51D5"/>
    <w:rsid w:val="00DC5E3E"/>
    <w:rsid w:val="00DD05CF"/>
    <w:rsid w:val="00DD2712"/>
    <w:rsid w:val="00DD2926"/>
    <w:rsid w:val="00DD4081"/>
    <w:rsid w:val="00DD62E4"/>
    <w:rsid w:val="00DE3C3B"/>
    <w:rsid w:val="00DE5860"/>
    <w:rsid w:val="00DE7023"/>
    <w:rsid w:val="00DF0356"/>
    <w:rsid w:val="00DF0F57"/>
    <w:rsid w:val="00DF15EB"/>
    <w:rsid w:val="00DF2FE6"/>
    <w:rsid w:val="00DF4638"/>
    <w:rsid w:val="00DF4BA9"/>
    <w:rsid w:val="00DF4EF7"/>
    <w:rsid w:val="00DF5CD7"/>
    <w:rsid w:val="00DF5EB1"/>
    <w:rsid w:val="00E00D60"/>
    <w:rsid w:val="00E040D4"/>
    <w:rsid w:val="00E0714F"/>
    <w:rsid w:val="00E117E6"/>
    <w:rsid w:val="00E13A85"/>
    <w:rsid w:val="00E14B32"/>
    <w:rsid w:val="00E218F8"/>
    <w:rsid w:val="00E223AE"/>
    <w:rsid w:val="00E22C8E"/>
    <w:rsid w:val="00E22D85"/>
    <w:rsid w:val="00E232B8"/>
    <w:rsid w:val="00E23C86"/>
    <w:rsid w:val="00E245E4"/>
    <w:rsid w:val="00E25006"/>
    <w:rsid w:val="00E25026"/>
    <w:rsid w:val="00E324E9"/>
    <w:rsid w:val="00E36696"/>
    <w:rsid w:val="00E42775"/>
    <w:rsid w:val="00E42AE4"/>
    <w:rsid w:val="00E44DDC"/>
    <w:rsid w:val="00E47C1F"/>
    <w:rsid w:val="00E505FE"/>
    <w:rsid w:val="00E51215"/>
    <w:rsid w:val="00E5458A"/>
    <w:rsid w:val="00E551EC"/>
    <w:rsid w:val="00E60815"/>
    <w:rsid w:val="00E61075"/>
    <w:rsid w:val="00E63EF4"/>
    <w:rsid w:val="00E71598"/>
    <w:rsid w:val="00E73519"/>
    <w:rsid w:val="00E73697"/>
    <w:rsid w:val="00E73DDF"/>
    <w:rsid w:val="00E77160"/>
    <w:rsid w:val="00E81AE1"/>
    <w:rsid w:val="00E8634A"/>
    <w:rsid w:val="00E902B2"/>
    <w:rsid w:val="00E90FFF"/>
    <w:rsid w:val="00E9584B"/>
    <w:rsid w:val="00EA03A4"/>
    <w:rsid w:val="00EA132E"/>
    <w:rsid w:val="00EA4903"/>
    <w:rsid w:val="00EA5A22"/>
    <w:rsid w:val="00EA64CE"/>
    <w:rsid w:val="00EA6E63"/>
    <w:rsid w:val="00EB0E30"/>
    <w:rsid w:val="00EB16C8"/>
    <w:rsid w:val="00EB377A"/>
    <w:rsid w:val="00EB3ED9"/>
    <w:rsid w:val="00EB4482"/>
    <w:rsid w:val="00EB75CE"/>
    <w:rsid w:val="00EC0927"/>
    <w:rsid w:val="00EC40D2"/>
    <w:rsid w:val="00EC4972"/>
    <w:rsid w:val="00EC5255"/>
    <w:rsid w:val="00EC6A28"/>
    <w:rsid w:val="00EC7001"/>
    <w:rsid w:val="00ED2423"/>
    <w:rsid w:val="00ED4172"/>
    <w:rsid w:val="00ED647C"/>
    <w:rsid w:val="00EE22BC"/>
    <w:rsid w:val="00EE5654"/>
    <w:rsid w:val="00EE5EE9"/>
    <w:rsid w:val="00EF01E1"/>
    <w:rsid w:val="00EF07F2"/>
    <w:rsid w:val="00EF0AA5"/>
    <w:rsid w:val="00EF2E29"/>
    <w:rsid w:val="00EF5D7C"/>
    <w:rsid w:val="00EF62C9"/>
    <w:rsid w:val="00EF6D25"/>
    <w:rsid w:val="00EF7A21"/>
    <w:rsid w:val="00F046C7"/>
    <w:rsid w:val="00F07571"/>
    <w:rsid w:val="00F107B9"/>
    <w:rsid w:val="00F1232B"/>
    <w:rsid w:val="00F13105"/>
    <w:rsid w:val="00F1367D"/>
    <w:rsid w:val="00F13BAB"/>
    <w:rsid w:val="00F14913"/>
    <w:rsid w:val="00F15E1E"/>
    <w:rsid w:val="00F163D6"/>
    <w:rsid w:val="00F17EDF"/>
    <w:rsid w:val="00F22932"/>
    <w:rsid w:val="00F275BB"/>
    <w:rsid w:val="00F32D17"/>
    <w:rsid w:val="00F41F99"/>
    <w:rsid w:val="00F5164C"/>
    <w:rsid w:val="00F527AE"/>
    <w:rsid w:val="00F54266"/>
    <w:rsid w:val="00F60F4E"/>
    <w:rsid w:val="00F626DB"/>
    <w:rsid w:val="00F644CC"/>
    <w:rsid w:val="00F65F5B"/>
    <w:rsid w:val="00F66113"/>
    <w:rsid w:val="00F663EF"/>
    <w:rsid w:val="00F66494"/>
    <w:rsid w:val="00F700D9"/>
    <w:rsid w:val="00F72C57"/>
    <w:rsid w:val="00F737EB"/>
    <w:rsid w:val="00F760A8"/>
    <w:rsid w:val="00F8272F"/>
    <w:rsid w:val="00F83217"/>
    <w:rsid w:val="00F848E0"/>
    <w:rsid w:val="00F8547F"/>
    <w:rsid w:val="00F87229"/>
    <w:rsid w:val="00F9528D"/>
    <w:rsid w:val="00F97B5E"/>
    <w:rsid w:val="00FA03D3"/>
    <w:rsid w:val="00FA5775"/>
    <w:rsid w:val="00FA6137"/>
    <w:rsid w:val="00FA79BF"/>
    <w:rsid w:val="00FA7A59"/>
    <w:rsid w:val="00FA7ED5"/>
    <w:rsid w:val="00FB06E5"/>
    <w:rsid w:val="00FB078C"/>
    <w:rsid w:val="00FB1266"/>
    <w:rsid w:val="00FB2CEB"/>
    <w:rsid w:val="00FB4EAA"/>
    <w:rsid w:val="00FB5929"/>
    <w:rsid w:val="00FB67C2"/>
    <w:rsid w:val="00FC304C"/>
    <w:rsid w:val="00FD00D7"/>
    <w:rsid w:val="00FD2D9F"/>
    <w:rsid w:val="00FD56EA"/>
    <w:rsid w:val="00FD71EC"/>
    <w:rsid w:val="00FD7AB9"/>
    <w:rsid w:val="00FD7C8A"/>
    <w:rsid w:val="00FE2AEB"/>
    <w:rsid w:val="00FE3194"/>
    <w:rsid w:val="00FE4E16"/>
    <w:rsid w:val="00FE4E5A"/>
    <w:rsid w:val="00FE5079"/>
    <w:rsid w:val="00FE6E42"/>
    <w:rsid w:val="00FF14C4"/>
    <w:rsid w:val="00FF45D7"/>
    <w:rsid w:val="00FF4C6A"/>
    <w:rsid w:val="00FF4E22"/>
    <w:rsid w:val="00FF4F15"/>
    <w:rsid w:val="00FF6E1A"/>
    <w:rsid w:val="00FF7483"/>
    <w:rsid w:val="00FF7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semiHidden="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6C"/>
    <w:pPr>
      <w:spacing w:after="200" w:line="276" w:lineRule="auto"/>
    </w:pPr>
    <w:rPr>
      <w:lang w:val="en-AU"/>
    </w:rPr>
  </w:style>
  <w:style w:type="paragraph" w:styleId="Heading1">
    <w:name w:val="heading 1"/>
    <w:basedOn w:val="Normal"/>
    <w:next w:val="Normal"/>
    <w:link w:val="Heading1Char"/>
    <w:uiPriority w:val="99"/>
    <w:qFormat/>
    <w:rsid w:val="002E776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E776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locked/>
    <w:rsid w:val="00AC62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AC62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776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E776C"/>
    <w:rPr>
      <w:rFonts w:ascii="Cambria" w:hAnsi="Cambria" w:cs="Times New Roman"/>
      <w:b/>
      <w:bCs/>
      <w:color w:val="4F81BD"/>
      <w:sz w:val="26"/>
      <w:szCs w:val="26"/>
    </w:rPr>
  </w:style>
  <w:style w:type="paragraph" w:styleId="BalloonText">
    <w:name w:val="Balloon Text"/>
    <w:basedOn w:val="Normal"/>
    <w:link w:val="BalloonTextChar"/>
    <w:uiPriority w:val="99"/>
    <w:semiHidden/>
    <w:rsid w:val="002E7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776C"/>
    <w:rPr>
      <w:rFonts w:ascii="Tahoma" w:hAnsi="Tahoma" w:cs="Tahoma"/>
      <w:sz w:val="16"/>
      <w:szCs w:val="16"/>
    </w:rPr>
  </w:style>
  <w:style w:type="paragraph" w:styleId="Caption">
    <w:name w:val="caption"/>
    <w:basedOn w:val="Normal"/>
    <w:next w:val="Normal"/>
    <w:uiPriority w:val="99"/>
    <w:qFormat/>
    <w:rsid w:val="002E776C"/>
    <w:pPr>
      <w:keepNext/>
      <w:spacing w:before="120" w:after="120" w:line="240" w:lineRule="auto"/>
      <w:jc w:val="center"/>
    </w:pPr>
    <w:rPr>
      <w:rFonts w:ascii="Times New Roman" w:eastAsia="Times New Roman" w:hAnsi="Times New Roman"/>
      <w:b/>
      <w:bCs/>
      <w:sz w:val="24"/>
      <w:szCs w:val="20"/>
    </w:rPr>
  </w:style>
  <w:style w:type="paragraph" w:styleId="ListParagraph">
    <w:name w:val="List Paragraph"/>
    <w:basedOn w:val="Normal"/>
    <w:qFormat/>
    <w:rsid w:val="002E776C"/>
    <w:pPr>
      <w:ind w:left="720"/>
      <w:contextualSpacing/>
    </w:pPr>
  </w:style>
  <w:style w:type="paragraph" w:styleId="NoSpacing">
    <w:name w:val="No Spacing"/>
    <w:link w:val="NoSpacingChar"/>
    <w:uiPriority w:val="99"/>
    <w:qFormat/>
    <w:rsid w:val="002E776C"/>
    <w:rPr>
      <w:rFonts w:ascii="Times New Roman" w:eastAsia="Times New Roman" w:hAnsi="Times New Roman"/>
      <w:lang w:val="en-AU"/>
    </w:rPr>
  </w:style>
  <w:style w:type="character" w:customStyle="1" w:styleId="NoSpacingChar">
    <w:name w:val="No Spacing Char"/>
    <w:basedOn w:val="DefaultParagraphFont"/>
    <w:link w:val="NoSpacing"/>
    <w:uiPriority w:val="99"/>
    <w:locked/>
    <w:rsid w:val="002E776C"/>
    <w:rPr>
      <w:rFonts w:ascii="Times New Roman" w:hAnsi="Times New Roman" w:cs="Times New Roman"/>
      <w:sz w:val="22"/>
      <w:szCs w:val="22"/>
      <w:lang w:val="en-AU" w:eastAsia="en-US" w:bidi="ar-SA"/>
    </w:rPr>
  </w:style>
  <w:style w:type="paragraph" w:styleId="FootnoteText">
    <w:name w:val="footnote text"/>
    <w:basedOn w:val="Normal"/>
    <w:link w:val="FootnoteTextChar"/>
    <w:uiPriority w:val="99"/>
    <w:rsid w:val="002E776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2E776C"/>
    <w:rPr>
      <w:rFonts w:ascii="Times New Roman" w:hAnsi="Times New Roman" w:cs="Times New Roman"/>
      <w:sz w:val="20"/>
      <w:szCs w:val="20"/>
    </w:rPr>
  </w:style>
  <w:style w:type="character" w:styleId="FootnoteReference">
    <w:name w:val="footnote reference"/>
    <w:basedOn w:val="DefaultParagraphFont"/>
    <w:uiPriority w:val="99"/>
    <w:rsid w:val="002E776C"/>
    <w:rPr>
      <w:rFonts w:ascii="Times New Roman" w:hAnsi="Times New Roman" w:cs="Times New Roman"/>
      <w:vertAlign w:val="superscript"/>
    </w:rPr>
  </w:style>
  <w:style w:type="paragraph" w:styleId="Footer">
    <w:name w:val="footer"/>
    <w:basedOn w:val="Normal"/>
    <w:link w:val="FooterChar"/>
    <w:rsid w:val="002E776C"/>
    <w:pPr>
      <w:tabs>
        <w:tab w:val="center" w:pos="4513"/>
        <w:tab w:val="right" w:pos="9026"/>
      </w:tabs>
      <w:spacing w:after="0" w:line="240" w:lineRule="auto"/>
    </w:pPr>
    <w:rPr>
      <w:rFonts w:ascii="Times New Roman" w:eastAsia="Times New Roman" w:hAnsi="Times New Roman"/>
    </w:rPr>
  </w:style>
  <w:style w:type="character" w:customStyle="1" w:styleId="FooterChar">
    <w:name w:val="Footer Char"/>
    <w:basedOn w:val="DefaultParagraphFont"/>
    <w:link w:val="Footer"/>
    <w:locked/>
    <w:rsid w:val="002E776C"/>
    <w:rPr>
      <w:rFonts w:ascii="Times New Roman" w:hAnsi="Times New Roman" w:cs="Times New Roman"/>
    </w:rPr>
  </w:style>
  <w:style w:type="character" w:styleId="LineNumber">
    <w:name w:val="line number"/>
    <w:basedOn w:val="DefaultParagraphFont"/>
    <w:uiPriority w:val="99"/>
    <w:semiHidden/>
    <w:rsid w:val="002E776C"/>
    <w:rPr>
      <w:rFonts w:cs="Times New Roman"/>
    </w:rPr>
  </w:style>
  <w:style w:type="paragraph" w:styleId="NormalWeb">
    <w:name w:val="Normal (Web)"/>
    <w:basedOn w:val="Normal"/>
    <w:uiPriority w:val="99"/>
    <w:semiHidden/>
    <w:rsid w:val="002E776C"/>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rsid w:val="002E77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2E776C"/>
    <w:rPr>
      <w:rFonts w:cs="Times New Roman"/>
    </w:rPr>
  </w:style>
  <w:style w:type="character" w:styleId="CommentReference">
    <w:name w:val="annotation reference"/>
    <w:basedOn w:val="DefaultParagraphFont"/>
    <w:uiPriority w:val="99"/>
    <w:semiHidden/>
    <w:rsid w:val="002E776C"/>
    <w:rPr>
      <w:rFonts w:cs="Times New Roman"/>
      <w:sz w:val="16"/>
      <w:szCs w:val="16"/>
    </w:rPr>
  </w:style>
  <w:style w:type="paragraph" w:styleId="CommentText">
    <w:name w:val="annotation text"/>
    <w:basedOn w:val="Normal"/>
    <w:link w:val="CommentTextChar"/>
    <w:uiPriority w:val="99"/>
    <w:semiHidden/>
    <w:rsid w:val="002E77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E776C"/>
    <w:rPr>
      <w:rFonts w:cs="Times New Roman"/>
      <w:sz w:val="20"/>
      <w:szCs w:val="20"/>
    </w:rPr>
  </w:style>
  <w:style w:type="paragraph" w:styleId="CommentSubject">
    <w:name w:val="annotation subject"/>
    <w:basedOn w:val="CommentText"/>
    <w:next w:val="CommentText"/>
    <w:link w:val="CommentSubjectChar"/>
    <w:uiPriority w:val="99"/>
    <w:semiHidden/>
    <w:rsid w:val="002E776C"/>
    <w:rPr>
      <w:b/>
      <w:bCs/>
    </w:rPr>
  </w:style>
  <w:style w:type="character" w:customStyle="1" w:styleId="CommentSubjectChar">
    <w:name w:val="Comment Subject Char"/>
    <w:basedOn w:val="CommentTextChar"/>
    <w:link w:val="CommentSubject"/>
    <w:uiPriority w:val="99"/>
    <w:semiHidden/>
    <w:locked/>
    <w:rsid w:val="002E776C"/>
    <w:rPr>
      <w:rFonts w:cs="Times New Roman"/>
      <w:b/>
      <w:bCs/>
      <w:sz w:val="20"/>
      <w:szCs w:val="20"/>
    </w:rPr>
  </w:style>
  <w:style w:type="character" w:styleId="Hyperlink">
    <w:name w:val="Hyperlink"/>
    <w:basedOn w:val="DefaultParagraphFont"/>
    <w:uiPriority w:val="99"/>
    <w:rsid w:val="00E324E9"/>
    <w:rPr>
      <w:rFonts w:cs="Times New Roman"/>
      <w:color w:val="0000FF"/>
      <w:u w:val="single"/>
    </w:rPr>
  </w:style>
  <w:style w:type="table" w:customStyle="1" w:styleId="LightList-Accent11">
    <w:name w:val="Light List - Accent 11"/>
    <w:uiPriority w:val="99"/>
    <w:rsid w:val="00FF4E22"/>
    <w:rPr>
      <w:sz w:val="20"/>
      <w:szCs w:val="20"/>
      <w:lang w:val="en-AU" w:eastAsia="en-A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FF4E22"/>
    <w:rPr>
      <w:sz w:val="20"/>
      <w:szCs w:val="20"/>
      <w:lang w:val="en-AU" w:eastAsia="en-A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TableGrid">
    <w:name w:val="Table Grid"/>
    <w:basedOn w:val="TableNormal"/>
    <w:uiPriority w:val="99"/>
    <w:locked/>
    <w:rsid w:val="00CB17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locked/>
    <w:rsid w:val="002D49AD"/>
    <w:pPr>
      <w:spacing w:after="100"/>
    </w:pPr>
  </w:style>
  <w:style w:type="paragraph" w:styleId="TOC2">
    <w:name w:val="toc 2"/>
    <w:basedOn w:val="Normal"/>
    <w:next w:val="Normal"/>
    <w:autoRedefine/>
    <w:uiPriority w:val="39"/>
    <w:locked/>
    <w:rsid w:val="002D49AD"/>
    <w:pPr>
      <w:spacing w:after="100"/>
      <w:ind w:left="220"/>
    </w:pPr>
  </w:style>
  <w:style w:type="character" w:customStyle="1" w:styleId="ft">
    <w:name w:val="ft"/>
    <w:basedOn w:val="DefaultParagraphFont"/>
    <w:uiPriority w:val="99"/>
    <w:rsid w:val="002566C0"/>
    <w:rPr>
      <w:rFonts w:cs="Times New Roman"/>
    </w:rPr>
  </w:style>
  <w:style w:type="table" w:customStyle="1" w:styleId="LightList-Accent12">
    <w:name w:val="Light List - Accent 12"/>
    <w:uiPriority w:val="99"/>
    <w:rsid w:val="00935AC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3">
    <w:name w:val="Light List - Accent 13"/>
    <w:uiPriority w:val="99"/>
    <w:rsid w:val="0020542D"/>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Revision">
    <w:name w:val="Revision"/>
    <w:hidden/>
    <w:uiPriority w:val="99"/>
    <w:semiHidden/>
    <w:rsid w:val="003F5BF0"/>
    <w:rPr>
      <w:lang w:val="en-AU"/>
    </w:rPr>
  </w:style>
  <w:style w:type="character" w:styleId="FollowedHyperlink">
    <w:name w:val="FollowedHyperlink"/>
    <w:basedOn w:val="DefaultParagraphFont"/>
    <w:uiPriority w:val="99"/>
    <w:semiHidden/>
    <w:unhideWhenUsed/>
    <w:rsid w:val="00BF1503"/>
    <w:rPr>
      <w:color w:val="800080" w:themeColor="followedHyperlink"/>
      <w:u w:val="single"/>
    </w:rPr>
  </w:style>
  <w:style w:type="character" w:styleId="PageNumber">
    <w:name w:val="page number"/>
    <w:rsid w:val="00563501"/>
    <w:rPr>
      <w:rFonts w:cs="Times New Roman"/>
    </w:rPr>
  </w:style>
  <w:style w:type="character" w:customStyle="1" w:styleId="Heading3Char">
    <w:name w:val="Heading 3 Char"/>
    <w:basedOn w:val="DefaultParagraphFont"/>
    <w:link w:val="Heading3"/>
    <w:rsid w:val="00AC62D6"/>
    <w:rPr>
      <w:rFonts w:asciiTheme="majorHAnsi" w:eastAsiaTheme="majorEastAsia" w:hAnsiTheme="majorHAnsi" w:cstheme="majorBidi"/>
      <w:b/>
      <w:bCs/>
      <w:color w:val="4F81BD" w:themeColor="accent1"/>
      <w:lang w:val="en-AU"/>
    </w:rPr>
  </w:style>
  <w:style w:type="character" w:customStyle="1" w:styleId="Heading4Char">
    <w:name w:val="Heading 4 Char"/>
    <w:basedOn w:val="DefaultParagraphFont"/>
    <w:link w:val="Heading4"/>
    <w:rsid w:val="00AC62D6"/>
    <w:rPr>
      <w:rFonts w:asciiTheme="majorHAnsi" w:eastAsiaTheme="majorEastAsia" w:hAnsiTheme="majorHAnsi" w:cstheme="majorBidi"/>
      <w:b/>
      <w:bCs/>
      <w:i/>
      <w:iCs/>
      <w:color w:val="4F81BD" w:themeColor="accent1"/>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semiHidden="0" w:unhideWhenUsed="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6C"/>
    <w:pPr>
      <w:spacing w:after="200" w:line="276" w:lineRule="auto"/>
    </w:pPr>
    <w:rPr>
      <w:lang w:val="en-AU"/>
    </w:rPr>
  </w:style>
  <w:style w:type="paragraph" w:styleId="Heading1">
    <w:name w:val="heading 1"/>
    <w:basedOn w:val="Normal"/>
    <w:next w:val="Normal"/>
    <w:link w:val="Heading1Char"/>
    <w:uiPriority w:val="99"/>
    <w:qFormat/>
    <w:rsid w:val="002E776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2E776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locked/>
    <w:rsid w:val="00AC62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AC62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776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E776C"/>
    <w:rPr>
      <w:rFonts w:ascii="Cambria" w:hAnsi="Cambria" w:cs="Times New Roman"/>
      <w:b/>
      <w:bCs/>
      <w:color w:val="4F81BD"/>
      <w:sz w:val="26"/>
      <w:szCs w:val="26"/>
    </w:rPr>
  </w:style>
  <w:style w:type="paragraph" w:styleId="BalloonText">
    <w:name w:val="Balloon Text"/>
    <w:basedOn w:val="Normal"/>
    <w:link w:val="BalloonTextChar"/>
    <w:uiPriority w:val="99"/>
    <w:semiHidden/>
    <w:rsid w:val="002E7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776C"/>
    <w:rPr>
      <w:rFonts w:ascii="Tahoma" w:hAnsi="Tahoma" w:cs="Tahoma"/>
      <w:sz w:val="16"/>
      <w:szCs w:val="16"/>
    </w:rPr>
  </w:style>
  <w:style w:type="paragraph" w:styleId="Caption">
    <w:name w:val="caption"/>
    <w:basedOn w:val="Normal"/>
    <w:next w:val="Normal"/>
    <w:uiPriority w:val="99"/>
    <w:qFormat/>
    <w:rsid w:val="002E776C"/>
    <w:pPr>
      <w:keepNext/>
      <w:spacing w:before="120" w:after="120" w:line="240" w:lineRule="auto"/>
      <w:jc w:val="center"/>
    </w:pPr>
    <w:rPr>
      <w:rFonts w:ascii="Times New Roman" w:eastAsia="Times New Roman" w:hAnsi="Times New Roman"/>
      <w:b/>
      <w:bCs/>
      <w:sz w:val="24"/>
      <w:szCs w:val="20"/>
    </w:rPr>
  </w:style>
  <w:style w:type="paragraph" w:styleId="ListParagraph">
    <w:name w:val="List Paragraph"/>
    <w:basedOn w:val="Normal"/>
    <w:qFormat/>
    <w:rsid w:val="002E776C"/>
    <w:pPr>
      <w:ind w:left="720"/>
      <w:contextualSpacing/>
    </w:pPr>
  </w:style>
  <w:style w:type="paragraph" w:styleId="NoSpacing">
    <w:name w:val="No Spacing"/>
    <w:link w:val="NoSpacingChar"/>
    <w:uiPriority w:val="99"/>
    <w:qFormat/>
    <w:rsid w:val="002E776C"/>
    <w:rPr>
      <w:rFonts w:ascii="Times New Roman" w:eastAsia="Times New Roman" w:hAnsi="Times New Roman"/>
      <w:lang w:val="en-AU"/>
    </w:rPr>
  </w:style>
  <w:style w:type="character" w:customStyle="1" w:styleId="NoSpacingChar">
    <w:name w:val="No Spacing Char"/>
    <w:basedOn w:val="DefaultParagraphFont"/>
    <w:link w:val="NoSpacing"/>
    <w:uiPriority w:val="99"/>
    <w:locked/>
    <w:rsid w:val="002E776C"/>
    <w:rPr>
      <w:rFonts w:ascii="Times New Roman" w:hAnsi="Times New Roman" w:cs="Times New Roman"/>
      <w:sz w:val="22"/>
      <w:szCs w:val="22"/>
      <w:lang w:val="en-AU" w:eastAsia="en-US" w:bidi="ar-SA"/>
    </w:rPr>
  </w:style>
  <w:style w:type="paragraph" w:styleId="FootnoteText">
    <w:name w:val="footnote text"/>
    <w:basedOn w:val="Normal"/>
    <w:link w:val="FootnoteTextChar"/>
    <w:uiPriority w:val="99"/>
    <w:rsid w:val="002E776C"/>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2E776C"/>
    <w:rPr>
      <w:rFonts w:ascii="Times New Roman" w:hAnsi="Times New Roman" w:cs="Times New Roman"/>
      <w:sz w:val="20"/>
      <w:szCs w:val="20"/>
    </w:rPr>
  </w:style>
  <w:style w:type="character" w:styleId="FootnoteReference">
    <w:name w:val="footnote reference"/>
    <w:basedOn w:val="DefaultParagraphFont"/>
    <w:uiPriority w:val="99"/>
    <w:rsid w:val="002E776C"/>
    <w:rPr>
      <w:rFonts w:ascii="Times New Roman" w:hAnsi="Times New Roman" w:cs="Times New Roman"/>
      <w:vertAlign w:val="superscript"/>
    </w:rPr>
  </w:style>
  <w:style w:type="paragraph" w:styleId="Footer">
    <w:name w:val="footer"/>
    <w:basedOn w:val="Normal"/>
    <w:link w:val="FooterChar"/>
    <w:rsid w:val="002E776C"/>
    <w:pPr>
      <w:tabs>
        <w:tab w:val="center" w:pos="4513"/>
        <w:tab w:val="right" w:pos="9026"/>
      </w:tabs>
      <w:spacing w:after="0" w:line="240" w:lineRule="auto"/>
    </w:pPr>
    <w:rPr>
      <w:rFonts w:ascii="Times New Roman" w:eastAsia="Times New Roman" w:hAnsi="Times New Roman"/>
    </w:rPr>
  </w:style>
  <w:style w:type="character" w:customStyle="1" w:styleId="FooterChar">
    <w:name w:val="Footer Char"/>
    <w:basedOn w:val="DefaultParagraphFont"/>
    <w:link w:val="Footer"/>
    <w:locked/>
    <w:rsid w:val="002E776C"/>
    <w:rPr>
      <w:rFonts w:ascii="Times New Roman" w:hAnsi="Times New Roman" w:cs="Times New Roman"/>
    </w:rPr>
  </w:style>
  <w:style w:type="character" w:styleId="LineNumber">
    <w:name w:val="line number"/>
    <w:basedOn w:val="DefaultParagraphFont"/>
    <w:uiPriority w:val="99"/>
    <w:semiHidden/>
    <w:rsid w:val="002E776C"/>
    <w:rPr>
      <w:rFonts w:cs="Times New Roman"/>
    </w:rPr>
  </w:style>
  <w:style w:type="paragraph" w:styleId="NormalWeb">
    <w:name w:val="Normal (Web)"/>
    <w:basedOn w:val="Normal"/>
    <w:uiPriority w:val="99"/>
    <w:semiHidden/>
    <w:rsid w:val="002E776C"/>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rsid w:val="002E77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2E776C"/>
    <w:rPr>
      <w:rFonts w:cs="Times New Roman"/>
    </w:rPr>
  </w:style>
  <w:style w:type="character" w:styleId="CommentReference">
    <w:name w:val="annotation reference"/>
    <w:basedOn w:val="DefaultParagraphFont"/>
    <w:uiPriority w:val="99"/>
    <w:semiHidden/>
    <w:rsid w:val="002E776C"/>
    <w:rPr>
      <w:rFonts w:cs="Times New Roman"/>
      <w:sz w:val="16"/>
      <w:szCs w:val="16"/>
    </w:rPr>
  </w:style>
  <w:style w:type="paragraph" w:styleId="CommentText">
    <w:name w:val="annotation text"/>
    <w:basedOn w:val="Normal"/>
    <w:link w:val="CommentTextChar"/>
    <w:uiPriority w:val="99"/>
    <w:semiHidden/>
    <w:rsid w:val="002E77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E776C"/>
    <w:rPr>
      <w:rFonts w:cs="Times New Roman"/>
      <w:sz w:val="20"/>
      <w:szCs w:val="20"/>
    </w:rPr>
  </w:style>
  <w:style w:type="paragraph" w:styleId="CommentSubject">
    <w:name w:val="annotation subject"/>
    <w:basedOn w:val="CommentText"/>
    <w:next w:val="CommentText"/>
    <w:link w:val="CommentSubjectChar"/>
    <w:uiPriority w:val="99"/>
    <w:semiHidden/>
    <w:rsid w:val="002E776C"/>
    <w:rPr>
      <w:b/>
      <w:bCs/>
    </w:rPr>
  </w:style>
  <w:style w:type="character" w:customStyle="1" w:styleId="CommentSubjectChar">
    <w:name w:val="Comment Subject Char"/>
    <w:basedOn w:val="CommentTextChar"/>
    <w:link w:val="CommentSubject"/>
    <w:uiPriority w:val="99"/>
    <w:semiHidden/>
    <w:locked/>
    <w:rsid w:val="002E776C"/>
    <w:rPr>
      <w:rFonts w:cs="Times New Roman"/>
      <w:b/>
      <w:bCs/>
      <w:sz w:val="20"/>
      <w:szCs w:val="20"/>
    </w:rPr>
  </w:style>
  <w:style w:type="character" w:styleId="Hyperlink">
    <w:name w:val="Hyperlink"/>
    <w:basedOn w:val="DefaultParagraphFont"/>
    <w:uiPriority w:val="99"/>
    <w:rsid w:val="00E324E9"/>
    <w:rPr>
      <w:rFonts w:cs="Times New Roman"/>
      <w:color w:val="0000FF"/>
      <w:u w:val="single"/>
    </w:rPr>
  </w:style>
  <w:style w:type="table" w:customStyle="1" w:styleId="LightList-Accent11">
    <w:name w:val="Light List - Accent 11"/>
    <w:uiPriority w:val="99"/>
    <w:rsid w:val="00FF4E22"/>
    <w:rPr>
      <w:sz w:val="20"/>
      <w:szCs w:val="20"/>
      <w:lang w:val="en-AU" w:eastAsia="en-A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FF4E22"/>
    <w:rPr>
      <w:sz w:val="20"/>
      <w:szCs w:val="20"/>
      <w:lang w:val="en-AU" w:eastAsia="en-AU"/>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TableGrid">
    <w:name w:val="Table Grid"/>
    <w:basedOn w:val="TableNormal"/>
    <w:uiPriority w:val="99"/>
    <w:locked/>
    <w:rsid w:val="00CB174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locked/>
    <w:rsid w:val="002D49AD"/>
    <w:pPr>
      <w:spacing w:after="100"/>
    </w:pPr>
  </w:style>
  <w:style w:type="paragraph" w:styleId="TOC2">
    <w:name w:val="toc 2"/>
    <w:basedOn w:val="Normal"/>
    <w:next w:val="Normal"/>
    <w:autoRedefine/>
    <w:uiPriority w:val="39"/>
    <w:locked/>
    <w:rsid w:val="002D49AD"/>
    <w:pPr>
      <w:spacing w:after="100"/>
      <w:ind w:left="220"/>
    </w:pPr>
  </w:style>
  <w:style w:type="character" w:customStyle="1" w:styleId="ft">
    <w:name w:val="ft"/>
    <w:basedOn w:val="DefaultParagraphFont"/>
    <w:uiPriority w:val="99"/>
    <w:rsid w:val="002566C0"/>
    <w:rPr>
      <w:rFonts w:cs="Times New Roman"/>
    </w:rPr>
  </w:style>
  <w:style w:type="table" w:customStyle="1" w:styleId="LightList-Accent12">
    <w:name w:val="Light List - Accent 12"/>
    <w:uiPriority w:val="99"/>
    <w:rsid w:val="00935AC2"/>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13">
    <w:name w:val="Light List - Accent 13"/>
    <w:uiPriority w:val="99"/>
    <w:rsid w:val="0020542D"/>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Revision">
    <w:name w:val="Revision"/>
    <w:hidden/>
    <w:uiPriority w:val="99"/>
    <w:semiHidden/>
    <w:rsid w:val="003F5BF0"/>
    <w:rPr>
      <w:lang w:val="en-AU"/>
    </w:rPr>
  </w:style>
  <w:style w:type="character" w:styleId="FollowedHyperlink">
    <w:name w:val="FollowedHyperlink"/>
    <w:basedOn w:val="DefaultParagraphFont"/>
    <w:uiPriority w:val="99"/>
    <w:semiHidden/>
    <w:unhideWhenUsed/>
    <w:rsid w:val="00BF1503"/>
    <w:rPr>
      <w:color w:val="800080" w:themeColor="followedHyperlink"/>
      <w:u w:val="single"/>
    </w:rPr>
  </w:style>
  <w:style w:type="character" w:styleId="PageNumber">
    <w:name w:val="page number"/>
    <w:rsid w:val="00563501"/>
    <w:rPr>
      <w:rFonts w:cs="Times New Roman"/>
    </w:rPr>
  </w:style>
  <w:style w:type="character" w:customStyle="1" w:styleId="Heading3Char">
    <w:name w:val="Heading 3 Char"/>
    <w:basedOn w:val="DefaultParagraphFont"/>
    <w:link w:val="Heading3"/>
    <w:rsid w:val="00AC62D6"/>
    <w:rPr>
      <w:rFonts w:asciiTheme="majorHAnsi" w:eastAsiaTheme="majorEastAsia" w:hAnsiTheme="majorHAnsi" w:cstheme="majorBidi"/>
      <w:b/>
      <w:bCs/>
      <w:color w:val="4F81BD" w:themeColor="accent1"/>
      <w:lang w:val="en-AU"/>
    </w:rPr>
  </w:style>
  <w:style w:type="character" w:customStyle="1" w:styleId="Heading4Char">
    <w:name w:val="Heading 4 Char"/>
    <w:basedOn w:val="DefaultParagraphFont"/>
    <w:link w:val="Heading4"/>
    <w:rsid w:val="00AC62D6"/>
    <w:rPr>
      <w:rFonts w:asciiTheme="majorHAnsi" w:eastAsiaTheme="majorEastAsia" w:hAnsiTheme="majorHAnsi" w:cstheme="majorBidi"/>
      <w:b/>
      <w:bCs/>
      <w:i/>
      <w:iCs/>
      <w:color w:val="4F81BD" w:themeColor="accen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8469">
      <w:bodyDiv w:val="1"/>
      <w:marLeft w:val="0"/>
      <w:marRight w:val="0"/>
      <w:marTop w:val="0"/>
      <w:marBottom w:val="0"/>
      <w:divBdr>
        <w:top w:val="none" w:sz="0" w:space="0" w:color="auto"/>
        <w:left w:val="none" w:sz="0" w:space="0" w:color="auto"/>
        <w:bottom w:val="none" w:sz="0" w:space="0" w:color="auto"/>
        <w:right w:val="none" w:sz="0" w:space="0" w:color="auto"/>
      </w:divBdr>
    </w:div>
    <w:div w:id="209345943">
      <w:bodyDiv w:val="1"/>
      <w:marLeft w:val="0"/>
      <w:marRight w:val="0"/>
      <w:marTop w:val="0"/>
      <w:marBottom w:val="0"/>
      <w:divBdr>
        <w:top w:val="none" w:sz="0" w:space="0" w:color="auto"/>
        <w:left w:val="none" w:sz="0" w:space="0" w:color="auto"/>
        <w:bottom w:val="none" w:sz="0" w:space="0" w:color="auto"/>
        <w:right w:val="none" w:sz="0" w:space="0" w:color="auto"/>
      </w:divBdr>
      <w:divsChild>
        <w:div w:id="1697385550">
          <w:marLeft w:val="0"/>
          <w:marRight w:val="0"/>
          <w:marTop w:val="0"/>
          <w:marBottom w:val="0"/>
          <w:divBdr>
            <w:top w:val="none" w:sz="0" w:space="0" w:color="auto"/>
            <w:left w:val="none" w:sz="0" w:space="0" w:color="auto"/>
            <w:bottom w:val="none" w:sz="0" w:space="0" w:color="auto"/>
            <w:right w:val="none" w:sz="0" w:space="0" w:color="auto"/>
          </w:divBdr>
          <w:divsChild>
            <w:div w:id="170074807">
              <w:marLeft w:val="0"/>
              <w:marRight w:val="0"/>
              <w:marTop w:val="0"/>
              <w:marBottom w:val="0"/>
              <w:divBdr>
                <w:top w:val="none" w:sz="0" w:space="0" w:color="auto"/>
                <w:left w:val="none" w:sz="0" w:space="0" w:color="auto"/>
                <w:bottom w:val="none" w:sz="0" w:space="0" w:color="auto"/>
                <w:right w:val="none" w:sz="0" w:space="0" w:color="auto"/>
              </w:divBdr>
              <w:divsChild>
                <w:div w:id="79329482">
                  <w:marLeft w:val="0"/>
                  <w:marRight w:val="0"/>
                  <w:marTop w:val="0"/>
                  <w:marBottom w:val="0"/>
                  <w:divBdr>
                    <w:top w:val="none" w:sz="0" w:space="0" w:color="auto"/>
                    <w:left w:val="none" w:sz="0" w:space="0" w:color="auto"/>
                    <w:bottom w:val="none" w:sz="0" w:space="0" w:color="auto"/>
                    <w:right w:val="none" w:sz="0" w:space="0" w:color="auto"/>
                  </w:divBdr>
                  <w:divsChild>
                    <w:div w:id="3832550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81191">
      <w:bodyDiv w:val="1"/>
      <w:marLeft w:val="0"/>
      <w:marRight w:val="0"/>
      <w:marTop w:val="0"/>
      <w:marBottom w:val="0"/>
      <w:divBdr>
        <w:top w:val="none" w:sz="0" w:space="0" w:color="auto"/>
        <w:left w:val="none" w:sz="0" w:space="0" w:color="auto"/>
        <w:bottom w:val="none" w:sz="0" w:space="0" w:color="auto"/>
        <w:right w:val="none" w:sz="0" w:space="0" w:color="auto"/>
      </w:divBdr>
      <w:divsChild>
        <w:div w:id="1494221995">
          <w:marLeft w:val="0"/>
          <w:marRight w:val="0"/>
          <w:marTop w:val="0"/>
          <w:marBottom w:val="0"/>
          <w:divBdr>
            <w:top w:val="none" w:sz="0" w:space="0" w:color="auto"/>
            <w:left w:val="none" w:sz="0" w:space="0" w:color="auto"/>
            <w:bottom w:val="none" w:sz="0" w:space="0" w:color="auto"/>
            <w:right w:val="none" w:sz="0" w:space="0" w:color="auto"/>
          </w:divBdr>
          <w:divsChild>
            <w:div w:id="909924153">
              <w:marLeft w:val="0"/>
              <w:marRight w:val="0"/>
              <w:marTop w:val="0"/>
              <w:marBottom w:val="0"/>
              <w:divBdr>
                <w:top w:val="none" w:sz="0" w:space="0" w:color="auto"/>
                <w:left w:val="none" w:sz="0" w:space="0" w:color="auto"/>
                <w:bottom w:val="none" w:sz="0" w:space="0" w:color="auto"/>
                <w:right w:val="none" w:sz="0" w:space="0" w:color="auto"/>
              </w:divBdr>
              <w:divsChild>
                <w:div w:id="1929145173">
                  <w:marLeft w:val="0"/>
                  <w:marRight w:val="0"/>
                  <w:marTop w:val="0"/>
                  <w:marBottom w:val="0"/>
                  <w:divBdr>
                    <w:top w:val="none" w:sz="0" w:space="0" w:color="auto"/>
                    <w:left w:val="none" w:sz="0" w:space="0" w:color="auto"/>
                    <w:bottom w:val="none" w:sz="0" w:space="0" w:color="auto"/>
                    <w:right w:val="none" w:sz="0" w:space="0" w:color="auto"/>
                  </w:divBdr>
                  <w:divsChild>
                    <w:div w:id="826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636520">
      <w:bodyDiv w:val="1"/>
      <w:marLeft w:val="0"/>
      <w:marRight w:val="0"/>
      <w:marTop w:val="0"/>
      <w:marBottom w:val="0"/>
      <w:divBdr>
        <w:top w:val="none" w:sz="0" w:space="0" w:color="auto"/>
        <w:left w:val="none" w:sz="0" w:space="0" w:color="auto"/>
        <w:bottom w:val="none" w:sz="0" w:space="0" w:color="auto"/>
        <w:right w:val="none" w:sz="0" w:space="0" w:color="auto"/>
      </w:divBdr>
    </w:div>
    <w:div w:id="1215238753">
      <w:bodyDiv w:val="1"/>
      <w:marLeft w:val="0"/>
      <w:marRight w:val="0"/>
      <w:marTop w:val="0"/>
      <w:marBottom w:val="0"/>
      <w:divBdr>
        <w:top w:val="none" w:sz="0" w:space="0" w:color="auto"/>
        <w:left w:val="none" w:sz="0" w:space="0" w:color="auto"/>
        <w:bottom w:val="none" w:sz="0" w:space="0" w:color="auto"/>
        <w:right w:val="none" w:sz="0" w:space="0" w:color="auto"/>
      </w:divBdr>
      <w:divsChild>
        <w:div w:id="992181325">
          <w:marLeft w:val="0"/>
          <w:marRight w:val="0"/>
          <w:marTop w:val="150"/>
          <w:marBottom w:val="0"/>
          <w:divBdr>
            <w:top w:val="none" w:sz="0" w:space="0" w:color="auto"/>
            <w:left w:val="none" w:sz="0" w:space="0" w:color="auto"/>
            <w:bottom w:val="none" w:sz="0" w:space="0" w:color="auto"/>
            <w:right w:val="none" w:sz="0" w:space="0" w:color="auto"/>
          </w:divBdr>
          <w:divsChild>
            <w:div w:id="393478366">
              <w:marLeft w:val="0"/>
              <w:marRight w:val="0"/>
              <w:marTop w:val="0"/>
              <w:marBottom w:val="0"/>
              <w:divBdr>
                <w:top w:val="none" w:sz="0" w:space="0" w:color="auto"/>
                <w:left w:val="none" w:sz="0" w:space="0" w:color="auto"/>
                <w:bottom w:val="none" w:sz="0" w:space="0" w:color="auto"/>
                <w:right w:val="none" w:sz="0" w:space="0" w:color="auto"/>
              </w:divBdr>
              <w:divsChild>
                <w:div w:id="1783958496">
                  <w:marLeft w:val="0"/>
                  <w:marRight w:val="0"/>
                  <w:marTop w:val="0"/>
                  <w:marBottom w:val="0"/>
                  <w:divBdr>
                    <w:top w:val="single" w:sz="6" w:space="0" w:color="FFFFFF"/>
                    <w:left w:val="none" w:sz="0" w:space="0" w:color="auto"/>
                    <w:bottom w:val="none" w:sz="0" w:space="0" w:color="auto"/>
                    <w:right w:val="none" w:sz="0" w:space="0" w:color="auto"/>
                  </w:divBdr>
                  <w:divsChild>
                    <w:div w:id="18089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905620">
      <w:bodyDiv w:val="1"/>
      <w:marLeft w:val="0"/>
      <w:marRight w:val="0"/>
      <w:marTop w:val="0"/>
      <w:marBottom w:val="0"/>
      <w:divBdr>
        <w:top w:val="none" w:sz="0" w:space="0" w:color="auto"/>
        <w:left w:val="none" w:sz="0" w:space="0" w:color="auto"/>
        <w:bottom w:val="none" w:sz="0" w:space="0" w:color="auto"/>
        <w:right w:val="none" w:sz="0" w:space="0" w:color="auto"/>
      </w:divBdr>
      <w:divsChild>
        <w:div w:id="494077594">
          <w:marLeft w:val="0"/>
          <w:marRight w:val="0"/>
          <w:marTop w:val="0"/>
          <w:marBottom w:val="0"/>
          <w:divBdr>
            <w:top w:val="none" w:sz="0" w:space="0" w:color="auto"/>
            <w:left w:val="none" w:sz="0" w:space="0" w:color="auto"/>
            <w:bottom w:val="none" w:sz="0" w:space="0" w:color="auto"/>
            <w:right w:val="none" w:sz="0" w:space="0" w:color="auto"/>
          </w:divBdr>
          <w:divsChild>
            <w:div w:id="275597394">
              <w:marLeft w:val="0"/>
              <w:marRight w:val="0"/>
              <w:marTop w:val="0"/>
              <w:marBottom w:val="0"/>
              <w:divBdr>
                <w:top w:val="none" w:sz="0" w:space="0" w:color="auto"/>
                <w:left w:val="none" w:sz="0" w:space="0" w:color="auto"/>
                <w:bottom w:val="none" w:sz="0" w:space="0" w:color="auto"/>
                <w:right w:val="none" w:sz="0" w:space="0" w:color="auto"/>
              </w:divBdr>
              <w:divsChild>
                <w:div w:id="1018773439">
                  <w:marLeft w:val="0"/>
                  <w:marRight w:val="0"/>
                  <w:marTop w:val="0"/>
                  <w:marBottom w:val="0"/>
                  <w:divBdr>
                    <w:top w:val="none" w:sz="0" w:space="0" w:color="auto"/>
                    <w:left w:val="none" w:sz="0" w:space="0" w:color="auto"/>
                    <w:bottom w:val="none" w:sz="0" w:space="0" w:color="auto"/>
                    <w:right w:val="none" w:sz="0" w:space="0" w:color="auto"/>
                  </w:divBdr>
                  <w:divsChild>
                    <w:div w:id="7752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663039">
      <w:bodyDiv w:val="1"/>
      <w:marLeft w:val="0"/>
      <w:marRight w:val="0"/>
      <w:marTop w:val="0"/>
      <w:marBottom w:val="0"/>
      <w:divBdr>
        <w:top w:val="none" w:sz="0" w:space="0" w:color="auto"/>
        <w:left w:val="none" w:sz="0" w:space="0" w:color="auto"/>
        <w:bottom w:val="none" w:sz="0" w:space="0" w:color="auto"/>
        <w:right w:val="none" w:sz="0" w:space="0" w:color="auto"/>
      </w:divBdr>
      <w:divsChild>
        <w:div w:id="1253201938">
          <w:marLeft w:val="0"/>
          <w:marRight w:val="0"/>
          <w:marTop w:val="0"/>
          <w:marBottom w:val="0"/>
          <w:divBdr>
            <w:top w:val="none" w:sz="0" w:space="0" w:color="auto"/>
            <w:left w:val="none" w:sz="0" w:space="0" w:color="auto"/>
            <w:bottom w:val="none" w:sz="0" w:space="0" w:color="auto"/>
            <w:right w:val="none" w:sz="0" w:space="0" w:color="auto"/>
          </w:divBdr>
          <w:divsChild>
            <w:div w:id="735317689">
              <w:marLeft w:val="0"/>
              <w:marRight w:val="0"/>
              <w:marTop w:val="0"/>
              <w:marBottom w:val="0"/>
              <w:divBdr>
                <w:top w:val="none" w:sz="0" w:space="0" w:color="auto"/>
                <w:left w:val="none" w:sz="0" w:space="0" w:color="auto"/>
                <w:bottom w:val="none" w:sz="0" w:space="0" w:color="auto"/>
                <w:right w:val="none" w:sz="0" w:space="0" w:color="auto"/>
              </w:divBdr>
              <w:divsChild>
                <w:div w:id="13540399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7550360">
      <w:bodyDiv w:val="1"/>
      <w:marLeft w:val="0"/>
      <w:marRight w:val="0"/>
      <w:marTop w:val="0"/>
      <w:marBottom w:val="0"/>
      <w:divBdr>
        <w:top w:val="none" w:sz="0" w:space="0" w:color="auto"/>
        <w:left w:val="none" w:sz="0" w:space="0" w:color="auto"/>
        <w:bottom w:val="none" w:sz="0" w:space="0" w:color="auto"/>
        <w:right w:val="none" w:sz="0" w:space="0" w:color="auto"/>
      </w:divBdr>
      <w:divsChild>
        <w:div w:id="1369332925">
          <w:marLeft w:val="0"/>
          <w:marRight w:val="0"/>
          <w:marTop w:val="0"/>
          <w:marBottom w:val="0"/>
          <w:divBdr>
            <w:top w:val="none" w:sz="0" w:space="0" w:color="auto"/>
            <w:left w:val="none" w:sz="0" w:space="0" w:color="auto"/>
            <w:bottom w:val="none" w:sz="0" w:space="0" w:color="auto"/>
            <w:right w:val="none" w:sz="0" w:space="0" w:color="auto"/>
          </w:divBdr>
          <w:divsChild>
            <w:div w:id="1357731488">
              <w:marLeft w:val="0"/>
              <w:marRight w:val="0"/>
              <w:marTop w:val="0"/>
              <w:marBottom w:val="0"/>
              <w:divBdr>
                <w:top w:val="none" w:sz="0" w:space="0" w:color="auto"/>
                <w:left w:val="none" w:sz="0" w:space="0" w:color="auto"/>
                <w:bottom w:val="none" w:sz="0" w:space="0" w:color="auto"/>
                <w:right w:val="none" w:sz="0" w:space="0" w:color="auto"/>
              </w:divBdr>
              <w:divsChild>
                <w:div w:id="1087579130">
                  <w:marLeft w:val="0"/>
                  <w:marRight w:val="0"/>
                  <w:marTop w:val="0"/>
                  <w:marBottom w:val="0"/>
                  <w:divBdr>
                    <w:top w:val="none" w:sz="0" w:space="0" w:color="auto"/>
                    <w:left w:val="none" w:sz="0" w:space="0" w:color="auto"/>
                    <w:bottom w:val="none" w:sz="0" w:space="0" w:color="auto"/>
                    <w:right w:val="none" w:sz="0" w:space="0" w:color="auto"/>
                  </w:divBdr>
                  <w:divsChild>
                    <w:div w:id="3099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9692">
      <w:marLeft w:val="0"/>
      <w:marRight w:val="0"/>
      <w:marTop w:val="0"/>
      <w:marBottom w:val="0"/>
      <w:divBdr>
        <w:top w:val="none" w:sz="0" w:space="0" w:color="auto"/>
        <w:left w:val="none" w:sz="0" w:space="0" w:color="auto"/>
        <w:bottom w:val="none" w:sz="0" w:space="0" w:color="auto"/>
        <w:right w:val="none" w:sz="0" w:space="0" w:color="auto"/>
      </w:divBdr>
    </w:div>
    <w:div w:id="1869489693">
      <w:marLeft w:val="0"/>
      <w:marRight w:val="0"/>
      <w:marTop w:val="0"/>
      <w:marBottom w:val="0"/>
      <w:divBdr>
        <w:top w:val="none" w:sz="0" w:space="0" w:color="auto"/>
        <w:left w:val="none" w:sz="0" w:space="0" w:color="auto"/>
        <w:bottom w:val="none" w:sz="0" w:space="0" w:color="auto"/>
        <w:right w:val="none" w:sz="0" w:space="0" w:color="auto"/>
      </w:divBdr>
    </w:div>
    <w:div w:id="1869489694">
      <w:marLeft w:val="0"/>
      <w:marRight w:val="0"/>
      <w:marTop w:val="0"/>
      <w:marBottom w:val="0"/>
      <w:divBdr>
        <w:top w:val="none" w:sz="0" w:space="0" w:color="auto"/>
        <w:left w:val="none" w:sz="0" w:space="0" w:color="auto"/>
        <w:bottom w:val="none" w:sz="0" w:space="0" w:color="auto"/>
        <w:right w:val="none" w:sz="0" w:space="0" w:color="auto"/>
      </w:divBdr>
    </w:div>
    <w:div w:id="1869489695">
      <w:marLeft w:val="0"/>
      <w:marRight w:val="0"/>
      <w:marTop w:val="0"/>
      <w:marBottom w:val="0"/>
      <w:divBdr>
        <w:top w:val="none" w:sz="0" w:space="0" w:color="auto"/>
        <w:left w:val="none" w:sz="0" w:space="0" w:color="auto"/>
        <w:bottom w:val="none" w:sz="0" w:space="0" w:color="auto"/>
        <w:right w:val="none" w:sz="0" w:space="0" w:color="auto"/>
      </w:divBdr>
    </w:div>
    <w:div w:id="1869489696">
      <w:marLeft w:val="0"/>
      <w:marRight w:val="0"/>
      <w:marTop w:val="0"/>
      <w:marBottom w:val="0"/>
      <w:divBdr>
        <w:top w:val="none" w:sz="0" w:space="0" w:color="auto"/>
        <w:left w:val="none" w:sz="0" w:space="0" w:color="auto"/>
        <w:bottom w:val="none" w:sz="0" w:space="0" w:color="auto"/>
        <w:right w:val="none" w:sz="0" w:space="0" w:color="auto"/>
      </w:divBdr>
    </w:div>
    <w:div w:id="1869489697">
      <w:marLeft w:val="0"/>
      <w:marRight w:val="0"/>
      <w:marTop w:val="0"/>
      <w:marBottom w:val="0"/>
      <w:divBdr>
        <w:top w:val="none" w:sz="0" w:space="0" w:color="auto"/>
        <w:left w:val="none" w:sz="0" w:space="0" w:color="auto"/>
        <w:bottom w:val="none" w:sz="0" w:space="0" w:color="auto"/>
        <w:right w:val="none" w:sz="0" w:space="0" w:color="auto"/>
      </w:divBdr>
    </w:div>
    <w:div w:id="1869489698">
      <w:marLeft w:val="0"/>
      <w:marRight w:val="0"/>
      <w:marTop w:val="0"/>
      <w:marBottom w:val="0"/>
      <w:divBdr>
        <w:top w:val="none" w:sz="0" w:space="0" w:color="auto"/>
        <w:left w:val="none" w:sz="0" w:space="0" w:color="auto"/>
        <w:bottom w:val="none" w:sz="0" w:space="0" w:color="auto"/>
        <w:right w:val="none" w:sz="0" w:space="0" w:color="auto"/>
      </w:divBdr>
    </w:div>
    <w:div w:id="1869489699">
      <w:marLeft w:val="0"/>
      <w:marRight w:val="0"/>
      <w:marTop w:val="0"/>
      <w:marBottom w:val="0"/>
      <w:divBdr>
        <w:top w:val="none" w:sz="0" w:space="0" w:color="auto"/>
        <w:left w:val="none" w:sz="0" w:space="0" w:color="auto"/>
        <w:bottom w:val="none" w:sz="0" w:space="0" w:color="auto"/>
        <w:right w:val="none" w:sz="0" w:space="0" w:color="auto"/>
      </w:divBdr>
      <w:divsChild>
        <w:div w:id="1869489712">
          <w:marLeft w:val="0"/>
          <w:marRight w:val="0"/>
          <w:marTop w:val="0"/>
          <w:marBottom w:val="0"/>
          <w:divBdr>
            <w:top w:val="none" w:sz="0" w:space="0" w:color="auto"/>
            <w:left w:val="none" w:sz="0" w:space="0" w:color="auto"/>
            <w:bottom w:val="none" w:sz="0" w:space="0" w:color="auto"/>
            <w:right w:val="none" w:sz="0" w:space="0" w:color="auto"/>
          </w:divBdr>
          <w:divsChild>
            <w:div w:id="1869489722">
              <w:marLeft w:val="0"/>
              <w:marRight w:val="0"/>
              <w:marTop w:val="0"/>
              <w:marBottom w:val="0"/>
              <w:divBdr>
                <w:top w:val="none" w:sz="0" w:space="0" w:color="auto"/>
                <w:left w:val="none" w:sz="0" w:space="0" w:color="auto"/>
                <w:bottom w:val="none" w:sz="0" w:space="0" w:color="auto"/>
                <w:right w:val="none" w:sz="0" w:space="0" w:color="auto"/>
              </w:divBdr>
              <w:divsChild>
                <w:div w:id="1869489730">
                  <w:marLeft w:val="0"/>
                  <w:marRight w:val="0"/>
                  <w:marTop w:val="0"/>
                  <w:marBottom w:val="0"/>
                  <w:divBdr>
                    <w:top w:val="none" w:sz="0" w:space="0" w:color="auto"/>
                    <w:left w:val="none" w:sz="0" w:space="0" w:color="auto"/>
                    <w:bottom w:val="none" w:sz="0" w:space="0" w:color="auto"/>
                    <w:right w:val="none" w:sz="0" w:space="0" w:color="auto"/>
                  </w:divBdr>
                  <w:divsChild>
                    <w:div w:id="18694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9700">
      <w:marLeft w:val="0"/>
      <w:marRight w:val="0"/>
      <w:marTop w:val="0"/>
      <w:marBottom w:val="0"/>
      <w:divBdr>
        <w:top w:val="none" w:sz="0" w:space="0" w:color="auto"/>
        <w:left w:val="none" w:sz="0" w:space="0" w:color="auto"/>
        <w:bottom w:val="none" w:sz="0" w:space="0" w:color="auto"/>
        <w:right w:val="none" w:sz="0" w:space="0" w:color="auto"/>
      </w:divBdr>
    </w:div>
    <w:div w:id="1869489701">
      <w:marLeft w:val="0"/>
      <w:marRight w:val="0"/>
      <w:marTop w:val="0"/>
      <w:marBottom w:val="0"/>
      <w:divBdr>
        <w:top w:val="none" w:sz="0" w:space="0" w:color="auto"/>
        <w:left w:val="none" w:sz="0" w:space="0" w:color="auto"/>
        <w:bottom w:val="none" w:sz="0" w:space="0" w:color="auto"/>
        <w:right w:val="none" w:sz="0" w:space="0" w:color="auto"/>
      </w:divBdr>
    </w:div>
    <w:div w:id="1869489702">
      <w:marLeft w:val="0"/>
      <w:marRight w:val="0"/>
      <w:marTop w:val="0"/>
      <w:marBottom w:val="0"/>
      <w:divBdr>
        <w:top w:val="none" w:sz="0" w:space="0" w:color="auto"/>
        <w:left w:val="none" w:sz="0" w:space="0" w:color="auto"/>
        <w:bottom w:val="none" w:sz="0" w:space="0" w:color="auto"/>
        <w:right w:val="none" w:sz="0" w:space="0" w:color="auto"/>
      </w:divBdr>
    </w:div>
    <w:div w:id="1869489703">
      <w:marLeft w:val="0"/>
      <w:marRight w:val="0"/>
      <w:marTop w:val="0"/>
      <w:marBottom w:val="0"/>
      <w:divBdr>
        <w:top w:val="none" w:sz="0" w:space="0" w:color="auto"/>
        <w:left w:val="none" w:sz="0" w:space="0" w:color="auto"/>
        <w:bottom w:val="none" w:sz="0" w:space="0" w:color="auto"/>
        <w:right w:val="none" w:sz="0" w:space="0" w:color="auto"/>
      </w:divBdr>
    </w:div>
    <w:div w:id="1869489704">
      <w:marLeft w:val="0"/>
      <w:marRight w:val="0"/>
      <w:marTop w:val="0"/>
      <w:marBottom w:val="0"/>
      <w:divBdr>
        <w:top w:val="none" w:sz="0" w:space="0" w:color="auto"/>
        <w:left w:val="none" w:sz="0" w:space="0" w:color="auto"/>
        <w:bottom w:val="none" w:sz="0" w:space="0" w:color="auto"/>
        <w:right w:val="none" w:sz="0" w:space="0" w:color="auto"/>
      </w:divBdr>
    </w:div>
    <w:div w:id="1869489706">
      <w:marLeft w:val="0"/>
      <w:marRight w:val="0"/>
      <w:marTop w:val="0"/>
      <w:marBottom w:val="0"/>
      <w:divBdr>
        <w:top w:val="none" w:sz="0" w:space="0" w:color="auto"/>
        <w:left w:val="none" w:sz="0" w:space="0" w:color="auto"/>
        <w:bottom w:val="none" w:sz="0" w:space="0" w:color="auto"/>
        <w:right w:val="none" w:sz="0" w:space="0" w:color="auto"/>
      </w:divBdr>
    </w:div>
    <w:div w:id="1869489707">
      <w:marLeft w:val="0"/>
      <w:marRight w:val="0"/>
      <w:marTop w:val="0"/>
      <w:marBottom w:val="0"/>
      <w:divBdr>
        <w:top w:val="none" w:sz="0" w:space="0" w:color="auto"/>
        <w:left w:val="none" w:sz="0" w:space="0" w:color="auto"/>
        <w:bottom w:val="none" w:sz="0" w:space="0" w:color="auto"/>
        <w:right w:val="none" w:sz="0" w:space="0" w:color="auto"/>
      </w:divBdr>
    </w:div>
    <w:div w:id="1869489708">
      <w:marLeft w:val="0"/>
      <w:marRight w:val="0"/>
      <w:marTop w:val="0"/>
      <w:marBottom w:val="0"/>
      <w:divBdr>
        <w:top w:val="none" w:sz="0" w:space="0" w:color="auto"/>
        <w:left w:val="none" w:sz="0" w:space="0" w:color="auto"/>
        <w:bottom w:val="none" w:sz="0" w:space="0" w:color="auto"/>
        <w:right w:val="none" w:sz="0" w:space="0" w:color="auto"/>
      </w:divBdr>
    </w:div>
    <w:div w:id="1869489709">
      <w:marLeft w:val="0"/>
      <w:marRight w:val="0"/>
      <w:marTop w:val="0"/>
      <w:marBottom w:val="0"/>
      <w:divBdr>
        <w:top w:val="none" w:sz="0" w:space="0" w:color="auto"/>
        <w:left w:val="none" w:sz="0" w:space="0" w:color="auto"/>
        <w:bottom w:val="none" w:sz="0" w:space="0" w:color="auto"/>
        <w:right w:val="none" w:sz="0" w:space="0" w:color="auto"/>
      </w:divBdr>
    </w:div>
    <w:div w:id="1869489710">
      <w:marLeft w:val="0"/>
      <w:marRight w:val="0"/>
      <w:marTop w:val="0"/>
      <w:marBottom w:val="0"/>
      <w:divBdr>
        <w:top w:val="none" w:sz="0" w:space="0" w:color="auto"/>
        <w:left w:val="none" w:sz="0" w:space="0" w:color="auto"/>
        <w:bottom w:val="none" w:sz="0" w:space="0" w:color="auto"/>
        <w:right w:val="none" w:sz="0" w:space="0" w:color="auto"/>
      </w:divBdr>
    </w:div>
    <w:div w:id="1869489711">
      <w:marLeft w:val="0"/>
      <w:marRight w:val="0"/>
      <w:marTop w:val="0"/>
      <w:marBottom w:val="0"/>
      <w:divBdr>
        <w:top w:val="none" w:sz="0" w:space="0" w:color="auto"/>
        <w:left w:val="none" w:sz="0" w:space="0" w:color="auto"/>
        <w:bottom w:val="none" w:sz="0" w:space="0" w:color="auto"/>
        <w:right w:val="none" w:sz="0" w:space="0" w:color="auto"/>
      </w:divBdr>
    </w:div>
    <w:div w:id="1869489713">
      <w:marLeft w:val="0"/>
      <w:marRight w:val="0"/>
      <w:marTop w:val="0"/>
      <w:marBottom w:val="0"/>
      <w:divBdr>
        <w:top w:val="none" w:sz="0" w:space="0" w:color="auto"/>
        <w:left w:val="none" w:sz="0" w:space="0" w:color="auto"/>
        <w:bottom w:val="none" w:sz="0" w:space="0" w:color="auto"/>
        <w:right w:val="none" w:sz="0" w:space="0" w:color="auto"/>
      </w:divBdr>
    </w:div>
    <w:div w:id="1869489714">
      <w:marLeft w:val="0"/>
      <w:marRight w:val="0"/>
      <w:marTop w:val="0"/>
      <w:marBottom w:val="0"/>
      <w:divBdr>
        <w:top w:val="none" w:sz="0" w:space="0" w:color="auto"/>
        <w:left w:val="none" w:sz="0" w:space="0" w:color="auto"/>
        <w:bottom w:val="none" w:sz="0" w:space="0" w:color="auto"/>
        <w:right w:val="none" w:sz="0" w:space="0" w:color="auto"/>
      </w:divBdr>
    </w:div>
    <w:div w:id="1869489715">
      <w:marLeft w:val="0"/>
      <w:marRight w:val="0"/>
      <w:marTop w:val="0"/>
      <w:marBottom w:val="0"/>
      <w:divBdr>
        <w:top w:val="none" w:sz="0" w:space="0" w:color="auto"/>
        <w:left w:val="none" w:sz="0" w:space="0" w:color="auto"/>
        <w:bottom w:val="none" w:sz="0" w:space="0" w:color="auto"/>
        <w:right w:val="none" w:sz="0" w:space="0" w:color="auto"/>
      </w:divBdr>
    </w:div>
    <w:div w:id="1869489716">
      <w:marLeft w:val="0"/>
      <w:marRight w:val="0"/>
      <w:marTop w:val="0"/>
      <w:marBottom w:val="0"/>
      <w:divBdr>
        <w:top w:val="none" w:sz="0" w:space="0" w:color="auto"/>
        <w:left w:val="none" w:sz="0" w:space="0" w:color="auto"/>
        <w:bottom w:val="none" w:sz="0" w:space="0" w:color="auto"/>
        <w:right w:val="none" w:sz="0" w:space="0" w:color="auto"/>
      </w:divBdr>
    </w:div>
    <w:div w:id="1869489717">
      <w:marLeft w:val="0"/>
      <w:marRight w:val="0"/>
      <w:marTop w:val="0"/>
      <w:marBottom w:val="0"/>
      <w:divBdr>
        <w:top w:val="none" w:sz="0" w:space="0" w:color="auto"/>
        <w:left w:val="none" w:sz="0" w:space="0" w:color="auto"/>
        <w:bottom w:val="none" w:sz="0" w:space="0" w:color="auto"/>
        <w:right w:val="none" w:sz="0" w:space="0" w:color="auto"/>
      </w:divBdr>
    </w:div>
    <w:div w:id="1869489718">
      <w:marLeft w:val="0"/>
      <w:marRight w:val="0"/>
      <w:marTop w:val="0"/>
      <w:marBottom w:val="0"/>
      <w:divBdr>
        <w:top w:val="none" w:sz="0" w:space="0" w:color="auto"/>
        <w:left w:val="none" w:sz="0" w:space="0" w:color="auto"/>
        <w:bottom w:val="none" w:sz="0" w:space="0" w:color="auto"/>
        <w:right w:val="none" w:sz="0" w:space="0" w:color="auto"/>
      </w:divBdr>
    </w:div>
    <w:div w:id="1869489719">
      <w:marLeft w:val="0"/>
      <w:marRight w:val="0"/>
      <w:marTop w:val="0"/>
      <w:marBottom w:val="0"/>
      <w:divBdr>
        <w:top w:val="none" w:sz="0" w:space="0" w:color="auto"/>
        <w:left w:val="none" w:sz="0" w:space="0" w:color="auto"/>
        <w:bottom w:val="none" w:sz="0" w:space="0" w:color="auto"/>
        <w:right w:val="none" w:sz="0" w:space="0" w:color="auto"/>
      </w:divBdr>
    </w:div>
    <w:div w:id="1869489720">
      <w:marLeft w:val="0"/>
      <w:marRight w:val="0"/>
      <w:marTop w:val="0"/>
      <w:marBottom w:val="0"/>
      <w:divBdr>
        <w:top w:val="none" w:sz="0" w:space="0" w:color="auto"/>
        <w:left w:val="none" w:sz="0" w:space="0" w:color="auto"/>
        <w:bottom w:val="none" w:sz="0" w:space="0" w:color="auto"/>
        <w:right w:val="none" w:sz="0" w:space="0" w:color="auto"/>
      </w:divBdr>
    </w:div>
    <w:div w:id="1869489721">
      <w:marLeft w:val="0"/>
      <w:marRight w:val="0"/>
      <w:marTop w:val="0"/>
      <w:marBottom w:val="0"/>
      <w:divBdr>
        <w:top w:val="none" w:sz="0" w:space="0" w:color="auto"/>
        <w:left w:val="none" w:sz="0" w:space="0" w:color="auto"/>
        <w:bottom w:val="none" w:sz="0" w:space="0" w:color="auto"/>
        <w:right w:val="none" w:sz="0" w:space="0" w:color="auto"/>
      </w:divBdr>
    </w:div>
    <w:div w:id="1869489723">
      <w:marLeft w:val="0"/>
      <w:marRight w:val="0"/>
      <w:marTop w:val="0"/>
      <w:marBottom w:val="0"/>
      <w:divBdr>
        <w:top w:val="none" w:sz="0" w:space="0" w:color="auto"/>
        <w:left w:val="none" w:sz="0" w:space="0" w:color="auto"/>
        <w:bottom w:val="none" w:sz="0" w:space="0" w:color="auto"/>
        <w:right w:val="none" w:sz="0" w:space="0" w:color="auto"/>
      </w:divBdr>
    </w:div>
    <w:div w:id="1869489724">
      <w:marLeft w:val="0"/>
      <w:marRight w:val="0"/>
      <w:marTop w:val="0"/>
      <w:marBottom w:val="0"/>
      <w:divBdr>
        <w:top w:val="none" w:sz="0" w:space="0" w:color="auto"/>
        <w:left w:val="none" w:sz="0" w:space="0" w:color="auto"/>
        <w:bottom w:val="none" w:sz="0" w:space="0" w:color="auto"/>
        <w:right w:val="none" w:sz="0" w:space="0" w:color="auto"/>
      </w:divBdr>
    </w:div>
    <w:div w:id="1869489725">
      <w:marLeft w:val="0"/>
      <w:marRight w:val="0"/>
      <w:marTop w:val="0"/>
      <w:marBottom w:val="0"/>
      <w:divBdr>
        <w:top w:val="none" w:sz="0" w:space="0" w:color="auto"/>
        <w:left w:val="none" w:sz="0" w:space="0" w:color="auto"/>
        <w:bottom w:val="none" w:sz="0" w:space="0" w:color="auto"/>
        <w:right w:val="none" w:sz="0" w:space="0" w:color="auto"/>
      </w:divBdr>
    </w:div>
    <w:div w:id="1869489726">
      <w:marLeft w:val="0"/>
      <w:marRight w:val="0"/>
      <w:marTop w:val="0"/>
      <w:marBottom w:val="0"/>
      <w:divBdr>
        <w:top w:val="none" w:sz="0" w:space="0" w:color="auto"/>
        <w:left w:val="none" w:sz="0" w:space="0" w:color="auto"/>
        <w:bottom w:val="none" w:sz="0" w:space="0" w:color="auto"/>
        <w:right w:val="none" w:sz="0" w:space="0" w:color="auto"/>
      </w:divBdr>
    </w:div>
    <w:div w:id="1869489727">
      <w:marLeft w:val="0"/>
      <w:marRight w:val="0"/>
      <w:marTop w:val="0"/>
      <w:marBottom w:val="0"/>
      <w:divBdr>
        <w:top w:val="none" w:sz="0" w:space="0" w:color="auto"/>
        <w:left w:val="none" w:sz="0" w:space="0" w:color="auto"/>
        <w:bottom w:val="none" w:sz="0" w:space="0" w:color="auto"/>
        <w:right w:val="none" w:sz="0" w:space="0" w:color="auto"/>
      </w:divBdr>
    </w:div>
    <w:div w:id="1869489728">
      <w:marLeft w:val="0"/>
      <w:marRight w:val="0"/>
      <w:marTop w:val="0"/>
      <w:marBottom w:val="0"/>
      <w:divBdr>
        <w:top w:val="none" w:sz="0" w:space="0" w:color="auto"/>
        <w:left w:val="none" w:sz="0" w:space="0" w:color="auto"/>
        <w:bottom w:val="none" w:sz="0" w:space="0" w:color="auto"/>
        <w:right w:val="none" w:sz="0" w:space="0" w:color="auto"/>
      </w:divBdr>
    </w:div>
    <w:div w:id="1869489729">
      <w:marLeft w:val="0"/>
      <w:marRight w:val="0"/>
      <w:marTop w:val="0"/>
      <w:marBottom w:val="0"/>
      <w:divBdr>
        <w:top w:val="none" w:sz="0" w:space="0" w:color="auto"/>
        <w:left w:val="none" w:sz="0" w:space="0" w:color="auto"/>
        <w:bottom w:val="none" w:sz="0" w:space="0" w:color="auto"/>
        <w:right w:val="none" w:sz="0" w:space="0" w:color="auto"/>
      </w:divBdr>
    </w:div>
    <w:div w:id="1869489731">
      <w:marLeft w:val="0"/>
      <w:marRight w:val="0"/>
      <w:marTop w:val="0"/>
      <w:marBottom w:val="0"/>
      <w:divBdr>
        <w:top w:val="none" w:sz="0" w:space="0" w:color="auto"/>
        <w:left w:val="none" w:sz="0" w:space="0" w:color="auto"/>
        <w:bottom w:val="none" w:sz="0" w:space="0" w:color="auto"/>
        <w:right w:val="none" w:sz="0" w:space="0" w:color="auto"/>
      </w:divBdr>
    </w:div>
    <w:div w:id="1869489732">
      <w:marLeft w:val="0"/>
      <w:marRight w:val="0"/>
      <w:marTop w:val="0"/>
      <w:marBottom w:val="0"/>
      <w:divBdr>
        <w:top w:val="none" w:sz="0" w:space="0" w:color="auto"/>
        <w:left w:val="none" w:sz="0" w:space="0" w:color="auto"/>
        <w:bottom w:val="none" w:sz="0" w:space="0" w:color="auto"/>
        <w:right w:val="none" w:sz="0" w:space="0" w:color="auto"/>
      </w:divBdr>
    </w:div>
    <w:div w:id="1869489733">
      <w:marLeft w:val="0"/>
      <w:marRight w:val="0"/>
      <w:marTop w:val="0"/>
      <w:marBottom w:val="0"/>
      <w:divBdr>
        <w:top w:val="none" w:sz="0" w:space="0" w:color="auto"/>
        <w:left w:val="none" w:sz="0" w:space="0" w:color="auto"/>
        <w:bottom w:val="none" w:sz="0" w:space="0" w:color="auto"/>
        <w:right w:val="none" w:sz="0" w:space="0" w:color="auto"/>
      </w:divBdr>
    </w:div>
    <w:div w:id="1869489734">
      <w:marLeft w:val="0"/>
      <w:marRight w:val="0"/>
      <w:marTop w:val="0"/>
      <w:marBottom w:val="0"/>
      <w:divBdr>
        <w:top w:val="none" w:sz="0" w:space="0" w:color="auto"/>
        <w:left w:val="none" w:sz="0" w:space="0" w:color="auto"/>
        <w:bottom w:val="none" w:sz="0" w:space="0" w:color="auto"/>
        <w:right w:val="none" w:sz="0" w:space="0" w:color="auto"/>
      </w:divBdr>
    </w:div>
    <w:div w:id="1869489735">
      <w:marLeft w:val="0"/>
      <w:marRight w:val="0"/>
      <w:marTop w:val="0"/>
      <w:marBottom w:val="0"/>
      <w:divBdr>
        <w:top w:val="none" w:sz="0" w:space="0" w:color="auto"/>
        <w:left w:val="none" w:sz="0" w:space="0" w:color="auto"/>
        <w:bottom w:val="none" w:sz="0" w:space="0" w:color="auto"/>
        <w:right w:val="none" w:sz="0" w:space="0" w:color="auto"/>
      </w:divBdr>
    </w:div>
    <w:div w:id="1869489736">
      <w:marLeft w:val="0"/>
      <w:marRight w:val="0"/>
      <w:marTop w:val="0"/>
      <w:marBottom w:val="0"/>
      <w:divBdr>
        <w:top w:val="none" w:sz="0" w:space="0" w:color="auto"/>
        <w:left w:val="none" w:sz="0" w:space="0" w:color="auto"/>
        <w:bottom w:val="none" w:sz="0" w:space="0" w:color="auto"/>
        <w:right w:val="none" w:sz="0" w:space="0" w:color="auto"/>
      </w:divBdr>
    </w:div>
    <w:div w:id="1869489737">
      <w:marLeft w:val="0"/>
      <w:marRight w:val="0"/>
      <w:marTop w:val="0"/>
      <w:marBottom w:val="0"/>
      <w:divBdr>
        <w:top w:val="none" w:sz="0" w:space="0" w:color="auto"/>
        <w:left w:val="none" w:sz="0" w:space="0" w:color="auto"/>
        <w:bottom w:val="none" w:sz="0" w:space="0" w:color="auto"/>
        <w:right w:val="none" w:sz="0" w:space="0" w:color="auto"/>
      </w:divBdr>
    </w:div>
    <w:div w:id="1869489738">
      <w:marLeft w:val="0"/>
      <w:marRight w:val="0"/>
      <w:marTop w:val="0"/>
      <w:marBottom w:val="0"/>
      <w:divBdr>
        <w:top w:val="none" w:sz="0" w:space="0" w:color="auto"/>
        <w:left w:val="none" w:sz="0" w:space="0" w:color="auto"/>
        <w:bottom w:val="none" w:sz="0" w:space="0" w:color="auto"/>
        <w:right w:val="none" w:sz="0" w:space="0" w:color="auto"/>
      </w:divBdr>
    </w:div>
    <w:div w:id="1869489739">
      <w:marLeft w:val="0"/>
      <w:marRight w:val="0"/>
      <w:marTop w:val="0"/>
      <w:marBottom w:val="0"/>
      <w:divBdr>
        <w:top w:val="none" w:sz="0" w:space="0" w:color="auto"/>
        <w:left w:val="none" w:sz="0" w:space="0" w:color="auto"/>
        <w:bottom w:val="none" w:sz="0" w:space="0" w:color="auto"/>
        <w:right w:val="none" w:sz="0" w:space="0" w:color="auto"/>
      </w:divBdr>
    </w:div>
    <w:div w:id="1869489740">
      <w:marLeft w:val="0"/>
      <w:marRight w:val="0"/>
      <w:marTop w:val="0"/>
      <w:marBottom w:val="0"/>
      <w:divBdr>
        <w:top w:val="none" w:sz="0" w:space="0" w:color="auto"/>
        <w:left w:val="none" w:sz="0" w:space="0" w:color="auto"/>
        <w:bottom w:val="none" w:sz="0" w:space="0" w:color="auto"/>
        <w:right w:val="none" w:sz="0" w:space="0" w:color="auto"/>
      </w:divBdr>
    </w:div>
    <w:div w:id="19921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image" Target="media/image4.wmf"/><Relationship Id="rId39" Type="http://schemas.openxmlformats.org/officeDocument/2006/relationships/image" Target="media/image17.wmf"/><Relationship Id="rId21" Type="http://schemas.openxmlformats.org/officeDocument/2006/relationships/diagramColors" Target="diagrams/colors2.xml"/><Relationship Id="rId34" Type="http://schemas.openxmlformats.org/officeDocument/2006/relationships/image" Target="media/image12.wmf"/><Relationship Id="rId42" Type="http://schemas.openxmlformats.org/officeDocument/2006/relationships/image" Target="media/image20.wmf"/><Relationship Id="rId47" Type="http://schemas.openxmlformats.org/officeDocument/2006/relationships/hyperlink" Target="http://www.humanservices.gov.au/customer/services/centrelink/sickness-allowance" TargetMode="External"/><Relationship Id="rId50" Type="http://schemas.openxmlformats.org/officeDocument/2006/relationships/hyperlink" Target="http://www.humanservices.gov.au/customer/services/centrelink/widow-allowance" TargetMode="External"/><Relationship Id="rId55" Type="http://schemas.openxmlformats.org/officeDocument/2006/relationships/hyperlink" Target="http://www.humanservices.gov.au/customer/services/centrelink/disability-support-pension" TargetMode="External"/><Relationship Id="rId63" Type="http://schemas.openxmlformats.org/officeDocument/2006/relationships/footer" Target="footer5.xml"/><Relationship Id="rId68" Type="http://schemas.openxmlformats.org/officeDocument/2006/relationships/diagramLayout" Target="diagrams/layout3.xml"/><Relationship Id="rId76" Type="http://schemas.openxmlformats.org/officeDocument/2006/relationships/theme" Target="theme/theme1.xml"/><Relationship Id="rId7" Type="http://schemas.openxmlformats.org/officeDocument/2006/relationships/footnotes" Target="footnotes.xml"/><Relationship Id="rId71"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image" Target="media/image7.wmf"/><Relationship Id="rId11" Type="http://schemas.openxmlformats.org/officeDocument/2006/relationships/header" Target="header1.xml"/><Relationship Id="rId24"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hyperlink" Target="http://www.humanservices.gov.au/customer/services/centrelink/family-tax-benefit-part-a-part-b" TargetMode="External"/><Relationship Id="rId58" Type="http://schemas.openxmlformats.org/officeDocument/2006/relationships/image" Target="media/image25.wmf"/><Relationship Id="rId66" Type="http://schemas.openxmlformats.org/officeDocument/2006/relationships/header" Target="header6.xml"/><Relationship Id="rId74" Type="http://schemas.openxmlformats.org/officeDocument/2006/relationships/hyperlink" Target="http://pbs.gov.au/html/healthpro/publication/list" TargetMode="Externa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1.wmf"/><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yperlink" Target="http://www.humanservices.gov.au/customer/services/centrelink/partner-allowance" TargetMode="External"/><Relationship Id="rId57" Type="http://schemas.openxmlformats.org/officeDocument/2006/relationships/image" Target="media/image24.wmf"/><Relationship Id="rId61" Type="http://schemas.openxmlformats.org/officeDocument/2006/relationships/footer" Target="footer4.xml"/><Relationship Id="rId10" Type="http://schemas.openxmlformats.org/officeDocument/2006/relationships/footer" Target="footer2.xml"/><Relationship Id="rId19" Type="http://schemas.openxmlformats.org/officeDocument/2006/relationships/diagramLayout" Target="diagrams/layout2.xml"/><Relationship Id="rId31" Type="http://schemas.openxmlformats.org/officeDocument/2006/relationships/image" Target="media/image9.wmf"/><Relationship Id="rId44" Type="http://schemas.openxmlformats.org/officeDocument/2006/relationships/image" Target="media/image22.wmf"/><Relationship Id="rId52" Type="http://schemas.openxmlformats.org/officeDocument/2006/relationships/hyperlink" Target="http://www.humanservices.gov.au/customer/services/centrelink/carer-payment" TargetMode="External"/><Relationship Id="rId60" Type="http://schemas.openxmlformats.org/officeDocument/2006/relationships/header" Target="header2.xml"/><Relationship Id="rId65" Type="http://schemas.openxmlformats.org/officeDocument/2006/relationships/header" Target="header5.xml"/><Relationship Id="rId73" Type="http://schemas.openxmlformats.org/officeDocument/2006/relationships/hyperlink" Target="http://pbs.gov.au/html/healthpro/publication/lis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hyperlink" Target="http://www.humanservices.gov.au/customer/services/centrelink/youth-allowance" TargetMode="External"/><Relationship Id="rId56" Type="http://schemas.openxmlformats.org/officeDocument/2006/relationships/hyperlink" Target="http://www.humanservices.gov.au/customer/services/centrelink/carer-allowance" TargetMode="External"/><Relationship Id="rId64" Type="http://schemas.openxmlformats.org/officeDocument/2006/relationships/header" Target="header4.xml"/><Relationship Id="rId69" Type="http://schemas.openxmlformats.org/officeDocument/2006/relationships/diagramQuickStyle" Target="diagrams/quickStyle3.xml"/><Relationship Id="rId8" Type="http://schemas.openxmlformats.org/officeDocument/2006/relationships/endnotes" Target="endnotes.xml"/><Relationship Id="rId51" Type="http://schemas.openxmlformats.org/officeDocument/2006/relationships/hyperlink" Target="http://www.humanservices.gov.au/customer/services/centrelink/special-benefit" TargetMode="External"/><Relationship Id="rId72"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footer" Target="footer3.xml"/><Relationship Id="rId17" Type="http://schemas.microsoft.com/office/2007/relationships/diagramDrawing" Target="diagrams/drawing1.xm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hyperlink" Target="http://www.humanservices.gov.au/customer/services/centrelink/newstart-allowance" TargetMode="External"/><Relationship Id="rId59" Type="http://schemas.openxmlformats.org/officeDocument/2006/relationships/image" Target="media/image26.wmf"/><Relationship Id="rId67" Type="http://schemas.openxmlformats.org/officeDocument/2006/relationships/diagramData" Target="diagrams/data3.xml"/><Relationship Id="rId20" Type="http://schemas.openxmlformats.org/officeDocument/2006/relationships/diagramQuickStyle" Target="diagrams/quickStyle2.xml"/><Relationship Id="rId41" Type="http://schemas.openxmlformats.org/officeDocument/2006/relationships/image" Target="media/image19.wmf"/><Relationship Id="rId54" Type="http://schemas.openxmlformats.org/officeDocument/2006/relationships/hyperlink" Target="http://www.humanservices.gov.au/customer/services/centrelink/mobility-allowance" TargetMode="External"/><Relationship Id="rId62" Type="http://schemas.openxmlformats.org/officeDocument/2006/relationships/header" Target="header3.xml"/><Relationship Id="rId70" Type="http://schemas.openxmlformats.org/officeDocument/2006/relationships/diagramColors" Target="diagrams/colors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cfses.com/documents/pharma/36-Trends_Outcomes_PBS_Sweeny.pdf" TargetMode="External"/><Relationship Id="rId2" Type="http://schemas.openxmlformats.org/officeDocument/2006/relationships/hyperlink" Target="http://parlinfo.aph.gov.au/parlInfo/search/display/display.w3p;query=Title%3Anational%20Title%3Ahealth%20Title%3Aamendment%20Database%3Achamber%20Title%3A%22second%20reading%22%3F%20%20Context_Phrase%3Abill%3F%20Speaker%3A%3F%20Date%3A01%2F05%2F2010%20%3E%3E%2030%2F11%2F2010%20Speaker_Phrase%3A%22roxon,%20nicola,%20mp%22;rec=1;resCount=Default" TargetMode="External"/><Relationship Id="rId1" Type="http://schemas.openxmlformats.org/officeDocument/2006/relationships/hyperlink" Target="http://www.comlaw.gov.au/Details/C2012C00607" TargetMode="External"/></Relationships>
</file>

<file path=word/diagrams/colors1.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082C93-8CA8-43DB-A1EB-15DC53FBCD6D}" type="doc">
      <dgm:prSet loTypeId="urn:microsoft.com/office/officeart/2005/8/layout/radial4" loCatId="relationship" qsTypeId="urn:microsoft.com/office/officeart/2005/8/quickstyle/simple1#2" qsCatId="simple" csTypeId="urn:microsoft.com/office/officeart/2005/8/colors/accent1_2#2" csCatId="accent1" phldr="1"/>
      <dgm:spPr/>
      <dgm:t>
        <a:bodyPr/>
        <a:lstStyle/>
        <a:p>
          <a:endParaRPr lang="en-AU"/>
        </a:p>
      </dgm:t>
    </dgm:pt>
    <dgm:pt modelId="{6E8F116B-71B2-4473-A2A1-0C4C00299020}">
      <dgm:prSet phldrT="[Text]" custT="1"/>
      <dgm:spPr>
        <a:solidFill>
          <a:schemeClr val="tx2">
            <a:lumMod val="75000"/>
          </a:schemeClr>
        </a:solidFill>
      </dgm:spPr>
      <dgm:t>
        <a:bodyPr/>
        <a:lstStyle/>
        <a:p>
          <a:r>
            <a:rPr lang="en-AU" sz="1200">
              <a:latin typeface="Arial Narrow" pitchFamily="34" charset="0"/>
            </a:rPr>
            <a:t>Price</a:t>
          </a:r>
        </a:p>
        <a:p>
          <a:r>
            <a:rPr lang="en-AU" sz="1200">
              <a:latin typeface="Arial Narrow" pitchFamily="34" charset="0"/>
            </a:rPr>
            <a:t>drivers</a:t>
          </a:r>
        </a:p>
      </dgm:t>
    </dgm:pt>
    <dgm:pt modelId="{6208F1F1-A7CE-402B-9A51-8E20CECB327F}" type="parTrans" cxnId="{99A12ED8-7405-4C11-AF8C-4B58CF3EE075}">
      <dgm:prSet/>
      <dgm:spPr/>
      <dgm:t>
        <a:bodyPr/>
        <a:lstStyle/>
        <a:p>
          <a:endParaRPr lang="en-AU"/>
        </a:p>
      </dgm:t>
    </dgm:pt>
    <dgm:pt modelId="{27235A1F-F572-4E01-AA3D-85A6628F6771}" type="sibTrans" cxnId="{99A12ED8-7405-4C11-AF8C-4B58CF3EE075}">
      <dgm:prSet/>
      <dgm:spPr/>
      <dgm:t>
        <a:bodyPr/>
        <a:lstStyle/>
        <a:p>
          <a:endParaRPr lang="en-AU"/>
        </a:p>
      </dgm:t>
    </dgm:pt>
    <dgm:pt modelId="{F607E0C9-17B5-4EE9-B74F-34C95C56765C}">
      <dgm:prSet phldrT="[Text]" custT="1"/>
      <dgm:spPr>
        <a:solidFill>
          <a:schemeClr val="tx2">
            <a:lumMod val="75000"/>
          </a:schemeClr>
        </a:solidFill>
      </dgm:spPr>
      <dgm:t>
        <a:bodyPr/>
        <a:lstStyle/>
        <a:p>
          <a:r>
            <a:rPr lang="en-AU" sz="800">
              <a:latin typeface="Arial Narrow" pitchFamily="34" charset="0"/>
            </a:rPr>
            <a:t>General and concessional mix</a:t>
          </a:r>
        </a:p>
      </dgm:t>
    </dgm:pt>
    <dgm:pt modelId="{DD6E08E3-9364-49A9-8762-7E0E1F162605}" type="parTrans" cxnId="{8A76D836-068F-465C-B519-F38F77CFCEA0}">
      <dgm:prSet/>
      <dgm:spPr/>
      <dgm:t>
        <a:bodyPr/>
        <a:lstStyle/>
        <a:p>
          <a:endParaRPr lang="en-AU"/>
        </a:p>
      </dgm:t>
    </dgm:pt>
    <dgm:pt modelId="{13FAF7DA-F74C-44EF-B13E-949350C9744F}" type="sibTrans" cxnId="{8A76D836-068F-465C-B519-F38F77CFCEA0}">
      <dgm:prSet/>
      <dgm:spPr/>
      <dgm:t>
        <a:bodyPr/>
        <a:lstStyle/>
        <a:p>
          <a:endParaRPr lang="en-AU"/>
        </a:p>
      </dgm:t>
    </dgm:pt>
    <dgm:pt modelId="{C978C91B-F977-4300-A746-FA3D53C942C3}">
      <dgm:prSet phldrT="[Text]" custT="1"/>
      <dgm:spPr>
        <a:solidFill>
          <a:schemeClr val="tx2">
            <a:lumMod val="75000"/>
          </a:schemeClr>
        </a:solidFill>
      </dgm:spPr>
      <dgm:t>
        <a:bodyPr/>
        <a:lstStyle/>
        <a:p>
          <a:r>
            <a:rPr lang="en-AU" sz="800">
              <a:latin typeface="Arial Narrow" pitchFamily="34" charset="0"/>
            </a:rPr>
            <a:t>Co-payment levels</a:t>
          </a:r>
        </a:p>
      </dgm:t>
    </dgm:pt>
    <dgm:pt modelId="{F4D7B697-AD98-4C9E-9106-1E5EEF1036BE}" type="parTrans" cxnId="{9F4F3984-8242-4B76-9D33-EFC8EACF6FEB}">
      <dgm:prSet/>
      <dgm:spPr/>
      <dgm:t>
        <a:bodyPr/>
        <a:lstStyle/>
        <a:p>
          <a:endParaRPr lang="en-AU"/>
        </a:p>
      </dgm:t>
    </dgm:pt>
    <dgm:pt modelId="{6390DBCC-34E5-49DA-B38A-7EBE5C29074C}" type="sibTrans" cxnId="{9F4F3984-8242-4B76-9D33-EFC8EACF6FEB}">
      <dgm:prSet/>
      <dgm:spPr/>
      <dgm:t>
        <a:bodyPr/>
        <a:lstStyle/>
        <a:p>
          <a:endParaRPr lang="en-AU"/>
        </a:p>
      </dgm:t>
    </dgm:pt>
    <dgm:pt modelId="{7048167D-B711-4262-A13A-8970197C91E4}">
      <dgm:prSet phldrT="[Text]" custT="1"/>
      <dgm:spPr>
        <a:solidFill>
          <a:schemeClr val="tx2">
            <a:lumMod val="75000"/>
          </a:schemeClr>
        </a:solidFill>
      </dgm:spPr>
      <dgm:t>
        <a:bodyPr/>
        <a:lstStyle/>
        <a:p>
          <a:r>
            <a:rPr lang="en-AU" sz="800">
              <a:latin typeface="Arial Narrow" pitchFamily="34" charset="0"/>
            </a:rPr>
            <a:t>Price cuts/</a:t>
          </a:r>
          <a:br>
            <a:rPr lang="en-AU" sz="800">
              <a:latin typeface="Arial Narrow" pitchFamily="34" charset="0"/>
            </a:rPr>
          </a:br>
          <a:r>
            <a:rPr lang="en-AU" sz="800">
              <a:latin typeface="Arial Narrow" pitchFamily="34" charset="0"/>
            </a:rPr>
            <a:t>increases</a:t>
          </a:r>
        </a:p>
      </dgm:t>
    </dgm:pt>
    <dgm:pt modelId="{67F2C8ED-455E-4132-AD7F-F69A5BCBB617}" type="parTrans" cxnId="{CD3E65B4-3E99-4CC3-95FE-F06C77E8890C}">
      <dgm:prSet/>
      <dgm:spPr/>
      <dgm:t>
        <a:bodyPr/>
        <a:lstStyle/>
        <a:p>
          <a:endParaRPr lang="en-AU"/>
        </a:p>
      </dgm:t>
    </dgm:pt>
    <dgm:pt modelId="{7A4AC570-11CC-4A77-A052-3FDD3B6AC7C1}" type="sibTrans" cxnId="{CD3E65B4-3E99-4CC3-95FE-F06C77E8890C}">
      <dgm:prSet/>
      <dgm:spPr/>
      <dgm:t>
        <a:bodyPr/>
        <a:lstStyle/>
        <a:p>
          <a:endParaRPr lang="en-AU"/>
        </a:p>
      </dgm:t>
    </dgm:pt>
    <dgm:pt modelId="{6A081875-F650-4F24-9023-AEE83266406A}">
      <dgm:prSet custT="1"/>
      <dgm:spPr>
        <a:solidFill>
          <a:schemeClr val="tx2">
            <a:lumMod val="75000"/>
          </a:schemeClr>
        </a:solidFill>
      </dgm:spPr>
      <dgm:t>
        <a:bodyPr/>
        <a:lstStyle/>
        <a:p>
          <a:r>
            <a:rPr lang="en-AU" sz="800">
              <a:latin typeface="Arial Narrow" pitchFamily="34" charset="0"/>
            </a:rPr>
            <a:t>Supply chain</a:t>
          </a:r>
        </a:p>
        <a:p>
          <a:r>
            <a:rPr lang="en-AU" sz="800">
              <a:latin typeface="Arial Narrow" pitchFamily="34" charset="0"/>
            </a:rPr>
            <a:t>remuneration</a:t>
          </a:r>
        </a:p>
      </dgm:t>
    </dgm:pt>
    <dgm:pt modelId="{DB606CA3-46DD-4BA1-96A7-FF2868E8440E}" type="parTrans" cxnId="{6723C0DB-F687-4AEB-B481-75ED75D1D41C}">
      <dgm:prSet/>
      <dgm:spPr/>
      <dgm:t>
        <a:bodyPr/>
        <a:lstStyle/>
        <a:p>
          <a:endParaRPr lang="en-AU"/>
        </a:p>
      </dgm:t>
    </dgm:pt>
    <dgm:pt modelId="{863DDED4-7930-4C1C-88E4-ACC977F3A4A6}" type="sibTrans" cxnId="{6723C0DB-F687-4AEB-B481-75ED75D1D41C}">
      <dgm:prSet/>
      <dgm:spPr/>
      <dgm:t>
        <a:bodyPr/>
        <a:lstStyle/>
        <a:p>
          <a:endParaRPr lang="en-AU"/>
        </a:p>
      </dgm:t>
    </dgm:pt>
    <dgm:pt modelId="{9172B822-C4B2-45B0-9E79-6B0914A14C83}">
      <dgm:prSet/>
      <dgm:spPr>
        <a:solidFill>
          <a:schemeClr val="tx2">
            <a:lumMod val="75000"/>
          </a:schemeClr>
        </a:solidFill>
      </dgm:spPr>
      <dgm:t>
        <a:bodyPr/>
        <a:lstStyle/>
        <a:p>
          <a:r>
            <a:rPr lang="en-AU">
              <a:latin typeface="Arial Narrow" pitchFamily="34" charset="0"/>
            </a:rPr>
            <a:t>Number of safety net cards issued</a:t>
          </a:r>
        </a:p>
      </dgm:t>
    </dgm:pt>
    <dgm:pt modelId="{D66B92BC-D2F6-4A19-9545-B1B4CD80D995}" type="parTrans" cxnId="{36162AC4-00F2-438F-B956-73E45D784661}">
      <dgm:prSet/>
      <dgm:spPr/>
      <dgm:t>
        <a:bodyPr/>
        <a:lstStyle/>
        <a:p>
          <a:endParaRPr lang="en-AU"/>
        </a:p>
      </dgm:t>
    </dgm:pt>
    <dgm:pt modelId="{E3DF112E-C146-4409-813B-4BE3B3297CA3}" type="sibTrans" cxnId="{36162AC4-00F2-438F-B956-73E45D784661}">
      <dgm:prSet/>
      <dgm:spPr/>
      <dgm:t>
        <a:bodyPr/>
        <a:lstStyle/>
        <a:p>
          <a:endParaRPr lang="en-AU"/>
        </a:p>
      </dgm:t>
    </dgm:pt>
    <dgm:pt modelId="{F5AA5B07-3BC9-4A13-B2E6-421601D97F0B}">
      <dgm:prSet/>
      <dgm:spPr>
        <a:solidFill>
          <a:schemeClr val="tx2">
            <a:lumMod val="75000"/>
          </a:schemeClr>
        </a:solidFill>
      </dgm:spPr>
      <dgm:t>
        <a:bodyPr/>
        <a:lstStyle/>
        <a:p>
          <a:r>
            <a:rPr lang="en-AU">
              <a:latin typeface="Arial Narrow" pitchFamily="34" charset="0"/>
            </a:rPr>
            <a:t>PBPA price changes</a:t>
          </a:r>
        </a:p>
      </dgm:t>
    </dgm:pt>
    <dgm:pt modelId="{EF7E5794-7A15-4C82-B77D-6B4A9A711DF1}" type="parTrans" cxnId="{1A2B7279-9CA1-40AB-A627-9F9477F2C57B}">
      <dgm:prSet/>
      <dgm:spPr/>
      <dgm:t>
        <a:bodyPr/>
        <a:lstStyle/>
        <a:p>
          <a:endParaRPr lang="en-AU"/>
        </a:p>
      </dgm:t>
      <dgm:extLst>
        <a:ext uri="{E40237B7-FDA0-4F09-8148-C483321AD2D9}">
          <dgm14:cNvPr xmlns:dgm14="http://schemas.microsoft.com/office/drawing/2010/diagram" id="0" name="" descr="Factors affecting the price government pays for PBS prescriptions - price drivers" title="Figure A: Price Drivers"/>
        </a:ext>
      </dgm:extLst>
    </dgm:pt>
    <dgm:pt modelId="{037D6835-0FEC-4429-A5CA-55AFFE6FC17A}" type="sibTrans" cxnId="{1A2B7279-9CA1-40AB-A627-9F9477F2C57B}">
      <dgm:prSet/>
      <dgm:spPr/>
      <dgm:t>
        <a:bodyPr/>
        <a:lstStyle/>
        <a:p>
          <a:endParaRPr lang="en-AU"/>
        </a:p>
      </dgm:t>
    </dgm:pt>
    <dgm:pt modelId="{9E2C0333-9791-4E52-B7DC-4A6D0E99EF07}">
      <dgm:prSet/>
      <dgm:spPr>
        <a:solidFill>
          <a:schemeClr val="tx2">
            <a:lumMod val="75000"/>
          </a:schemeClr>
        </a:solidFill>
      </dgm:spPr>
      <dgm:t>
        <a:bodyPr/>
        <a:lstStyle/>
        <a:p>
          <a:r>
            <a:rPr lang="en-AU">
              <a:latin typeface="Arial Narrow" pitchFamily="34" charset="0"/>
            </a:rPr>
            <a:t>PBS Reforms</a:t>
          </a:r>
        </a:p>
      </dgm:t>
    </dgm:pt>
    <dgm:pt modelId="{FEA780C2-4EBA-4C35-9E6C-DB60082DDD8E}" type="parTrans" cxnId="{B531E584-418C-46A6-A134-9929BD6C7FB5}">
      <dgm:prSet/>
      <dgm:spPr/>
      <dgm:t>
        <a:bodyPr/>
        <a:lstStyle/>
        <a:p>
          <a:endParaRPr lang="en-AU"/>
        </a:p>
      </dgm:t>
    </dgm:pt>
    <dgm:pt modelId="{4C2DDFFC-117A-4951-926F-8152A28F9A58}" type="sibTrans" cxnId="{B531E584-418C-46A6-A134-9929BD6C7FB5}">
      <dgm:prSet/>
      <dgm:spPr/>
      <dgm:t>
        <a:bodyPr/>
        <a:lstStyle/>
        <a:p>
          <a:endParaRPr lang="en-AU"/>
        </a:p>
      </dgm:t>
    </dgm:pt>
    <dgm:pt modelId="{D2795F66-3165-42D8-871B-92622B9807D0}">
      <dgm:prSet/>
      <dgm:spPr>
        <a:solidFill>
          <a:schemeClr val="tx2">
            <a:lumMod val="75000"/>
          </a:schemeClr>
        </a:solidFill>
      </dgm:spPr>
      <dgm:t>
        <a:bodyPr/>
        <a:lstStyle/>
        <a:p>
          <a:r>
            <a:rPr lang="en-AU">
              <a:latin typeface="Arial Narrow" pitchFamily="34" charset="0"/>
            </a:rPr>
            <a:t>WAMTC price changes</a:t>
          </a:r>
        </a:p>
      </dgm:t>
    </dgm:pt>
    <dgm:pt modelId="{F61AAFF4-970B-4E4C-89EE-95B39853720F}" type="parTrans" cxnId="{7F7B0BD4-ADD6-415C-B8D4-58879F6E8A4F}">
      <dgm:prSet/>
      <dgm:spPr/>
      <dgm:t>
        <a:bodyPr/>
        <a:lstStyle/>
        <a:p>
          <a:endParaRPr lang="en-AU"/>
        </a:p>
      </dgm:t>
    </dgm:pt>
    <dgm:pt modelId="{342FD347-6CF2-41A8-A47B-3D00724133F8}" type="sibTrans" cxnId="{7F7B0BD4-ADD6-415C-B8D4-58879F6E8A4F}">
      <dgm:prSet/>
      <dgm:spPr/>
      <dgm:t>
        <a:bodyPr/>
        <a:lstStyle/>
        <a:p>
          <a:endParaRPr lang="en-AU"/>
        </a:p>
      </dgm:t>
    </dgm:pt>
    <dgm:pt modelId="{110C1AFA-A7CF-44E0-B126-63DA9F5AE4DB}" type="pres">
      <dgm:prSet presAssocID="{79082C93-8CA8-43DB-A1EB-15DC53FBCD6D}" presName="cycle" presStyleCnt="0">
        <dgm:presLayoutVars>
          <dgm:chMax val="1"/>
          <dgm:dir/>
          <dgm:animLvl val="ctr"/>
          <dgm:resizeHandles val="exact"/>
        </dgm:presLayoutVars>
      </dgm:prSet>
      <dgm:spPr/>
      <dgm:t>
        <a:bodyPr/>
        <a:lstStyle/>
        <a:p>
          <a:endParaRPr lang="en-AU"/>
        </a:p>
      </dgm:t>
    </dgm:pt>
    <dgm:pt modelId="{653D1099-F0E8-4EFD-A47F-CB3E31719E7C}" type="pres">
      <dgm:prSet presAssocID="{6E8F116B-71B2-4473-A2A1-0C4C00299020}" presName="centerShape" presStyleLbl="node0" presStyleIdx="0" presStyleCnt="1"/>
      <dgm:spPr/>
      <dgm:t>
        <a:bodyPr/>
        <a:lstStyle/>
        <a:p>
          <a:endParaRPr lang="en-AU"/>
        </a:p>
      </dgm:t>
    </dgm:pt>
    <dgm:pt modelId="{F7227ECA-5586-4FCB-8CAB-1AD1719D580E}" type="pres">
      <dgm:prSet presAssocID="{DD6E08E3-9364-49A9-8762-7E0E1F162605}" presName="parTrans" presStyleLbl="bgSibTrans2D1" presStyleIdx="0" presStyleCnt="8"/>
      <dgm:spPr/>
      <dgm:t>
        <a:bodyPr/>
        <a:lstStyle/>
        <a:p>
          <a:endParaRPr lang="en-AU"/>
        </a:p>
      </dgm:t>
    </dgm:pt>
    <dgm:pt modelId="{49BE9B49-8F58-4B56-B378-BDEC1EDB516A}" type="pres">
      <dgm:prSet presAssocID="{F607E0C9-17B5-4EE9-B74F-34C95C56765C}" presName="node" presStyleLbl="node1" presStyleIdx="0" presStyleCnt="8" custScaleX="117970" custScaleY="123496">
        <dgm:presLayoutVars>
          <dgm:bulletEnabled val="1"/>
        </dgm:presLayoutVars>
      </dgm:prSet>
      <dgm:spPr/>
      <dgm:t>
        <a:bodyPr/>
        <a:lstStyle/>
        <a:p>
          <a:endParaRPr lang="en-AU"/>
        </a:p>
      </dgm:t>
    </dgm:pt>
    <dgm:pt modelId="{76E7EDFC-FDAD-45B2-89B3-51725DE40DEB}" type="pres">
      <dgm:prSet presAssocID="{D66B92BC-D2F6-4A19-9545-B1B4CD80D995}" presName="parTrans" presStyleLbl="bgSibTrans2D1" presStyleIdx="1" presStyleCnt="8"/>
      <dgm:spPr/>
      <dgm:t>
        <a:bodyPr/>
        <a:lstStyle/>
        <a:p>
          <a:endParaRPr lang="en-AU"/>
        </a:p>
      </dgm:t>
    </dgm:pt>
    <dgm:pt modelId="{FD4A3B45-33C4-4480-A6EF-CC3B13826940}" type="pres">
      <dgm:prSet presAssocID="{9172B822-C4B2-45B0-9E79-6B0914A14C83}" presName="node" presStyleLbl="node1" presStyleIdx="1" presStyleCnt="8" custScaleX="114263" custScaleY="138857">
        <dgm:presLayoutVars>
          <dgm:bulletEnabled val="1"/>
        </dgm:presLayoutVars>
      </dgm:prSet>
      <dgm:spPr/>
      <dgm:t>
        <a:bodyPr/>
        <a:lstStyle/>
        <a:p>
          <a:endParaRPr lang="en-AU"/>
        </a:p>
      </dgm:t>
    </dgm:pt>
    <dgm:pt modelId="{BDDBDF24-BBCB-49CE-BDBC-9DBD78DD8AD8}" type="pres">
      <dgm:prSet presAssocID="{DB606CA3-46DD-4BA1-96A7-FF2868E8440E}" presName="parTrans" presStyleLbl="bgSibTrans2D1" presStyleIdx="2" presStyleCnt="8"/>
      <dgm:spPr/>
      <dgm:t>
        <a:bodyPr/>
        <a:lstStyle/>
        <a:p>
          <a:endParaRPr lang="en-AU"/>
        </a:p>
      </dgm:t>
    </dgm:pt>
    <dgm:pt modelId="{8F0527EF-A460-4EE9-A7C7-52821DDE4832}" type="pres">
      <dgm:prSet presAssocID="{6A081875-F650-4F24-9023-AEE83266406A}" presName="node" presStyleLbl="node1" presStyleIdx="2" presStyleCnt="8" custScaleX="127933" custScaleY="97957" custRadScaleRad="108858" custRadScaleInc="-10660">
        <dgm:presLayoutVars>
          <dgm:bulletEnabled val="1"/>
        </dgm:presLayoutVars>
      </dgm:prSet>
      <dgm:spPr/>
      <dgm:t>
        <a:bodyPr/>
        <a:lstStyle/>
        <a:p>
          <a:endParaRPr lang="en-AU"/>
        </a:p>
      </dgm:t>
    </dgm:pt>
    <dgm:pt modelId="{5C48C70C-05C1-41BE-B03B-E8DBC136B9D2}" type="pres">
      <dgm:prSet presAssocID="{F4D7B697-AD98-4C9E-9106-1E5EEF1036BE}" presName="parTrans" presStyleLbl="bgSibTrans2D1" presStyleIdx="3" presStyleCnt="8"/>
      <dgm:spPr/>
      <dgm:t>
        <a:bodyPr/>
        <a:lstStyle/>
        <a:p>
          <a:endParaRPr lang="en-AU"/>
        </a:p>
      </dgm:t>
    </dgm:pt>
    <dgm:pt modelId="{5B957900-D4BD-4C71-870F-83648EA4429C}" type="pres">
      <dgm:prSet presAssocID="{C978C91B-F977-4300-A746-FA3D53C942C3}" presName="node" presStyleLbl="node1" presStyleIdx="3" presStyleCnt="8" custScaleX="122412">
        <dgm:presLayoutVars>
          <dgm:bulletEnabled val="1"/>
        </dgm:presLayoutVars>
      </dgm:prSet>
      <dgm:spPr/>
      <dgm:t>
        <a:bodyPr/>
        <a:lstStyle/>
        <a:p>
          <a:endParaRPr lang="en-AU"/>
        </a:p>
      </dgm:t>
    </dgm:pt>
    <dgm:pt modelId="{6DEDCAAE-6869-4DC8-902D-DBD97644343B}" type="pres">
      <dgm:prSet presAssocID="{67F2C8ED-455E-4132-AD7F-F69A5BCBB617}" presName="parTrans" presStyleLbl="bgSibTrans2D1" presStyleIdx="4" presStyleCnt="8"/>
      <dgm:spPr/>
      <dgm:t>
        <a:bodyPr/>
        <a:lstStyle/>
        <a:p>
          <a:endParaRPr lang="en-AU"/>
        </a:p>
      </dgm:t>
    </dgm:pt>
    <dgm:pt modelId="{E5A79851-92FB-4C4B-BDE7-2778859BD142}" type="pres">
      <dgm:prSet presAssocID="{7048167D-B711-4262-A13A-8970197C91E4}" presName="node" presStyleLbl="node1" presStyleIdx="4" presStyleCnt="8">
        <dgm:presLayoutVars>
          <dgm:bulletEnabled val="1"/>
        </dgm:presLayoutVars>
      </dgm:prSet>
      <dgm:spPr/>
      <dgm:t>
        <a:bodyPr/>
        <a:lstStyle/>
        <a:p>
          <a:endParaRPr lang="en-AU"/>
        </a:p>
      </dgm:t>
    </dgm:pt>
    <dgm:pt modelId="{D1DC5EB3-D515-409A-88D3-4C43FC5DD7BA}" type="pres">
      <dgm:prSet presAssocID="{FEA780C2-4EBA-4C35-9E6C-DB60082DDD8E}" presName="parTrans" presStyleLbl="bgSibTrans2D1" presStyleIdx="5" presStyleCnt="8"/>
      <dgm:spPr/>
      <dgm:t>
        <a:bodyPr/>
        <a:lstStyle/>
        <a:p>
          <a:endParaRPr lang="en-AU"/>
        </a:p>
      </dgm:t>
    </dgm:pt>
    <dgm:pt modelId="{947BFA9C-81B2-4B7D-8A9D-B6A4502A62F1}" type="pres">
      <dgm:prSet presAssocID="{9E2C0333-9791-4E52-B7DC-4A6D0E99EF07}" presName="node" presStyleLbl="node1" presStyleIdx="5" presStyleCnt="8">
        <dgm:presLayoutVars>
          <dgm:bulletEnabled val="1"/>
        </dgm:presLayoutVars>
      </dgm:prSet>
      <dgm:spPr/>
      <dgm:t>
        <a:bodyPr/>
        <a:lstStyle/>
        <a:p>
          <a:endParaRPr lang="en-AU"/>
        </a:p>
      </dgm:t>
    </dgm:pt>
    <dgm:pt modelId="{44E3AA3D-7AC9-46E1-B53C-9CBA56990AFE}" type="pres">
      <dgm:prSet presAssocID="{EF7E5794-7A15-4C82-B77D-6B4A9A711DF1}" presName="parTrans" presStyleLbl="bgSibTrans2D1" presStyleIdx="6" presStyleCnt="8"/>
      <dgm:spPr/>
      <dgm:t>
        <a:bodyPr/>
        <a:lstStyle/>
        <a:p>
          <a:endParaRPr lang="en-AU"/>
        </a:p>
      </dgm:t>
    </dgm:pt>
    <dgm:pt modelId="{7963F223-738E-493F-B870-8A63C067DCDE}" type="pres">
      <dgm:prSet presAssocID="{F5AA5B07-3BC9-4A13-B2E6-421601D97F0B}" presName="node" presStyleLbl="node1" presStyleIdx="6" presStyleCnt="8">
        <dgm:presLayoutVars>
          <dgm:bulletEnabled val="1"/>
        </dgm:presLayoutVars>
      </dgm:prSet>
      <dgm:spPr/>
      <dgm:t>
        <a:bodyPr/>
        <a:lstStyle/>
        <a:p>
          <a:endParaRPr lang="en-AU"/>
        </a:p>
      </dgm:t>
    </dgm:pt>
    <dgm:pt modelId="{24977DD1-929B-400A-8AD1-38DCA80BFF8C}" type="pres">
      <dgm:prSet presAssocID="{F61AAFF4-970B-4E4C-89EE-95B39853720F}" presName="parTrans" presStyleLbl="bgSibTrans2D1" presStyleIdx="7" presStyleCnt="8"/>
      <dgm:spPr/>
      <dgm:t>
        <a:bodyPr/>
        <a:lstStyle/>
        <a:p>
          <a:endParaRPr lang="en-AU"/>
        </a:p>
      </dgm:t>
    </dgm:pt>
    <dgm:pt modelId="{B19C7C95-0B1B-45BE-B571-2965EDF52E3C}" type="pres">
      <dgm:prSet presAssocID="{D2795F66-3165-42D8-871B-92622B9807D0}" presName="node" presStyleLbl="node1" presStyleIdx="7" presStyleCnt="8">
        <dgm:presLayoutVars>
          <dgm:bulletEnabled val="1"/>
        </dgm:presLayoutVars>
      </dgm:prSet>
      <dgm:spPr/>
      <dgm:t>
        <a:bodyPr/>
        <a:lstStyle/>
        <a:p>
          <a:endParaRPr lang="en-AU"/>
        </a:p>
      </dgm:t>
    </dgm:pt>
  </dgm:ptLst>
  <dgm:cxnLst>
    <dgm:cxn modelId="{1FCD5AA4-9DC1-487D-A77A-83BF4EDCF03C}" type="presOf" srcId="{9172B822-C4B2-45B0-9E79-6B0914A14C83}" destId="{FD4A3B45-33C4-4480-A6EF-CC3B13826940}" srcOrd="0" destOrd="0" presId="urn:microsoft.com/office/officeart/2005/8/layout/radial4"/>
    <dgm:cxn modelId="{3CE0AC3A-C84A-4154-8CB2-417CDDE84FCD}" type="presOf" srcId="{F5AA5B07-3BC9-4A13-B2E6-421601D97F0B}" destId="{7963F223-738E-493F-B870-8A63C067DCDE}" srcOrd="0" destOrd="0" presId="urn:microsoft.com/office/officeart/2005/8/layout/radial4"/>
    <dgm:cxn modelId="{38AC4D2F-FD21-4A96-9F17-5FF9C8D3B4A7}" type="presOf" srcId="{F607E0C9-17B5-4EE9-B74F-34C95C56765C}" destId="{49BE9B49-8F58-4B56-B378-BDEC1EDB516A}" srcOrd="0" destOrd="0" presId="urn:microsoft.com/office/officeart/2005/8/layout/radial4"/>
    <dgm:cxn modelId="{A92D12AC-6751-401A-8FEA-1F94D6094BEE}" type="presOf" srcId="{DD6E08E3-9364-49A9-8762-7E0E1F162605}" destId="{F7227ECA-5586-4FCB-8CAB-1AD1719D580E}" srcOrd="0" destOrd="0" presId="urn:microsoft.com/office/officeart/2005/8/layout/radial4"/>
    <dgm:cxn modelId="{9F4F3984-8242-4B76-9D33-EFC8EACF6FEB}" srcId="{6E8F116B-71B2-4473-A2A1-0C4C00299020}" destId="{C978C91B-F977-4300-A746-FA3D53C942C3}" srcOrd="3" destOrd="0" parTransId="{F4D7B697-AD98-4C9E-9106-1E5EEF1036BE}" sibTransId="{6390DBCC-34E5-49DA-B38A-7EBE5C29074C}"/>
    <dgm:cxn modelId="{73E0C75A-0A94-4743-952B-67AB9654D7CC}" type="presOf" srcId="{EF7E5794-7A15-4C82-B77D-6B4A9A711DF1}" destId="{44E3AA3D-7AC9-46E1-B53C-9CBA56990AFE}" srcOrd="0" destOrd="0" presId="urn:microsoft.com/office/officeart/2005/8/layout/radial4"/>
    <dgm:cxn modelId="{87A2D674-A6B5-4E00-9505-9A8E0FB870D1}" type="presOf" srcId="{6A081875-F650-4F24-9023-AEE83266406A}" destId="{8F0527EF-A460-4EE9-A7C7-52821DDE4832}" srcOrd="0" destOrd="0" presId="urn:microsoft.com/office/officeart/2005/8/layout/radial4"/>
    <dgm:cxn modelId="{1D89248B-D9F9-4347-BCAB-419B32BDB4A3}" type="presOf" srcId="{7048167D-B711-4262-A13A-8970197C91E4}" destId="{E5A79851-92FB-4C4B-BDE7-2778859BD142}" srcOrd="0" destOrd="0" presId="urn:microsoft.com/office/officeart/2005/8/layout/radial4"/>
    <dgm:cxn modelId="{8A76D836-068F-465C-B519-F38F77CFCEA0}" srcId="{6E8F116B-71B2-4473-A2A1-0C4C00299020}" destId="{F607E0C9-17B5-4EE9-B74F-34C95C56765C}" srcOrd="0" destOrd="0" parTransId="{DD6E08E3-9364-49A9-8762-7E0E1F162605}" sibTransId="{13FAF7DA-F74C-44EF-B13E-949350C9744F}"/>
    <dgm:cxn modelId="{99A12ED8-7405-4C11-AF8C-4B58CF3EE075}" srcId="{79082C93-8CA8-43DB-A1EB-15DC53FBCD6D}" destId="{6E8F116B-71B2-4473-A2A1-0C4C00299020}" srcOrd="0" destOrd="0" parTransId="{6208F1F1-A7CE-402B-9A51-8E20CECB327F}" sibTransId="{27235A1F-F572-4E01-AA3D-85A6628F6771}"/>
    <dgm:cxn modelId="{DCCBC834-904A-4896-9889-E7A3DF4833E8}" type="presOf" srcId="{D2795F66-3165-42D8-871B-92622B9807D0}" destId="{B19C7C95-0B1B-45BE-B571-2965EDF52E3C}" srcOrd="0" destOrd="0" presId="urn:microsoft.com/office/officeart/2005/8/layout/radial4"/>
    <dgm:cxn modelId="{8091760E-8AF7-4A59-AEB7-1E2BDB8532A1}" type="presOf" srcId="{9E2C0333-9791-4E52-B7DC-4A6D0E99EF07}" destId="{947BFA9C-81B2-4B7D-8A9D-B6A4502A62F1}" srcOrd="0" destOrd="0" presId="urn:microsoft.com/office/officeart/2005/8/layout/radial4"/>
    <dgm:cxn modelId="{C90E3DC4-4973-43A2-8341-5F6D1BFC6264}" type="presOf" srcId="{FEA780C2-4EBA-4C35-9E6C-DB60082DDD8E}" destId="{D1DC5EB3-D515-409A-88D3-4C43FC5DD7BA}" srcOrd="0" destOrd="0" presId="urn:microsoft.com/office/officeart/2005/8/layout/radial4"/>
    <dgm:cxn modelId="{E969C309-52AD-4FC3-BF2A-9ABC1AF61D2A}" type="presOf" srcId="{D66B92BC-D2F6-4A19-9545-B1B4CD80D995}" destId="{76E7EDFC-FDAD-45B2-89B3-51725DE40DEB}" srcOrd="0" destOrd="0" presId="urn:microsoft.com/office/officeart/2005/8/layout/radial4"/>
    <dgm:cxn modelId="{36162AC4-00F2-438F-B956-73E45D784661}" srcId="{6E8F116B-71B2-4473-A2A1-0C4C00299020}" destId="{9172B822-C4B2-45B0-9E79-6B0914A14C83}" srcOrd="1" destOrd="0" parTransId="{D66B92BC-D2F6-4A19-9545-B1B4CD80D995}" sibTransId="{E3DF112E-C146-4409-813B-4BE3B3297CA3}"/>
    <dgm:cxn modelId="{CD3E65B4-3E99-4CC3-95FE-F06C77E8890C}" srcId="{6E8F116B-71B2-4473-A2A1-0C4C00299020}" destId="{7048167D-B711-4262-A13A-8970197C91E4}" srcOrd="4" destOrd="0" parTransId="{67F2C8ED-455E-4132-AD7F-F69A5BCBB617}" sibTransId="{7A4AC570-11CC-4A77-A052-3FDD3B6AC7C1}"/>
    <dgm:cxn modelId="{E04DA800-FC1F-4F3E-8529-FEC97315505C}" type="presOf" srcId="{DB606CA3-46DD-4BA1-96A7-FF2868E8440E}" destId="{BDDBDF24-BBCB-49CE-BDBC-9DBD78DD8AD8}" srcOrd="0" destOrd="0" presId="urn:microsoft.com/office/officeart/2005/8/layout/radial4"/>
    <dgm:cxn modelId="{B531E584-418C-46A6-A134-9929BD6C7FB5}" srcId="{6E8F116B-71B2-4473-A2A1-0C4C00299020}" destId="{9E2C0333-9791-4E52-B7DC-4A6D0E99EF07}" srcOrd="5" destOrd="0" parTransId="{FEA780C2-4EBA-4C35-9E6C-DB60082DDD8E}" sibTransId="{4C2DDFFC-117A-4951-926F-8152A28F9A58}"/>
    <dgm:cxn modelId="{6723C0DB-F687-4AEB-B481-75ED75D1D41C}" srcId="{6E8F116B-71B2-4473-A2A1-0C4C00299020}" destId="{6A081875-F650-4F24-9023-AEE83266406A}" srcOrd="2" destOrd="0" parTransId="{DB606CA3-46DD-4BA1-96A7-FF2868E8440E}" sibTransId="{863DDED4-7930-4C1C-88E4-ACC977F3A4A6}"/>
    <dgm:cxn modelId="{33E4551D-6E26-4A6D-9F3E-2AE40E9C4B97}" type="presOf" srcId="{79082C93-8CA8-43DB-A1EB-15DC53FBCD6D}" destId="{110C1AFA-A7CF-44E0-B126-63DA9F5AE4DB}" srcOrd="0" destOrd="0" presId="urn:microsoft.com/office/officeart/2005/8/layout/radial4"/>
    <dgm:cxn modelId="{5F6A982C-6291-43B8-AE1E-D3D8D16ADEBC}" type="presOf" srcId="{C978C91B-F977-4300-A746-FA3D53C942C3}" destId="{5B957900-D4BD-4C71-870F-83648EA4429C}" srcOrd="0" destOrd="0" presId="urn:microsoft.com/office/officeart/2005/8/layout/radial4"/>
    <dgm:cxn modelId="{3DDD4ADF-5EAD-4998-BDAF-B25D672AD955}" type="presOf" srcId="{6E8F116B-71B2-4473-A2A1-0C4C00299020}" destId="{653D1099-F0E8-4EFD-A47F-CB3E31719E7C}" srcOrd="0" destOrd="0" presId="urn:microsoft.com/office/officeart/2005/8/layout/radial4"/>
    <dgm:cxn modelId="{F355DB38-3C74-46D5-8A01-A5EE94FC1848}" type="presOf" srcId="{67F2C8ED-455E-4132-AD7F-F69A5BCBB617}" destId="{6DEDCAAE-6869-4DC8-902D-DBD97644343B}" srcOrd="0" destOrd="0" presId="urn:microsoft.com/office/officeart/2005/8/layout/radial4"/>
    <dgm:cxn modelId="{4E981282-F1E9-4C4E-AB92-EF6F61C501A1}" type="presOf" srcId="{F4D7B697-AD98-4C9E-9106-1E5EEF1036BE}" destId="{5C48C70C-05C1-41BE-B03B-E8DBC136B9D2}" srcOrd="0" destOrd="0" presId="urn:microsoft.com/office/officeart/2005/8/layout/radial4"/>
    <dgm:cxn modelId="{1A2B7279-9CA1-40AB-A627-9F9477F2C57B}" srcId="{6E8F116B-71B2-4473-A2A1-0C4C00299020}" destId="{F5AA5B07-3BC9-4A13-B2E6-421601D97F0B}" srcOrd="6" destOrd="0" parTransId="{EF7E5794-7A15-4C82-B77D-6B4A9A711DF1}" sibTransId="{037D6835-0FEC-4429-A5CA-55AFFE6FC17A}"/>
    <dgm:cxn modelId="{7F7B0BD4-ADD6-415C-B8D4-58879F6E8A4F}" srcId="{6E8F116B-71B2-4473-A2A1-0C4C00299020}" destId="{D2795F66-3165-42D8-871B-92622B9807D0}" srcOrd="7" destOrd="0" parTransId="{F61AAFF4-970B-4E4C-89EE-95B39853720F}" sibTransId="{342FD347-6CF2-41A8-A47B-3D00724133F8}"/>
    <dgm:cxn modelId="{CE4E6FB7-9EC1-4F2C-8D07-F277C94BD63A}" type="presOf" srcId="{F61AAFF4-970B-4E4C-89EE-95B39853720F}" destId="{24977DD1-929B-400A-8AD1-38DCA80BFF8C}" srcOrd="0" destOrd="0" presId="urn:microsoft.com/office/officeart/2005/8/layout/radial4"/>
    <dgm:cxn modelId="{C4E6C3EF-2281-4617-A451-F85E06E97837}" type="presParOf" srcId="{110C1AFA-A7CF-44E0-B126-63DA9F5AE4DB}" destId="{653D1099-F0E8-4EFD-A47F-CB3E31719E7C}" srcOrd="0" destOrd="0" presId="urn:microsoft.com/office/officeart/2005/8/layout/radial4"/>
    <dgm:cxn modelId="{77D1634D-C690-4E00-A670-77227A87BD26}" type="presParOf" srcId="{110C1AFA-A7CF-44E0-B126-63DA9F5AE4DB}" destId="{F7227ECA-5586-4FCB-8CAB-1AD1719D580E}" srcOrd="1" destOrd="0" presId="urn:microsoft.com/office/officeart/2005/8/layout/radial4"/>
    <dgm:cxn modelId="{F662D715-2D54-43D0-98A8-A7D6C490806F}" type="presParOf" srcId="{110C1AFA-A7CF-44E0-B126-63DA9F5AE4DB}" destId="{49BE9B49-8F58-4B56-B378-BDEC1EDB516A}" srcOrd="2" destOrd="0" presId="urn:microsoft.com/office/officeart/2005/8/layout/radial4"/>
    <dgm:cxn modelId="{FAD423E2-3A9E-47B9-8533-B47C01EEC5B5}" type="presParOf" srcId="{110C1AFA-A7CF-44E0-B126-63DA9F5AE4DB}" destId="{76E7EDFC-FDAD-45B2-89B3-51725DE40DEB}" srcOrd="3" destOrd="0" presId="urn:microsoft.com/office/officeart/2005/8/layout/radial4"/>
    <dgm:cxn modelId="{014F3BE5-FFE5-4CE5-832C-06C49CB56A79}" type="presParOf" srcId="{110C1AFA-A7CF-44E0-B126-63DA9F5AE4DB}" destId="{FD4A3B45-33C4-4480-A6EF-CC3B13826940}" srcOrd="4" destOrd="0" presId="urn:microsoft.com/office/officeart/2005/8/layout/radial4"/>
    <dgm:cxn modelId="{CC78B059-90DD-46BB-A125-7022B6344098}" type="presParOf" srcId="{110C1AFA-A7CF-44E0-B126-63DA9F5AE4DB}" destId="{BDDBDF24-BBCB-49CE-BDBC-9DBD78DD8AD8}" srcOrd="5" destOrd="0" presId="urn:microsoft.com/office/officeart/2005/8/layout/radial4"/>
    <dgm:cxn modelId="{7BA4F5C3-0249-483D-8D38-8C4CA2827E11}" type="presParOf" srcId="{110C1AFA-A7CF-44E0-B126-63DA9F5AE4DB}" destId="{8F0527EF-A460-4EE9-A7C7-52821DDE4832}" srcOrd="6" destOrd="0" presId="urn:microsoft.com/office/officeart/2005/8/layout/radial4"/>
    <dgm:cxn modelId="{F21D532C-1303-4329-AA39-1D85E17C2892}" type="presParOf" srcId="{110C1AFA-A7CF-44E0-B126-63DA9F5AE4DB}" destId="{5C48C70C-05C1-41BE-B03B-E8DBC136B9D2}" srcOrd="7" destOrd="0" presId="urn:microsoft.com/office/officeart/2005/8/layout/radial4"/>
    <dgm:cxn modelId="{B6775E6A-1A1A-49B1-AAE4-F4E9343E1CDE}" type="presParOf" srcId="{110C1AFA-A7CF-44E0-B126-63DA9F5AE4DB}" destId="{5B957900-D4BD-4C71-870F-83648EA4429C}" srcOrd="8" destOrd="0" presId="urn:microsoft.com/office/officeart/2005/8/layout/radial4"/>
    <dgm:cxn modelId="{CED353AC-AA8B-4503-9E6F-E4190C5F65D1}" type="presParOf" srcId="{110C1AFA-A7CF-44E0-B126-63DA9F5AE4DB}" destId="{6DEDCAAE-6869-4DC8-902D-DBD97644343B}" srcOrd="9" destOrd="0" presId="urn:microsoft.com/office/officeart/2005/8/layout/radial4"/>
    <dgm:cxn modelId="{9BC3E0E3-FD86-4FD6-873A-0D90124F18EF}" type="presParOf" srcId="{110C1AFA-A7CF-44E0-B126-63DA9F5AE4DB}" destId="{E5A79851-92FB-4C4B-BDE7-2778859BD142}" srcOrd="10" destOrd="0" presId="urn:microsoft.com/office/officeart/2005/8/layout/radial4"/>
    <dgm:cxn modelId="{DFDE14FE-D132-4225-B467-11E33D442E8F}" type="presParOf" srcId="{110C1AFA-A7CF-44E0-B126-63DA9F5AE4DB}" destId="{D1DC5EB3-D515-409A-88D3-4C43FC5DD7BA}" srcOrd="11" destOrd="0" presId="urn:microsoft.com/office/officeart/2005/8/layout/radial4"/>
    <dgm:cxn modelId="{A9B5D5A4-F579-4074-B3D5-DF91C3F3D019}" type="presParOf" srcId="{110C1AFA-A7CF-44E0-B126-63DA9F5AE4DB}" destId="{947BFA9C-81B2-4B7D-8A9D-B6A4502A62F1}" srcOrd="12" destOrd="0" presId="urn:microsoft.com/office/officeart/2005/8/layout/radial4"/>
    <dgm:cxn modelId="{525A71CF-F023-4063-8D52-1741905663A5}" type="presParOf" srcId="{110C1AFA-A7CF-44E0-B126-63DA9F5AE4DB}" destId="{44E3AA3D-7AC9-46E1-B53C-9CBA56990AFE}" srcOrd="13" destOrd="0" presId="urn:microsoft.com/office/officeart/2005/8/layout/radial4"/>
    <dgm:cxn modelId="{9E886C9F-0A8E-407D-87EA-E75F8C65B0B0}" type="presParOf" srcId="{110C1AFA-A7CF-44E0-B126-63DA9F5AE4DB}" destId="{7963F223-738E-493F-B870-8A63C067DCDE}" srcOrd="14" destOrd="0" presId="urn:microsoft.com/office/officeart/2005/8/layout/radial4"/>
    <dgm:cxn modelId="{1D47E5C2-94F7-4133-A25E-42E297C516FA}" type="presParOf" srcId="{110C1AFA-A7CF-44E0-B126-63DA9F5AE4DB}" destId="{24977DD1-929B-400A-8AD1-38DCA80BFF8C}" srcOrd="15" destOrd="0" presId="urn:microsoft.com/office/officeart/2005/8/layout/radial4"/>
    <dgm:cxn modelId="{08B2E5E1-EEFE-4338-A59D-21981788AE59}" type="presParOf" srcId="{110C1AFA-A7CF-44E0-B126-63DA9F5AE4DB}" destId="{B19C7C95-0B1B-45BE-B571-2965EDF52E3C}" srcOrd="16"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082C93-8CA8-43DB-A1EB-15DC53FBCD6D}" type="doc">
      <dgm:prSet loTypeId="urn:microsoft.com/office/officeart/2005/8/layout/radial4" loCatId="relationship" qsTypeId="urn:microsoft.com/office/officeart/2005/8/quickstyle/simple1#3" qsCatId="simple" csTypeId="urn:microsoft.com/office/officeart/2005/8/colors/accent1_2#3" csCatId="accent1" phldr="1"/>
      <dgm:spPr/>
      <dgm:t>
        <a:bodyPr/>
        <a:lstStyle/>
        <a:p>
          <a:endParaRPr lang="en-AU"/>
        </a:p>
      </dgm:t>
    </dgm:pt>
    <dgm:pt modelId="{6E8F116B-71B2-4473-A2A1-0C4C00299020}">
      <dgm:prSet phldrT="[Text]"/>
      <dgm:spPr>
        <a:solidFill>
          <a:schemeClr val="accent6">
            <a:lumMod val="50000"/>
          </a:schemeClr>
        </a:solidFill>
      </dgm:spPr>
      <dgm:t>
        <a:bodyPr/>
        <a:lstStyle/>
        <a:p>
          <a:r>
            <a:rPr lang="en-AU"/>
            <a:t>Volume</a:t>
          </a:r>
        </a:p>
        <a:p>
          <a:r>
            <a:rPr lang="en-AU"/>
            <a:t>drivers</a:t>
          </a:r>
        </a:p>
      </dgm:t>
    </dgm:pt>
    <dgm:pt modelId="{6208F1F1-A7CE-402B-9A51-8E20CECB327F}" type="parTrans" cxnId="{99A12ED8-7405-4C11-AF8C-4B58CF3EE075}">
      <dgm:prSet/>
      <dgm:spPr/>
      <dgm:t>
        <a:bodyPr/>
        <a:lstStyle/>
        <a:p>
          <a:endParaRPr lang="en-AU"/>
        </a:p>
      </dgm:t>
    </dgm:pt>
    <dgm:pt modelId="{27235A1F-F572-4E01-AA3D-85A6628F6771}" type="sibTrans" cxnId="{99A12ED8-7405-4C11-AF8C-4B58CF3EE075}">
      <dgm:prSet/>
      <dgm:spPr/>
      <dgm:t>
        <a:bodyPr/>
        <a:lstStyle/>
        <a:p>
          <a:endParaRPr lang="en-AU"/>
        </a:p>
      </dgm:t>
    </dgm:pt>
    <dgm:pt modelId="{F607E0C9-17B5-4EE9-B74F-34C95C56765C}">
      <dgm:prSet phldrT="[Text]"/>
      <dgm:spPr>
        <a:solidFill>
          <a:schemeClr val="accent6">
            <a:lumMod val="50000"/>
          </a:schemeClr>
        </a:solidFill>
      </dgm:spPr>
      <dgm:t>
        <a:bodyPr/>
        <a:lstStyle/>
        <a:p>
          <a:r>
            <a:rPr lang="en-AU">
              <a:latin typeface="Arial Narrow" pitchFamily="34" charset="0"/>
            </a:rPr>
            <a:t>Prescribing patterns</a:t>
          </a:r>
        </a:p>
      </dgm:t>
    </dgm:pt>
    <dgm:pt modelId="{DD6E08E3-9364-49A9-8762-7E0E1F162605}" type="parTrans" cxnId="{8A76D836-068F-465C-B519-F38F77CFCEA0}">
      <dgm:prSet/>
      <dgm:spPr/>
      <dgm:t>
        <a:bodyPr/>
        <a:lstStyle/>
        <a:p>
          <a:endParaRPr lang="en-AU"/>
        </a:p>
      </dgm:t>
    </dgm:pt>
    <dgm:pt modelId="{13FAF7DA-F74C-44EF-B13E-949350C9744F}" type="sibTrans" cxnId="{8A76D836-068F-465C-B519-F38F77CFCEA0}">
      <dgm:prSet/>
      <dgm:spPr/>
      <dgm:t>
        <a:bodyPr/>
        <a:lstStyle/>
        <a:p>
          <a:endParaRPr lang="en-AU"/>
        </a:p>
      </dgm:t>
    </dgm:pt>
    <dgm:pt modelId="{C978C91B-F977-4300-A746-FA3D53C942C3}">
      <dgm:prSet phldrT="[Text]"/>
      <dgm:spPr>
        <a:solidFill>
          <a:schemeClr val="accent6">
            <a:lumMod val="50000"/>
          </a:schemeClr>
        </a:solidFill>
      </dgm:spPr>
      <dgm:t>
        <a:bodyPr/>
        <a:lstStyle/>
        <a:p>
          <a:r>
            <a:rPr lang="en-AU">
              <a:latin typeface="Arial Narrow" pitchFamily="34" charset="0"/>
            </a:rPr>
            <a:t>Co-payment levels</a:t>
          </a:r>
        </a:p>
      </dgm:t>
    </dgm:pt>
    <dgm:pt modelId="{F4D7B697-AD98-4C9E-9106-1E5EEF1036BE}" type="parTrans" cxnId="{9F4F3984-8242-4B76-9D33-EFC8EACF6FEB}">
      <dgm:prSet/>
      <dgm:spPr/>
      <dgm:t>
        <a:bodyPr/>
        <a:lstStyle/>
        <a:p>
          <a:endParaRPr lang="en-AU"/>
        </a:p>
      </dgm:t>
    </dgm:pt>
    <dgm:pt modelId="{6390DBCC-34E5-49DA-B38A-7EBE5C29074C}" type="sibTrans" cxnId="{9F4F3984-8242-4B76-9D33-EFC8EACF6FEB}">
      <dgm:prSet/>
      <dgm:spPr/>
      <dgm:t>
        <a:bodyPr/>
        <a:lstStyle/>
        <a:p>
          <a:endParaRPr lang="en-AU"/>
        </a:p>
      </dgm:t>
    </dgm:pt>
    <dgm:pt modelId="{7048167D-B711-4262-A13A-8970197C91E4}">
      <dgm:prSet phldrT="[Text]"/>
      <dgm:spPr>
        <a:solidFill>
          <a:schemeClr val="accent6">
            <a:lumMod val="50000"/>
          </a:schemeClr>
        </a:solidFill>
      </dgm:spPr>
      <dgm:t>
        <a:bodyPr/>
        <a:lstStyle/>
        <a:p>
          <a:r>
            <a:rPr lang="en-AU">
              <a:latin typeface="Arial Narrow" pitchFamily="34" charset="0"/>
            </a:rPr>
            <a:t>Patient compliance</a:t>
          </a:r>
        </a:p>
      </dgm:t>
    </dgm:pt>
    <dgm:pt modelId="{67F2C8ED-455E-4132-AD7F-F69A5BCBB617}" type="parTrans" cxnId="{CD3E65B4-3E99-4CC3-95FE-F06C77E8890C}">
      <dgm:prSet/>
      <dgm:spPr/>
      <dgm:t>
        <a:bodyPr/>
        <a:lstStyle/>
        <a:p>
          <a:endParaRPr lang="en-AU"/>
        </a:p>
      </dgm:t>
    </dgm:pt>
    <dgm:pt modelId="{7A4AC570-11CC-4A77-A052-3FDD3B6AC7C1}" type="sibTrans" cxnId="{CD3E65B4-3E99-4CC3-95FE-F06C77E8890C}">
      <dgm:prSet/>
      <dgm:spPr/>
      <dgm:t>
        <a:bodyPr/>
        <a:lstStyle/>
        <a:p>
          <a:endParaRPr lang="en-AU"/>
        </a:p>
      </dgm:t>
    </dgm:pt>
    <dgm:pt modelId="{6A081875-F650-4F24-9023-AEE83266406A}">
      <dgm:prSet/>
      <dgm:spPr>
        <a:solidFill>
          <a:schemeClr val="accent6">
            <a:lumMod val="50000"/>
          </a:schemeClr>
        </a:solidFill>
      </dgm:spPr>
      <dgm:t>
        <a:bodyPr/>
        <a:lstStyle/>
        <a:p>
          <a:r>
            <a:rPr lang="en-AU">
              <a:latin typeface="Arial Narrow" pitchFamily="34" charset="0"/>
            </a:rPr>
            <a:t>Ageing population</a:t>
          </a:r>
        </a:p>
      </dgm:t>
    </dgm:pt>
    <dgm:pt modelId="{DB606CA3-46DD-4BA1-96A7-FF2868E8440E}" type="parTrans" cxnId="{6723C0DB-F687-4AEB-B481-75ED75D1D41C}">
      <dgm:prSet/>
      <dgm:spPr/>
      <dgm:t>
        <a:bodyPr/>
        <a:lstStyle/>
        <a:p>
          <a:endParaRPr lang="en-AU"/>
        </a:p>
      </dgm:t>
    </dgm:pt>
    <dgm:pt modelId="{863DDED4-7930-4C1C-88E4-ACC977F3A4A6}" type="sibTrans" cxnId="{6723C0DB-F687-4AEB-B481-75ED75D1D41C}">
      <dgm:prSet/>
      <dgm:spPr/>
      <dgm:t>
        <a:bodyPr/>
        <a:lstStyle/>
        <a:p>
          <a:endParaRPr lang="en-AU"/>
        </a:p>
      </dgm:t>
    </dgm:pt>
    <dgm:pt modelId="{9172B822-C4B2-45B0-9E79-6B0914A14C83}">
      <dgm:prSet/>
      <dgm:spPr>
        <a:solidFill>
          <a:schemeClr val="accent6">
            <a:lumMod val="50000"/>
          </a:schemeClr>
        </a:solidFill>
      </dgm:spPr>
      <dgm:t>
        <a:bodyPr/>
        <a:lstStyle/>
        <a:p>
          <a:r>
            <a:rPr lang="en-AU">
              <a:latin typeface="Arial Narrow" pitchFamily="34" charset="0"/>
            </a:rPr>
            <a:t>Disease prevelance</a:t>
          </a:r>
        </a:p>
      </dgm:t>
    </dgm:pt>
    <dgm:pt modelId="{D66B92BC-D2F6-4A19-9545-B1B4CD80D995}" type="parTrans" cxnId="{36162AC4-00F2-438F-B956-73E45D784661}">
      <dgm:prSet/>
      <dgm:spPr/>
      <dgm:t>
        <a:bodyPr/>
        <a:lstStyle/>
        <a:p>
          <a:endParaRPr lang="en-AU"/>
        </a:p>
      </dgm:t>
      <dgm:extLst>
        <a:ext uri="{E40237B7-FDA0-4F09-8148-C483321AD2D9}">
          <dgm14:cNvPr xmlns:dgm14="http://schemas.microsoft.com/office/drawing/2010/diagram" id="0" name="" descr="Figure A: Factors affecting the price government pays for PBS prescriptions - Volume Drivers" title="Figure B: "/>
        </a:ext>
      </dgm:extLst>
    </dgm:pt>
    <dgm:pt modelId="{E3DF112E-C146-4409-813B-4BE3B3297CA3}" type="sibTrans" cxnId="{36162AC4-00F2-438F-B956-73E45D784661}">
      <dgm:prSet/>
      <dgm:spPr/>
      <dgm:t>
        <a:bodyPr/>
        <a:lstStyle/>
        <a:p>
          <a:endParaRPr lang="en-AU"/>
        </a:p>
      </dgm:t>
    </dgm:pt>
    <dgm:pt modelId="{F21695A8-369F-408F-9319-97C6A4D1AEB0}">
      <dgm:prSet/>
      <dgm:spPr>
        <a:solidFill>
          <a:schemeClr val="accent6">
            <a:lumMod val="50000"/>
          </a:schemeClr>
        </a:solidFill>
      </dgm:spPr>
      <dgm:t>
        <a:bodyPr/>
        <a:lstStyle/>
        <a:p>
          <a:r>
            <a:rPr lang="en-AU">
              <a:latin typeface="Arial Narrow" pitchFamily="34" charset="0"/>
            </a:rPr>
            <a:t>Diagnosis rates</a:t>
          </a:r>
        </a:p>
      </dgm:t>
    </dgm:pt>
    <dgm:pt modelId="{F726C426-2F1A-4B64-83ED-0432633AC8FD}" type="parTrans" cxnId="{65437BDE-8CC4-444B-84E0-D5B1F081ECEF}">
      <dgm:prSet/>
      <dgm:spPr/>
      <dgm:t>
        <a:bodyPr/>
        <a:lstStyle/>
        <a:p>
          <a:endParaRPr lang="en-AU"/>
        </a:p>
      </dgm:t>
    </dgm:pt>
    <dgm:pt modelId="{2EE88CE3-00C9-44FB-A2DD-8B5D113A2C55}" type="sibTrans" cxnId="{65437BDE-8CC4-444B-84E0-D5B1F081ECEF}">
      <dgm:prSet/>
      <dgm:spPr/>
      <dgm:t>
        <a:bodyPr/>
        <a:lstStyle/>
        <a:p>
          <a:endParaRPr lang="en-AU"/>
        </a:p>
      </dgm:t>
    </dgm:pt>
    <dgm:pt modelId="{18537A8D-EF45-40F4-AEEC-D331611D0F91}">
      <dgm:prSet/>
      <dgm:spPr>
        <a:solidFill>
          <a:schemeClr val="accent6">
            <a:lumMod val="50000"/>
          </a:schemeClr>
        </a:solidFill>
      </dgm:spPr>
      <dgm:t>
        <a:bodyPr/>
        <a:lstStyle/>
        <a:p>
          <a:r>
            <a:rPr lang="en-AU">
              <a:latin typeface="Arial Narrow" pitchFamily="34" charset="0"/>
            </a:rPr>
            <a:t>PBS restrictions</a:t>
          </a:r>
        </a:p>
      </dgm:t>
    </dgm:pt>
    <dgm:pt modelId="{9F927634-9A77-44AD-A813-93221F6E77B4}" type="parTrans" cxnId="{3AFB0C13-8AA1-4A8A-9EA0-85B621500CD7}">
      <dgm:prSet/>
      <dgm:spPr/>
      <dgm:t>
        <a:bodyPr/>
        <a:lstStyle/>
        <a:p>
          <a:endParaRPr lang="en-AU"/>
        </a:p>
      </dgm:t>
    </dgm:pt>
    <dgm:pt modelId="{A5CC675B-8012-4197-A97D-054C5482C2F2}" type="sibTrans" cxnId="{3AFB0C13-8AA1-4A8A-9EA0-85B621500CD7}">
      <dgm:prSet/>
      <dgm:spPr/>
      <dgm:t>
        <a:bodyPr/>
        <a:lstStyle/>
        <a:p>
          <a:endParaRPr lang="en-AU"/>
        </a:p>
      </dgm:t>
    </dgm:pt>
    <dgm:pt modelId="{110C1AFA-A7CF-44E0-B126-63DA9F5AE4DB}" type="pres">
      <dgm:prSet presAssocID="{79082C93-8CA8-43DB-A1EB-15DC53FBCD6D}" presName="cycle" presStyleCnt="0">
        <dgm:presLayoutVars>
          <dgm:chMax val="1"/>
          <dgm:dir/>
          <dgm:animLvl val="ctr"/>
          <dgm:resizeHandles val="exact"/>
        </dgm:presLayoutVars>
      </dgm:prSet>
      <dgm:spPr/>
      <dgm:t>
        <a:bodyPr/>
        <a:lstStyle/>
        <a:p>
          <a:endParaRPr lang="en-AU"/>
        </a:p>
      </dgm:t>
    </dgm:pt>
    <dgm:pt modelId="{653D1099-F0E8-4EFD-A47F-CB3E31719E7C}" type="pres">
      <dgm:prSet presAssocID="{6E8F116B-71B2-4473-A2A1-0C4C00299020}" presName="centerShape" presStyleLbl="node0" presStyleIdx="0" presStyleCnt="1"/>
      <dgm:spPr/>
      <dgm:t>
        <a:bodyPr/>
        <a:lstStyle/>
        <a:p>
          <a:endParaRPr lang="en-AU"/>
        </a:p>
      </dgm:t>
    </dgm:pt>
    <dgm:pt modelId="{F7227ECA-5586-4FCB-8CAB-1AD1719D580E}" type="pres">
      <dgm:prSet presAssocID="{DD6E08E3-9364-49A9-8762-7E0E1F162605}" presName="parTrans" presStyleLbl="bgSibTrans2D1" presStyleIdx="0" presStyleCnt="7"/>
      <dgm:spPr/>
      <dgm:t>
        <a:bodyPr/>
        <a:lstStyle/>
        <a:p>
          <a:endParaRPr lang="en-AU"/>
        </a:p>
      </dgm:t>
    </dgm:pt>
    <dgm:pt modelId="{49BE9B49-8F58-4B56-B378-BDEC1EDB516A}" type="pres">
      <dgm:prSet presAssocID="{F607E0C9-17B5-4EE9-B74F-34C95C56765C}" presName="node" presStyleLbl="node1" presStyleIdx="0" presStyleCnt="7">
        <dgm:presLayoutVars>
          <dgm:bulletEnabled val="1"/>
        </dgm:presLayoutVars>
      </dgm:prSet>
      <dgm:spPr/>
      <dgm:t>
        <a:bodyPr/>
        <a:lstStyle/>
        <a:p>
          <a:endParaRPr lang="en-AU"/>
        </a:p>
      </dgm:t>
    </dgm:pt>
    <dgm:pt modelId="{E407ABAD-3DA7-4543-9A8A-DE6C4879C44B}" type="pres">
      <dgm:prSet presAssocID="{F726C426-2F1A-4B64-83ED-0432633AC8FD}" presName="parTrans" presStyleLbl="bgSibTrans2D1" presStyleIdx="1" presStyleCnt="7"/>
      <dgm:spPr/>
      <dgm:t>
        <a:bodyPr/>
        <a:lstStyle/>
        <a:p>
          <a:endParaRPr lang="en-AU"/>
        </a:p>
      </dgm:t>
    </dgm:pt>
    <dgm:pt modelId="{59D8A355-ECBB-43C2-AD65-756A6252F764}" type="pres">
      <dgm:prSet presAssocID="{F21695A8-369F-408F-9319-97C6A4D1AEB0}" presName="node" presStyleLbl="node1" presStyleIdx="1" presStyleCnt="7">
        <dgm:presLayoutVars>
          <dgm:bulletEnabled val="1"/>
        </dgm:presLayoutVars>
      </dgm:prSet>
      <dgm:spPr/>
      <dgm:t>
        <a:bodyPr/>
        <a:lstStyle/>
        <a:p>
          <a:endParaRPr lang="en-AU"/>
        </a:p>
      </dgm:t>
    </dgm:pt>
    <dgm:pt modelId="{76E7EDFC-FDAD-45B2-89B3-51725DE40DEB}" type="pres">
      <dgm:prSet presAssocID="{D66B92BC-D2F6-4A19-9545-B1B4CD80D995}" presName="parTrans" presStyleLbl="bgSibTrans2D1" presStyleIdx="2" presStyleCnt="7"/>
      <dgm:spPr/>
      <dgm:t>
        <a:bodyPr/>
        <a:lstStyle/>
        <a:p>
          <a:endParaRPr lang="en-AU"/>
        </a:p>
      </dgm:t>
    </dgm:pt>
    <dgm:pt modelId="{FD4A3B45-33C4-4480-A6EF-CC3B13826940}" type="pres">
      <dgm:prSet presAssocID="{9172B822-C4B2-45B0-9E79-6B0914A14C83}" presName="node" presStyleLbl="node1" presStyleIdx="2" presStyleCnt="7">
        <dgm:presLayoutVars>
          <dgm:bulletEnabled val="1"/>
        </dgm:presLayoutVars>
      </dgm:prSet>
      <dgm:spPr/>
      <dgm:t>
        <a:bodyPr/>
        <a:lstStyle/>
        <a:p>
          <a:endParaRPr lang="en-AU"/>
        </a:p>
      </dgm:t>
    </dgm:pt>
    <dgm:pt modelId="{BDDBDF24-BBCB-49CE-BDBC-9DBD78DD8AD8}" type="pres">
      <dgm:prSet presAssocID="{DB606CA3-46DD-4BA1-96A7-FF2868E8440E}" presName="parTrans" presStyleLbl="bgSibTrans2D1" presStyleIdx="3" presStyleCnt="7"/>
      <dgm:spPr/>
      <dgm:t>
        <a:bodyPr/>
        <a:lstStyle/>
        <a:p>
          <a:endParaRPr lang="en-AU"/>
        </a:p>
      </dgm:t>
    </dgm:pt>
    <dgm:pt modelId="{8F0527EF-A460-4EE9-A7C7-52821DDE4832}" type="pres">
      <dgm:prSet presAssocID="{6A081875-F650-4F24-9023-AEE83266406A}" presName="node" presStyleLbl="node1" presStyleIdx="3" presStyleCnt="7">
        <dgm:presLayoutVars>
          <dgm:bulletEnabled val="1"/>
        </dgm:presLayoutVars>
      </dgm:prSet>
      <dgm:spPr/>
      <dgm:t>
        <a:bodyPr/>
        <a:lstStyle/>
        <a:p>
          <a:endParaRPr lang="en-AU"/>
        </a:p>
      </dgm:t>
    </dgm:pt>
    <dgm:pt modelId="{5C48C70C-05C1-41BE-B03B-E8DBC136B9D2}" type="pres">
      <dgm:prSet presAssocID="{F4D7B697-AD98-4C9E-9106-1E5EEF1036BE}" presName="parTrans" presStyleLbl="bgSibTrans2D1" presStyleIdx="4" presStyleCnt="7"/>
      <dgm:spPr/>
      <dgm:t>
        <a:bodyPr/>
        <a:lstStyle/>
        <a:p>
          <a:endParaRPr lang="en-AU"/>
        </a:p>
      </dgm:t>
    </dgm:pt>
    <dgm:pt modelId="{5B957900-D4BD-4C71-870F-83648EA4429C}" type="pres">
      <dgm:prSet presAssocID="{C978C91B-F977-4300-A746-FA3D53C942C3}" presName="node" presStyleLbl="node1" presStyleIdx="4" presStyleCnt="7">
        <dgm:presLayoutVars>
          <dgm:bulletEnabled val="1"/>
        </dgm:presLayoutVars>
      </dgm:prSet>
      <dgm:spPr/>
      <dgm:t>
        <a:bodyPr/>
        <a:lstStyle/>
        <a:p>
          <a:endParaRPr lang="en-AU"/>
        </a:p>
      </dgm:t>
    </dgm:pt>
    <dgm:pt modelId="{E48747C3-ABDA-4DC7-A9B8-0C4948930CA7}" type="pres">
      <dgm:prSet presAssocID="{9F927634-9A77-44AD-A813-93221F6E77B4}" presName="parTrans" presStyleLbl="bgSibTrans2D1" presStyleIdx="5" presStyleCnt="7"/>
      <dgm:spPr/>
      <dgm:t>
        <a:bodyPr/>
        <a:lstStyle/>
        <a:p>
          <a:endParaRPr lang="en-AU"/>
        </a:p>
      </dgm:t>
    </dgm:pt>
    <dgm:pt modelId="{B5F85E2D-79C2-415F-86DB-A0BC9F40B6F8}" type="pres">
      <dgm:prSet presAssocID="{18537A8D-EF45-40F4-AEEC-D331611D0F91}" presName="node" presStyleLbl="node1" presStyleIdx="5" presStyleCnt="7">
        <dgm:presLayoutVars>
          <dgm:bulletEnabled val="1"/>
        </dgm:presLayoutVars>
      </dgm:prSet>
      <dgm:spPr/>
      <dgm:t>
        <a:bodyPr/>
        <a:lstStyle/>
        <a:p>
          <a:endParaRPr lang="en-AU"/>
        </a:p>
      </dgm:t>
    </dgm:pt>
    <dgm:pt modelId="{6DEDCAAE-6869-4DC8-902D-DBD97644343B}" type="pres">
      <dgm:prSet presAssocID="{67F2C8ED-455E-4132-AD7F-F69A5BCBB617}" presName="parTrans" presStyleLbl="bgSibTrans2D1" presStyleIdx="6" presStyleCnt="7"/>
      <dgm:spPr/>
      <dgm:t>
        <a:bodyPr/>
        <a:lstStyle/>
        <a:p>
          <a:endParaRPr lang="en-AU"/>
        </a:p>
      </dgm:t>
    </dgm:pt>
    <dgm:pt modelId="{E5A79851-92FB-4C4B-BDE7-2778859BD142}" type="pres">
      <dgm:prSet presAssocID="{7048167D-B711-4262-A13A-8970197C91E4}" presName="node" presStyleLbl="node1" presStyleIdx="6" presStyleCnt="7">
        <dgm:presLayoutVars>
          <dgm:bulletEnabled val="1"/>
        </dgm:presLayoutVars>
      </dgm:prSet>
      <dgm:spPr/>
      <dgm:t>
        <a:bodyPr/>
        <a:lstStyle/>
        <a:p>
          <a:endParaRPr lang="en-AU"/>
        </a:p>
      </dgm:t>
    </dgm:pt>
  </dgm:ptLst>
  <dgm:cxnLst>
    <dgm:cxn modelId="{D10024C6-81A1-4B56-869C-7E89E3C9902B}" type="presOf" srcId="{C978C91B-F977-4300-A746-FA3D53C942C3}" destId="{5B957900-D4BD-4C71-870F-83648EA4429C}" srcOrd="0" destOrd="0" presId="urn:microsoft.com/office/officeart/2005/8/layout/radial4"/>
    <dgm:cxn modelId="{58407FE8-1D0D-4E72-836F-B20E5E9E590F}" type="presOf" srcId="{79082C93-8CA8-43DB-A1EB-15DC53FBCD6D}" destId="{110C1AFA-A7CF-44E0-B126-63DA9F5AE4DB}" srcOrd="0" destOrd="0" presId="urn:microsoft.com/office/officeart/2005/8/layout/radial4"/>
    <dgm:cxn modelId="{EBE0FE22-4552-4299-AAAF-A56AADC44499}" type="presOf" srcId="{F21695A8-369F-408F-9319-97C6A4D1AEB0}" destId="{59D8A355-ECBB-43C2-AD65-756A6252F764}" srcOrd="0" destOrd="0" presId="urn:microsoft.com/office/officeart/2005/8/layout/radial4"/>
    <dgm:cxn modelId="{CD3E65B4-3E99-4CC3-95FE-F06C77E8890C}" srcId="{6E8F116B-71B2-4473-A2A1-0C4C00299020}" destId="{7048167D-B711-4262-A13A-8970197C91E4}" srcOrd="6" destOrd="0" parTransId="{67F2C8ED-455E-4132-AD7F-F69A5BCBB617}" sibTransId="{7A4AC570-11CC-4A77-A052-3FDD3B6AC7C1}"/>
    <dgm:cxn modelId="{9F4F3984-8242-4B76-9D33-EFC8EACF6FEB}" srcId="{6E8F116B-71B2-4473-A2A1-0C4C00299020}" destId="{C978C91B-F977-4300-A746-FA3D53C942C3}" srcOrd="4" destOrd="0" parTransId="{F4D7B697-AD98-4C9E-9106-1E5EEF1036BE}" sibTransId="{6390DBCC-34E5-49DA-B38A-7EBE5C29074C}"/>
    <dgm:cxn modelId="{6723C0DB-F687-4AEB-B481-75ED75D1D41C}" srcId="{6E8F116B-71B2-4473-A2A1-0C4C00299020}" destId="{6A081875-F650-4F24-9023-AEE83266406A}" srcOrd="3" destOrd="0" parTransId="{DB606CA3-46DD-4BA1-96A7-FF2868E8440E}" sibTransId="{863DDED4-7930-4C1C-88E4-ACC977F3A4A6}"/>
    <dgm:cxn modelId="{5AE7DCF7-8B3F-4073-9D98-9CBE0FC95E02}" type="presOf" srcId="{DD6E08E3-9364-49A9-8762-7E0E1F162605}" destId="{F7227ECA-5586-4FCB-8CAB-1AD1719D580E}" srcOrd="0" destOrd="0" presId="urn:microsoft.com/office/officeart/2005/8/layout/radial4"/>
    <dgm:cxn modelId="{78CC8523-6D3E-4756-9225-CCFDC3FE74AA}" type="presOf" srcId="{DB606CA3-46DD-4BA1-96A7-FF2868E8440E}" destId="{BDDBDF24-BBCB-49CE-BDBC-9DBD78DD8AD8}" srcOrd="0" destOrd="0" presId="urn:microsoft.com/office/officeart/2005/8/layout/radial4"/>
    <dgm:cxn modelId="{F63D4A7B-732E-408D-A9F1-985962EE773A}" type="presOf" srcId="{67F2C8ED-455E-4132-AD7F-F69A5BCBB617}" destId="{6DEDCAAE-6869-4DC8-902D-DBD97644343B}" srcOrd="0" destOrd="0" presId="urn:microsoft.com/office/officeart/2005/8/layout/radial4"/>
    <dgm:cxn modelId="{8F389344-5B3F-44B4-A688-2BD8A66D89A0}" type="presOf" srcId="{6E8F116B-71B2-4473-A2A1-0C4C00299020}" destId="{653D1099-F0E8-4EFD-A47F-CB3E31719E7C}" srcOrd="0" destOrd="0" presId="urn:microsoft.com/office/officeart/2005/8/layout/radial4"/>
    <dgm:cxn modelId="{99A12ED8-7405-4C11-AF8C-4B58CF3EE075}" srcId="{79082C93-8CA8-43DB-A1EB-15DC53FBCD6D}" destId="{6E8F116B-71B2-4473-A2A1-0C4C00299020}" srcOrd="0" destOrd="0" parTransId="{6208F1F1-A7CE-402B-9A51-8E20CECB327F}" sibTransId="{27235A1F-F572-4E01-AA3D-85A6628F6771}"/>
    <dgm:cxn modelId="{3AFB0C13-8AA1-4A8A-9EA0-85B621500CD7}" srcId="{6E8F116B-71B2-4473-A2A1-0C4C00299020}" destId="{18537A8D-EF45-40F4-AEEC-D331611D0F91}" srcOrd="5" destOrd="0" parTransId="{9F927634-9A77-44AD-A813-93221F6E77B4}" sibTransId="{A5CC675B-8012-4197-A97D-054C5482C2F2}"/>
    <dgm:cxn modelId="{8A76D836-068F-465C-B519-F38F77CFCEA0}" srcId="{6E8F116B-71B2-4473-A2A1-0C4C00299020}" destId="{F607E0C9-17B5-4EE9-B74F-34C95C56765C}" srcOrd="0" destOrd="0" parTransId="{DD6E08E3-9364-49A9-8762-7E0E1F162605}" sibTransId="{13FAF7DA-F74C-44EF-B13E-949350C9744F}"/>
    <dgm:cxn modelId="{2184983F-3448-4217-A85F-4E4A2035CD9B}" type="presOf" srcId="{6A081875-F650-4F24-9023-AEE83266406A}" destId="{8F0527EF-A460-4EE9-A7C7-52821DDE4832}" srcOrd="0" destOrd="0" presId="urn:microsoft.com/office/officeart/2005/8/layout/radial4"/>
    <dgm:cxn modelId="{36162AC4-00F2-438F-B956-73E45D784661}" srcId="{6E8F116B-71B2-4473-A2A1-0C4C00299020}" destId="{9172B822-C4B2-45B0-9E79-6B0914A14C83}" srcOrd="2" destOrd="0" parTransId="{D66B92BC-D2F6-4A19-9545-B1B4CD80D995}" sibTransId="{E3DF112E-C146-4409-813B-4BE3B3297CA3}"/>
    <dgm:cxn modelId="{A49BA76E-473E-4D2C-BB58-FA0E04CC1C93}" type="presOf" srcId="{9F927634-9A77-44AD-A813-93221F6E77B4}" destId="{E48747C3-ABDA-4DC7-A9B8-0C4948930CA7}" srcOrd="0" destOrd="0" presId="urn:microsoft.com/office/officeart/2005/8/layout/radial4"/>
    <dgm:cxn modelId="{2AB67079-64DA-4091-9115-68EC8FC84B2C}" type="presOf" srcId="{F4D7B697-AD98-4C9E-9106-1E5EEF1036BE}" destId="{5C48C70C-05C1-41BE-B03B-E8DBC136B9D2}" srcOrd="0" destOrd="0" presId="urn:microsoft.com/office/officeart/2005/8/layout/radial4"/>
    <dgm:cxn modelId="{A6971DA9-348D-4D8B-B9DB-945E61C9E2E6}" type="presOf" srcId="{7048167D-B711-4262-A13A-8970197C91E4}" destId="{E5A79851-92FB-4C4B-BDE7-2778859BD142}" srcOrd="0" destOrd="0" presId="urn:microsoft.com/office/officeart/2005/8/layout/radial4"/>
    <dgm:cxn modelId="{6CBD627C-84F5-4501-825E-3E54A90B7E3D}" type="presOf" srcId="{18537A8D-EF45-40F4-AEEC-D331611D0F91}" destId="{B5F85E2D-79C2-415F-86DB-A0BC9F40B6F8}" srcOrd="0" destOrd="0" presId="urn:microsoft.com/office/officeart/2005/8/layout/radial4"/>
    <dgm:cxn modelId="{FC6ACCE7-E4F1-4F70-9C26-4FC530D26610}" type="presOf" srcId="{F726C426-2F1A-4B64-83ED-0432633AC8FD}" destId="{E407ABAD-3DA7-4543-9A8A-DE6C4879C44B}" srcOrd="0" destOrd="0" presId="urn:microsoft.com/office/officeart/2005/8/layout/radial4"/>
    <dgm:cxn modelId="{65437BDE-8CC4-444B-84E0-D5B1F081ECEF}" srcId="{6E8F116B-71B2-4473-A2A1-0C4C00299020}" destId="{F21695A8-369F-408F-9319-97C6A4D1AEB0}" srcOrd="1" destOrd="0" parTransId="{F726C426-2F1A-4B64-83ED-0432633AC8FD}" sibTransId="{2EE88CE3-00C9-44FB-A2DD-8B5D113A2C55}"/>
    <dgm:cxn modelId="{1D509AAD-12CA-434C-B96B-6D7923D19145}" type="presOf" srcId="{F607E0C9-17B5-4EE9-B74F-34C95C56765C}" destId="{49BE9B49-8F58-4B56-B378-BDEC1EDB516A}" srcOrd="0" destOrd="0" presId="urn:microsoft.com/office/officeart/2005/8/layout/radial4"/>
    <dgm:cxn modelId="{AE09F174-E71A-49D2-A9DF-BAF48A4311C0}" type="presOf" srcId="{D66B92BC-D2F6-4A19-9545-B1B4CD80D995}" destId="{76E7EDFC-FDAD-45B2-89B3-51725DE40DEB}" srcOrd="0" destOrd="0" presId="urn:microsoft.com/office/officeart/2005/8/layout/radial4"/>
    <dgm:cxn modelId="{95CFCCFE-AC10-40FF-A5FA-9D4218D2A044}" type="presOf" srcId="{9172B822-C4B2-45B0-9E79-6B0914A14C83}" destId="{FD4A3B45-33C4-4480-A6EF-CC3B13826940}" srcOrd="0" destOrd="0" presId="urn:microsoft.com/office/officeart/2005/8/layout/radial4"/>
    <dgm:cxn modelId="{7D67DC10-F9C8-4F05-B958-F15D378C1B5F}" type="presParOf" srcId="{110C1AFA-A7CF-44E0-B126-63DA9F5AE4DB}" destId="{653D1099-F0E8-4EFD-A47F-CB3E31719E7C}" srcOrd="0" destOrd="0" presId="urn:microsoft.com/office/officeart/2005/8/layout/radial4"/>
    <dgm:cxn modelId="{7041680D-FC5A-42E6-8867-D3389E12D109}" type="presParOf" srcId="{110C1AFA-A7CF-44E0-B126-63DA9F5AE4DB}" destId="{F7227ECA-5586-4FCB-8CAB-1AD1719D580E}" srcOrd="1" destOrd="0" presId="urn:microsoft.com/office/officeart/2005/8/layout/radial4"/>
    <dgm:cxn modelId="{D7772C61-6679-4279-BDD6-2A3AA2A24BEB}" type="presParOf" srcId="{110C1AFA-A7CF-44E0-B126-63DA9F5AE4DB}" destId="{49BE9B49-8F58-4B56-B378-BDEC1EDB516A}" srcOrd="2" destOrd="0" presId="urn:microsoft.com/office/officeart/2005/8/layout/radial4"/>
    <dgm:cxn modelId="{00BF56B7-A8C4-4043-BBF5-DF9922EAD4FD}" type="presParOf" srcId="{110C1AFA-A7CF-44E0-B126-63DA9F5AE4DB}" destId="{E407ABAD-3DA7-4543-9A8A-DE6C4879C44B}" srcOrd="3" destOrd="0" presId="urn:microsoft.com/office/officeart/2005/8/layout/radial4"/>
    <dgm:cxn modelId="{67F6CF4D-55F5-4C90-8B85-D0A6F605D811}" type="presParOf" srcId="{110C1AFA-A7CF-44E0-B126-63DA9F5AE4DB}" destId="{59D8A355-ECBB-43C2-AD65-756A6252F764}" srcOrd="4" destOrd="0" presId="urn:microsoft.com/office/officeart/2005/8/layout/radial4"/>
    <dgm:cxn modelId="{44DBADD9-C231-4916-B925-2618F00D1484}" type="presParOf" srcId="{110C1AFA-A7CF-44E0-B126-63DA9F5AE4DB}" destId="{76E7EDFC-FDAD-45B2-89B3-51725DE40DEB}" srcOrd="5" destOrd="0" presId="urn:microsoft.com/office/officeart/2005/8/layout/radial4"/>
    <dgm:cxn modelId="{CF4F0383-D8E7-4CD0-AF91-176FCF98D6BE}" type="presParOf" srcId="{110C1AFA-A7CF-44E0-B126-63DA9F5AE4DB}" destId="{FD4A3B45-33C4-4480-A6EF-CC3B13826940}" srcOrd="6" destOrd="0" presId="urn:microsoft.com/office/officeart/2005/8/layout/radial4"/>
    <dgm:cxn modelId="{19E065FF-325C-454B-959A-E54094ADC797}" type="presParOf" srcId="{110C1AFA-A7CF-44E0-B126-63DA9F5AE4DB}" destId="{BDDBDF24-BBCB-49CE-BDBC-9DBD78DD8AD8}" srcOrd="7" destOrd="0" presId="urn:microsoft.com/office/officeart/2005/8/layout/radial4"/>
    <dgm:cxn modelId="{12A0B54C-B4C5-4049-9B8B-BFF65000C4B6}" type="presParOf" srcId="{110C1AFA-A7CF-44E0-B126-63DA9F5AE4DB}" destId="{8F0527EF-A460-4EE9-A7C7-52821DDE4832}" srcOrd="8" destOrd="0" presId="urn:microsoft.com/office/officeart/2005/8/layout/radial4"/>
    <dgm:cxn modelId="{418D2AFD-5D38-4351-98AF-BACB5589DEB8}" type="presParOf" srcId="{110C1AFA-A7CF-44E0-B126-63DA9F5AE4DB}" destId="{5C48C70C-05C1-41BE-B03B-E8DBC136B9D2}" srcOrd="9" destOrd="0" presId="urn:microsoft.com/office/officeart/2005/8/layout/radial4"/>
    <dgm:cxn modelId="{53721D92-E87B-46F3-9716-80A27C54921D}" type="presParOf" srcId="{110C1AFA-A7CF-44E0-B126-63DA9F5AE4DB}" destId="{5B957900-D4BD-4C71-870F-83648EA4429C}" srcOrd="10" destOrd="0" presId="urn:microsoft.com/office/officeart/2005/8/layout/radial4"/>
    <dgm:cxn modelId="{DE82A09C-63DE-450D-84B5-D425ACA23D67}" type="presParOf" srcId="{110C1AFA-A7CF-44E0-B126-63DA9F5AE4DB}" destId="{E48747C3-ABDA-4DC7-A9B8-0C4948930CA7}" srcOrd="11" destOrd="0" presId="urn:microsoft.com/office/officeart/2005/8/layout/radial4"/>
    <dgm:cxn modelId="{F1E24FC9-6549-44A4-971E-5E07FA322B65}" type="presParOf" srcId="{110C1AFA-A7CF-44E0-B126-63DA9F5AE4DB}" destId="{B5F85E2D-79C2-415F-86DB-A0BC9F40B6F8}" srcOrd="12" destOrd="0" presId="urn:microsoft.com/office/officeart/2005/8/layout/radial4"/>
    <dgm:cxn modelId="{A8B7C668-1546-45BC-86A9-ED0FBF1FBD13}" type="presParOf" srcId="{110C1AFA-A7CF-44E0-B126-63DA9F5AE4DB}" destId="{6DEDCAAE-6869-4DC8-902D-DBD97644343B}" srcOrd="13" destOrd="0" presId="urn:microsoft.com/office/officeart/2005/8/layout/radial4"/>
    <dgm:cxn modelId="{F6EDBA5D-098F-42AD-B23B-29BFB52F67CC}" type="presParOf" srcId="{110C1AFA-A7CF-44E0-B126-63DA9F5AE4DB}" destId="{E5A79851-92FB-4C4B-BDE7-2778859BD142}" srcOrd="14" destOrd="0" presId="urn:microsoft.com/office/officeart/2005/8/layout/radial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D31360-FBEE-424F-BA43-31972EEE1EDD}" type="doc">
      <dgm:prSet loTypeId="urn:microsoft.com/office/officeart/2005/8/layout/hChevron3" loCatId="process" qsTypeId="urn:microsoft.com/office/officeart/2005/8/quickstyle/simple1#1" qsCatId="simple" csTypeId="urn:microsoft.com/office/officeart/2005/8/colors/accent1_2#1" csCatId="accent1" phldr="1"/>
      <dgm:spPr/>
    </dgm:pt>
    <dgm:pt modelId="{3C64BC93-9E01-41F4-9C68-35B4F0D65E03}">
      <dgm:prSet phldrT="[Text]"/>
      <dgm:spPr>
        <a:solidFill>
          <a:schemeClr val="bg2">
            <a:lumMod val="25000"/>
          </a:schemeClr>
        </a:solidFill>
      </dgm:spPr>
      <dgm:t>
        <a:bodyPr/>
        <a:lstStyle/>
        <a:p>
          <a:pPr algn="ctr"/>
          <a:r>
            <a:rPr lang="en-AU"/>
            <a:t>Identification</a:t>
          </a:r>
        </a:p>
      </dgm:t>
      <dgm:extLst>
        <a:ext uri="{E40237B7-FDA0-4F09-8148-C483321AD2D9}">
          <dgm14:cNvPr xmlns:dgm14="http://schemas.microsoft.com/office/drawing/2010/diagram" id="0" name="" descr="Identification and reporting framework"/>
        </a:ext>
      </dgm:extLst>
    </dgm:pt>
    <dgm:pt modelId="{B35428B3-E052-438E-A6BD-89A4AFBDF24E}" type="parTrans" cxnId="{F1BFF492-B2A3-4961-8F90-7FEF29EDD9F4}">
      <dgm:prSet/>
      <dgm:spPr/>
      <dgm:t>
        <a:bodyPr/>
        <a:lstStyle/>
        <a:p>
          <a:pPr algn="ctr"/>
          <a:endParaRPr lang="en-AU"/>
        </a:p>
      </dgm:t>
    </dgm:pt>
    <dgm:pt modelId="{C2022E1D-4A11-4123-9BAA-580CDC009205}" type="sibTrans" cxnId="{F1BFF492-B2A3-4961-8F90-7FEF29EDD9F4}">
      <dgm:prSet/>
      <dgm:spPr/>
      <dgm:t>
        <a:bodyPr/>
        <a:lstStyle/>
        <a:p>
          <a:pPr algn="ctr"/>
          <a:endParaRPr lang="en-AU"/>
        </a:p>
      </dgm:t>
    </dgm:pt>
    <dgm:pt modelId="{D7C8A608-72BF-4DBC-BEBC-86722F6780DF}">
      <dgm:prSet phldrT="[Text]"/>
      <dgm:spPr>
        <a:solidFill>
          <a:schemeClr val="tx2">
            <a:lumMod val="50000"/>
          </a:schemeClr>
        </a:solidFill>
      </dgm:spPr>
      <dgm:t>
        <a:bodyPr/>
        <a:lstStyle/>
        <a:p>
          <a:pPr algn="ctr"/>
          <a:r>
            <a:rPr lang="en-AU"/>
            <a:t>Selection</a:t>
          </a:r>
        </a:p>
      </dgm:t>
      <dgm:extLst>
        <a:ext uri="{E40237B7-FDA0-4F09-8148-C483321AD2D9}">
          <dgm14:cNvPr xmlns:dgm14="http://schemas.microsoft.com/office/drawing/2010/diagram" id="0" name="" descr="Identification and reporting framework - Identification, Selection, Assessment and Dissemination"/>
        </a:ext>
      </dgm:extLst>
    </dgm:pt>
    <dgm:pt modelId="{FA778FC5-6BD5-409C-BF01-787519D31256}" type="parTrans" cxnId="{FFE0C64C-4427-4162-A1CF-83C0027DBF59}">
      <dgm:prSet/>
      <dgm:spPr/>
      <dgm:t>
        <a:bodyPr/>
        <a:lstStyle/>
        <a:p>
          <a:pPr algn="ctr"/>
          <a:endParaRPr lang="en-AU"/>
        </a:p>
      </dgm:t>
    </dgm:pt>
    <dgm:pt modelId="{DEDD7785-F5DA-4BC3-A781-FE750878E9B8}" type="sibTrans" cxnId="{FFE0C64C-4427-4162-A1CF-83C0027DBF59}">
      <dgm:prSet/>
      <dgm:spPr/>
      <dgm:t>
        <a:bodyPr/>
        <a:lstStyle/>
        <a:p>
          <a:pPr algn="ctr"/>
          <a:endParaRPr lang="en-AU"/>
        </a:p>
      </dgm:t>
    </dgm:pt>
    <dgm:pt modelId="{64676162-F413-452E-8D93-1FA69576EEF9}">
      <dgm:prSet phldrT="[Text]"/>
      <dgm:spPr>
        <a:solidFill>
          <a:schemeClr val="accent2">
            <a:lumMod val="75000"/>
          </a:schemeClr>
        </a:solidFill>
      </dgm:spPr>
      <dgm:t>
        <a:bodyPr/>
        <a:lstStyle/>
        <a:p>
          <a:pPr algn="ctr"/>
          <a:r>
            <a:rPr lang="en-AU"/>
            <a:t>Assessment</a:t>
          </a:r>
        </a:p>
      </dgm:t>
      <dgm:extLst>
        <a:ext uri="{E40237B7-FDA0-4F09-8148-C483321AD2D9}">
          <dgm14:cNvPr xmlns:dgm14="http://schemas.microsoft.com/office/drawing/2010/diagram" id="0" name="" descr="Identification and reporting framework"/>
        </a:ext>
      </dgm:extLst>
    </dgm:pt>
    <dgm:pt modelId="{07CFD7F3-F9E3-4A2D-9703-47569B2A8C1E}" type="parTrans" cxnId="{CC40CB13-EA77-4478-BFD5-367A844BA3CD}">
      <dgm:prSet/>
      <dgm:spPr/>
      <dgm:t>
        <a:bodyPr/>
        <a:lstStyle/>
        <a:p>
          <a:pPr algn="ctr"/>
          <a:endParaRPr lang="en-AU"/>
        </a:p>
      </dgm:t>
    </dgm:pt>
    <dgm:pt modelId="{6217CBB2-71DC-4CB3-828C-15E9AD209107}" type="sibTrans" cxnId="{CC40CB13-EA77-4478-BFD5-367A844BA3CD}">
      <dgm:prSet/>
      <dgm:spPr/>
      <dgm:t>
        <a:bodyPr/>
        <a:lstStyle/>
        <a:p>
          <a:pPr algn="ctr"/>
          <a:endParaRPr lang="en-AU"/>
        </a:p>
      </dgm:t>
    </dgm:pt>
    <dgm:pt modelId="{E8DFC434-EB59-457F-848B-55909443208B}">
      <dgm:prSet/>
      <dgm:spPr>
        <a:solidFill>
          <a:schemeClr val="accent1">
            <a:lumMod val="75000"/>
          </a:schemeClr>
        </a:solidFill>
      </dgm:spPr>
      <dgm:t>
        <a:bodyPr/>
        <a:lstStyle/>
        <a:p>
          <a:pPr algn="ctr"/>
          <a:r>
            <a:rPr lang="en-AU"/>
            <a:t>Dissemination</a:t>
          </a:r>
        </a:p>
      </dgm:t>
      <dgm:extLst>
        <a:ext uri="{E40237B7-FDA0-4F09-8148-C483321AD2D9}">
          <dgm14:cNvPr xmlns:dgm14="http://schemas.microsoft.com/office/drawing/2010/diagram" id="0" name="" descr="Identification and reporting framework"/>
        </a:ext>
      </dgm:extLst>
    </dgm:pt>
    <dgm:pt modelId="{EC4E225C-0DB1-4C4A-98FF-3853CE4801D9}" type="parTrans" cxnId="{57AABED1-868F-4C4B-8ACB-B0E621CDD97F}">
      <dgm:prSet/>
      <dgm:spPr/>
      <dgm:t>
        <a:bodyPr/>
        <a:lstStyle/>
        <a:p>
          <a:pPr algn="ctr"/>
          <a:endParaRPr lang="en-AU"/>
        </a:p>
      </dgm:t>
    </dgm:pt>
    <dgm:pt modelId="{D646BA3A-EFD8-436F-8F98-B9F96366F30C}" type="sibTrans" cxnId="{57AABED1-868F-4C4B-8ACB-B0E621CDD97F}">
      <dgm:prSet/>
      <dgm:spPr/>
      <dgm:t>
        <a:bodyPr/>
        <a:lstStyle/>
        <a:p>
          <a:pPr algn="ctr"/>
          <a:endParaRPr lang="en-AU"/>
        </a:p>
      </dgm:t>
    </dgm:pt>
    <dgm:pt modelId="{8D451CC8-662C-44B9-9F38-2D6F77864B2C}" type="pres">
      <dgm:prSet presAssocID="{43D31360-FBEE-424F-BA43-31972EEE1EDD}" presName="Name0" presStyleCnt="0">
        <dgm:presLayoutVars>
          <dgm:dir/>
          <dgm:resizeHandles val="exact"/>
        </dgm:presLayoutVars>
      </dgm:prSet>
      <dgm:spPr/>
    </dgm:pt>
    <dgm:pt modelId="{B7AF20D4-D44E-4A1D-B514-22464176E152}" type="pres">
      <dgm:prSet presAssocID="{3C64BC93-9E01-41F4-9C68-35B4F0D65E03}" presName="parTxOnly" presStyleLbl="node1" presStyleIdx="0" presStyleCnt="4">
        <dgm:presLayoutVars>
          <dgm:bulletEnabled val="1"/>
        </dgm:presLayoutVars>
      </dgm:prSet>
      <dgm:spPr/>
      <dgm:t>
        <a:bodyPr/>
        <a:lstStyle/>
        <a:p>
          <a:endParaRPr lang="en-AU"/>
        </a:p>
      </dgm:t>
    </dgm:pt>
    <dgm:pt modelId="{458B64FA-3251-416A-873C-E15DBD5BE1DD}" type="pres">
      <dgm:prSet presAssocID="{C2022E1D-4A11-4123-9BAA-580CDC009205}" presName="parSpace" presStyleCnt="0"/>
      <dgm:spPr/>
    </dgm:pt>
    <dgm:pt modelId="{A47B21EE-A8E1-4FCF-8CAB-3F24779806C6}" type="pres">
      <dgm:prSet presAssocID="{D7C8A608-72BF-4DBC-BEBC-86722F6780DF}" presName="parTxOnly" presStyleLbl="node1" presStyleIdx="1" presStyleCnt="4">
        <dgm:presLayoutVars>
          <dgm:bulletEnabled val="1"/>
        </dgm:presLayoutVars>
      </dgm:prSet>
      <dgm:spPr/>
      <dgm:t>
        <a:bodyPr/>
        <a:lstStyle/>
        <a:p>
          <a:endParaRPr lang="en-AU"/>
        </a:p>
      </dgm:t>
    </dgm:pt>
    <dgm:pt modelId="{A8A82154-71E4-40B9-B1D1-37608C68F11F}" type="pres">
      <dgm:prSet presAssocID="{DEDD7785-F5DA-4BC3-A781-FE750878E9B8}" presName="parSpace" presStyleCnt="0"/>
      <dgm:spPr/>
    </dgm:pt>
    <dgm:pt modelId="{363CA5EF-AFB3-4694-B100-55750505BECA}" type="pres">
      <dgm:prSet presAssocID="{64676162-F413-452E-8D93-1FA69576EEF9}" presName="parTxOnly" presStyleLbl="node1" presStyleIdx="2" presStyleCnt="4">
        <dgm:presLayoutVars>
          <dgm:bulletEnabled val="1"/>
        </dgm:presLayoutVars>
      </dgm:prSet>
      <dgm:spPr/>
      <dgm:t>
        <a:bodyPr/>
        <a:lstStyle/>
        <a:p>
          <a:endParaRPr lang="en-AU"/>
        </a:p>
      </dgm:t>
    </dgm:pt>
    <dgm:pt modelId="{8ACEE802-C80D-450F-BC86-75269D8E972A}" type="pres">
      <dgm:prSet presAssocID="{6217CBB2-71DC-4CB3-828C-15E9AD209107}" presName="parSpace" presStyleCnt="0"/>
      <dgm:spPr/>
    </dgm:pt>
    <dgm:pt modelId="{8E896EF5-BAD2-4C69-A209-97FE278F2CAB}" type="pres">
      <dgm:prSet presAssocID="{E8DFC434-EB59-457F-848B-55909443208B}" presName="parTxOnly" presStyleLbl="node1" presStyleIdx="3" presStyleCnt="4">
        <dgm:presLayoutVars>
          <dgm:bulletEnabled val="1"/>
        </dgm:presLayoutVars>
      </dgm:prSet>
      <dgm:spPr/>
      <dgm:t>
        <a:bodyPr/>
        <a:lstStyle/>
        <a:p>
          <a:endParaRPr lang="en-AU"/>
        </a:p>
      </dgm:t>
    </dgm:pt>
  </dgm:ptLst>
  <dgm:cxnLst>
    <dgm:cxn modelId="{57AABED1-868F-4C4B-8ACB-B0E621CDD97F}" srcId="{43D31360-FBEE-424F-BA43-31972EEE1EDD}" destId="{E8DFC434-EB59-457F-848B-55909443208B}" srcOrd="3" destOrd="0" parTransId="{EC4E225C-0DB1-4C4A-98FF-3853CE4801D9}" sibTransId="{D646BA3A-EFD8-436F-8F98-B9F96366F30C}"/>
    <dgm:cxn modelId="{08F588AB-B06B-4957-9EFB-4F503199ABFC}" type="presOf" srcId="{3C64BC93-9E01-41F4-9C68-35B4F0D65E03}" destId="{B7AF20D4-D44E-4A1D-B514-22464176E152}" srcOrd="0" destOrd="0" presId="urn:microsoft.com/office/officeart/2005/8/layout/hChevron3"/>
    <dgm:cxn modelId="{FFE0C64C-4427-4162-A1CF-83C0027DBF59}" srcId="{43D31360-FBEE-424F-BA43-31972EEE1EDD}" destId="{D7C8A608-72BF-4DBC-BEBC-86722F6780DF}" srcOrd="1" destOrd="0" parTransId="{FA778FC5-6BD5-409C-BF01-787519D31256}" sibTransId="{DEDD7785-F5DA-4BC3-A781-FE750878E9B8}"/>
    <dgm:cxn modelId="{CC40CB13-EA77-4478-BFD5-367A844BA3CD}" srcId="{43D31360-FBEE-424F-BA43-31972EEE1EDD}" destId="{64676162-F413-452E-8D93-1FA69576EEF9}" srcOrd="2" destOrd="0" parTransId="{07CFD7F3-F9E3-4A2D-9703-47569B2A8C1E}" sibTransId="{6217CBB2-71DC-4CB3-828C-15E9AD209107}"/>
    <dgm:cxn modelId="{846C375A-0470-4496-9A7D-428243622CAA}" type="presOf" srcId="{43D31360-FBEE-424F-BA43-31972EEE1EDD}" destId="{8D451CC8-662C-44B9-9F38-2D6F77864B2C}" srcOrd="0" destOrd="0" presId="urn:microsoft.com/office/officeart/2005/8/layout/hChevron3"/>
    <dgm:cxn modelId="{F1BFF492-B2A3-4961-8F90-7FEF29EDD9F4}" srcId="{43D31360-FBEE-424F-BA43-31972EEE1EDD}" destId="{3C64BC93-9E01-41F4-9C68-35B4F0D65E03}" srcOrd="0" destOrd="0" parTransId="{B35428B3-E052-438E-A6BD-89A4AFBDF24E}" sibTransId="{C2022E1D-4A11-4123-9BAA-580CDC009205}"/>
    <dgm:cxn modelId="{958E56BE-A838-4D32-B310-D04240EF3E6D}" type="presOf" srcId="{D7C8A608-72BF-4DBC-BEBC-86722F6780DF}" destId="{A47B21EE-A8E1-4FCF-8CAB-3F24779806C6}" srcOrd="0" destOrd="0" presId="urn:microsoft.com/office/officeart/2005/8/layout/hChevron3"/>
    <dgm:cxn modelId="{A1476490-3447-4E2B-BE5D-7CDE46E938E1}" type="presOf" srcId="{64676162-F413-452E-8D93-1FA69576EEF9}" destId="{363CA5EF-AFB3-4694-B100-55750505BECA}" srcOrd="0" destOrd="0" presId="urn:microsoft.com/office/officeart/2005/8/layout/hChevron3"/>
    <dgm:cxn modelId="{39D9B177-54A7-4A15-AB4A-AAE5C017697E}" type="presOf" srcId="{E8DFC434-EB59-457F-848B-55909443208B}" destId="{8E896EF5-BAD2-4C69-A209-97FE278F2CAB}" srcOrd="0" destOrd="0" presId="urn:microsoft.com/office/officeart/2005/8/layout/hChevron3"/>
    <dgm:cxn modelId="{49B01365-4F1A-47CF-AB1D-9BBC3039BD4E}" type="presParOf" srcId="{8D451CC8-662C-44B9-9F38-2D6F77864B2C}" destId="{B7AF20D4-D44E-4A1D-B514-22464176E152}" srcOrd="0" destOrd="0" presId="urn:microsoft.com/office/officeart/2005/8/layout/hChevron3"/>
    <dgm:cxn modelId="{026D71F8-5B2E-4E53-A218-ABC811DD66DC}" type="presParOf" srcId="{8D451CC8-662C-44B9-9F38-2D6F77864B2C}" destId="{458B64FA-3251-416A-873C-E15DBD5BE1DD}" srcOrd="1" destOrd="0" presId="urn:microsoft.com/office/officeart/2005/8/layout/hChevron3"/>
    <dgm:cxn modelId="{FD68A172-A074-4C9E-977B-0364E8D1D3F7}" type="presParOf" srcId="{8D451CC8-662C-44B9-9F38-2D6F77864B2C}" destId="{A47B21EE-A8E1-4FCF-8CAB-3F24779806C6}" srcOrd="2" destOrd="0" presId="urn:microsoft.com/office/officeart/2005/8/layout/hChevron3"/>
    <dgm:cxn modelId="{D7255C71-38B5-4947-AFD9-53A64E07A700}" type="presParOf" srcId="{8D451CC8-662C-44B9-9F38-2D6F77864B2C}" destId="{A8A82154-71E4-40B9-B1D1-37608C68F11F}" srcOrd="3" destOrd="0" presId="urn:microsoft.com/office/officeart/2005/8/layout/hChevron3"/>
    <dgm:cxn modelId="{7DDD693F-1772-4EB4-BADE-CA97F9129E6F}" type="presParOf" srcId="{8D451CC8-662C-44B9-9F38-2D6F77864B2C}" destId="{363CA5EF-AFB3-4694-B100-55750505BECA}" srcOrd="4" destOrd="0" presId="urn:microsoft.com/office/officeart/2005/8/layout/hChevron3"/>
    <dgm:cxn modelId="{2BFF8858-91B1-4DB1-A90C-96CA5E344424}" type="presParOf" srcId="{8D451CC8-662C-44B9-9F38-2D6F77864B2C}" destId="{8ACEE802-C80D-450F-BC86-75269D8E972A}" srcOrd="5" destOrd="0" presId="urn:microsoft.com/office/officeart/2005/8/layout/hChevron3"/>
    <dgm:cxn modelId="{1DAC1322-3F1B-4CFA-930E-4FEAD1CA0F22}" type="presParOf" srcId="{8D451CC8-662C-44B9-9F38-2D6F77864B2C}" destId="{8E896EF5-BAD2-4C69-A209-97FE278F2CAB}" srcOrd="6" destOrd="0" presId="urn:microsoft.com/office/officeart/2005/8/layout/hChevron3"/>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3D1099-F0E8-4EFD-A47F-CB3E31719E7C}">
      <dsp:nvSpPr>
        <dsp:cNvPr id="0" name=""/>
        <dsp:cNvSpPr/>
      </dsp:nvSpPr>
      <dsp:spPr>
        <a:xfrm>
          <a:off x="1188716" y="1174089"/>
          <a:ext cx="664479" cy="664479"/>
        </a:xfrm>
        <a:prstGeom prst="ellipse">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latin typeface="Arial Narrow" pitchFamily="34" charset="0"/>
            </a:rPr>
            <a:t>Price</a:t>
          </a:r>
        </a:p>
        <a:p>
          <a:pPr lvl="0" algn="ctr" defTabSz="533400">
            <a:lnSpc>
              <a:spcPct val="90000"/>
            </a:lnSpc>
            <a:spcBef>
              <a:spcPct val="0"/>
            </a:spcBef>
            <a:spcAft>
              <a:spcPct val="35000"/>
            </a:spcAft>
          </a:pPr>
          <a:r>
            <a:rPr lang="en-AU" sz="1200" kern="1200">
              <a:latin typeface="Arial Narrow" pitchFamily="34" charset="0"/>
            </a:rPr>
            <a:t>drivers</a:t>
          </a:r>
        </a:p>
      </dsp:txBody>
      <dsp:txXfrm>
        <a:off x="1286027" y="1271400"/>
        <a:ext cx="469857" cy="469857"/>
      </dsp:txXfrm>
    </dsp:sp>
    <dsp:sp modelId="{F7227ECA-5586-4FCB-8CAB-1AD1719D580E}">
      <dsp:nvSpPr>
        <dsp:cNvPr id="0" name=""/>
        <dsp:cNvSpPr/>
      </dsp:nvSpPr>
      <dsp:spPr>
        <a:xfrm rot="10800000">
          <a:off x="254668" y="1411640"/>
          <a:ext cx="882675" cy="1893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9BE9B49-8F58-4B56-B378-BDEC1EDB516A}">
      <dsp:nvSpPr>
        <dsp:cNvPr id="0" name=""/>
        <dsp:cNvSpPr/>
      </dsp:nvSpPr>
      <dsp:spPr>
        <a:xfrm>
          <a:off x="-19692" y="1276559"/>
          <a:ext cx="548720" cy="45953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General and concessional mix</a:t>
          </a:r>
        </a:p>
      </dsp:txBody>
      <dsp:txXfrm>
        <a:off x="-6233" y="1290018"/>
        <a:ext cx="521802" cy="432621"/>
      </dsp:txXfrm>
    </dsp:sp>
    <dsp:sp modelId="{76E7EDFC-FDAD-45B2-89B3-51725DE40DEB}">
      <dsp:nvSpPr>
        <dsp:cNvPr id="0" name=""/>
        <dsp:cNvSpPr/>
      </dsp:nvSpPr>
      <dsp:spPr>
        <a:xfrm rot="12342857">
          <a:off x="336363" y="1053708"/>
          <a:ext cx="882675" cy="1893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4A3B45-33C4-4480-A6EF-CC3B13826940}">
      <dsp:nvSpPr>
        <dsp:cNvPr id="0" name=""/>
        <dsp:cNvSpPr/>
      </dsp:nvSpPr>
      <dsp:spPr>
        <a:xfrm>
          <a:off x="114331" y="698557"/>
          <a:ext cx="531478" cy="516699"/>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Number of safety net cards issued</a:t>
          </a:r>
        </a:p>
      </dsp:txBody>
      <dsp:txXfrm>
        <a:off x="129465" y="713691"/>
        <a:ext cx="501210" cy="486431"/>
      </dsp:txXfrm>
    </dsp:sp>
    <dsp:sp modelId="{BDDBDF24-BBCB-49CE-BDBC-9DBD78DD8AD8}">
      <dsp:nvSpPr>
        <dsp:cNvPr id="0" name=""/>
        <dsp:cNvSpPr/>
      </dsp:nvSpPr>
      <dsp:spPr>
        <a:xfrm rot="13741804">
          <a:off x="446935" y="744083"/>
          <a:ext cx="988674" cy="1893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0527EF-A460-4EE9-A7C7-52821DDE4832}">
      <dsp:nvSpPr>
        <dsp:cNvPr id="0" name=""/>
        <dsp:cNvSpPr/>
      </dsp:nvSpPr>
      <dsp:spPr>
        <a:xfrm>
          <a:off x="319622" y="283267"/>
          <a:ext cx="595062" cy="364506"/>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Supply chain</a:t>
          </a:r>
        </a:p>
        <a:p>
          <a:pPr lvl="0" algn="ctr" defTabSz="355600">
            <a:lnSpc>
              <a:spcPct val="90000"/>
            </a:lnSpc>
            <a:spcBef>
              <a:spcPct val="0"/>
            </a:spcBef>
            <a:spcAft>
              <a:spcPct val="35000"/>
            </a:spcAft>
          </a:pPr>
          <a:r>
            <a:rPr lang="en-AU" sz="800" kern="1200">
              <a:latin typeface="Arial Narrow" pitchFamily="34" charset="0"/>
            </a:rPr>
            <a:t>remuneration</a:t>
          </a:r>
        </a:p>
      </dsp:txBody>
      <dsp:txXfrm>
        <a:off x="330298" y="293943"/>
        <a:ext cx="573710" cy="343154"/>
      </dsp:txXfrm>
    </dsp:sp>
    <dsp:sp modelId="{5C48C70C-05C1-41BE-B03B-E8DBC136B9D2}">
      <dsp:nvSpPr>
        <dsp:cNvPr id="0" name=""/>
        <dsp:cNvSpPr/>
      </dsp:nvSpPr>
      <dsp:spPr>
        <a:xfrm rot="15428571">
          <a:off x="896049" y="607373"/>
          <a:ext cx="882675" cy="1893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957900-D4BD-4C71-870F-83648EA4429C}">
      <dsp:nvSpPr>
        <dsp:cNvPr id="0" name=""/>
        <dsp:cNvSpPr/>
      </dsp:nvSpPr>
      <dsp:spPr>
        <a:xfrm>
          <a:off x="954489" y="85734"/>
          <a:ext cx="569382" cy="372108"/>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Co-payment levels</a:t>
          </a:r>
        </a:p>
      </dsp:txBody>
      <dsp:txXfrm>
        <a:off x="965388" y="96633"/>
        <a:ext cx="547584" cy="350310"/>
      </dsp:txXfrm>
    </dsp:sp>
    <dsp:sp modelId="{6DEDCAAE-6869-4DC8-902D-DBD97644343B}">
      <dsp:nvSpPr>
        <dsp:cNvPr id="0" name=""/>
        <dsp:cNvSpPr/>
      </dsp:nvSpPr>
      <dsp:spPr>
        <a:xfrm rot="16971429">
          <a:off x="1263187" y="607373"/>
          <a:ext cx="882675" cy="1893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A79851-92FB-4C4B-BDE7-2778859BD142}">
      <dsp:nvSpPr>
        <dsp:cNvPr id="0" name=""/>
        <dsp:cNvSpPr/>
      </dsp:nvSpPr>
      <dsp:spPr>
        <a:xfrm>
          <a:off x="1570164" y="85734"/>
          <a:ext cx="465135" cy="372108"/>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Price cuts/</a:t>
          </a:r>
          <a:br>
            <a:rPr lang="en-AU" sz="800" kern="1200">
              <a:latin typeface="Arial Narrow" pitchFamily="34" charset="0"/>
            </a:rPr>
          </a:br>
          <a:r>
            <a:rPr lang="en-AU" sz="800" kern="1200">
              <a:latin typeface="Arial Narrow" pitchFamily="34" charset="0"/>
            </a:rPr>
            <a:t>increases</a:t>
          </a:r>
        </a:p>
      </dsp:txBody>
      <dsp:txXfrm>
        <a:off x="1581063" y="96633"/>
        <a:ext cx="443337" cy="350310"/>
      </dsp:txXfrm>
    </dsp:sp>
    <dsp:sp modelId="{D1DC5EB3-D515-409A-88D3-4C43FC5DD7BA}">
      <dsp:nvSpPr>
        <dsp:cNvPr id="0" name=""/>
        <dsp:cNvSpPr/>
      </dsp:nvSpPr>
      <dsp:spPr>
        <a:xfrm rot="18514286">
          <a:off x="1593967" y="766668"/>
          <a:ext cx="882675" cy="1893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7BFA9C-81B2-4B7D-8A9D-B6A4502A62F1}">
      <dsp:nvSpPr>
        <dsp:cNvPr id="0" name=""/>
        <dsp:cNvSpPr/>
      </dsp:nvSpPr>
      <dsp:spPr>
        <a:xfrm>
          <a:off x="2077906" y="330250"/>
          <a:ext cx="465135" cy="372108"/>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PBS Reforms</a:t>
          </a:r>
        </a:p>
      </dsp:txBody>
      <dsp:txXfrm>
        <a:off x="2088805" y="341149"/>
        <a:ext cx="443337" cy="350310"/>
      </dsp:txXfrm>
    </dsp:sp>
    <dsp:sp modelId="{44E3AA3D-7AC9-46E1-B53C-9CBA56990AFE}">
      <dsp:nvSpPr>
        <dsp:cNvPr id="0" name=""/>
        <dsp:cNvSpPr/>
      </dsp:nvSpPr>
      <dsp:spPr>
        <a:xfrm rot="20057143">
          <a:off x="1822873" y="1053708"/>
          <a:ext cx="882675" cy="1893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63F223-738E-493F-B870-8A63C067DCDE}">
      <dsp:nvSpPr>
        <dsp:cNvPr id="0" name=""/>
        <dsp:cNvSpPr/>
      </dsp:nvSpPr>
      <dsp:spPr>
        <a:xfrm>
          <a:off x="2429275" y="770852"/>
          <a:ext cx="465135" cy="372108"/>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PBPA price changes</a:t>
          </a:r>
        </a:p>
      </dsp:txBody>
      <dsp:txXfrm>
        <a:off x="2440174" y="781751"/>
        <a:ext cx="443337" cy="350310"/>
      </dsp:txXfrm>
    </dsp:sp>
    <dsp:sp modelId="{24977DD1-929B-400A-8AD1-38DCA80BFF8C}">
      <dsp:nvSpPr>
        <dsp:cNvPr id="0" name=""/>
        <dsp:cNvSpPr/>
      </dsp:nvSpPr>
      <dsp:spPr>
        <a:xfrm>
          <a:off x="1904569" y="1411640"/>
          <a:ext cx="882675" cy="18937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9C7C95-0B1B-45BE-B571-2965EDF52E3C}">
      <dsp:nvSpPr>
        <dsp:cNvPr id="0" name=""/>
        <dsp:cNvSpPr/>
      </dsp:nvSpPr>
      <dsp:spPr>
        <a:xfrm>
          <a:off x="2554677" y="1320274"/>
          <a:ext cx="465135" cy="372108"/>
        </a:xfrm>
        <a:prstGeom prst="roundRect">
          <a:avLst>
            <a:gd name="adj" fmla="val 10000"/>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WAMTC price changes</a:t>
          </a:r>
        </a:p>
      </dsp:txBody>
      <dsp:txXfrm>
        <a:off x="2565576" y="1331173"/>
        <a:ext cx="443337" cy="3503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3D1099-F0E8-4EFD-A47F-CB3E31719E7C}">
      <dsp:nvSpPr>
        <dsp:cNvPr id="0" name=""/>
        <dsp:cNvSpPr/>
      </dsp:nvSpPr>
      <dsp:spPr>
        <a:xfrm>
          <a:off x="1131923" y="1065738"/>
          <a:ext cx="736527" cy="736527"/>
        </a:xfrm>
        <a:prstGeom prst="ellipse">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AU" sz="1200" kern="1200"/>
            <a:t>Volume</a:t>
          </a:r>
        </a:p>
        <a:p>
          <a:pPr lvl="0" algn="ctr" defTabSz="533400">
            <a:lnSpc>
              <a:spcPct val="90000"/>
            </a:lnSpc>
            <a:spcBef>
              <a:spcPct val="0"/>
            </a:spcBef>
            <a:spcAft>
              <a:spcPct val="35000"/>
            </a:spcAft>
          </a:pPr>
          <a:r>
            <a:rPr lang="en-AU" sz="1200" kern="1200"/>
            <a:t>drivers</a:t>
          </a:r>
        </a:p>
      </dsp:txBody>
      <dsp:txXfrm>
        <a:off x="1239785" y="1173600"/>
        <a:ext cx="520803" cy="520803"/>
      </dsp:txXfrm>
    </dsp:sp>
    <dsp:sp modelId="{F7227ECA-5586-4FCB-8CAB-1AD1719D580E}">
      <dsp:nvSpPr>
        <dsp:cNvPr id="0" name=""/>
        <dsp:cNvSpPr/>
      </dsp:nvSpPr>
      <dsp:spPr>
        <a:xfrm rot="10800000">
          <a:off x="273292" y="1329047"/>
          <a:ext cx="811406" cy="209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9BE9B49-8F58-4B56-B378-BDEC1EDB516A}">
      <dsp:nvSpPr>
        <dsp:cNvPr id="0" name=""/>
        <dsp:cNvSpPr/>
      </dsp:nvSpPr>
      <dsp:spPr>
        <a:xfrm>
          <a:off x="15507" y="1227774"/>
          <a:ext cx="515569" cy="412455"/>
        </a:xfrm>
        <a:prstGeom prst="roundRect">
          <a:avLst>
            <a:gd name="adj" fmla="val 10000"/>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Prescribing patterns</a:t>
          </a:r>
        </a:p>
      </dsp:txBody>
      <dsp:txXfrm>
        <a:off x="27587" y="1239854"/>
        <a:ext cx="491409" cy="388295"/>
      </dsp:txXfrm>
    </dsp:sp>
    <dsp:sp modelId="{E407ABAD-3DA7-4543-9A8A-DE6C4879C44B}">
      <dsp:nvSpPr>
        <dsp:cNvPr id="0" name=""/>
        <dsp:cNvSpPr/>
      </dsp:nvSpPr>
      <dsp:spPr>
        <a:xfrm rot="12600000">
          <a:off x="383311" y="918451"/>
          <a:ext cx="811406" cy="209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9D8A355-ECBB-43C2-AD65-756A6252F764}">
      <dsp:nvSpPr>
        <dsp:cNvPr id="0" name=""/>
        <dsp:cNvSpPr/>
      </dsp:nvSpPr>
      <dsp:spPr>
        <a:xfrm>
          <a:off x="179880" y="614327"/>
          <a:ext cx="515569" cy="412455"/>
        </a:xfrm>
        <a:prstGeom prst="roundRect">
          <a:avLst>
            <a:gd name="adj" fmla="val 10000"/>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Diagnosis rates</a:t>
          </a:r>
        </a:p>
      </dsp:txBody>
      <dsp:txXfrm>
        <a:off x="191960" y="626407"/>
        <a:ext cx="491409" cy="388295"/>
      </dsp:txXfrm>
    </dsp:sp>
    <dsp:sp modelId="{76E7EDFC-FDAD-45B2-89B3-51725DE40DEB}">
      <dsp:nvSpPr>
        <dsp:cNvPr id="0" name=""/>
        <dsp:cNvSpPr/>
      </dsp:nvSpPr>
      <dsp:spPr>
        <a:xfrm rot="14400000">
          <a:off x="683888" y="617874"/>
          <a:ext cx="811406" cy="209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4A3B45-33C4-4480-A6EF-CC3B13826940}">
      <dsp:nvSpPr>
        <dsp:cNvPr id="0" name=""/>
        <dsp:cNvSpPr/>
      </dsp:nvSpPr>
      <dsp:spPr>
        <a:xfrm>
          <a:off x="628955" y="165252"/>
          <a:ext cx="515569" cy="412455"/>
        </a:xfrm>
        <a:prstGeom prst="roundRect">
          <a:avLst>
            <a:gd name="adj" fmla="val 10000"/>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Disease prevelance</a:t>
          </a:r>
        </a:p>
      </dsp:txBody>
      <dsp:txXfrm>
        <a:off x="641035" y="177332"/>
        <a:ext cx="491409" cy="388295"/>
      </dsp:txXfrm>
    </dsp:sp>
    <dsp:sp modelId="{BDDBDF24-BBCB-49CE-BDBC-9DBD78DD8AD8}">
      <dsp:nvSpPr>
        <dsp:cNvPr id="0" name=""/>
        <dsp:cNvSpPr/>
      </dsp:nvSpPr>
      <dsp:spPr>
        <a:xfrm rot="16200000">
          <a:off x="1094484" y="507855"/>
          <a:ext cx="811406" cy="209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F0527EF-A460-4EE9-A7C7-52821DDE4832}">
      <dsp:nvSpPr>
        <dsp:cNvPr id="0" name=""/>
        <dsp:cNvSpPr/>
      </dsp:nvSpPr>
      <dsp:spPr>
        <a:xfrm>
          <a:off x="1242402" y="879"/>
          <a:ext cx="515569" cy="412455"/>
        </a:xfrm>
        <a:prstGeom prst="roundRect">
          <a:avLst>
            <a:gd name="adj" fmla="val 10000"/>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Ageing population</a:t>
          </a:r>
        </a:p>
      </dsp:txBody>
      <dsp:txXfrm>
        <a:off x="1254482" y="12959"/>
        <a:ext cx="491409" cy="388295"/>
      </dsp:txXfrm>
    </dsp:sp>
    <dsp:sp modelId="{5C48C70C-05C1-41BE-B03B-E8DBC136B9D2}">
      <dsp:nvSpPr>
        <dsp:cNvPr id="0" name=""/>
        <dsp:cNvSpPr/>
      </dsp:nvSpPr>
      <dsp:spPr>
        <a:xfrm rot="18000000">
          <a:off x="1505080" y="617874"/>
          <a:ext cx="811406" cy="209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957900-D4BD-4C71-870F-83648EA4429C}">
      <dsp:nvSpPr>
        <dsp:cNvPr id="0" name=""/>
        <dsp:cNvSpPr/>
      </dsp:nvSpPr>
      <dsp:spPr>
        <a:xfrm>
          <a:off x="1855850" y="165252"/>
          <a:ext cx="515569" cy="412455"/>
        </a:xfrm>
        <a:prstGeom prst="roundRect">
          <a:avLst>
            <a:gd name="adj" fmla="val 10000"/>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Co-payment levels</a:t>
          </a:r>
        </a:p>
      </dsp:txBody>
      <dsp:txXfrm>
        <a:off x="1867930" y="177332"/>
        <a:ext cx="491409" cy="388295"/>
      </dsp:txXfrm>
    </dsp:sp>
    <dsp:sp modelId="{E48747C3-ABDA-4DC7-A9B8-0C4948930CA7}">
      <dsp:nvSpPr>
        <dsp:cNvPr id="0" name=""/>
        <dsp:cNvSpPr/>
      </dsp:nvSpPr>
      <dsp:spPr>
        <a:xfrm rot="19800000">
          <a:off x="1805657" y="918451"/>
          <a:ext cx="811406" cy="209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F85E2D-79C2-415F-86DB-A0BC9F40B6F8}">
      <dsp:nvSpPr>
        <dsp:cNvPr id="0" name=""/>
        <dsp:cNvSpPr/>
      </dsp:nvSpPr>
      <dsp:spPr>
        <a:xfrm>
          <a:off x="2304925" y="614327"/>
          <a:ext cx="515569" cy="412455"/>
        </a:xfrm>
        <a:prstGeom prst="roundRect">
          <a:avLst>
            <a:gd name="adj" fmla="val 10000"/>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PBS restrictions</a:t>
          </a:r>
        </a:p>
      </dsp:txBody>
      <dsp:txXfrm>
        <a:off x="2317005" y="626407"/>
        <a:ext cx="491409" cy="388295"/>
      </dsp:txXfrm>
    </dsp:sp>
    <dsp:sp modelId="{6DEDCAAE-6869-4DC8-902D-DBD97644343B}">
      <dsp:nvSpPr>
        <dsp:cNvPr id="0" name=""/>
        <dsp:cNvSpPr/>
      </dsp:nvSpPr>
      <dsp:spPr>
        <a:xfrm>
          <a:off x="1915676" y="1329047"/>
          <a:ext cx="811406" cy="209910"/>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A79851-92FB-4C4B-BDE7-2778859BD142}">
      <dsp:nvSpPr>
        <dsp:cNvPr id="0" name=""/>
        <dsp:cNvSpPr/>
      </dsp:nvSpPr>
      <dsp:spPr>
        <a:xfrm>
          <a:off x="2469297" y="1227774"/>
          <a:ext cx="515569" cy="412455"/>
        </a:xfrm>
        <a:prstGeom prst="roundRect">
          <a:avLst>
            <a:gd name="adj" fmla="val 10000"/>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en-AU" sz="800" kern="1200">
              <a:latin typeface="Arial Narrow" pitchFamily="34" charset="0"/>
            </a:rPr>
            <a:t>Patient compliance</a:t>
          </a:r>
        </a:p>
      </dsp:txBody>
      <dsp:txXfrm>
        <a:off x="2481377" y="1239854"/>
        <a:ext cx="491409" cy="3882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AF20D4-D44E-4A1D-B514-22464176E152}">
      <dsp:nvSpPr>
        <dsp:cNvPr id="0" name=""/>
        <dsp:cNvSpPr/>
      </dsp:nvSpPr>
      <dsp:spPr>
        <a:xfrm>
          <a:off x="2372" y="0"/>
          <a:ext cx="2380601" cy="883920"/>
        </a:xfrm>
        <a:prstGeom prst="homePlate">
          <a:avLst/>
        </a:prstGeom>
        <a:solidFill>
          <a:schemeClr val="bg2">
            <a:lumMod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346" tIns="50673" rIns="25337" bIns="50673" numCol="1" spcCol="1270" anchor="ctr" anchorCtr="0">
          <a:noAutofit/>
        </a:bodyPr>
        <a:lstStyle/>
        <a:p>
          <a:pPr lvl="0" algn="ctr" defTabSz="844550">
            <a:lnSpc>
              <a:spcPct val="90000"/>
            </a:lnSpc>
            <a:spcBef>
              <a:spcPct val="0"/>
            </a:spcBef>
            <a:spcAft>
              <a:spcPct val="35000"/>
            </a:spcAft>
          </a:pPr>
          <a:r>
            <a:rPr lang="en-AU" sz="1900" kern="1200"/>
            <a:t>Identification</a:t>
          </a:r>
        </a:p>
      </dsp:txBody>
      <dsp:txXfrm>
        <a:off x="2372" y="0"/>
        <a:ext cx="2159621" cy="883920"/>
      </dsp:txXfrm>
    </dsp:sp>
    <dsp:sp modelId="{A47B21EE-A8E1-4FCF-8CAB-3F24779806C6}">
      <dsp:nvSpPr>
        <dsp:cNvPr id="0" name=""/>
        <dsp:cNvSpPr/>
      </dsp:nvSpPr>
      <dsp:spPr>
        <a:xfrm>
          <a:off x="1906853" y="0"/>
          <a:ext cx="2380601" cy="883920"/>
        </a:xfrm>
        <a:prstGeom prst="chevron">
          <a:avLst/>
        </a:prstGeom>
        <a:solidFill>
          <a:schemeClr val="tx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010" tIns="50673" rIns="25337" bIns="50673" numCol="1" spcCol="1270" anchor="ctr" anchorCtr="0">
          <a:noAutofit/>
        </a:bodyPr>
        <a:lstStyle/>
        <a:p>
          <a:pPr lvl="0" algn="ctr" defTabSz="844550">
            <a:lnSpc>
              <a:spcPct val="90000"/>
            </a:lnSpc>
            <a:spcBef>
              <a:spcPct val="0"/>
            </a:spcBef>
            <a:spcAft>
              <a:spcPct val="35000"/>
            </a:spcAft>
          </a:pPr>
          <a:r>
            <a:rPr lang="en-AU" sz="1900" kern="1200"/>
            <a:t>Selection</a:t>
          </a:r>
        </a:p>
      </dsp:txBody>
      <dsp:txXfrm>
        <a:off x="2348813" y="0"/>
        <a:ext cx="1496681" cy="883920"/>
      </dsp:txXfrm>
    </dsp:sp>
    <dsp:sp modelId="{363CA5EF-AFB3-4694-B100-55750505BECA}">
      <dsp:nvSpPr>
        <dsp:cNvPr id="0" name=""/>
        <dsp:cNvSpPr/>
      </dsp:nvSpPr>
      <dsp:spPr>
        <a:xfrm>
          <a:off x="3811334" y="0"/>
          <a:ext cx="2380601" cy="883920"/>
        </a:xfrm>
        <a:prstGeom prst="chevron">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010" tIns="50673" rIns="25337" bIns="50673" numCol="1" spcCol="1270" anchor="ctr" anchorCtr="0">
          <a:noAutofit/>
        </a:bodyPr>
        <a:lstStyle/>
        <a:p>
          <a:pPr lvl="0" algn="ctr" defTabSz="844550">
            <a:lnSpc>
              <a:spcPct val="90000"/>
            </a:lnSpc>
            <a:spcBef>
              <a:spcPct val="0"/>
            </a:spcBef>
            <a:spcAft>
              <a:spcPct val="35000"/>
            </a:spcAft>
          </a:pPr>
          <a:r>
            <a:rPr lang="en-AU" sz="1900" kern="1200"/>
            <a:t>Assessment</a:t>
          </a:r>
        </a:p>
      </dsp:txBody>
      <dsp:txXfrm>
        <a:off x="4253294" y="0"/>
        <a:ext cx="1496681" cy="883920"/>
      </dsp:txXfrm>
    </dsp:sp>
    <dsp:sp modelId="{8E896EF5-BAD2-4C69-A209-97FE278F2CAB}">
      <dsp:nvSpPr>
        <dsp:cNvPr id="0" name=""/>
        <dsp:cNvSpPr/>
      </dsp:nvSpPr>
      <dsp:spPr>
        <a:xfrm>
          <a:off x="5715815" y="0"/>
          <a:ext cx="2380601" cy="883920"/>
        </a:xfrm>
        <a:prstGeom prst="chevron">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010" tIns="50673" rIns="25337" bIns="50673" numCol="1" spcCol="1270" anchor="ctr" anchorCtr="0">
          <a:noAutofit/>
        </a:bodyPr>
        <a:lstStyle/>
        <a:p>
          <a:pPr lvl="0" algn="ctr" defTabSz="844550">
            <a:lnSpc>
              <a:spcPct val="90000"/>
            </a:lnSpc>
            <a:spcBef>
              <a:spcPct val="0"/>
            </a:spcBef>
            <a:spcAft>
              <a:spcPct val="35000"/>
            </a:spcAft>
          </a:pPr>
          <a:r>
            <a:rPr lang="en-AU" sz="1900" kern="1200"/>
            <a:t>Dissemination</a:t>
          </a:r>
        </a:p>
      </dsp:txBody>
      <dsp:txXfrm>
        <a:off x="6157775" y="0"/>
        <a:ext cx="1496681" cy="88392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D1CED-BD47-4089-8855-7FC0961D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69</Pages>
  <Words>17631</Words>
  <Characters>106835</Characters>
  <Application>Microsoft Office Word</Application>
  <DocSecurity>0</DocSecurity>
  <Lines>890</Lines>
  <Paragraphs>248</Paragraphs>
  <ScaleCrop>false</ScaleCrop>
  <HeadingPairs>
    <vt:vector size="2" baseType="variant">
      <vt:variant>
        <vt:lpstr>Title</vt:lpstr>
      </vt:variant>
      <vt:variant>
        <vt:i4>1</vt:i4>
      </vt:variant>
    </vt:vector>
  </HeadingPairs>
  <TitlesOfParts>
    <vt:vector size="1" baseType="lpstr">
      <vt:lpstr>DoHA-MA joint monitoring report on</vt:lpstr>
    </vt:vector>
  </TitlesOfParts>
  <LinksUpToDate>false</LinksUpToDate>
  <CharactersWithSpaces>124218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2013-05-24T03:56:00Z</cp:lastPrinted>
  <dcterms:created xsi:type="dcterms:W3CDTF">2013-05-24T06:18:00Z</dcterms:created>
  <dcterms:modified xsi:type="dcterms:W3CDTF">2013-05-24T06:18:00Z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