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37FA2" w14:textId="77777777" w:rsidR="00704EF3" w:rsidRPr="005B5D2A" w:rsidRDefault="00704EF3" w:rsidP="00704EF3">
      <w:pPr>
        <w:pStyle w:val="Titlepage"/>
        <w:spacing w:before="3240"/>
      </w:pPr>
      <w:bookmarkStart w:id="0" w:name="_Toc473291136"/>
      <w:r w:rsidRPr="005B5D2A">
        <w:t>Pharmaceutical Benefits Scheme</w:t>
      </w:r>
    </w:p>
    <w:p w14:paraId="0684415F" w14:textId="10C8E72F" w:rsidR="00704EF3" w:rsidRPr="005B5D2A" w:rsidRDefault="00704EF3" w:rsidP="00704EF3">
      <w:pPr>
        <w:pStyle w:val="Titlepage"/>
        <w:spacing w:before="200"/>
        <w:rPr>
          <w:b/>
        </w:rPr>
      </w:pPr>
      <w:r w:rsidRPr="005B5D2A">
        <w:rPr>
          <w:b/>
        </w:rPr>
        <w:t>Post-market Review</w:t>
      </w:r>
      <w:r w:rsidR="00062C09">
        <w:rPr>
          <w:b/>
        </w:rPr>
        <w:t xml:space="preserve"> of</w:t>
      </w:r>
    </w:p>
    <w:p w14:paraId="1ACC92FC" w14:textId="77777777" w:rsidR="00704EF3" w:rsidRDefault="00704EF3" w:rsidP="00704EF3">
      <w:pPr>
        <w:pStyle w:val="Titlepage"/>
        <w:spacing w:before="200"/>
        <w:rPr>
          <w:b/>
          <w:color w:val="4F81BD"/>
        </w:rPr>
      </w:pPr>
      <w:r w:rsidRPr="00194011">
        <w:rPr>
          <w:b/>
          <w:color w:val="4F81BD"/>
        </w:rPr>
        <w:t>Chronic Obstructive Pulmonary Disease Medicines</w:t>
      </w:r>
    </w:p>
    <w:p w14:paraId="352F8D3D" w14:textId="7B677B59" w:rsidR="00704EF3" w:rsidRPr="00194011" w:rsidRDefault="00704EF3" w:rsidP="00704EF3">
      <w:pPr>
        <w:pStyle w:val="Titlepage"/>
        <w:spacing w:before="200"/>
        <w:rPr>
          <w:b/>
          <w:color w:val="4F81BD"/>
        </w:rPr>
      </w:pPr>
      <w:proofErr w:type="spellStart"/>
      <w:r>
        <w:rPr>
          <w:b/>
          <w:color w:val="4F81BD"/>
        </w:rPr>
        <w:t>ToR</w:t>
      </w:r>
      <w:proofErr w:type="spellEnd"/>
      <w:r>
        <w:rPr>
          <w:b/>
          <w:color w:val="4F81BD"/>
        </w:rPr>
        <w:t xml:space="preserve"> 5</w:t>
      </w:r>
    </w:p>
    <w:p w14:paraId="7C4A1FC5" w14:textId="06FBAD26" w:rsidR="00704EF3" w:rsidRPr="00194011" w:rsidRDefault="00963E63" w:rsidP="00704EF3">
      <w:pPr>
        <w:pStyle w:val="Titlepage"/>
        <w:spacing w:before="3120"/>
        <w:rPr>
          <w:b/>
          <w:color w:val="4F81BD"/>
          <w:sz w:val="32"/>
          <w:szCs w:val="32"/>
        </w:rPr>
      </w:pPr>
      <w:r>
        <w:rPr>
          <w:b/>
          <w:color w:val="4F81BD"/>
          <w:sz w:val="32"/>
          <w:szCs w:val="32"/>
        </w:rPr>
        <w:t>Final</w:t>
      </w:r>
      <w:r w:rsidR="00704EF3" w:rsidRPr="00194011">
        <w:rPr>
          <w:b/>
          <w:color w:val="4F81BD"/>
          <w:sz w:val="32"/>
          <w:szCs w:val="32"/>
        </w:rPr>
        <w:t xml:space="preserve"> Report</w:t>
      </w:r>
    </w:p>
    <w:p w14:paraId="42B1B4C3" w14:textId="33D2ACBC" w:rsidR="00704EF3" w:rsidRDefault="002F450F" w:rsidP="00704EF3">
      <w:pPr>
        <w:pStyle w:val="Titlepage"/>
        <w:spacing w:before="3120"/>
        <w:rPr>
          <w:b/>
          <w:sz w:val="32"/>
          <w:szCs w:val="32"/>
        </w:rPr>
        <w:sectPr w:rsidR="00704EF3" w:rsidSect="00704EF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pgNumType w:fmt="lowerRoman" w:start="1"/>
          <w:cols w:space="708"/>
          <w:titlePg/>
          <w:docGrid w:linePitch="360"/>
        </w:sectPr>
      </w:pPr>
      <w:r>
        <w:rPr>
          <w:b/>
          <w:sz w:val="32"/>
          <w:szCs w:val="32"/>
        </w:rPr>
        <w:t>August</w:t>
      </w:r>
      <w:bookmarkStart w:id="1" w:name="_GoBack"/>
      <w:bookmarkEnd w:id="1"/>
      <w:r w:rsidR="00704EF3">
        <w:rPr>
          <w:b/>
          <w:sz w:val="32"/>
          <w:szCs w:val="32"/>
        </w:rPr>
        <w:t xml:space="preserve"> 2017</w:t>
      </w:r>
    </w:p>
    <w:p w14:paraId="367081C5" w14:textId="77777777" w:rsidR="00704EF3" w:rsidRPr="00A865FF" w:rsidRDefault="00704EF3" w:rsidP="00DA6395">
      <w:pPr>
        <w:pStyle w:val="Heading2"/>
      </w:pPr>
      <w:r w:rsidRPr="007C6357">
        <w:lastRenderedPageBreak/>
        <w:t>Contents</w:t>
      </w:r>
    </w:p>
    <w:p w14:paraId="1DFBCB85" w14:textId="77777777" w:rsidR="0019085B" w:rsidRDefault="00704EF3">
      <w:pPr>
        <w:pStyle w:val="TOC1"/>
        <w:rPr>
          <w:rFonts w:asciiTheme="minorHAnsi" w:eastAsiaTheme="minorEastAsia" w:hAnsiTheme="minorHAnsi" w:cstheme="minorBidi"/>
          <w:sz w:val="22"/>
          <w:szCs w:val="22"/>
          <w:lang w:eastAsia="en-AU"/>
        </w:rPr>
      </w:pPr>
      <w:r>
        <w:fldChar w:fldCharType="begin"/>
      </w:r>
      <w:r>
        <w:instrText xml:space="preserve"> TOC \o "1-3" \h \z \u </w:instrText>
      </w:r>
      <w:r>
        <w:fldChar w:fldCharType="separate"/>
      </w:r>
      <w:hyperlink w:anchor="_Toc486231774" w:history="1">
        <w:r w:rsidR="0019085B" w:rsidRPr="00FC2506">
          <w:rPr>
            <w:rStyle w:val="Hyperlink"/>
            <w:rFonts w:eastAsia="Times New Roman"/>
          </w:rPr>
          <w:t>Section 5: ToR5 COPD Medicines Utilisation analysis</w:t>
        </w:r>
        <w:r w:rsidR="0019085B">
          <w:rPr>
            <w:webHidden/>
          </w:rPr>
          <w:tab/>
        </w:r>
        <w:r w:rsidR="0019085B">
          <w:rPr>
            <w:webHidden/>
          </w:rPr>
          <w:fldChar w:fldCharType="begin"/>
        </w:r>
        <w:r w:rsidR="0019085B">
          <w:rPr>
            <w:webHidden/>
          </w:rPr>
          <w:instrText xml:space="preserve"> PAGEREF _Toc486231774 \h </w:instrText>
        </w:r>
        <w:r w:rsidR="0019085B">
          <w:rPr>
            <w:webHidden/>
          </w:rPr>
        </w:r>
        <w:r w:rsidR="0019085B">
          <w:rPr>
            <w:webHidden/>
          </w:rPr>
          <w:fldChar w:fldCharType="separate"/>
        </w:r>
        <w:r w:rsidR="00DA6395">
          <w:rPr>
            <w:webHidden/>
          </w:rPr>
          <w:t>4</w:t>
        </w:r>
        <w:r w:rsidR="0019085B">
          <w:rPr>
            <w:webHidden/>
          </w:rPr>
          <w:fldChar w:fldCharType="end"/>
        </w:r>
      </w:hyperlink>
    </w:p>
    <w:p w14:paraId="5FBB8009" w14:textId="77777777" w:rsidR="0019085B" w:rsidRDefault="002F450F">
      <w:pPr>
        <w:pStyle w:val="TOC2"/>
        <w:rPr>
          <w:rFonts w:asciiTheme="minorHAnsi" w:eastAsiaTheme="minorEastAsia" w:hAnsiTheme="minorHAnsi" w:cstheme="minorBidi"/>
          <w:noProof/>
          <w:sz w:val="22"/>
          <w:szCs w:val="22"/>
          <w:lang w:eastAsia="en-AU"/>
        </w:rPr>
      </w:pPr>
      <w:hyperlink w:anchor="_Toc486231775" w:history="1">
        <w:r w:rsidR="0019085B" w:rsidRPr="00FC2506">
          <w:rPr>
            <w:rStyle w:val="Hyperlink"/>
            <w:noProof/>
          </w:rPr>
          <w:t>5.1</w:t>
        </w:r>
        <w:r w:rsidR="0019085B">
          <w:rPr>
            <w:rFonts w:asciiTheme="minorHAnsi" w:eastAsiaTheme="minorEastAsia" w:hAnsiTheme="minorHAnsi" w:cstheme="minorBidi"/>
            <w:noProof/>
            <w:sz w:val="22"/>
            <w:szCs w:val="22"/>
            <w:lang w:eastAsia="en-AU"/>
          </w:rPr>
          <w:tab/>
        </w:r>
        <w:r w:rsidR="0019085B" w:rsidRPr="00FC2506">
          <w:rPr>
            <w:rStyle w:val="Hyperlink"/>
            <w:noProof/>
          </w:rPr>
          <w:t>Key findings for ToR 5</w:t>
        </w:r>
        <w:r w:rsidR="0019085B">
          <w:rPr>
            <w:noProof/>
            <w:webHidden/>
          </w:rPr>
          <w:tab/>
        </w:r>
        <w:r w:rsidR="0019085B">
          <w:rPr>
            <w:noProof/>
            <w:webHidden/>
          </w:rPr>
          <w:fldChar w:fldCharType="begin"/>
        </w:r>
        <w:r w:rsidR="0019085B">
          <w:rPr>
            <w:noProof/>
            <w:webHidden/>
          </w:rPr>
          <w:instrText xml:space="preserve"> PAGEREF _Toc486231775 \h </w:instrText>
        </w:r>
        <w:r w:rsidR="0019085B">
          <w:rPr>
            <w:noProof/>
            <w:webHidden/>
          </w:rPr>
        </w:r>
        <w:r w:rsidR="0019085B">
          <w:rPr>
            <w:noProof/>
            <w:webHidden/>
          </w:rPr>
          <w:fldChar w:fldCharType="separate"/>
        </w:r>
        <w:r w:rsidR="00DA6395">
          <w:rPr>
            <w:noProof/>
            <w:webHidden/>
          </w:rPr>
          <w:t>4</w:t>
        </w:r>
        <w:r w:rsidR="0019085B">
          <w:rPr>
            <w:noProof/>
            <w:webHidden/>
          </w:rPr>
          <w:fldChar w:fldCharType="end"/>
        </w:r>
      </w:hyperlink>
    </w:p>
    <w:p w14:paraId="372BC77D" w14:textId="77777777" w:rsidR="0019085B" w:rsidRDefault="002F450F">
      <w:pPr>
        <w:pStyle w:val="TOC3"/>
        <w:rPr>
          <w:rFonts w:asciiTheme="minorHAnsi" w:eastAsiaTheme="minorEastAsia" w:hAnsiTheme="minorHAnsi" w:cstheme="minorBidi"/>
          <w:noProof/>
          <w:sz w:val="22"/>
          <w:szCs w:val="22"/>
          <w:lang w:eastAsia="en-AU"/>
        </w:rPr>
      </w:pPr>
      <w:hyperlink w:anchor="_Toc486231776" w:history="1">
        <w:r w:rsidR="0019085B" w:rsidRPr="00FC2506">
          <w:rPr>
            <w:rStyle w:val="Hyperlink"/>
            <w:noProof/>
          </w:rPr>
          <w:t>Utilisation analysis of PBS/RPBS claims data</w:t>
        </w:r>
        <w:r w:rsidR="0019085B">
          <w:rPr>
            <w:noProof/>
            <w:webHidden/>
          </w:rPr>
          <w:tab/>
        </w:r>
        <w:r w:rsidR="0019085B">
          <w:rPr>
            <w:noProof/>
            <w:webHidden/>
          </w:rPr>
          <w:fldChar w:fldCharType="begin"/>
        </w:r>
        <w:r w:rsidR="0019085B">
          <w:rPr>
            <w:noProof/>
            <w:webHidden/>
          </w:rPr>
          <w:instrText xml:space="preserve"> PAGEREF _Toc486231776 \h </w:instrText>
        </w:r>
        <w:r w:rsidR="0019085B">
          <w:rPr>
            <w:noProof/>
            <w:webHidden/>
          </w:rPr>
        </w:r>
        <w:r w:rsidR="0019085B">
          <w:rPr>
            <w:noProof/>
            <w:webHidden/>
          </w:rPr>
          <w:fldChar w:fldCharType="separate"/>
        </w:r>
        <w:r w:rsidR="00DA6395">
          <w:rPr>
            <w:noProof/>
            <w:webHidden/>
          </w:rPr>
          <w:t>4</w:t>
        </w:r>
        <w:r w:rsidR="0019085B">
          <w:rPr>
            <w:noProof/>
            <w:webHidden/>
          </w:rPr>
          <w:fldChar w:fldCharType="end"/>
        </w:r>
      </w:hyperlink>
    </w:p>
    <w:p w14:paraId="2590E7AB" w14:textId="77777777" w:rsidR="0019085B" w:rsidRDefault="002F450F">
      <w:pPr>
        <w:pStyle w:val="TOC3"/>
        <w:rPr>
          <w:rFonts w:asciiTheme="minorHAnsi" w:eastAsiaTheme="minorEastAsia" w:hAnsiTheme="minorHAnsi" w:cstheme="minorBidi"/>
          <w:noProof/>
          <w:sz w:val="22"/>
          <w:szCs w:val="22"/>
          <w:lang w:eastAsia="en-AU"/>
        </w:rPr>
      </w:pPr>
      <w:hyperlink w:anchor="_Toc486231777" w:history="1">
        <w:r w:rsidR="0019085B" w:rsidRPr="00FC2506">
          <w:rPr>
            <w:rStyle w:val="Hyperlink"/>
            <w:noProof/>
          </w:rPr>
          <w:t>MedicineInsight data analysis</w:t>
        </w:r>
        <w:r w:rsidR="0019085B">
          <w:rPr>
            <w:noProof/>
            <w:webHidden/>
          </w:rPr>
          <w:tab/>
        </w:r>
        <w:r w:rsidR="0019085B">
          <w:rPr>
            <w:noProof/>
            <w:webHidden/>
          </w:rPr>
          <w:fldChar w:fldCharType="begin"/>
        </w:r>
        <w:r w:rsidR="0019085B">
          <w:rPr>
            <w:noProof/>
            <w:webHidden/>
          </w:rPr>
          <w:instrText xml:space="preserve"> PAGEREF _Toc486231777 \h </w:instrText>
        </w:r>
        <w:r w:rsidR="0019085B">
          <w:rPr>
            <w:noProof/>
            <w:webHidden/>
          </w:rPr>
        </w:r>
        <w:r w:rsidR="0019085B">
          <w:rPr>
            <w:noProof/>
            <w:webHidden/>
          </w:rPr>
          <w:fldChar w:fldCharType="separate"/>
        </w:r>
        <w:r w:rsidR="00DA6395">
          <w:rPr>
            <w:noProof/>
            <w:webHidden/>
          </w:rPr>
          <w:t>4</w:t>
        </w:r>
        <w:r w:rsidR="0019085B">
          <w:rPr>
            <w:noProof/>
            <w:webHidden/>
          </w:rPr>
          <w:fldChar w:fldCharType="end"/>
        </w:r>
      </w:hyperlink>
    </w:p>
    <w:p w14:paraId="43145C1E" w14:textId="77777777" w:rsidR="0019085B" w:rsidRDefault="002F450F">
      <w:pPr>
        <w:pStyle w:val="TOC3"/>
        <w:rPr>
          <w:rFonts w:asciiTheme="minorHAnsi" w:eastAsiaTheme="minorEastAsia" w:hAnsiTheme="minorHAnsi" w:cstheme="minorBidi"/>
          <w:noProof/>
          <w:sz w:val="22"/>
          <w:szCs w:val="22"/>
          <w:lang w:eastAsia="en-AU"/>
        </w:rPr>
      </w:pPr>
      <w:hyperlink w:anchor="_Toc486231778" w:history="1">
        <w:r w:rsidR="0019085B" w:rsidRPr="00FC2506">
          <w:rPr>
            <w:rStyle w:val="Hyperlink"/>
            <w:noProof/>
          </w:rPr>
          <w:t>Stakeholder Views (Forum and Public Consultation)</w:t>
        </w:r>
        <w:r w:rsidR="0019085B">
          <w:rPr>
            <w:noProof/>
            <w:webHidden/>
          </w:rPr>
          <w:tab/>
        </w:r>
        <w:r w:rsidR="0019085B">
          <w:rPr>
            <w:noProof/>
            <w:webHidden/>
          </w:rPr>
          <w:fldChar w:fldCharType="begin"/>
        </w:r>
        <w:r w:rsidR="0019085B">
          <w:rPr>
            <w:noProof/>
            <w:webHidden/>
          </w:rPr>
          <w:instrText xml:space="preserve"> PAGEREF _Toc486231778 \h </w:instrText>
        </w:r>
        <w:r w:rsidR="0019085B">
          <w:rPr>
            <w:noProof/>
            <w:webHidden/>
          </w:rPr>
        </w:r>
        <w:r w:rsidR="0019085B">
          <w:rPr>
            <w:noProof/>
            <w:webHidden/>
          </w:rPr>
          <w:fldChar w:fldCharType="separate"/>
        </w:r>
        <w:r w:rsidR="00DA6395">
          <w:rPr>
            <w:noProof/>
            <w:webHidden/>
          </w:rPr>
          <w:t>5</w:t>
        </w:r>
        <w:r w:rsidR="0019085B">
          <w:rPr>
            <w:noProof/>
            <w:webHidden/>
          </w:rPr>
          <w:fldChar w:fldCharType="end"/>
        </w:r>
      </w:hyperlink>
    </w:p>
    <w:p w14:paraId="7F1ED24C" w14:textId="77777777" w:rsidR="0019085B" w:rsidRDefault="002F450F">
      <w:pPr>
        <w:pStyle w:val="TOC2"/>
        <w:rPr>
          <w:rFonts w:asciiTheme="minorHAnsi" w:eastAsiaTheme="minorEastAsia" w:hAnsiTheme="minorHAnsi" w:cstheme="minorBidi"/>
          <w:noProof/>
          <w:sz w:val="22"/>
          <w:szCs w:val="22"/>
          <w:lang w:eastAsia="en-AU"/>
        </w:rPr>
      </w:pPr>
      <w:hyperlink w:anchor="_Toc486231779" w:history="1">
        <w:r w:rsidR="0019085B" w:rsidRPr="00FC2506">
          <w:rPr>
            <w:rStyle w:val="Hyperlink"/>
            <w:noProof/>
          </w:rPr>
          <w:t>5.2</w:t>
        </w:r>
        <w:r w:rsidR="0019085B">
          <w:rPr>
            <w:rFonts w:asciiTheme="minorHAnsi" w:eastAsiaTheme="minorEastAsia" w:hAnsiTheme="minorHAnsi" w:cstheme="minorBidi"/>
            <w:noProof/>
            <w:sz w:val="22"/>
            <w:szCs w:val="22"/>
            <w:lang w:eastAsia="en-AU"/>
          </w:rPr>
          <w:tab/>
        </w:r>
        <w:r w:rsidR="0019085B" w:rsidRPr="00FC2506">
          <w:rPr>
            <w:rStyle w:val="Hyperlink"/>
            <w:noProof/>
          </w:rPr>
          <w:t>Introduction</w:t>
        </w:r>
        <w:r w:rsidR="0019085B">
          <w:rPr>
            <w:noProof/>
            <w:webHidden/>
          </w:rPr>
          <w:tab/>
        </w:r>
        <w:r w:rsidR="0019085B">
          <w:rPr>
            <w:noProof/>
            <w:webHidden/>
          </w:rPr>
          <w:fldChar w:fldCharType="begin"/>
        </w:r>
        <w:r w:rsidR="0019085B">
          <w:rPr>
            <w:noProof/>
            <w:webHidden/>
          </w:rPr>
          <w:instrText xml:space="preserve"> PAGEREF _Toc486231779 \h </w:instrText>
        </w:r>
        <w:r w:rsidR="0019085B">
          <w:rPr>
            <w:noProof/>
            <w:webHidden/>
          </w:rPr>
        </w:r>
        <w:r w:rsidR="0019085B">
          <w:rPr>
            <w:noProof/>
            <w:webHidden/>
          </w:rPr>
          <w:fldChar w:fldCharType="separate"/>
        </w:r>
        <w:r w:rsidR="00DA6395">
          <w:rPr>
            <w:noProof/>
            <w:webHidden/>
          </w:rPr>
          <w:t>6</w:t>
        </w:r>
        <w:r w:rsidR="0019085B">
          <w:rPr>
            <w:noProof/>
            <w:webHidden/>
          </w:rPr>
          <w:fldChar w:fldCharType="end"/>
        </w:r>
      </w:hyperlink>
    </w:p>
    <w:p w14:paraId="5C76A0EC" w14:textId="77777777" w:rsidR="0019085B" w:rsidRDefault="002F450F">
      <w:pPr>
        <w:pStyle w:val="TOC2"/>
        <w:rPr>
          <w:rFonts w:asciiTheme="minorHAnsi" w:eastAsiaTheme="minorEastAsia" w:hAnsiTheme="minorHAnsi" w:cstheme="minorBidi"/>
          <w:noProof/>
          <w:sz w:val="22"/>
          <w:szCs w:val="22"/>
          <w:lang w:eastAsia="en-AU"/>
        </w:rPr>
      </w:pPr>
      <w:hyperlink w:anchor="_Toc486231780" w:history="1">
        <w:r w:rsidR="0019085B" w:rsidRPr="00FC2506">
          <w:rPr>
            <w:rStyle w:val="Hyperlink"/>
            <w:noProof/>
          </w:rPr>
          <w:t>5.3</w:t>
        </w:r>
        <w:r w:rsidR="0019085B">
          <w:rPr>
            <w:rFonts w:asciiTheme="minorHAnsi" w:eastAsiaTheme="minorEastAsia" w:hAnsiTheme="minorHAnsi" w:cstheme="minorBidi"/>
            <w:noProof/>
            <w:sz w:val="22"/>
            <w:szCs w:val="22"/>
            <w:lang w:eastAsia="en-AU"/>
          </w:rPr>
          <w:tab/>
        </w:r>
        <w:r w:rsidR="0019085B" w:rsidRPr="00FC2506">
          <w:rPr>
            <w:rStyle w:val="Hyperlink"/>
            <w:noProof/>
          </w:rPr>
          <w:t>PBS/RPBS claims data sources and limitations</w:t>
        </w:r>
        <w:r w:rsidR="0019085B">
          <w:rPr>
            <w:noProof/>
            <w:webHidden/>
          </w:rPr>
          <w:tab/>
        </w:r>
        <w:r w:rsidR="0019085B">
          <w:rPr>
            <w:noProof/>
            <w:webHidden/>
          </w:rPr>
          <w:fldChar w:fldCharType="begin"/>
        </w:r>
        <w:r w:rsidR="0019085B">
          <w:rPr>
            <w:noProof/>
            <w:webHidden/>
          </w:rPr>
          <w:instrText xml:space="preserve"> PAGEREF _Toc486231780 \h </w:instrText>
        </w:r>
        <w:r w:rsidR="0019085B">
          <w:rPr>
            <w:noProof/>
            <w:webHidden/>
          </w:rPr>
        </w:r>
        <w:r w:rsidR="0019085B">
          <w:rPr>
            <w:noProof/>
            <w:webHidden/>
          </w:rPr>
          <w:fldChar w:fldCharType="separate"/>
        </w:r>
        <w:r w:rsidR="00DA6395">
          <w:rPr>
            <w:noProof/>
            <w:webHidden/>
          </w:rPr>
          <w:t>6</w:t>
        </w:r>
        <w:r w:rsidR="0019085B">
          <w:rPr>
            <w:noProof/>
            <w:webHidden/>
          </w:rPr>
          <w:fldChar w:fldCharType="end"/>
        </w:r>
      </w:hyperlink>
    </w:p>
    <w:p w14:paraId="4E086C8E"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81" w:history="1">
        <w:r w:rsidR="0019085B" w:rsidRPr="00FC2506">
          <w:rPr>
            <w:rStyle w:val="Hyperlink"/>
            <w:noProof/>
          </w:rPr>
          <w:t>5.3.1</w:t>
        </w:r>
        <w:r w:rsidR="0019085B">
          <w:rPr>
            <w:rFonts w:asciiTheme="minorHAnsi" w:eastAsiaTheme="minorEastAsia" w:hAnsiTheme="minorHAnsi" w:cstheme="minorBidi"/>
            <w:noProof/>
            <w:sz w:val="22"/>
            <w:szCs w:val="22"/>
            <w:lang w:eastAsia="en-AU"/>
          </w:rPr>
          <w:tab/>
        </w:r>
        <w:r w:rsidR="0019085B" w:rsidRPr="00FC2506">
          <w:rPr>
            <w:rStyle w:val="Hyperlink"/>
            <w:noProof/>
          </w:rPr>
          <w:t>Department of Human Services (DHS) PBS claiming system</w:t>
        </w:r>
        <w:r w:rsidR="0019085B">
          <w:rPr>
            <w:noProof/>
            <w:webHidden/>
          </w:rPr>
          <w:tab/>
        </w:r>
        <w:r w:rsidR="0019085B">
          <w:rPr>
            <w:noProof/>
            <w:webHidden/>
          </w:rPr>
          <w:fldChar w:fldCharType="begin"/>
        </w:r>
        <w:r w:rsidR="0019085B">
          <w:rPr>
            <w:noProof/>
            <w:webHidden/>
          </w:rPr>
          <w:instrText xml:space="preserve"> PAGEREF _Toc486231781 \h </w:instrText>
        </w:r>
        <w:r w:rsidR="0019085B">
          <w:rPr>
            <w:noProof/>
            <w:webHidden/>
          </w:rPr>
        </w:r>
        <w:r w:rsidR="0019085B">
          <w:rPr>
            <w:noProof/>
            <w:webHidden/>
          </w:rPr>
          <w:fldChar w:fldCharType="separate"/>
        </w:r>
        <w:r w:rsidR="00DA6395">
          <w:rPr>
            <w:noProof/>
            <w:webHidden/>
          </w:rPr>
          <w:t>6</w:t>
        </w:r>
        <w:r w:rsidR="0019085B">
          <w:rPr>
            <w:noProof/>
            <w:webHidden/>
          </w:rPr>
          <w:fldChar w:fldCharType="end"/>
        </w:r>
      </w:hyperlink>
    </w:p>
    <w:p w14:paraId="34394FDD"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82" w:history="1">
        <w:r w:rsidR="0019085B" w:rsidRPr="00FC2506">
          <w:rPr>
            <w:rStyle w:val="Hyperlink"/>
            <w:noProof/>
          </w:rPr>
          <w:t>5.3.2</w:t>
        </w:r>
        <w:r w:rsidR="0019085B">
          <w:rPr>
            <w:rFonts w:asciiTheme="minorHAnsi" w:eastAsiaTheme="minorEastAsia" w:hAnsiTheme="minorHAnsi" w:cstheme="minorBidi"/>
            <w:noProof/>
            <w:sz w:val="22"/>
            <w:szCs w:val="22"/>
            <w:lang w:eastAsia="en-AU"/>
          </w:rPr>
          <w:tab/>
        </w:r>
        <w:r w:rsidR="0019085B" w:rsidRPr="00FC2506">
          <w:rPr>
            <w:rStyle w:val="Hyperlink"/>
            <w:noProof/>
          </w:rPr>
          <w:t>Department of Health (DoH) PBS claims database</w:t>
        </w:r>
        <w:r w:rsidR="0019085B">
          <w:rPr>
            <w:noProof/>
            <w:webHidden/>
          </w:rPr>
          <w:tab/>
        </w:r>
        <w:r w:rsidR="0019085B">
          <w:rPr>
            <w:noProof/>
            <w:webHidden/>
          </w:rPr>
          <w:fldChar w:fldCharType="begin"/>
        </w:r>
        <w:r w:rsidR="0019085B">
          <w:rPr>
            <w:noProof/>
            <w:webHidden/>
          </w:rPr>
          <w:instrText xml:space="preserve"> PAGEREF _Toc486231782 \h </w:instrText>
        </w:r>
        <w:r w:rsidR="0019085B">
          <w:rPr>
            <w:noProof/>
            <w:webHidden/>
          </w:rPr>
        </w:r>
        <w:r w:rsidR="0019085B">
          <w:rPr>
            <w:noProof/>
            <w:webHidden/>
          </w:rPr>
          <w:fldChar w:fldCharType="separate"/>
        </w:r>
        <w:r w:rsidR="00DA6395">
          <w:rPr>
            <w:noProof/>
            <w:webHidden/>
          </w:rPr>
          <w:t>6</w:t>
        </w:r>
        <w:r w:rsidR="0019085B">
          <w:rPr>
            <w:noProof/>
            <w:webHidden/>
          </w:rPr>
          <w:fldChar w:fldCharType="end"/>
        </w:r>
      </w:hyperlink>
    </w:p>
    <w:p w14:paraId="15B9A7AE" w14:textId="77777777" w:rsidR="0019085B" w:rsidRDefault="002F450F">
      <w:pPr>
        <w:pStyle w:val="TOC2"/>
        <w:rPr>
          <w:rFonts w:asciiTheme="minorHAnsi" w:eastAsiaTheme="minorEastAsia" w:hAnsiTheme="minorHAnsi" w:cstheme="minorBidi"/>
          <w:noProof/>
          <w:sz w:val="22"/>
          <w:szCs w:val="22"/>
          <w:lang w:eastAsia="en-AU"/>
        </w:rPr>
      </w:pPr>
      <w:hyperlink w:anchor="_Toc486231783" w:history="1">
        <w:r w:rsidR="0019085B" w:rsidRPr="00FC2506">
          <w:rPr>
            <w:rStyle w:val="Hyperlink"/>
            <w:noProof/>
          </w:rPr>
          <w:t xml:space="preserve">5.4 </w:t>
        </w:r>
        <w:r w:rsidR="0019085B">
          <w:rPr>
            <w:rFonts w:asciiTheme="minorHAnsi" w:eastAsiaTheme="minorEastAsia" w:hAnsiTheme="minorHAnsi" w:cstheme="minorBidi"/>
            <w:noProof/>
            <w:sz w:val="22"/>
            <w:szCs w:val="22"/>
            <w:lang w:eastAsia="en-AU"/>
          </w:rPr>
          <w:tab/>
        </w:r>
        <w:r w:rsidR="0019085B" w:rsidRPr="00FC2506">
          <w:rPr>
            <w:rStyle w:val="Hyperlink"/>
            <w:noProof/>
          </w:rPr>
          <w:t>PBS/RPBS utilisation analysis methodology</w:t>
        </w:r>
        <w:r w:rsidR="0019085B">
          <w:rPr>
            <w:noProof/>
            <w:webHidden/>
          </w:rPr>
          <w:tab/>
        </w:r>
        <w:r w:rsidR="0019085B">
          <w:rPr>
            <w:noProof/>
            <w:webHidden/>
          </w:rPr>
          <w:fldChar w:fldCharType="begin"/>
        </w:r>
        <w:r w:rsidR="0019085B">
          <w:rPr>
            <w:noProof/>
            <w:webHidden/>
          </w:rPr>
          <w:instrText xml:space="preserve"> PAGEREF _Toc486231783 \h </w:instrText>
        </w:r>
        <w:r w:rsidR="0019085B">
          <w:rPr>
            <w:noProof/>
            <w:webHidden/>
          </w:rPr>
        </w:r>
        <w:r w:rsidR="0019085B">
          <w:rPr>
            <w:noProof/>
            <w:webHidden/>
          </w:rPr>
          <w:fldChar w:fldCharType="separate"/>
        </w:r>
        <w:r w:rsidR="00DA6395">
          <w:rPr>
            <w:noProof/>
            <w:webHidden/>
          </w:rPr>
          <w:t>8</w:t>
        </w:r>
        <w:r w:rsidR="0019085B">
          <w:rPr>
            <w:noProof/>
            <w:webHidden/>
          </w:rPr>
          <w:fldChar w:fldCharType="end"/>
        </w:r>
      </w:hyperlink>
    </w:p>
    <w:p w14:paraId="0E628240"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84" w:history="1">
        <w:r w:rsidR="0019085B" w:rsidRPr="00FC2506">
          <w:rPr>
            <w:rStyle w:val="Hyperlink"/>
            <w:noProof/>
          </w:rPr>
          <w:t>5.4.1</w:t>
        </w:r>
        <w:r w:rsidR="0019085B">
          <w:rPr>
            <w:rFonts w:asciiTheme="minorHAnsi" w:eastAsiaTheme="minorEastAsia" w:hAnsiTheme="minorHAnsi" w:cstheme="minorBidi"/>
            <w:noProof/>
            <w:sz w:val="22"/>
            <w:szCs w:val="22"/>
            <w:lang w:eastAsia="en-AU"/>
          </w:rPr>
          <w:tab/>
        </w:r>
        <w:r w:rsidR="0019085B" w:rsidRPr="00FC2506">
          <w:rPr>
            <w:rStyle w:val="Hyperlink"/>
            <w:noProof/>
          </w:rPr>
          <w:t>Department of Human Services (DHS) PBS claiming system</w:t>
        </w:r>
        <w:r w:rsidR="0019085B">
          <w:rPr>
            <w:noProof/>
            <w:webHidden/>
          </w:rPr>
          <w:tab/>
        </w:r>
        <w:r w:rsidR="0019085B">
          <w:rPr>
            <w:noProof/>
            <w:webHidden/>
          </w:rPr>
          <w:fldChar w:fldCharType="begin"/>
        </w:r>
        <w:r w:rsidR="0019085B">
          <w:rPr>
            <w:noProof/>
            <w:webHidden/>
          </w:rPr>
          <w:instrText xml:space="preserve"> PAGEREF _Toc486231784 \h </w:instrText>
        </w:r>
        <w:r w:rsidR="0019085B">
          <w:rPr>
            <w:noProof/>
            <w:webHidden/>
          </w:rPr>
        </w:r>
        <w:r w:rsidR="0019085B">
          <w:rPr>
            <w:noProof/>
            <w:webHidden/>
          </w:rPr>
          <w:fldChar w:fldCharType="separate"/>
        </w:r>
        <w:r w:rsidR="00DA6395">
          <w:rPr>
            <w:noProof/>
            <w:webHidden/>
          </w:rPr>
          <w:t>8</w:t>
        </w:r>
        <w:r w:rsidR="0019085B">
          <w:rPr>
            <w:noProof/>
            <w:webHidden/>
          </w:rPr>
          <w:fldChar w:fldCharType="end"/>
        </w:r>
      </w:hyperlink>
    </w:p>
    <w:p w14:paraId="742B8207"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85" w:history="1">
        <w:r w:rsidR="0019085B" w:rsidRPr="00FC2506">
          <w:rPr>
            <w:rStyle w:val="Hyperlink"/>
            <w:noProof/>
          </w:rPr>
          <w:t>5.4.2</w:t>
        </w:r>
        <w:r w:rsidR="0019085B">
          <w:rPr>
            <w:rFonts w:asciiTheme="minorHAnsi" w:eastAsiaTheme="minorEastAsia" w:hAnsiTheme="minorHAnsi" w:cstheme="minorBidi"/>
            <w:noProof/>
            <w:sz w:val="22"/>
            <w:szCs w:val="22"/>
            <w:lang w:eastAsia="en-AU"/>
          </w:rPr>
          <w:tab/>
        </w:r>
        <w:r w:rsidR="0019085B" w:rsidRPr="00FC2506">
          <w:rPr>
            <w:rStyle w:val="Hyperlink"/>
            <w:noProof/>
          </w:rPr>
          <w:t>Department of Health (DoH) PBS claims database</w:t>
        </w:r>
        <w:r w:rsidR="0019085B">
          <w:rPr>
            <w:noProof/>
            <w:webHidden/>
          </w:rPr>
          <w:tab/>
        </w:r>
        <w:r w:rsidR="0019085B">
          <w:rPr>
            <w:noProof/>
            <w:webHidden/>
          </w:rPr>
          <w:fldChar w:fldCharType="begin"/>
        </w:r>
        <w:r w:rsidR="0019085B">
          <w:rPr>
            <w:noProof/>
            <w:webHidden/>
          </w:rPr>
          <w:instrText xml:space="preserve"> PAGEREF _Toc486231785 \h </w:instrText>
        </w:r>
        <w:r w:rsidR="0019085B">
          <w:rPr>
            <w:noProof/>
            <w:webHidden/>
          </w:rPr>
        </w:r>
        <w:r w:rsidR="0019085B">
          <w:rPr>
            <w:noProof/>
            <w:webHidden/>
          </w:rPr>
          <w:fldChar w:fldCharType="separate"/>
        </w:r>
        <w:r w:rsidR="00DA6395">
          <w:rPr>
            <w:noProof/>
            <w:webHidden/>
          </w:rPr>
          <w:t>9</w:t>
        </w:r>
        <w:r w:rsidR="0019085B">
          <w:rPr>
            <w:noProof/>
            <w:webHidden/>
          </w:rPr>
          <w:fldChar w:fldCharType="end"/>
        </w:r>
      </w:hyperlink>
    </w:p>
    <w:p w14:paraId="442829E6" w14:textId="77777777" w:rsidR="0019085B" w:rsidRDefault="002F450F">
      <w:pPr>
        <w:pStyle w:val="TOC2"/>
        <w:rPr>
          <w:rFonts w:asciiTheme="minorHAnsi" w:eastAsiaTheme="minorEastAsia" w:hAnsiTheme="minorHAnsi" w:cstheme="minorBidi"/>
          <w:noProof/>
          <w:sz w:val="22"/>
          <w:szCs w:val="22"/>
          <w:lang w:eastAsia="en-AU"/>
        </w:rPr>
      </w:pPr>
      <w:hyperlink w:anchor="_Toc486231786" w:history="1">
        <w:r w:rsidR="0019085B" w:rsidRPr="00FC2506">
          <w:rPr>
            <w:rStyle w:val="Hyperlink"/>
            <w:noProof/>
          </w:rPr>
          <w:t xml:space="preserve">5.5 </w:t>
        </w:r>
        <w:r w:rsidR="0019085B">
          <w:rPr>
            <w:rFonts w:asciiTheme="minorHAnsi" w:eastAsiaTheme="minorEastAsia" w:hAnsiTheme="minorHAnsi" w:cstheme="minorBidi"/>
            <w:noProof/>
            <w:sz w:val="22"/>
            <w:szCs w:val="22"/>
            <w:lang w:eastAsia="en-AU"/>
          </w:rPr>
          <w:tab/>
        </w:r>
        <w:r w:rsidR="0019085B" w:rsidRPr="00FC2506">
          <w:rPr>
            <w:rStyle w:val="Hyperlink"/>
            <w:noProof/>
          </w:rPr>
          <w:t>Preliminary analysis of COPD PBS/RPBS utilisation</w:t>
        </w:r>
        <w:r w:rsidR="0019085B">
          <w:rPr>
            <w:noProof/>
            <w:webHidden/>
          </w:rPr>
          <w:tab/>
        </w:r>
        <w:r w:rsidR="0019085B">
          <w:rPr>
            <w:noProof/>
            <w:webHidden/>
          </w:rPr>
          <w:fldChar w:fldCharType="begin"/>
        </w:r>
        <w:r w:rsidR="0019085B">
          <w:rPr>
            <w:noProof/>
            <w:webHidden/>
          </w:rPr>
          <w:instrText xml:space="preserve"> PAGEREF _Toc486231786 \h </w:instrText>
        </w:r>
        <w:r w:rsidR="0019085B">
          <w:rPr>
            <w:noProof/>
            <w:webHidden/>
          </w:rPr>
        </w:r>
        <w:r w:rsidR="0019085B">
          <w:rPr>
            <w:noProof/>
            <w:webHidden/>
          </w:rPr>
          <w:fldChar w:fldCharType="separate"/>
        </w:r>
        <w:r w:rsidR="00DA6395">
          <w:rPr>
            <w:noProof/>
            <w:webHidden/>
          </w:rPr>
          <w:t>14</w:t>
        </w:r>
        <w:r w:rsidR="0019085B">
          <w:rPr>
            <w:noProof/>
            <w:webHidden/>
          </w:rPr>
          <w:fldChar w:fldCharType="end"/>
        </w:r>
      </w:hyperlink>
    </w:p>
    <w:p w14:paraId="53DC30FF" w14:textId="77777777" w:rsidR="0019085B" w:rsidRDefault="002F450F">
      <w:pPr>
        <w:pStyle w:val="TOC2"/>
        <w:rPr>
          <w:rFonts w:asciiTheme="minorHAnsi" w:eastAsiaTheme="minorEastAsia" w:hAnsiTheme="minorHAnsi" w:cstheme="minorBidi"/>
          <w:noProof/>
          <w:sz w:val="22"/>
          <w:szCs w:val="22"/>
          <w:lang w:eastAsia="en-AU"/>
        </w:rPr>
      </w:pPr>
      <w:hyperlink w:anchor="_Toc486231787" w:history="1">
        <w:r w:rsidR="0019085B" w:rsidRPr="00FC2506">
          <w:rPr>
            <w:rStyle w:val="Hyperlink"/>
            <w:noProof/>
          </w:rPr>
          <w:t>5.6</w:t>
        </w:r>
        <w:r w:rsidR="0019085B">
          <w:rPr>
            <w:rFonts w:asciiTheme="minorHAnsi" w:eastAsiaTheme="minorEastAsia" w:hAnsiTheme="minorHAnsi" w:cstheme="minorBidi"/>
            <w:noProof/>
            <w:sz w:val="22"/>
            <w:szCs w:val="22"/>
            <w:lang w:eastAsia="en-AU"/>
          </w:rPr>
          <w:tab/>
        </w:r>
        <w:r w:rsidR="0019085B" w:rsidRPr="00FC2506">
          <w:rPr>
            <w:rStyle w:val="Hyperlink"/>
            <w:noProof/>
          </w:rPr>
          <w:t>COPD utilisation analysis based on PBS individual unit record data</w:t>
        </w:r>
        <w:r w:rsidR="0019085B">
          <w:rPr>
            <w:noProof/>
            <w:webHidden/>
          </w:rPr>
          <w:tab/>
        </w:r>
        <w:r w:rsidR="0019085B">
          <w:rPr>
            <w:noProof/>
            <w:webHidden/>
          </w:rPr>
          <w:fldChar w:fldCharType="begin"/>
        </w:r>
        <w:r w:rsidR="0019085B">
          <w:rPr>
            <w:noProof/>
            <w:webHidden/>
          </w:rPr>
          <w:instrText xml:space="preserve"> PAGEREF _Toc486231787 \h </w:instrText>
        </w:r>
        <w:r w:rsidR="0019085B">
          <w:rPr>
            <w:noProof/>
            <w:webHidden/>
          </w:rPr>
        </w:r>
        <w:r w:rsidR="0019085B">
          <w:rPr>
            <w:noProof/>
            <w:webHidden/>
          </w:rPr>
          <w:fldChar w:fldCharType="separate"/>
        </w:r>
        <w:r w:rsidR="00DA6395">
          <w:rPr>
            <w:noProof/>
            <w:webHidden/>
          </w:rPr>
          <w:t>18</w:t>
        </w:r>
        <w:r w:rsidR="0019085B">
          <w:rPr>
            <w:noProof/>
            <w:webHidden/>
          </w:rPr>
          <w:fldChar w:fldCharType="end"/>
        </w:r>
      </w:hyperlink>
    </w:p>
    <w:p w14:paraId="41509BAD"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88" w:history="1">
        <w:r w:rsidR="0019085B" w:rsidRPr="00FC2506">
          <w:rPr>
            <w:rStyle w:val="Hyperlink"/>
            <w:noProof/>
          </w:rPr>
          <w:t>5.6.1</w:t>
        </w:r>
        <w:r w:rsidR="0019085B">
          <w:rPr>
            <w:rFonts w:asciiTheme="minorHAnsi" w:eastAsiaTheme="minorEastAsia" w:hAnsiTheme="minorHAnsi" w:cstheme="minorBidi"/>
            <w:noProof/>
            <w:sz w:val="22"/>
            <w:szCs w:val="22"/>
            <w:lang w:eastAsia="en-AU"/>
          </w:rPr>
          <w:tab/>
        </w:r>
        <w:r w:rsidR="0019085B" w:rsidRPr="00FC2506">
          <w:rPr>
            <w:rStyle w:val="Hyperlink"/>
            <w:noProof/>
          </w:rPr>
          <w:t>Data inclusions</w:t>
        </w:r>
        <w:r w:rsidR="0019085B">
          <w:rPr>
            <w:noProof/>
            <w:webHidden/>
          </w:rPr>
          <w:tab/>
        </w:r>
        <w:r w:rsidR="0019085B">
          <w:rPr>
            <w:noProof/>
            <w:webHidden/>
          </w:rPr>
          <w:fldChar w:fldCharType="begin"/>
        </w:r>
        <w:r w:rsidR="0019085B">
          <w:rPr>
            <w:noProof/>
            <w:webHidden/>
          </w:rPr>
          <w:instrText xml:space="preserve"> PAGEREF _Toc486231788 \h </w:instrText>
        </w:r>
        <w:r w:rsidR="0019085B">
          <w:rPr>
            <w:noProof/>
            <w:webHidden/>
          </w:rPr>
        </w:r>
        <w:r w:rsidR="0019085B">
          <w:rPr>
            <w:noProof/>
            <w:webHidden/>
          </w:rPr>
          <w:fldChar w:fldCharType="separate"/>
        </w:r>
        <w:r w:rsidR="00DA6395">
          <w:rPr>
            <w:noProof/>
            <w:webHidden/>
          </w:rPr>
          <w:t>18</w:t>
        </w:r>
        <w:r w:rsidR="0019085B">
          <w:rPr>
            <w:noProof/>
            <w:webHidden/>
          </w:rPr>
          <w:fldChar w:fldCharType="end"/>
        </w:r>
      </w:hyperlink>
    </w:p>
    <w:p w14:paraId="4C710B0C"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89" w:history="1">
        <w:r w:rsidR="0019085B" w:rsidRPr="00FC2506">
          <w:rPr>
            <w:rStyle w:val="Hyperlink"/>
            <w:noProof/>
          </w:rPr>
          <w:t>5.6.2</w:t>
        </w:r>
        <w:r w:rsidR="0019085B">
          <w:rPr>
            <w:rFonts w:asciiTheme="minorHAnsi" w:eastAsiaTheme="minorEastAsia" w:hAnsiTheme="minorHAnsi" w:cstheme="minorBidi"/>
            <w:noProof/>
            <w:sz w:val="22"/>
            <w:szCs w:val="22"/>
            <w:lang w:eastAsia="en-AU"/>
          </w:rPr>
          <w:tab/>
        </w:r>
        <w:r w:rsidR="0019085B" w:rsidRPr="00FC2506">
          <w:rPr>
            <w:rStyle w:val="Hyperlink"/>
            <w:noProof/>
          </w:rPr>
          <w:t>Monthly prescriptions</w:t>
        </w:r>
        <w:r w:rsidR="0019085B">
          <w:rPr>
            <w:noProof/>
            <w:webHidden/>
          </w:rPr>
          <w:tab/>
        </w:r>
        <w:r w:rsidR="0019085B">
          <w:rPr>
            <w:noProof/>
            <w:webHidden/>
          </w:rPr>
          <w:fldChar w:fldCharType="begin"/>
        </w:r>
        <w:r w:rsidR="0019085B">
          <w:rPr>
            <w:noProof/>
            <w:webHidden/>
          </w:rPr>
          <w:instrText xml:space="preserve"> PAGEREF _Toc486231789 \h </w:instrText>
        </w:r>
        <w:r w:rsidR="0019085B">
          <w:rPr>
            <w:noProof/>
            <w:webHidden/>
          </w:rPr>
        </w:r>
        <w:r w:rsidR="0019085B">
          <w:rPr>
            <w:noProof/>
            <w:webHidden/>
          </w:rPr>
          <w:fldChar w:fldCharType="separate"/>
        </w:r>
        <w:r w:rsidR="00DA6395">
          <w:rPr>
            <w:noProof/>
            <w:webHidden/>
          </w:rPr>
          <w:t>18</w:t>
        </w:r>
        <w:r w:rsidR="0019085B">
          <w:rPr>
            <w:noProof/>
            <w:webHidden/>
          </w:rPr>
          <w:fldChar w:fldCharType="end"/>
        </w:r>
      </w:hyperlink>
    </w:p>
    <w:p w14:paraId="27C1A4FA"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90" w:history="1">
        <w:r w:rsidR="0019085B" w:rsidRPr="00FC2506">
          <w:rPr>
            <w:rStyle w:val="Hyperlink"/>
            <w:noProof/>
          </w:rPr>
          <w:t>5.6.3</w:t>
        </w:r>
        <w:r w:rsidR="0019085B">
          <w:rPr>
            <w:rFonts w:asciiTheme="minorHAnsi" w:eastAsiaTheme="minorEastAsia" w:hAnsiTheme="minorHAnsi" w:cstheme="minorBidi"/>
            <w:noProof/>
            <w:sz w:val="22"/>
            <w:szCs w:val="22"/>
            <w:lang w:eastAsia="en-AU"/>
          </w:rPr>
          <w:tab/>
        </w:r>
        <w:r w:rsidR="0019085B" w:rsidRPr="00FC2506">
          <w:rPr>
            <w:rStyle w:val="Hyperlink"/>
            <w:noProof/>
          </w:rPr>
          <w:t>Analysis of COPD prevalent patients</w:t>
        </w:r>
        <w:r w:rsidR="0019085B">
          <w:rPr>
            <w:noProof/>
            <w:webHidden/>
          </w:rPr>
          <w:tab/>
        </w:r>
        <w:r w:rsidR="0019085B">
          <w:rPr>
            <w:noProof/>
            <w:webHidden/>
          </w:rPr>
          <w:fldChar w:fldCharType="begin"/>
        </w:r>
        <w:r w:rsidR="0019085B">
          <w:rPr>
            <w:noProof/>
            <w:webHidden/>
          </w:rPr>
          <w:instrText xml:space="preserve"> PAGEREF _Toc486231790 \h </w:instrText>
        </w:r>
        <w:r w:rsidR="0019085B">
          <w:rPr>
            <w:noProof/>
            <w:webHidden/>
          </w:rPr>
        </w:r>
        <w:r w:rsidR="0019085B">
          <w:rPr>
            <w:noProof/>
            <w:webHidden/>
          </w:rPr>
          <w:fldChar w:fldCharType="separate"/>
        </w:r>
        <w:r w:rsidR="00DA6395">
          <w:rPr>
            <w:noProof/>
            <w:webHidden/>
          </w:rPr>
          <w:t>23</w:t>
        </w:r>
        <w:r w:rsidR="0019085B">
          <w:rPr>
            <w:noProof/>
            <w:webHidden/>
          </w:rPr>
          <w:fldChar w:fldCharType="end"/>
        </w:r>
      </w:hyperlink>
    </w:p>
    <w:p w14:paraId="4AE2C796"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91" w:history="1">
        <w:r w:rsidR="0019085B" w:rsidRPr="00FC2506">
          <w:rPr>
            <w:rStyle w:val="Hyperlink"/>
            <w:noProof/>
          </w:rPr>
          <w:t>5.6.4</w:t>
        </w:r>
        <w:r w:rsidR="0019085B">
          <w:rPr>
            <w:rFonts w:asciiTheme="minorHAnsi" w:eastAsiaTheme="minorEastAsia" w:hAnsiTheme="minorHAnsi" w:cstheme="minorBidi"/>
            <w:noProof/>
            <w:sz w:val="22"/>
            <w:szCs w:val="22"/>
            <w:lang w:eastAsia="en-AU"/>
          </w:rPr>
          <w:tab/>
        </w:r>
        <w:r w:rsidR="0019085B" w:rsidRPr="00FC2506">
          <w:rPr>
            <w:rStyle w:val="Hyperlink"/>
            <w:noProof/>
          </w:rPr>
          <w:t>Utilisation outside COPD-X Guidelines – Initiations</w:t>
        </w:r>
        <w:r w:rsidR="0019085B">
          <w:rPr>
            <w:noProof/>
            <w:webHidden/>
          </w:rPr>
          <w:tab/>
        </w:r>
        <w:r w:rsidR="0019085B">
          <w:rPr>
            <w:noProof/>
            <w:webHidden/>
          </w:rPr>
          <w:fldChar w:fldCharType="begin"/>
        </w:r>
        <w:r w:rsidR="0019085B">
          <w:rPr>
            <w:noProof/>
            <w:webHidden/>
          </w:rPr>
          <w:instrText xml:space="preserve"> PAGEREF _Toc486231791 \h </w:instrText>
        </w:r>
        <w:r w:rsidR="0019085B">
          <w:rPr>
            <w:noProof/>
            <w:webHidden/>
          </w:rPr>
        </w:r>
        <w:r w:rsidR="0019085B">
          <w:rPr>
            <w:noProof/>
            <w:webHidden/>
          </w:rPr>
          <w:fldChar w:fldCharType="separate"/>
        </w:r>
        <w:r w:rsidR="00DA6395">
          <w:rPr>
            <w:noProof/>
            <w:webHidden/>
          </w:rPr>
          <w:t>23</w:t>
        </w:r>
        <w:r w:rsidR="0019085B">
          <w:rPr>
            <w:noProof/>
            <w:webHidden/>
          </w:rPr>
          <w:fldChar w:fldCharType="end"/>
        </w:r>
      </w:hyperlink>
    </w:p>
    <w:p w14:paraId="790FAB3E"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92" w:history="1">
        <w:r w:rsidR="0019085B" w:rsidRPr="00FC2506">
          <w:rPr>
            <w:rStyle w:val="Hyperlink"/>
            <w:noProof/>
          </w:rPr>
          <w:t>5.6.5</w:t>
        </w:r>
        <w:r w:rsidR="0019085B">
          <w:rPr>
            <w:rFonts w:asciiTheme="minorHAnsi" w:eastAsiaTheme="minorEastAsia" w:hAnsiTheme="minorHAnsi" w:cstheme="minorBidi"/>
            <w:noProof/>
            <w:sz w:val="22"/>
            <w:szCs w:val="22"/>
            <w:lang w:eastAsia="en-AU"/>
          </w:rPr>
          <w:tab/>
        </w:r>
        <w:r w:rsidR="0019085B" w:rsidRPr="00FC2506">
          <w:rPr>
            <w:rStyle w:val="Hyperlink"/>
            <w:noProof/>
          </w:rPr>
          <w:t>Utilisation outside COPD-X Guidelines – Co-administration analysis</w:t>
        </w:r>
        <w:r w:rsidR="0019085B">
          <w:rPr>
            <w:noProof/>
            <w:webHidden/>
          </w:rPr>
          <w:tab/>
        </w:r>
        <w:r w:rsidR="0019085B">
          <w:rPr>
            <w:noProof/>
            <w:webHidden/>
          </w:rPr>
          <w:fldChar w:fldCharType="begin"/>
        </w:r>
        <w:r w:rsidR="0019085B">
          <w:rPr>
            <w:noProof/>
            <w:webHidden/>
          </w:rPr>
          <w:instrText xml:space="preserve"> PAGEREF _Toc486231792 \h </w:instrText>
        </w:r>
        <w:r w:rsidR="0019085B">
          <w:rPr>
            <w:noProof/>
            <w:webHidden/>
          </w:rPr>
        </w:r>
        <w:r w:rsidR="0019085B">
          <w:rPr>
            <w:noProof/>
            <w:webHidden/>
          </w:rPr>
          <w:fldChar w:fldCharType="separate"/>
        </w:r>
        <w:r w:rsidR="00DA6395">
          <w:rPr>
            <w:noProof/>
            <w:webHidden/>
          </w:rPr>
          <w:t>25</w:t>
        </w:r>
        <w:r w:rsidR="0019085B">
          <w:rPr>
            <w:noProof/>
            <w:webHidden/>
          </w:rPr>
          <w:fldChar w:fldCharType="end"/>
        </w:r>
      </w:hyperlink>
    </w:p>
    <w:p w14:paraId="69295CFC" w14:textId="77777777" w:rsidR="0019085B" w:rsidRDefault="002F450F">
      <w:pPr>
        <w:pStyle w:val="TOC2"/>
        <w:rPr>
          <w:rFonts w:asciiTheme="minorHAnsi" w:eastAsiaTheme="minorEastAsia" w:hAnsiTheme="minorHAnsi" w:cstheme="minorBidi"/>
          <w:noProof/>
          <w:sz w:val="22"/>
          <w:szCs w:val="22"/>
          <w:lang w:eastAsia="en-AU"/>
        </w:rPr>
      </w:pPr>
      <w:hyperlink w:anchor="_Toc486231793" w:history="1">
        <w:r w:rsidR="0019085B" w:rsidRPr="00FC2506">
          <w:rPr>
            <w:rStyle w:val="Hyperlink"/>
            <w:noProof/>
          </w:rPr>
          <w:t>5.7</w:t>
        </w:r>
        <w:r w:rsidR="0019085B">
          <w:rPr>
            <w:rFonts w:asciiTheme="minorHAnsi" w:eastAsiaTheme="minorEastAsia" w:hAnsiTheme="minorHAnsi" w:cstheme="minorBidi"/>
            <w:noProof/>
            <w:sz w:val="22"/>
            <w:szCs w:val="22"/>
            <w:lang w:eastAsia="en-AU"/>
          </w:rPr>
          <w:tab/>
        </w:r>
        <w:r w:rsidR="0019085B" w:rsidRPr="00FC2506">
          <w:rPr>
            <w:rStyle w:val="Hyperlink"/>
            <w:noProof/>
          </w:rPr>
          <w:t>MedicineInsight data source and limitations</w:t>
        </w:r>
        <w:r w:rsidR="0019085B">
          <w:rPr>
            <w:noProof/>
            <w:webHidden/>
          </w:rPr>
          <w:tab/>
        </w:r>
        <w:r w:rsidR="0019085B">
          <w:rPr>
            <w:noProof/>
            <w:webHidden/>
          </w:rPr>
          <w:fldChar w:fldCharType="begin"/>
        </w:r>
        <w:r w:rsidR="0019085B">
          <w:rPr>
            <w:noProof/>
            <w:webHidden/>
          </w:rPr>
          <w:instrText xml:space="preserve"> PAGEREF _Toc486231793 \h </w:instrText>
        </w:r>
        <w:r w:rsidR="0019085B">
          <w:rPr>
            <w:noProof/>
            <w:webHidden/>
          </w:rPr>
        </w:r>
        <w:r w:rsidR="0019085B">
          <w:rPr>
            <w:noProof/>
            <w:webHidden/>
          </w:rPr>
          <w:fldChar w:fldCharType="separate"/>
        </w:r>
        <w:r w:rsidR="00DA6395">
          <w:rPr>
            <w:noProof/>
            <w:webHidden/>
          </w:rPr>
          <w:t>28</w:t>
        </w:r>
        <w:r w:rsidR="0019085B">
          <w:rPr>
            <w:noProof/>
            <w:webHidden/>
          </w:rPr>
          <w:fldChar w:fldCharType="end"/>
        </w:r>
      </w:hyperlink>
    </w:p>
    <w:p w14:paraId="72E12C4D" w14:textId="77777777" w:rsidR="0019085B" w:rsidRDefault="002F450F">
      <w:pPr>
        <w:pStyle w:val="TOC2"/>
        <w:rPr>
          <w:rFonts w:asciiTheme="minorHAnsi" w:eastAsiaTheme="minorEastAsia" w:hAnsiTheme="minorHAnsi" w:cstheme="minorBidi"/>
          <w:noProof/>
          <w:sz w:val="22"/>
          <w:szCs w:val="22"/>
          <w:lang w:eastAsia="en-AU"/>
        </w:rPr>
      </w:pPr>
      <w:hyperlink w:anchor="_Toc486231794" w:history="1">
        <w:r w:rsidR="0019085B" w:rsidRPr="00FC2506">
          <w:rPr>
            <w:rStyle w:val="Hyperlink"/>
            <w:bCs/>
            <w:iCs/>
            <w:noProof/>
          </w:rPr>
          <w:t>5.8</w:t>
        </w:r>
        <w:r w:rsidR="0019085B">
          <w:rPr>
            <w:rFonts w:asciiTheme="minorHAnsi" w:eastAsiaTheme="minorEastAsia" w:hAnsiTheme="minorHAnsi" w:cstheme="minorBidi"/>
            <w:noProof/>
            <w:sz w:val="22"/>
            <w:szCs w:val="22"/>
            <w:lang w:eastAsia="en-AU"/>
          </w:rPr>
          <w:tab/>
        </w:r>
        <w:r w:rsidR="0019085B" w:rsidRPr="00FC2506">
          <w:rPr>
            <w:rStyle w:val="Hyperlink"/>
            <w:noProof/>
          </w:rPr>
          <w:t>MedicineInsight COPD patient profile</w:t>
        </w:r>
        <w:r w:rsidR="0019085B">
          <w:rPr>
            <w:noProof/>
            <w:webHidden/>
          </w:rPr>
          <w:tab/>
        </w:r>
        <w:r w:rsidR="0019085B">
          <w:rPr>
            <w:noProof/>
            <w:webHidden/>
          </w:rPr>
          <w:fldChar w:fldCharType="begin"/>
        </w:r>
        <w:r w:rsidR="0019085B">
          <w:rPr>
            <w:noProof/>
            <w:webHidden/>
          </w:rPr>
          <w:instrText xml:space="preserve"> PAGEREF _Toc486231794 \h </w:instrText>
        </w:r>
        <w:r w:rsidR="0019085B">
          <w:rPr>
            <w:noProof/>
            <w:webHidden/>
          </w:rPr>
        </w:r>
        <w:r w:rsidR="0019085B">
          <w:rPr>
            <w:noProof/>
            <w:webHidden/>
          </w:rPr>
          <w:fldChar w:fldCharType="separate"/>
        </w:r>
        <w:r w:rsidR="00DA6395">
          <w:rPr>
            <w:noProof/>
            <w:webHidden/>
          </w:rPr>
          <w:t>30</w:t>
        </w:r>
        <w:r w:rsidR="0019085B">
          <w:rPr>
            <w:noProof/>
            <w:webHidden/>
          </w:rPr>
          <w:fldChar w:fldCharType="end"/>
        </w:r>
      </w:hyperlink>
    </w:p>
    <w:p w14:paraId="436D705F" w14:textId="77777777" w:rsidR="0019085B" w:rsidRDefault="002F450F">
      <w:pPr>
        <w:pStyle w:val="TOC2"/>
        <w:rPr>
          <w:rFonts w:asciiTheme="minorHAnsi" w:eastAsiaTheme="minorEastAsia" w:hAnsiTheme="minorHAnsi" w:cstheme="minorBidi"/>
          <w:noProof/>
          <w:sz w:val="22"/>
          <w:szCs w:val="22"/>
          <w:lang w:eastAsia="en-AU"/>
        </w:rPr>
      </w:pPr>
      <w:hyperlink w:anchor="_Toc486231795" w:history="1">
        <w:r w:rsidR="0019085B" w:rsidRPr="00FC2506">
          <w:rPr>
            <w:rStyle w:val="Hyperlink"/>
            <w:noProof/>
          </w:rPr>
          <w:t>5.9</w:t>
        </w:r>
        <w:r w:rsidR="0019085B">
          <w:rPr>
            <w:rFonts w:asciiTheme="minorHAnsi" w:eastAsiaTheme="minorEastAsia" w:hAnsiTheme="minorHAnsi" w:cstheme="minorBidi"/>
            <w:noProof/>
            <w:sz w:val="22"/>
            <w:szCs w:val="22"/>
            <w:lang w:eastAsia="en-AU"/>
          </w:rPr>
          <w:tab/>
        </w:r>
        <w:r w:rsidR="0019085B" w:rsidRPr="00FC2506">
          <w:rPr>
            <w:rStyle w:val="Hyperlink"/>
            <w:noProof/>
          </w:rPr>
          <w:t>MedicineInsight Drug utilisation</w:t>
        </w:r>
        <w:r w:rsidR="0019085B">
          <w:rPr>
            <w:noProof/>
            <w:webHidden/>
          </w:rPr>
          <w:tab/>
        </w:r>
        <w:r w:rsidR="0019085B">
          <w:rPr>
            <w:noProof/>
            <w:webHidden/>
          </w:rPr>
          <w:fldChar w:fldCharType="begin"/>
        </w:r>
        <w:r w:rsidR="0019085B">
          <w:rPr>
            <w:noProof/>
            <w:webHidden/>
          </w:rPr>
          <w:instrText xml:space="preserve"> PAGEREF _Toc486231795 \h </w:instrText>
        </w:r>
        <w:r w:rsidR="0019085B">
          <w:rPr>
            <w:noProof/>
            <w:webHidden/>
          </w:rPr>
        </w:r>
        <w:r w:rsidR="0019085B">
          <w:rPr>
            <w:noProof/>
            <w:webHidden/>
          </w:rPr>
          <w:fldChar w:fldCharType="separate"/>
        </w:r>
        <w:r w:rsidR="00DA6395">
          <w:rPr>
            <w:noProof/>
            <w:webHidden/>
          </w:rPr>
          <w:t>30</w:t>
        </w:r>
        <w:r w:rsidR="0019085B">
          <w:rPr>
            <w:noProof/>
            <w:webHidden/>
          </w:rPr>
          <w:fldChar w:fldCharType="end"/>
        </w:r>
      </w:hyperlink>
    </w:p>
    <w:p w14:paraId="587CC3A7"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96" w:history="1">
        <w:r w:rsidR="0019085B" w:rsidRPr="00FC2506">
          <w:rPr>
            <w:rStyle w:val="Hyperlink"/>
            <w:noProof/>
          </w:rPr>
          <w:t>5.9.1</w:t>
        </w:r>
        <w:r w:rsidR="0019085B">
          <w:rPr>
            <w:rFonts w:asciiTheme="minorHAnsi" w:eastAsiaTheme="minorEastAsia" w:hAnsiTheme="minorHAnsi" w:cstheme="minorBidi"/>
            <w:noProof/>
            <w:sz w:val="22"/>
            <w:szCs w:val="22"/>
            <w:lang w:eastAsia="en-AU"/>
          </w:rPr>
          <w:tab/>
        </w:r>
        <w:r w:rsidR="0019085B" w:rsidRPr="00FC2506">
          <w:rPr>
            <w:rStyle w:val="Hyperlink"/>
            <w:noProof/>
          </w:rPr>
          <w:t>Number of prescriptions</w:t>
        </w:r>
        <w:r w:rsidR="0019085B">
          <w:rPr>
            <w:noProof/>
            <w:webHidden/>
          </w:rPr>
          <w:tab/>
        </w:r>
        <w:r w:rsidR="0019085B">
          <w:rPr>
            <w:noProof/>
            <w:webHidden/>
          </w:rPr>
          <w:fldChar w:fldCharType="begin"/>
        </w:r>
        <w:r w:rsidR="0019085B">
          <w:rPr>
            <w:noProof/>
            <w:webHidden/>
          </w:rPr>
          <w:instrText xml:space="preserve"> PAGEREF _Toc486231796 \h </w:instrText>
        </w:r>
        <w:r w:rsidR="0019085B">
          <w:rPr>
            <w:noProof/>
            <w:webHidden/>
          </w:rPr>
        </w:r>
        <w:r w:rsidR="0019085B">
          <w:rPr>
            <w:noProof/>
            <w:webHidden/>
          </w:rPr>
          <w:fldChar w:fldCharType="separate"/>
        </w:r>
        <w:r w:rsidR="00DA6395">
          <w:rPr>
            <w:noProof/>
            <w:webHidden/>
          </w:rPr>
          <w:t>30</w:t>
        </w:r>
        <w:r w:rsidR="0019085B">
          <w:rPr>
            <w:noProof/>
            <w:webHidden/>
          </w:rPr>
          <w:fldChar w:fldCharType="end"/>
        </w:r>
      </w:hyperlink>
    </w:p>
    <w:p w14:paraId="456AC106" w14:textId="77777777" w:rsidR="0019085B" w:rsidRDefault="002F450F">
      <w:pPr>
        <w:pStyle w:val="TOC3"/>
        <w:rPr>
          <w:rFonts w:asciiTheme="minorHAnsi" w:eastAsiaTheme="minorEastAsia" w:hAnsiTheme="minorHAnsi" w:cstheme="minorBidi"/>
          <w:noProof/>
          <w:sz w:val="22"/>
          <w:szCs w:val="22"/>
          <w:lang w:eastAsia="en-AU"/>
        </w:rPr>
      </w:pPr>
      <w:hyperlink w:anchor="_Toc486231797" w:history="1">
        <w:r w:rsidR="0019085B" w:rsidRPr="00FC2506">
          <w:rPr>
            <w:rStyle w:val="Hyperlink"/>
            <w:noProof/>
          </w:rPr>
          <w:t>5.9.2 Co-prescribing in 2016</w:t>
        </w:r>
        <w:r w:rsidR="0019085B">
          <w:rPr>
            <w:noProof/>
            <w:webHidden/>
          </w:rPr>
          <w:tab/>
        </w:r>
        <w:r w:rsidR="0019085B">
          <w:rPr>
            <w:noProof/>
            <w:webHidden/>
          </w:rPr>
          <w:fldChar w:fldCharType="begin"/>
        </w:r>
        <w:r w:rsidR="0019085B">
          <w:rPr>
            <w:noProof/>
            <w:webHidden/>
          </w:rPr>
          <w:instrText xml:space="preserve"> PAGEREF _Toc486231797 \h </w:instrText>
        </w:r>
        <w:r w:rsidR="0019085B">
          <w:rPr>
            <w:noProof/>
            <w:webHidden/>
          </w:rPr>
        </w:r>
        <w:r w:rsidR="0019085B">
          <w:rPr>
            <w:noProof/>
            <w:webHidden/>
          </w:rPr>
          <w:fldChar w:fldCharType="separate"/>
        </w:r>
        <w:r w:rsidR="00DA6395">
          <w:rPr>
            <w:noProof/>
            <w:webHidden/>
          </w:rPr>
          <w:t>32</w:t>
        </w:r>
        <w:r w:rsidR="0019085B">
          <w:rPr>
            <w:noProof/>
            <w:webHidden/>
          </w:rPr>
          <w:fldChar w:fldCharType="end"/>
        </w:r>
      </w:hyperlink>
    </w:p>
    <w:p w14:paraId="2B7BD77A"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98" w:history="1">
        <w:r w:rsidR="0019085B" w:rsidRPr="00FC2506">
          <w:rPr>
            <w:rStyle w:val="Hyperlink"/>
            <w:noProof/>
          </w:rPr>
          <w:t>5.9.3</w:t>
        </w:r>
        <w:r w:rsidR="0019085B">
          <w:rPr>
            <w:rFonts w:asciiTheme="minorHAnsi" w:eastAsiaTheme="minorEastAsia" w:hAnsiTheme="minorHAnsi" w:cstheme="minorBidi"/>
            <w:noProof/>
            <w:sz w:val="22"/>
            <w:szCs w:val="22"/>
            <w:lang w:eastAsia="en-AU"/>
          </w:rPr>
          <w:tab/>
        </w:r>
        <w:r w:rsidR="0019085B" w:rsidRPr="00FC2506">
          <w:rPr>
            <w:rStyle w:val="Hyperlink"/>
            <w:noProof/>
          </w:rPr>
          <w:t>Initial therapy for COPD</w:t>
        </w:r>
        <w:r w:rsidR="0019085B">
          <w:rPr>
            <w:noProof/>
            <w:webHidden/>
          </w:rPr>
          <w:tab/>
        </w:r>
        <w:r w:rsidR="0019085B">
          <w:rPr>
            <w:noProof/>
            <w:webHidden/>
          </w:rPr>
          <w:fldChar w:fldCharType="begin"/>
        </w:r>
        <w:r w:rsidR="0019085B">
          <w:rPr>
            <w:noProof/>
            <w:webHidden/>
          </w:rPr>
          <w:instrText xml:space="preserve"> PAGEREF _Toc486231798 \h </w:instrText>
        </w:r>
        <w:r w:rsidR="0019085B">
          <w:rPr>
            <w:noProof/>
            <w:webHidden/>
          </w:rPr>
        </w:r>
        <w:r w:rsidR="0019085B">
          <w:rPr>
            <w:noProof/>
            <w:webHidden/>
          </w:rPr>
          <w:fldChar w:fldCharType="separate"/>
        </w:r>
        <w:r w:rsidR="00DA6395">
          <w:rPr>
            <w:noProof/>
            <w:webHidden/>
          </w:rPr>
          <w:t>32</w:t>
        </w:r>
        <w:r w:rsidR="0019085B">
          <w:rPr>
            <w:noProof/>
            <w:webHidden/>
          </w:rPr>
          <w:fldChar w:fldCharType="end"/>
        </w:r>
      </w:hyperlink>
    </w:p>
    <w:p w14:paraId="4906240F" w14:textId="77777777" w:rsidR="0019085B" w:rsidRDefault="002F450F">
      <w:pPr>
        <w:pStyle w:val="TOC3"/>
        <w:tabs>
          <w:tab w:val="left" w:pos="1834"/>
        </w:tabs>
        <w:rPr>
          <w:rFonts w:asciiTheme="minorHAnsi" w:eastAsiaTheme="minorEastAsia" w:hAnsiTheme="minorHAnsi" w:cstheme="minorBidi"/>
          <w:noProof/>
          <w:sz w:val="22"/>
          <w:szCs w:val="22"/>
          <w:lang w:eastAsia="en-AU"/>
        </w:rPr>
      </w:pPr>
      <w:hyperlink w:anchor="_Toc486231799" w:history="1">
        <w:r w:rsidR="0019085B" w:rsidRPr="00FC2506">
          <w:rPr>
            <w:rStyle w:val="Hyperlink"/>
            <w:noProof/>
          </w:rPr>
          <w:t>5.9.4</w:t>
        </w:r>
        <w:r w:rsidR="0019085B">
          <w:rPr>
            <w:rFonts w:asciiTheme="minorHAnsi" w:eastAsiaTheme="minorEastAsia" w:hAnsiTheme="minorHAnsi" w:cstheme="minorBidi"/>
            <w:noProof/>
            <w:sz w:val="22"/>
            <w:szCs w:val="22"/>
            <w:lang w:eastAsia="en-AU"/>
          </w:rPr>
          <w:tab/>
        </w:r>
        <w:r w:rsidR="0019085B" w:rsidRPr="00FC2506">
          <w:rPr>
            <w:rStyle w:val="Hyperlink"/>
            <w:noProof/>
          </w:rPr>
          <w:t>Associated care for COPD patients</w:t>
        </w:r>
        <w:r w:rsidR="0019085B">
          <w:rPr>
            <w:noProof/>
            <w:webHidden/>
          </w:rPr>
          <w:tab/>
        </w:r>
        <w:r w:rsidR="0019085B">
          <w:rPr>
            <w:noProof/>
            <w:webHidden/>
          </w:rPr>
          <w:fldChar w:fldCharType="begin"/>
        </w:r>
        <w:r w:rsidR="0019085B">
          <w:rPr>
            <w:noProof/>
            <w:webHidden/>
          </w:rPr>
          <w:instrText xml:space="preserve"> PAGEREF _Toc486231799 \h </w:instrText>
        </w:r>
        <w:r w:rsidR="0019085B">
          <w:rPr>
            <w:noProof/>
            <w:webHidden/>
          </w:rPr>
        </w:r>
        <w:r w:rsidR="0019085B">
          <w:rPr>
            <w:noProof/>
            <w:webHidden/>
          </w:rPr>
          <w:fldChar w:fldCharType="separate"/>
        </w:r>
        <w:r w:rsidR="00DA6395">
          <w:rPr>
            <w:noProof/>
            <w:webHidden/>
          </w:rPr>
          <w:t>33</w:t>
        </w:r>
        <w:r w:rsidR="0019085B">
          <w:rPr>
            <w:noProof/>
            <w:webHidden/>
          </w:rPr>
          <w:fldChar w:fldCharType="end"/>
        </w:r>
      </w:hyperlink>
    </w:p>
    <w:p w14:paraId="0BA22AE5" w14:textId="66CC1538" w:rsidR="0019085B" w:rsidRDefault="002F450F">
      <w:pPr>
        <w:pStyle w:val="TOC3"/>
        <w:tabs>
          <w:tab w:val="left" w:pos="1834"/>
        </w:tabs>
        <w:rPr>
          <w:rStyle w:val="Hyperlink"/>
          <w:noProof/>
        </w:rPr>
      </w:pPr>
      <w:hyperlink w:anchor="_Toc486231800" w:history="1">
        <w:r w:rsidR="0019085B" w:rsidRPr="00FC2506">
          <w:rPr>
            <w:rStyle w:val="Hyperlink"/>
            <w:noProof/>
          </w:rPr>
          <w:t>5.9.5</w:t>
        </w:r>
        <w:r w:rsidR="0019085B">
          <w:rPr>
            <w:rFonts w:asciiTheme="minorHAnsi" w:eastAsiaTheme="minorEastAsia" w:hAnsiTheme="minorHAnsi" w:cstheme="minorBidi"/>
            <w:noProof/>
            <w:sz w:val="22"/>
            <w:szCs w:val="22"/>
            <w:lang w:eastAsia="en-AU"/>
          </w:rPr>
          <w:tab/>
        </w:r>
        <w:r w:rsidR="0019085B" w:rsidRPr="00FC2506">
          <w:rPr>
            <w:rStyle w:val="Hyperlink"/>
            <w:noProof/>
          </w:rPr>
          <w:t>Adverse events</w:t>
        </w:r>
        <w:r w:rsidR="0019085B">
          <w:rPr>
            <w:noProof/>
            <w:webHidden/>
          </w:rPr>
          <w:tab/>
        </w:r>
        <w:r w:rsidR="0019085B">
          <w:rPr>
            <w:noProof/>
            <w:webHidden/>
          </w:rPr>
          <w:fldChar w:fldCharType="begin"/>
        </w:r>
        <w:r w:rsidR="0019085B">
          <w:rPr>
            <w:noProof/>
            <w:webHidden/>
          </w:rPr>
          <w:instrText xml:space="preserve"> PAGEREF _Toc486231800 \h </w:instrText>
        </w:r>
        <w:r w:rsidR="0019085B">
          <w:rPr>
            <w:noProof/>
            <w:webHidden/>
          </w:rPr>
        </w:r>
        <w:r w:rsidR="0019085B">
          <w:rPr>
            <w:noProof/>
            <w:webHidden/>
          </w:rPr>
          <w:fldChar w:fldCharType="separate"/>
        </w:r>
        <w:r w:rsidR="00DA6395">
          <w:rPr>
            <w:noProof/>
            <w:webHidden/>
          </w:rPr>
          <w:t>33</w:t>
        </w:r>
        <w:r w:rsidR="0019085B">
          <w:rPr>
            <w:noProof/>
            <w:webHidden/>
          </w:rPr>
          <w:fldChar w:fldCharType="end"/>
        </w:r>
      </w:hyperlink>
    </w:p>
    <w:p w14:paraId="24EFD60C" w14:textId="0023C04A" w:rsidR="00D00149" w:rsidRDefault="008D5CE6" w:rsidP="001229CE">
      <w:pPr>
        <w:rPr>
          <w:noProof/>
        </w:rPr>
      </w:pPr>
      <w:r>
        <w:rPr>
          <w:noProof/>
        </w:rPr>
        <w:br w:type="page"/>
      </w:r>
    </w:p>
    <w:p w14:paraId="59290AB9" w14:textId="796C87BF" w:rsidR="008D5CE6" w:rsidRPr="00A865FF" w:rsidRDefault="008D5CE6" w:rsidP="00DA6395">
      <w:pPr>
        <w:pStyle w:val="Heading2"/>
        <w:rPr>
          <w:noProof/>
        </w:rPr>
      </w:pPr>
      <w:r>
        <w:rPr>
          <w:noProof/>
        </w:rPr>
        <w:lastRenderedPageBreak/>
        <w:t>List of Tables</w:t>
      </w:r>
    </w:p>
    <w:p w14:paraId="3F3E341F" w14:textId="77777777" w:rsidR="00C73269" w:rsidRPr="0090763F" w:rsidRDefault="00C73269" w:rsidP="00C73269">
      <w:pPr>
        <w:pStyle w:val="TableofFigures"/>
        <w:tabs>
          <w:tab w:val="right" w:leader="dot" w:pos="9628"/>
        </w:tabs>
        <w:rPr>
          <w:rFonts w:asciiTheme="majorHAnsi" w:eastAsiaTheme="minorEastAsia" w:hAnsiTheme="majorHAnsi" w:cstheme="minorBidi"/>
          <w:noProof/>
          <w:lang w:eastAsia="en-AU"/>
        </w:rPr>
      </w:pPr>
      <w:r w:rsidRPr="00C73269">
        <w:rPr>
          <w:rFonts w:asciiTheme="majorHAnsi" w:hAnsiTheme="majorHAnsi"/>
          <w:noProof/>
        </w:rPr>
        <w:fldChar w:fldCharType="begin"/>
      </w:r>
      <w:r w:rsidRPr="00C73269">
        <w:rPr>
          <w:rFonts w:asciiTheme="majorHAnsi" w:hAnsiTheme="majorHAnsi"/>
          <w:noProof/>
        </w:rPr>
        <w:instrText xml:space="preserve"> TOC \h \z \t "TR5 Table Header" \c </w:instrText>
      </w:r>
      <w:r w:rsidRPr="00C73269">
        <w:rPr>
          <w:rFonts w:asciiTheme="majorHAnsi" w:hAnsiTheme="majorHAnsi"/>
          <w:noProof/>
        </w:rPr>
        <w:fldChar w:fldCharType="separate"/>
      </w:r>
      <w:hyperlink w:anchor="_Toc486232643" w:history="1">
        <w:r w:rsidRPr="00C73269">
          <w:rPr>
            <w:rStyle w:val="Hyperlink"/>
            <w:rFonts w:asciiTheme="majorHAnsi" w:hAnsiTheme="majorHAnsi"/>
            <w:noProof/>
          </w:rPr>
          <w:t>Table 5.1</w:t>
        </w:r>
        <w:r w:rsidRPr="0090763F">
          <w:rPr>
            <w:rFonts w:asciiTheme="majorHAnsi" w:eastAsiaTheme="minorEastAsia" w:hAnsiTheme="majorHAnsi" w:cstheme="minorBidi"/>
            <w:noProof/>
            <w:lang w:eastAsia="en-AU"/>
          </w:rPr>
          <w:tab/>
        </w:r>
        <w:r w:rsidRPr="00C73269">
          <w:rPr>
            <w:rStyle w:val="Hyperlink"/>
            <w:rFonts w:asciiTheme="majorHAnsi" w:hAnsiTheme="majorHAnsi"/>
            <w:noProof/>
          </w:rPr>
          <w:t>Standard prescription coverage days calculated from the DoH claims database</w:t>
        </w:r>
        <w:r w:rsidRPr="00C73269">
          <w:rPr>
            <w:rFonts w:asciiTheme="majorHAnsi" w:hAnsiTheme="majorHAnsi"/>
            <w:noProof/>
            <w:webHidden/>
          </w:rPr>
          <w:tab/>
        </w:r>
        <w:r w:rsidRPr="00C73269">
          <w:rPr>
            <w:rFonts w:asciiTheme="majorHAnsi" w:hAnsiTheme="majorHAnsi"/>
            <w:noProof/>
            <w:webHidden/>
          </w:rPr>
          <w:fldChar w:fldCharType="begin"/>
        </w:r>
        <w:r w:rsidRPr="00C73269">
          <w:rPr>
            <w:rFonts w:asciiTheme="majorHAnsi" w:hAnsiTheme="majorHAnsi"/>
            <w:noProof/>
            <w:webHidden/>
          </w:rPr>
          <w:instrText xml:space="preserve"> PAGEREF _Toc486232643 \h </w:instrText>
        </w:r>
        <w:r w:rsidRPr="00C73269">
          <w:rPr>
            <w:rFonts w:asciiTheme="majorHAnsi" w:hAnsiTheme="majorHAnsi"/>
            <w:noProof/>
            <w:webHidden/>
          </w:rPr>
        </w:r>
        <w:r w:rsidRPr="00C73269">
          <w:rPr>
            <w:rFonts w:asciiTheme="majorHAnsi" w:hAnsiTheme="majorHAnsi"/>
            <w:noProof/>
            <w:webHidden/>
          </w:rPr>
          <w:fldChar w:fldCharType="separate"/>
        </w:r>
        <w:r w:rsidR="00DA6395">
          <w:rPr>
            <w:rFonts w:asciiTheme="majorHAnsi" w:hAnsiTheme="majorHAnsi"/>
            <w:noProof/>
            <w:webHidden/>
          </w:rPr>
          <w:t>10</w:t>
        </w:r>
        <w:r w:rsidRPr="00C73269">
          <w:rPr>
            <w:rFonts w:asciiTheme="majorHAnsi" w:hAnsiTheme="majorHAnsi"/>
            <w:noProof/>
            <w:webHidden/>
          </w:rPr>
          <w:fldChar w:fldCharType="end"/>
        </w:r>
      </w:hyperlink>
    </w:p>
    <w:p w14:paraId="506268B8" w14:textId="77777777" w:rsidR="00C73269" w:rsidRPr="0090763F" w:rsidRDefault="002F450F" w:rsidP="00C73269">
      <w:pPr>
        <w:pStyle w:val="TableofFigures"/>
        <w:tabs>
          <w:tab w:val="right" w:leader="dot" w:pos="9628"/>
        </w:tabs>
        <w:rPr>
          <w:rFonts w:asciiTheme="majorHAnsi" w:eastAsiaTheme="minorEastAsia" w:hAnsiTheme="majorHAnsi" w:cstheme="minorBidi"/>
          <w:noProof/>
          <w:lang w:eastAsia="en-AU"/>
        </w:rPr>
      </w:pPr>
      <w:hyperlink w:anchor="_Toc486232644" w:history="1">
        <w:r w:rsidR="00C73269" w:rsidRPr="00C73269">
          <w:rPr>
            <w:rStyle w:val="Hyperlink"/>
            <w:rFonts w:asciiTheme="majorHAnsi" w:hAnsiTheme="majorHAnsi"/>
            <w:noProof/>
          </w:rPr>
          <w:t>Table 5.2</w:t>
        </w:r>
        <w:r w:rsidR="00C73269" w:rsidRPr="0090763F">
          <w:rPr>
            <w:rFonts w:asciiTheme="majorHAnsi" w:eastAsiaTheme="minorEastAsia" w:hAnsiTheme="majorHAnsi" w:cstheme="minorBidi"/>
            <w:noProof/>
            <w:lang w:eastAsia="en-AU"/>
          </w:rPr>
          <w:tab/>
        </w:r>
        <w:r w:rsidR="00C73269" w:rsidRPr="00C73269">
          <w:rPr>
            <w:rStyle w:val="Hyperlink"/>
            <w:rFonts w:asciiTheme="majorHAnsi" w:hAnsiTheme="majorHAnsi"/>
            <w:noProof/>
          </w:rPr>
          <w:t>COPD dispensed script volumes and year on year movement by quarter from Quarter 4 2012 to Quarter 4 2016 for patients initiating between 1st November 2008 and 31st October 2012</w:t>
        </w:r>
        <w:r w:rsidR="00C73269" w:rsidRPr="00C73269">
          <w:rPr>
            <w:rFonts w:asciiTheme="majorHAnsi" w:hAnsiTheme="majorHAnsi"/>
            <w:noProof/>
            <w:webHidden/>
          </w:rPr>
          <w:tab/>
        </w:r>
        <w:r w:rsidR="00C73269" w:rsidRPr="00C73269">
          <w:rPr>
            <w:rFonts w:asciiTheme="majorHAnsi" w:hAnsiTheme="majorHAnsi"/>
            <w:noProof/>
            <w:webHidden/>
          </w:rPr>
          <w:fldChar w:fldCharType="begin"/>
        </w:r>
        <w:r w:rsidR="00C73269" w:rsidRPr="00C73269">
          <w:rPr>
            <w:rFonts w:asciiTheme="majorHAnsi" w:hAnsiTheme="majorHAnsi"/>
            <w:noProof/>
            <w:webHidden/>
          </w:rPr>
          <w:instrText xml:space="preserve"> PAGEREF _Toc486232644 \h </w:instrText>
        </w:r>
        <w:r w:rsidR="00C73269" w:rsidRPr="00C73269">
          <w:rPr>
            <w:rFonts w:asciiTheme="majorHAnsi" w:hAnsiTheme="majorHAnsi"/>
            <w:noProof/>
            <w:webHidden/>
          </w:rPr>
        </w:r>
        <w:r w:rsidR="00C73269" w:rsidRPr="00C73269">
          <w:rPr>
            <w:rFonts w:asciiTheme="majorHAnsi" w:hAnsiTheme="majorHAnsi"/>
            <w:noProof/>
            <w:webHidden/>
          </w:rPr>
          <w:fldChar w:fldCharType="separate"/>
        </w:r>
        <w:r w:rsidR="00DA6395">
          <w:rPr>
            <w:rFonts w:asciiTheme="majorHAnsi" w:hAnsiTheme="majorHAnsi"/>
            <w:noProof/>
            <w:webHidden/>
          </w:rPr>
          <w:t>22</w:t>
        </w:r>
        <w:r w:rsidR="00C73269" w:rsidRPr="00C73269">
          <w:rPr>
            <w:rFonts w:asciiTheme="majorHAnsi" w:hAnsiTheme="majorHAnsi"/>
            <w:noProof/>
            <w:webHidden/>
          </w:rPr>
          <w:fldChar w:fldCharType="end"/>
        </w:r>
      </w:hyperlink>
    </w:p>
    <w:p w14:paraId="6A58446A" w14:textId="77777777" w:rsidR="00C73269" w:rsidRPr="0090763F" w:rsidRDefault="002F450F" w:rsidP="00C73269">
      <w:pPr>
        <w:pStyle w:val="TableofFigures"/>
        <w:tabs>
          <w:tab w:val="right" w:leader="dot" w:pos="9628"/>
        </w:tabs>
        <w:rPr>
          <w:rFonts w:asciiTheme="majorHAnsi" w:eastAsiaTheme="minorEastAsia" w:hAnsiTheme="majorHAnsi" w:cstheme="minorBidi"/>
          <w:noProof/>
          <w:lang w:eastAsia="en-AU"/>
        </w:rPr>
      </w:pPr>
      <w:hyperlink w:anchor="_Toc486232645" w:history="1">
        <w:r w:rsidR="00C73269" w:rsidRPr="00C73269">
          <w:rPr>
            <w:rStyle w:val="Hyperlink"/>
            <w:rFonts w:asciiTheme="majorHAnsi" w:hAnsiTheme="majorHAnsi"/>
            <w:noProof/>
          </w:rPr>
          <w:t>Table 5.3 Patients initiating by LABA, LAMA and LAMA/LABA classes by year</w:t>
        </w:r>
        <w:r w:rsidR="00C73269" w:rsidRPr="00C73269">
          <w:rPr>
            <w:rFonts w:asciiTheme="majorHAnsi" w:hAnsiTheme="majorHAnsi"/>
            <w:noProof/>
            <w:webHidden/>
          </w:rPr>
          <w:tab/>
        </w:r>
        <w:r w:rsidR="00C73269" w:rsidRPr="00C73269">
          <w:rPr>
            <w:rFonts w:asciiTheme="majorHAnsi" w:hAnsiTheme="majorHAnsi"/>
            <w:noProof/>
            <w:webHidden/>
          </w:rPr>
          <w:fldChar w:fldCharType="begin"/>
        </w:r>
        <w:r w:rsidR="00C73269" w:rsidRPr="00C73269">
          <w:rPr>
            <w:rFonts w:asciiTheme="majorHAnsi" w:hAnsiTheme="majorHAnsi"/>
            <w:noProof/>
            <w:webHidden/>
          </w:rPr>
          <w:instrText xml:space="preserve"> PAGEREF _Toc486232645 \h </w:instrText>
        </w:r>
        <w:r w:rsidR="00C73269" w:rsidRPr="00C73269">
          <w:rPr>
            <w:rFonts w:asciiTheme="majorHAnsi" w:hAnsiTheme="majorHAnsi"/>
            <w:noProof/>
            <w:webHidden/>
          </w:rPr>
        </w:r>
        <w:r w:rsidR="00C73269" w:rsidRPr="00C73269">
          <w:rPr>
            <w:rFonts w:asciiTheme="majorHAnsi" w:hAnsiTheme="majorHAnsi"/>
            <w:noProof/>
            <w:webHidden/>
          </w:rPr>
          <w:fldChar w:fldCharType="separate"/>
        </w:r>
        <w:r w:rsidR="00DA6395">
          <w:rPr>
            <w:rFonts w:asciiTheme="majorHAnsi" w:hAnsiTheme="majorHAnsi"/>
            <w:noProof/>
            <w:webHidden/>
          </w:rPr>
          <w:t>24</w:t>
        </w:r>
        <w:r w:rsidR="00C73269" w:rsidRPr="00C73269">
          <w:rPr>
            <w:rFonts w:asciiTheme="majorHAnsi" w:hAnsiTheme="majorHAnsi"/>
            <w:noProof/>
            <w:webHidden/>
          </w:rPr>
          <w:fldChar w:fldCharType="end"/>
        </w:r>
      </w:hyperlink>
    </w:p>
    <w:p w14:paraId="57459416" w14:textId="77777777" w:rsidR="00C73269" w:rsidRPr="0090763F" w:rsidRDefault="002F450F" w:rsidP="00C73269">
      <w:pPr>
        <w:pStyle w:val="TableofFigures"/>
        <w:tabs>
          <w:tab w:val="right" w:leader="dot" w:pos="9628"/>
        </w:tabs>
        <w:rPr>
          <w:rFonts w:asciiTheme="majorHAnsi" w:eastAsiaTheme="minorEastAsia" w:hAnsiTheme="majorHAnsi" w:cstheme="minorBidi"/>
          <w:noProof/>
          <w:lang w:eastAsia="en-AU"/>
        </w:rPr>
      </w:pPr>
      <w:hyperlink w:anchor="_Toc486232646" w:history="1">
        <w:r w:rsidR="00C73269" w:rsidRPr="00C73269">
          <w:rPr>
            <w:rStyle w:val="Hyperlink"/>
            <w:rFonts w:asciiTheme="majorHAnsi" w:hAnsiTheme="majorHAnsi"/>
            <w:noProof/>
          </w:rPr>
          <w:t>Table 5.4 Patients initiating to a medicine or combination therapy that is not refilled by LABA, LAMA and LAMA/LABA classes by year</w:t>
        </w:r>
        <w:r w:rsidR="00C73269" w:rsidRPr="00C73269">
          <w:rPr>
            <w:rFonts w:asciiTheme="majorHAnsi" w:hAnsiTheme="majorHAnsi"/>
            <w:noProof/>
            <w:webHidden/>
          </w:rPr>
          <w:tab/>
        </w:r>
        <w:r w:rsidR="00C73269" w:rsidRPr="00C73269">
          <w:rPr>
            <w:rFonts w:asciiTheme="majorHAnsi" w:hAnsiTheme="majorHAnsi"/>
            <w:noProof/>
            <w:webHidden/>
          </w:rPr>
          <w:fldChar w:fldCharType="begin"/>
        </w:r>
        <w:r w:rsidR="00C73269" w:rsidRPr="00C73269">
          <w:rPr>
            <w:rFonts w:asciiTheme="majorHAnsi" w:hAnsiTheme="majorHAnsi"/>
            <w:noProof/>
            <w:webHidden/>
          </w:rPr>
          <w:instrText xml:space="preserve"> PAGEREF _Toc486232646 \h </w:instrText>
        </w:r>
        <w:r w:rsidR="00C73269" w:rsidRPr="00C73269">
          <w:rPr>
            <w:rFonts w:asciiTheme="majorHAnsi" w:hAnsiTheme="majorHAnsi"/>
            <w:noProof/>
            <w:webHidden/>
          </w:rPr>
        </w:r>
        <w:r w:rsidR="00C73269" w:rsidRPr="00C73269">
          <w:rPr>
            <w:rFonts w:asciiTheme="majorHAnsi" w:hAnsiTheme="majorHAnsi"/>
            <w:noProof/>
            <w:webHidden/>
          </w:rPr>
          <w:fldChar w:fldCharType="separate"/>
        </w:r>
        <w:r w:rsidR="00DA6395">
          <w:rPr>
            <w:rFonts w:asciiTheme="majorHAnsi" w:hAnsiTheme="majorHAnsi"/>
            <w:noProof/>
            <w:webHidden/>
          </w:rPr>
          <w:t>24</w:t>
        </w:r>
        <w:r w:rsidR="00C73269" w:rsidRPr="00C73269">
          <w:rPr>
            <w:rFonts w:asciiTheme="majorHAnsi" w:hAnsiTheme="majorHAnsi"/>
            <w:noProof/>
            <w:webHidden/>
          </w:rPr>
          <w:fldChar w:fldCharType="end"/>
        </w:r>
      </w:hyperlink>
    </w:p>
    <w:p w14:paraId="234EFA51" w14:textId="77777777" w:rsidR="00C73269" w:rsidRPr="0090763F" w:rsidRDefault="002F450F" w:rsidP="00C73269">
      <w:pPr>
        <w:pStyle w:val="TableofFigures"/>
        <w:tabs>
          <w:tab w:val="right" w:leader="dot" w:pos="9628"/>
        </w:tabs>
        <w:rPr>
          <w:rFonts w:asciiTheme="majorHAnsi" w:eastAsiaTheme="minorEastAsia" w:hAnsiTheme="majorHAnsi" w:cstheme="minorBidi"/>
          <w:noProof/>
          <w:lang w:eastAsia="en-AU"/>
        </w:rPr>
      </w:pPr>
      <w:hyperlink w:anchor="_Toc486232647" w:history="1">
        <w:r w:rsidR="00C73269" w:rsidRPr="00C73269">
          <w:rPr>
            <w:rStyle w:val="Hyperlink"/>
            <w:rFonts w:asciiTheme="majorHAnsi" w:hAnsiTheme="majorHAnsi"/>
            <w:noProof/>
          </w:rPr>
          <w:t>Table 5.5</w:t>
        </w:r>
        <w:r w:rsidR="00C73269" w:rsidRPr="0090763F">
          <w:rPr>
            <w:rFonts w:asciiTheme="majorHAnsi" w:eastAsiaTheme="minorEastAsia" w:hAnsiTheme="majorHAnsi" w:cstheme="minorBidi"/>
            <w:noProof/>
            <w:lang w:eastAsia="en-AU"/>
          </w:rPr>
          <w:tab/>
        </w:r>
        <w:r w:rsidR="00C73269" w:rsidRPr="00C73269">
          <w:rPr>
            <w:rStyle w:val="Hyperlink"/>
            <w:rFonts w:asciiTheme="majorHAnsi" w:hAnsiTheme="majorHAnsi"/>
            <w:noProof/>
          </w:rPr>
          <w:t>Patients initiating by group and year</w:t>
        </w:r>
        <w:r w:rsidR="00C73269" w:rsidRPr="00C73269">
          <w:rPr>
            <w:rFonts w:asciiTheme="majorHAnsi" w:hAnsiTheme="majorHAnsi"/>
            <w:noProof/>
            <w:webHidden/>
          </w:rPr>
          <w:tab/>
        </w:r>
        <w:r w:rsidR="00C73269" w:rsidRPr="00C73269">
          <w:rPr>
            <w:rFonts w:asciiTheme="majorHAnsi" w:hAnsiTheme="majorHAnsi"/>
            <w:noProof/>
            <w:webHidden/>
          </w:rPr>
          <w:fldChar w:fldCharType="begin"/>
        </w:r>
        <w:r w:rsidR="00C73269" w:rsidRPr="00C73269">
          <w:rPr>
            <w:rFonts w:asciiTheme="majorHAnsi" w:hAnsiTheme="majorHAnsi"/>
            <w:noProof/>
            <w:webHidden/>
          </w:rPr>
          <w:instrText xml:space="preserve"> PAGEREF _Toc486232647 \h </w:instrText>
        </w:r>
        <w:r w:rsidR="00C73269" w:rsidRPr="00C73269">
          <w:rPr>
            <w:rFonts w:asciiTheme="majorHAnsi" w:hAnsiTheme="majorHAnsi"/>
            <w:noProof/>
            <w:webHidden/>
          </w:rPr>
        </w:r>
        <w:r w:rsidR="00C73269" w:rsidRPr="00C73269">
          <w:rPr>
            <w:rFonts w:asciiTheme="majorHAnsi" w:hAnsiTheme="majorHAnsi"/>
            <w:noProof/>
            <w:webHidden/>
          </w:rPr>
          <w:fldChar w:fldCharType="separate"/>
        </w:r>
        <w:r w:rsidR="00DA6395">
          <w:rPr>
            <w:rFonts w:asciiTheme="majorHAnsi" w:hAnsiTheme="majorHAnsi"/>
            <w:noProof/>
            <w:webHidden/>
          </w:rPr>
          <w:t>25</w:t>
        </w:r>
        <w:r w:rsidR="00C73269" w:rsidRPr="00C73269">
          <w:rPr>
            <w:rFonts w:asciiTheme="majorHAnsi" w:hAnsiTheme="majorHAnsi"/>
            <w:noProof/>
            <w:webHidden/>
          </w:rPr>
          <w:fldChar w:fldCharType="end"/>
        </w:r>
      </w:hyperlink>
    </w:p>
    <w:p w14:paraId="27E5C59A" w14:textId="1F8F29D5" w:rsidR="00C73269" w:rsidRPr="0090763F" w:rsidRDefault="002F450F" w:rsidP="00C73269">
      <w:pPr>
        <w:pStyle w:val="TableofFigures"/>
        <w:tabs>
          <w:tab w:val="right" w:leader="dot" w:pos="9628"/>
        </w:tabs>
        <w:rPr>
          <w:rFonts w:asciiTheme="majorHAnsi" w:eastAsiaTheme="minorEastAsia" w:hAnsiTheme="majorHAnsi" w:cstheme="minorBidi"/>
          <w:noProof/>
          <w:lang w:eastAsia="en-AU"/>
        </w:rPr>
      </w:pPr>
      <w:hyperlink w:anchor="_Toc486232648" w:history="1">
        <w:r w:rsidR="00C73269" w:rsidRPr="00C73269">
          <w:rPr>
            <w:rStyle w:val="Hyperlink"/>
            <w:rFonts w:asciiTheme="majorHAnsi" w:hAnsiTheme="majorHAnsi"/>
            <w:noProof/>
          </w:rPr>
          <w:t xml:space="preserve">Table 5.6 </w:t>
        </w:r>
        <w:r w:rsidR="0090763F">
          <w:rPr>
            <w:rStyle w:val="Hyperlink"/>
            <w:rFonts w:asciiTheme="majorHAnsi" w:hAnsiTheme="majorHAnsi"/>
            <w:noProof/>
          </w:rPr>
          <w:tab/>
        </w:r>
        <w:r w:rsidR="00C73269" w:rsidRPr="00C73269">
          <w:rPr>
            <w:rStyle w:val="Hyperlink"/>
            <w:rFonts w:asciiTheme="majorHAnsi" w:hAnsiTheme="majorHAnsi"/>
            <w:noProof/>
          </w:rPr>
          <w:t xml:space="preserve">Patients initiating by prescriber type, 2015 and 2016 </w:t>
        </w:r>
        <w:r w:rsidR="00C73269" w:rsidRPr="00ED75C2">
          <w:rPr>
            <w:rStyle w:val="Hyperlink"/>
            <w:rFonts w:asciiTheme="majorHAnsi" w:hAnsiTheme="majorHAnsi"/>
            <w:noProof/>
          </w:rPr>
          <w:t>(Jan-Oct)</w:t>
        </w:r>
        <w:r w:rsidR="00C73269" w:rsidRPr="00C73269">
          <w:rPr>
            <w:rFonts w:asciiTheme="majorHAnsi" w:hAnsiTheme="majorHAnsi"/>
            <w:noProof/>
            <w:webHidden/>
          </w:rPr>
          <w:tab/>
        </w:r>
        <w:r w:rsidR="00C73269" w:rsidRPr="00C73269">
          <w:rPr>
            <w:rFonts w:asciiTheme="majorHAnsi" w:hAnsiTheme="majorHAnsi"/>
            <w:noProof/>
            <w:webHidden/>
          </w:rPr>
          <w:fldChar w:fldCharType="begin"/>
        </w:r>
        <w:r w:rsidR="00C73269" w:rsidRPr="00C73269">
          <w:rPr>
            <w:rFonts w:asciiTheme="majorHAnsi" w:hAnsiTheme="majorHAnsi"/>
            <w:noProof/>
            <w:webHidden/>
          </w:rPr>
          <w:instrText xml:space="preserve"> PAGEREF _Toc486232648 \h </w:instrText>
        </w:r>
        <w:r w:rsidR="00C73269" w:rsidRPr="00C73269">
          <w:rPr>
            <w:rFonts w:asciiTheme="majorHAnsi" w:hAnsiTheme="majorHAnsi"/>
            <w:noProof/>
            <w:webHidden/>
          </w:rPr>
        </w:r>
        <w:r w:rsidR="00C73269" w:rsidRPr="00C73269">
          <w:rPr>
            <w:rFonts w:asciiTheme="majorHAnsi" w:hAnsiTheme="majorHAnsi"/>
            <w:noProof/>
            <w:webHidden/>
          </w:rPr>
          <w:fldChar w:fldCharType="separate"/>
        </w:r>
        <w:r w:rsidR="00DA6395">
          <w:rPr>
            <w:rFonts w:asciiTheme="majorHAnsi" w:hAnsiTheme="majorHAnsi"/>
            <w:noProof/>
            <w:webHidden/>
          </w:rPr>
          <w:t>25</w:t>
        </w:r>
        <w:r w:rsidR="00C73269" w:rsidRPr="00C73269">
          <w:rPr>
            <w:rFonts w:asciiTheme="majorHAnsi" w:hAnsiTheme="majorHAnsi"/>
            <w:noProof/>
            <w:webHidden/>
          </w:rPr>
          <w:fldChar w:fldCharType="end"/>
        </w:r>
      </w:hyperlink>
    </w:p>
    <w:p w14:paraId="34DA660F" w14:textId="77777777" w:rsidR="00C73269" w:rsidRPr="0090763F" w:rsidRDefault="002F450F" w:rsidP="00C73269">
      <w:pPr>
        <w:pStyle w:val="TableofFigures"/>
        <w:tabs>
          <w:tab w:val="right" w:leader="dot" w:pos="9628"/>
        </w:tabs>
        <w:rPr>
          <w:rFonts w:asciiTheme="majorHAnsi" w:eastAsiaTheme="minorEastAsia" w:hAnsiTheme="majorHAnsi" w:cstheme="minorBidi"/>
          <w:noProof/>
          <w:lang w:eastAsia="en-AU"/>
        </w:rPr>
      </w:pPr>
      <w:hyperlink w:anchor="_Toc486232649" w:history="1">
        <w:r w:rsidR="00C73269" w:rsidRPr="00C73269">
          <w:rPr>
            <w:rStyle w:val="Hyperlink"/>
            <w:rFonts w:asciiTheme="majorHAnsi" w:hAnsiTheme="majorHAnsi"/>
            <w:noProof/>
          </w:rPr>
          <w:t>Table 5.7</w:t>
        </w:r>
        <w:r w:rsidR="00C73269" w:rsidRPr="0090763F">
          <w:rPr>
            <w:rFonts w:asciiTheme="majorHAnsi" w:eastAsiaTheme="minorEastAsia" w:hAnsiTheme="majorHAnsi" w:cstheme="minorBidi"/>
            <w:noProof/>
            <w:lang w:eastAsia="en-AU"/>
          </w:rPr>
          <w:tab/>
        </w:r>
        <w:r w:rsidR="00C73269" w:rsidRPr="00C73269">
          <w:rPr>
            <w:rStyle w:val="Hyperlink"/>
            <w:rFonts w:asciiTheme="majorHAnsi" w:hAnsiTheme="majorHAnsi"/>
            <w:noProof/>
          </w:rPr>
          <w:t>COPD medicines utilisation by COPD-X guideline indicator, drug class and year</w:t>
        </w:r>
        <w:r w:rsidR="00C73269" w:rsidRPr="00C73269">
          <w:rPr>
            <w:rFonts w:asciiTheme="majorHAnsi" w:hAnsiTheme="majorHAnsi"/>
            <w:noProof/>
            <w:webHidden/>
          </w:rPr>
          <w:tab/>
        </w:r>
        <w:r w:rsidR="00C73269" w:rsidRPr="00C73269">
          <w:rPr>
            <w:rFonts w:asciiTheme="majorHAnsi" w:hAnsiTheme="majorHAnsi"/>
            <w:noProof/>
            <w:webHidden/>
          </w:rPr>
          <w:fldChar w:fldCharType="begin"/>
        </w:r>
        <w:r w:rsidR="00C73269" w:rsidRPr="00C73269">
          <w:rPr>
            <w:rFonts w:asciiTheme="majorHAnsi" w:hAnsiTheme="majorHAnsi"/>
            <w:noProof/>
            <w:webHidden/>
          </w:rPr>
          <w:instrText xml:space="preserve"> PAGEREF _Toc486232649 \h </w:instrText>
        </w:r>
        <w:r w:rsidR="00C73269" w:rsidRPr="00C73269">
          <w:rPr>
            <w:rFonts w:asciiTheme="majorHAnsi" w:hAnsiTheme="majorHAnsi"/>
            <w:noProof/>
            <w:webHidden/>
          </w:rPr>
        </w:r>
        <w:r w:rsidR="00C73269" w:rsidRPr="00C73269">
          <w:rPr>
            <w:rFonts w:asciiTheme="majorHAnsi" w:hAnsiTheme="majorHAnsi"/>
            <w:noProof/>
            <w:webHidden/>
          </w:rPr>
          <w:fldChar w:fldCharType="separate"/>
        </w:r>
        <w:r w:rsidR="00DA6395">
          <w:rPr>
            <w:rFonts w:asciiTheme="majorHAnsi" w:hAnsiTheme="majorHAnsi"/>
            <w:noProof/>
            <w:webHidden/>
          </w:rPr>
          <w:t>27</w:t>
        </w:r>
        <w:r w:rsidR="00C73269" w:rsidRPr="00C73269">
          <w:rPr>
            <w:rFonts w:asciiTheme="majorHAnsi" w:hAnsiTheme="majorHAnsi"/>
            <w:noProof/>
            <w:webHidden/>
          </w:rPr>
          <w:fldChar w:fldCharType="end"/>
        </w:r>
      </w:hyperlink>
    </w:p>
    <w:p w14:paraId="398A215F" w14:textId="77777777" w:rsidR="00C73269" w:rsidRPr="0090763F" w:rsidRDefault="002F450F" w:rsidP="00C73269">
      <w:pPr>
        <w:pStyle w:val="TableofFigures"/>
        <w:tabs>
          <w:tab w:val="right" w:leader="dot" w:pos="9628"/>
        </w:tabs>
        <w:rPr>
          <w:rFonts w:asciiTheme="majorHAnsi" w:eastAsiaTheme="minorEastAsia" w:hAnsiTheme="majorHAnsi" w:cstheme="minorBidi"/>
          <w:noProof/>
          <w:lang w:eastAsia="en-AU"/>
        </w:rPr>
      </w:pPr>
      <w:hyperlink w:anchor="_Toc486232650" w:history="1">
        <w:r w:rsidR="00C73269" w:rsidRPr="00C73269">
          <w:rPr>
            <w:rStyle w:val="Hyperlink"/>
            <w:rFonts w:asciiTheme="majorHAnsi" w:hAnsiTheme="majorHAnsi"/>
            <w:noProof/>
          </w:rPr>
          <w:t>Table 5.8</w:t>
        </w:r>
        <w:r w:rsidR="00C73269" w:rsidRPr="0090763F">
          <w:rPr>
            <w:rFonts w:asciiTheme="majorHAnsi" w:eastAsiaTheme="minorEastAsia" w:hAnsiTheme="majorHAnsi" w:cstheme="minorBidi"/>
            <w:noProof/>
            <w:lang w:eastAsia="en-AU"/>
          </w:rPr>
          <w:tab/>
        </w:r>
        <w:r w:rsidR="00C73269" w:rsidRPr="00C73269">
          <w:rPr>
            <w:rStyle w:val="Hyperlink"/>
            <w:rFonts w:asciiTheme="majorHAnsi" w:hAnsiTheme="majorHAnsi"/>
            <w:noProof/>
          </w:rPr>
          <w:t>Utilisation of COPD and COPD plus asthma prescriptions (MedicineInsight)</w:t>
        </w:r>
        <w:r w:rsidR="00C73269" w:rsidRPr="00C73269">
          <w:rPr>
            <w:rFonts w:asciiTheme="majorHAnsi" w:hAnsiTheme="majorHAnsi"/>
            <w:noProof/>
            <w:webHidden/>
          </w:rPr>
          <w:tab/>
        </w:r>
        <w:r w:rsidR="00C73269" w:rsidRPr="00C73269">
          <w:rPr>
            <w:rFonts w:asciiTheme="majorHAnsi" w:hAnsiTheme="majorHAnsi"/>
            <w:noProof/>
            <w:webHidden/>
          </w:rPr>
          <w:fldChar w:fldCharType="begin"/>
        </w:r>
        <w:r w:rsidR="00C73269" w:rsidRPr="00C73269">
          <w:rPr>
            <w:rFonts w:asciiTheme="majorHAnsi" w:hAnsiTheme="majorHAnsi"/>
            <w:noProof/>
            <w:webHidden/>
          </w:rPr>
          <w:instrText xml:space="preserve"> PAGEREF _Toc486232650 \h </w:instrText>
        </w:r>
        <w:r w:rsidR="00C73269" w:rsidRPr="00C73269">
          <w:rPr>
            <w:rFonts w:asciiTheme="majorHAnsi" w:hAnsiTheme="majorHAnsi"/>
            <w:noProof/>
            <w:webHidden/>
          </w:rPr>
        </w:r>
        <w:r w:rsidR="00C73269" w:rsidRPr="00C73269">
          <w:rPr>
            <w:rFonts w:asciiTheme="majorHAnsi" w:hAnsiTheme="majorHAnsi"/>
            <w:noProof/>
            <w:webHidden/>
          </w:rPr>
          <w:fldChar w:fldCharType="separate"/>
        </w:r>
        <w:r w:rsidR="00DA6395">
          <w:rPr>
            <w:rFonts w:asciiTheme="majorHAnsi" w:hAnsiTheme="majorHAnsi"/>
            <w:noProof/>
            <w:webHidden/>
          </w:rPr>
          <w:t>31</w:t>
        </w:r>
        <w:r w:rsidR="00C73269" w:rsidRPr="00C73269">
          <w:rPr>
            <w:rFonts w:asciiTheme="majorHAnsi" w:hAnsiTheme="majorHAnsi"/>
            <w:noProof/>
            <w:webHidden/>
          </w:rPr>
          <w:fldChar w:fldCharType="end"/>
        </w:r>
      </w:hyperlink>
    </w:p>
    <w:p w14:paraId="032EFDC7" w14:textId="004D956F" w:rsidR="00C73269" w:rsidRPr="00C73269" w:rsidRDefault="002F450F" w:rsidP="00C73269">
      <w:pPr>
        <w:pStyle w:val="TableofFigures"/>
        <w:tabs>
          <w:tab w:val="right" w:leader="dot" w:pos="9628"/>
        </w:tabs>
        <w:rPr>
          <w:rFonts w:asciiTheme="majorHAnsi" w:eastAsiaTheme="minorEastAsia" w:hAnsiTheme="majorHAnsi" w:cstheme="minorBidi"/>
          <w:noProof/>
          <w:lang w:eastAsia="en-AU"/>
        </w:rPr>
      </w:pPr>
      <w:hyperlink w:anchor="_Toc486232651" w:history="1">
        <w:r w:rsidR="00C73269" w:rsidRPr="00C73269">
          <w:rPr>
            <w:rStyle w:val="Hyperlink"/>
            <w:rFonts w:asciiTheme="majorHAnsi" w:hAnsiTheme="majorHAnsi"/>
            <w:noProof/>
          </w:rPr>
          <w:t>Table 5.9</w:t>
        </w:r>
        <w:r w:rsidR="00C73269" w:rsidRPr="00C73269">
          <w:rPr>
            <w:rFonts w:asciiTheme="majorHAnsi" w:hAnsiTheme="majorHAnsi"/>
            <w:noProof/>
            <w:webHidden/>
          </w:rPr>
          <w:tab/>
        </w:r>
        <w:r w:rsidR="00C73269" w:rsidRPr="0090763F">
          <w:rPr>
            <w:rFonts w:asciiTheme="majorHAnsi" w:hAnsiTheme="majorHAnsi"/>
            <w:iCs/>
            <w:noProof/>
          </w:rPr>
          <w:t xml:space="preserve">The number of adverse events recorded by drug class </w:t>
        </w:r>
        <w:r w:rsidR="00C73269">
          <w:rPr>
            <w:rFonts w:asciiTheme="majorHAnsi" w:hAnsiTheme="majorHAnsi"/>
            <w:iCs/>
            <w:noProof/>
          </w:rPr>
          <w:t>(</w:t>
        </w:r>
        <w:r w:rsidR="00C73269" w:rsidRPr="0090763F">
          <w:rPr>
            <w:rFonts w:asciiTheme="majorHAnsi" w:hAnsiTheme="majorHAnsi"/>
            <w:iCs/>
            <w:noProof/>
          </w:rPr>
          <w:t>MedicineInsight)</w:t>
        </w:r>
        <w:r w:rsidR="00C73269">
          <w:rPr>
            <w:rFonts w:asciiTheme="majorHAnsi" w:hAnsiTheme="majorHAnsi"/>
            <w:iCs/>
            <w:noProof/>
          </w:rPr>
          <w:t xml:space="preserve">…………………………………………………………………………... </w:t>
        </w:r>
        <w:r w:rsidR="00C73269" w:rsidRPr="00C73269">
          <w:rPr>
            <w:rFonts w:asciiTheme="majorHAnsi" w:hAnsiTheme="majorHAnsi"/>
            <w:noProof/>
            <w:webHidden/>
          </w:rPr>
          <w:fldChar w:fldCharType="begin"/>
        </w:r>
        <w:r w:rsidR="00C73269" w:rsidRPr="00C73269">
          <w:rPr>
            <w:rFonts w:asciiTheme="majorHAnsi" w:hAnsiTheme="majorHAnsi"/>
            <w:noProof/>
            <w:webHidden/>
          </w:rPr>
          <w:instrText xml:space="preserve"> PAGEREF _Toc486232651 \h </w:instrText>
        </w:r>
        <w:r w:rsidR="00C73269" w:rsidRPr="00C73269">
          <w:rPr>
            <w:rFonts w:asciiTheme="majorHAnsi" w:hAnsiTheme="majorHAnsi"/>
            <w:noProof/>
            <w:webHidden/>
          </w:rPr>
        </w:r>
        <w:r w:rsidR="00C73269" w:rsidRPr="00C73269">
          <w:rPr>
            <w:rFonts w:asciiTheme="majorHAnsi" w:hAnsiTheme="majorHAnsi"/>
            <w:noProof/>
            <w:webHidden/>
          </w:rPr>
          <w:fldChar w:fldCharType="separate"/>
        </w:r>
        <w:r w:rsidR="00DA6395">
          <w:rPr>
            <w:rFonts w:asciiTheme="majorHAnsi" w:hAnsiTheme="majorHAnsi"/>
            <w:noProof/>
            <w:webHidden/>
          </w:rPr>
          <w:t>33</w:t>
        </w:r>
        <w:r w:rsidR="00C73269" w:rsidRPr="00C73269">
          <w:rPr>
            <w:rFonts w:asciiTheme="majorHAnsi" w:hAnsiTheme="majorHAnsi"/>
            <w:noProof/>
            <w:webHidden/>
          </w:rPr>
          <w:fldChar w:fldCharType="end"/>
        </w:r>
      </w:hyperlink>
    </w:p>
    <w:p w14:paraId="3CCA5A9D" w14:textId="5C13A8CB" w:rsidR="00C73269" w:rsidRDefault="00C73269" w:rsidP="00C73269">
      <w:pPr>
        <w:pStyle w:val="BodyText"/>
        <w:spacing w:line="240" w:lineRule="auto"/>
        <w:rPr>
          <w:rFonts w:asciiTheme="majorHAnsi" w:hAnsiTheme="majorHAnsi"/>
          <w:noProof/>
        </w:rPr>
      </w:pPr>
      <w:r w:rsidRPr="00C73269">
        <w:rPr>
          <w:rFonts w:asciiTheme="majorHAnsi" w:hAnsiTheme="majorHAnsi"/>
          <w:noProof/>
        </w:rPr>
        <w:fldChar w:fldCharType="end"/>
      </w:r>
    </w:p>
    <w:p w14:paraId="7A6B3BB6" w14:textId="46CDB592" w:rsidR="008D5CE6" w:rsidRPr="00A865FF" w:rsidRDefault="008D5CE6" w:rsidP="00DA6395">
      <w:pPr>
        <w:pStyle w:val="Heading2"/>
        <w:rPr>
          <w:noProof/>
        </w:rPr>
      </w:pPr>
      <w:r>
        <w:rPr>
          <w:noProof/>
        </w:rPr>
        <w:t>List of Figures</w:t>
      </w:r>
    </w:p>
    <w:p w14:paraId="3A031008" w14:textId="77777777" w:rsidR="00C73269" w:rsidRDefault="00C73269" w:rsidP="00C73269">
      <w:pPr>
        <w:pStyle w:val="TableofFigures"/>
        <w:tabs>
          <w:tab w:val="right" w:leader="dot" w:pos="9628"/>
        </w:tabs>
        <w:rPr>
          <w:rFonts w:asciiTheme="minorHAnsi" w:eastAsiaTheme="minorEastAsia" w:hAnsiTheme="minorHAnsi" w:cstheme="minorBidi"/>
          <w:noProof/>
          <w:sz w:val="22"/>
          <w:szCs w:val="22"/>
          <w:lang w:eastAsia="en-AU"/>
        </w:rPr>
      </w:pPr>
      <w:r>
        <w:rPr>
          <w:noProof/>
        </w:rPr>
        <w:fldChar w:fldCharType="begin"/>
      </w:r>
      <w:r>
        <w:rPr>
          <w:noProof/>
        </w:rPr>
        <w:instrText xml:space="preserve"> TOC \h \z \t "ToR 5 Figure Header" \c </w:instrText>
      </w:r>
      <w:r>
        <w:rPr>
          <w:noProof/>
        </w:rPr>
        <w:fldChar w:fldCharType="separate"/>
      </w:r>
      <w:hyperlink w:anchor="_Toc486232652" w:history="1">
        <w:r w:rsidRPr="004E3FAD">
          <w:rPr>
            <w:rStyle w:val="Hyperlink"/>
            <w:noProof/>
          </w:rPr>
          <w:t>Figure 5.1</w:t>
        </w:r>
        <w:r>
          <w:rPr>
            <w:rFonts w:asciiTheme="minorHAnsi" w:eastAsiaTheme="minorEastAsia" w:hAnsiTheme="minorHAnsi" w:cstheme="minorBidi"/>
            <w:noProof/>
            <w:sz w:val="22"/>
            <w:szCs w:val="22"/>
            <w:lang w:eastAsia="en-AU"/>
          </w:rPr>
          <w:tab/>
        </w:r>
        <w:r w:rsidRPr="004E3FAD">
          <w:rPr>
            <w:rStyle w:val="Hyperlink"/>
            <w:noProof/>
          </w:rPr>
          <w:t>Patient sample showing individual therapy episodes and calculated adjusted treatment regimens</w:t>
        </w:r>
        <w:r>
          <w:rPr>
            <w:noProof/>
            <w:webHidden/>
          </w:rPr>
          <w:tab/>
        </w:r>
        <w:r>
          <w:rPr>
            <w:noProof/>
            <w:webHidden/>
          </w:rPr>
          <w:fldChar w:fldCharType="begin"/>
        </w:r>
        <w:r>
          <w:rPr>
            <w:noProof/>
            <w:webHidden/>
          </w:rPr>
          <w:instrText xml:space="preserve"> PAGEREF _Toc486232652 \h </w:instrText>
        </w:r>
        <w:r>
          <w:rPr>
            <w:noProof/>
            <w:webHidden/>
          </w:rPr>
        </w:r>
        <w:r>
          <w:rPr>
            <w:noProof/>
            <w:webHidden/>
          </w:rPr>
          <w:fldChar w:fldCharType="separate"/>
        </w:r>
        <w:r w:rsidR="00DA6395">
          <w:rPr>
            <w:noProof/>
            <w:webHidden/>
          </w:rPr>
          <w:t>13</w:t>
        </w:r>
        <w:r>
          <w:rPr>
            <w:noProof/>
            <w:webHidden/>
          </w:rPr>
          <w:fldChar w:fldCharType="end"/>
        </w:r>
      </w:hyperlink>
    </w:p>
    <w:p w14:paraId="228AC8F7" w14:textId="77777777" w:rsidR="00C73269" w:rsidRDefault="002F450F" w:rsidP="00C73269">
      <w:pPr>
        <w:pStyle w:val="TableofFigures"/>
        <w:tabs>
          <w:tab w:val="right" w:leader="dot" w:pos="9628"/>
        </w:tabs>
        <w:rPr>
          <w:rFonts w:asciiTheme="minorHAnsi" w:eastAsiaTheme="minorEastAsia" w:hAnsiTheme="minorHAnsi" w:cstheme="minorBidi"/>
          <w:noProof/>
          <w:sz w:val="22"/>
          <w:szCs w:val="22"/>
          <w:lang w:eastAsia="en-AU"/>
        </w:rPr>
      </w:pPr>
      <w:hyperlink w:anchor="_Toc486232653" w:history="1">
        <w:r w:rsidR="00C73269" w:rsidRPr="004E3FAD">
          <w:rPr>
            <w:rStyle w:val="Hyperlink"/>
            <w:noProof/>
          </w:rPr>
          <w:t>Figure 5.2</w:t>
        </w:r>
        <w:r w:rsidR="00C73269">
          <w:rPr>
            <w:rFonts w:asciiTheme="minorHAnsi" w:eastAsiaTheme="minorEastAsia" w:hAnsiTheme="minorHAnsi" w:cstheme="minorBidi"/>
            <w:noProof/>
            <w:sz w:val="22"/>
            <w:szCs w:val="22"/>
            <w:lang w:eastAsia="en-AU"/>
          </w:rPr>
          <w:tab/>
        </w:r>
        <w:r w:rsidR="00C73269" w:rsidRPr="004E3FAD">
          <w:rPr>
            <w:rStyle w:val="Hyperlink"/>
            <w:noProof/>
          </w:rPr>
          <w:t>COPD PBS/RPBS benefits paid total market by COPD and asthma medicine per Appendix B, 2006 to 2016</w:t>
        </w:r>
        <w:r w:rsidR="00C73269">
          <w:rPr>
            <w:noProof/>
            <w:webHidden/>
          </w:rPr>
          <w:tab/>
        </w:r>
        <w:r w:rsidR="00C73269">
          <w:rPr>
            <w:noProof/>
            <w:webHidden/>
          </w:rPr>
          <w:fldChar w:fldCharType="begin"/>
        </w:r>
        <w:r w:rsidR="00C73269">
          <w:rPr>
            <w:noProof/>
            <w:webHidden/>
          </w:rPr>
          <w:instrText xml:space="preserve"> PAGEREF _Toc486232653 \h </w:instrText>
        </w:r>
        <w:r w:rsidR="00C73269">
          <w:rPr>
            <w:noProof/>
            <w:webHidden/>
          </w:rPr>
        </w:r>
        <w:r w:rsidR="00C73269">
          <w:rPr>
            <w:noProof/>
            <w:webHidden/>
          </w:rPr>
          <w:fldChar w:fldCharType="separate"/>
        </w:r>
        <w:r w:rsidR="00DA6395">
          <w:rPr>
            <w:noProof/>
            <w:webHidden/>
          </w:rPr>
          <w:t>15</w:t>
        </w:r>
        <w:r w:rsidR="00C73269">
          <w:rPr>
            <w:noProof/>
            <w:webHidden/>
          </w:rPr>
          <w:fldChar w:fldCharType="end"/>
        </w:r>
      </w:hyperlink>
    </w:p>
    <w:p w14:paraId="414C7F33" w14:textId="77777777" w:rsidR="00C73269" w:rsidRDefault="002F450F" w:rsidP="00C73269">
      <w:pPr>
        <w:pStyle w:val="TableofFigures"/>
        <w:tabs>
          <w:tab w:val="right" w:leader="dot" w:pos="9628"/>
        </w:tabs>
        <w:rPr>
          <w:rFonts w:asciiTheme="minorHAnsi" w:eastAsiaTheme="minorEastAsia" w:hAnsiTheme="minorHAnsi" w:cstheme="minorBidi"/>
          <w:noProof/>
          <w:sz w:val="22"/>
          <w:szCs w:val="22"/>
          <w:lang w:eastAsia="en-AU"/>
        </w:rPr>
      </w:pPr>
      <w:hyperlink w:anchor="_Toc486232654" w:history="1">
        <w:r w:rsidR="00C73269" w:rsidRPr="004E3FAD">
          <w:rPr>
            <w:rStyle w:val="Hyperlink"/>
            <w:noProof/>
          </w:rPr>
          <w:t>Figure 5.3</w:t>
        </w:r>
        <w:r w:rsidR="00C73269">
          <w:rPr>
            <w:rFonts w:asciiTheme="minorHAnsi" w:eastAsiaTheme="minorEastAsia" w:hAnsiTheme="minorHAnsi" w:cstheme="minorBidi"/>
            <w:noProof/>
            <w:sz w:val="22"/>
            <w:szCs w:val="22"/>
            <w:lang w:eastAsia="en-AU"/>
          </w:rPr>
          <w:tab/>
        </w:r>
        <w:r w:rsidR="00C73269" w:rsidRPr="004E3FAD">
          <w:rPr>
            <w:rStyle w:val="Hyperlink"/>
            <w:noProof/>
          </w:rPr>
          <w:t>COPD PBS/RPBS dispensed script volumes total market by COPD and asthma medicine per Appendix B, 2006 to 2016</w:t>
        </w:r>
        <w:r w:rsidR="00C73269">
          <w:rPr>
            <w:noProof/>
            <w:webHidden/>
          </w:rPr>
          <w:tab/>
        </w:r>
        <w:r w:rsidR="00C73269">
          <w:rPr>
            <w:noProof/>
            <w:webHidden/>
          </w:rPr>
          <w:fldChar w:fldCharType="begin"/>
        </w:r>
        <w:r w:rsidR="00C73269">
          <w:rPr>
            <w:noProof/>
            <w:webHidden/>
          </w:rPr>
          <w:instrText xml:space="preserve"> PAGEREF _Toc486232654 \h </w:instrText>
        </w:r>
        <w:r w:rsidR="00C73269">
          <w:rPr>
            <w:noProof/>
            <w:webHidden/>
          </w:rPr>
        </w:r>
        <w:r w:rsidR="00C73269">
          <w:rPr>
            <w:noProof/>
            <w:webHidden/>
          </w:rPr>
          <w:fldChar w:fldCharType="separate"/>
        </w:r>
        <w:r w:rsidR="00DA6395">
          <w:rPr>
            <w:noProof/>
            <w:webHidden/>
          </w:rPr>
          <w:t>16</w:t>
        </w:r>
        <w:r w:rsidR="00C73269">
          <w:rPr>
            <w:noProof/>
            <w:webHidden/>
          </w:rPr>
          <w:fldChar w:fldCharType="end"/>
        </w:r>
      </w:hyperlink>
    </w:p>
    <w:p w14:paraId="2EB8AEB4" w14:textId="77777777" w:rsidR="00C73269" w:rsidRDefault="002F450F" w:rsidP="00C73269">
      <w:pPr>
        <w:pStyle w:val="TableofFigures"/>
        <w:tabs>
          <w:tab w:val="right" w:leader="dot" w:pos="9628"/>
        </w:tabs>
        <w:rPr>
          <w:rFonts w:asciiTheme="minorHAnsi" w:eastAsiaTheme="minorEastAsia" w:hAnsiTheme="minorHAnsi" w:cstheme="minorBidi"/>
          <w:noProof/>
          <w:sz w:val="22"/>
          <w:szCs w:val="22"/>
          <w:lang w:eastAsia="en-AU"/>
        </w:rPr>
      </w:pPr>
      <w:hyperlink w:anchor="_Toc486232655" w:history="1">
        <w:r w:rsidR="00C73269" w:rsidRPr="004E3FAD">
          <w:rPr>
            <w:rStyle w:val="Hyperlink"/>
            <w:noProof/>
          </w:rPr>
          <w:t>Figure 5.4</w:t>
        </w:r>
        <w:r w:rsidR="00C73269">
          <w:rPr>
            <w:rFonts w:asciiTheme="minorHAnsi" w:eastAsiaTheme="minorEastAsia" w:hAnsiTheme="minorHAnsi" w:cstheme="minorBidi"/>
            <w:noProof/>
            <w:sz w:val="22"/>
            <w:szCs w:val="22"/>
            <w:lang w:eastAsia="en-AU"/>
          </w:rPr>
          <w:tab/>
        </w:r>
        <w:r w:rsidR="00C73269" w:rsidRPr="004E3FAD">
          <w:rPr>
            <w:rStyle w:val="Hyperlink"/>
            <w:noProof/>
          </w:rPr>
          <w:t>COPD PBS/RPBS dispensed script volumes and year on year movement total market by COPD and asthma medicine class per Appendix B, 2006 to 2016</w:t>
        </w:r>
        <w:r w:rsidR="00C73269">
          <w:rPr>
            <w:noProof/>
            <w:webHidden/>
          </w:rPr>
          <w:tab/>
        </w:r>
        <w:r w:rsidR="00C73269">
          <w:rPr>
            <w:noProof/>
            <w:webHidden/>
          </w:rPr>
          <w:fldChar w:fldCharType="begin"/>
        </w:r>
        <w:r w:rsidR="00C73269">
          <w:rPr>
            <w:noProof/>
            <w:webHidden/>
          </w:rPr>
          <w:instrText xml:space="preserve"> PAGEREF _Toc486232655 \h </w:instrText>
        </w:r>
        <w:r w:rsidR="00C73269">
          <w:rPr>
            <w:noProof/>
            <w:webHidden/>
          </w:rPr>
        </w:r>
        <w:r w:rsidR="00C73269">
          <w:rPr>
            <w:noProof/>
            <w:webHidden/>
          </w:rPr>
          <w:fldChar w:fldCharType="separate"/>
        </w:r>
        <w:r w:rsidR="00DA6395">
          <w:rPr>
            <w:noProof/>
            <w:webHidden/>
          </w:rPr>
          <w:t>17</w:t>
        </w:r>
        <w:r w:rsidR="00C73269">
          <w:rPr>
            <w:noProof/>
            <w:webHidden/>
          </w:rPr>
          <w:fldChar w:fldCharType="end"/>
        </w:r>
      </w:hyperlink>
    </w:p>
    <w:p w14:paraId="7E130DCC" w14:textId="77777777" w:rsidR="00C73269" w:rsidRDefault="002F450F" w:rsidP="00C73269">
      <w:pPr>
        <w:pStyle w:val="TableofFigures"/>
        <w:tabs>
          <w:tab w:val="right" w:leader="dot" w:pos="9628"/>
        </w:tabs>
        <w:rPr>
          <w:rFonts w:asciiTheme="minorHAnsi" w:eastAsiaTheme="minorEastAsia" w:hAnsiTheme="minorHAnsi" w:cstheme="minorBidi"/>
          <w:noProof/>
          <w:sz w:val="22"/>
          <w:szCs w:val="22"/>
          <w:lang w:eastAsia="en-AU"/>
        </w:rPr>
      </w:pPr>
      <w:hyperlink w:anchor="_Toc486232656" w:history="1">
        <w:r w:rsidR="00C73269" w:rsidRPr="004E3FAD">
          <w:rPr>
            <w:rStyle w:val="Hyperlink"/>
            <w:noProof/>
          </w:rPr>
          <w:t>Figure 5.5</w:t>
        </w:r>
        <w:r w:rsidR="00C73269">
          <w:rPr>
            <w:rFonts w:asciiTheme="minorHAnsi" w:eastAsiaTheme="minorEastAsia" w:hAnsiTheme="minorHAnsi" w:cstheme="minorBidi"/>
            <w:noProof/>
            <w:sz w:val="22"/>
            <w:szCs w:val="22"/>
            <w:lang w:eastAsia="en-AU"/>
          </w:rPr>
          <w:tab/>
        </w:r>
        <w:r w:rsidR="00C73269" w:rsidRPr="004E3FAD">
          <w:rPr>
            <w:rStyle w:val="Hyperlink"/>
            <w:noProof/>
          </w:rPr>
          <w:t>COPD dispensed script volumes by year and month from 1st November 2012 to 31st October 2016 for patients initiating between 1st November 2008 and 31st October 2012</w:t>
        </w:r>
        <w:r w:rsidR="00C73269">
          <w:rPr>
            <w:noProof/>
            <w:webHidden/>
          </w:rPr>
          <w:tab/>
        </w:r>
        <w:r w:rsidR="00C73269">
          <w:rPr>
            <w:noProof/>
            <w:webHidden/>
          </w:rPr>
          <w:fldChar w:fldCharType="begin"/>
        </w:r>
        <w:r w:rsidR="00C73269">
          <w:rPr>
            <w:noProof/>
            <w:webHidden/>
          </w:rPr>
          <w:instrText xml:space="preserve"> PAGEREF _Toc486232656 \h </w:instrText>
        </w:r>
        <w:r w:rsidR="00C73269">
          <w:rPr>
            <w:noProof/>
            <w:webHidden/>
          </w:rPr>
        </w:r>
        <w:r w:rsidR="00C73269">
          <w:rPr>
            <w:noProof/>
            <w:webHidden/>
          </w:rPr>
          <w:fldChar w:fldCharType="separate"/>
        </w:r>
        <w:r w:rsidR="00DA6395">
          <w:rPr>
            <w:noProof/>
            <w:webHidden/>
          </w:rPr>
          <w:t>20</w:t>
        </w:r>
        <w:r w:rsidR="00C73269">
          <w:rPr>
            <w:noProof/>
            <w:webHidden/>
          </w:rPr>
          <w:fldChar w:fldCharType="end"/>
        </w:r>
      </w:hyperlink>
    </w:p>
    <w:p w14:paraId="3C054638" w14:textId="77777777" w:rsidR="00C73269" w:rsidRDefault="002F450F" w:rsidP="00C73269">
      <w:pPr>
        <w:pStyle w:val="TableofFigures"/>
        <w:tabs>
          <w:tab w:val="right" w:leader="dot" w:pos="9628"/>
        </w:tabs>
        <w:rPr>
          <w:rFonts w:asciiTheme="minorHAnsi" w:eastAsiaTheme="minorEastAsia" w:hAnsiTheme="minorHAnsi" w:cstheme="minorBidi"/>
          <w:noProof/>
          <w:sz w:val="22"/>
          <w:szCs w:val="22"/>
          <w:lang w:eastAsia="en-AU"/>
        </w:rPr>
      </w:pPr>
      <w:hyperlink w:anchor="_Toc486232657" w:history="1">
        <w:r w:rsidR="00C73269" w:rsidRPr="004E3FAD">
          <w:rPr>
            <w:rStyle w:val="Hyperlink"/>
            <w:noProof/>
          </w:rPr>
          <w:t>Figure 5.6</w:t>
        </w:r>
        <w:r w:rsidR="00C73269">
          <w:rPr>
            <w:rFonts w:asciiTheme="minorHAnsi" w:eastAsiaTheme="minorEastAsia" w:hAnsiTheme="minorHAnsi" w:cstheme="minorBidi"/>
            <w:noProof/>
            <w:sz w:val="22"/>
            <w:szCs w:val="22"/>
            <w:lang w:eastAsia="en-AU"/>
          </w:rPr>
          <w:tab/>
        </w:r>
        <w:r w:rsidR="00C73269" w:rsidRPr="004E3FAD">
          <w:rPr>
            <w:rStyle w:val="Hyperlink"/>
            <w:noProof/>
          </w:rPr>
          <w:t>COPD dispensed script volumes excluding Tiotropium 18 μg by year and month from 1st November 2012 to 31st October 2016 for patients initiating between 1st November 2008 and 31st October 2012</w:t>
        </w:r>
        <w:r w:rsidR="00C73269">
          <w:rPr>
            <w:noProof/>
            <w:webHidden/>
          </w:rPr>
          <w:tab/>
        </w:r>
        <w:r w:rsidR="00C73269">
          <w:rPr>
            <w:noProof/>
            <w:webHidden/>
          </w:rPr>
          <w:fldChar w:fldCharType="begin"/>
        </w:r>
        <w:r w:rsidR="00C73269">
          <w:rPr>
            <w:noProof/>
            <w:webHidden/>
          </w:rPr>
          <w:instrText xml:space="preserve"> PAGEREF _Toc486232657 \h </w:instrText>
        </w:r>
        <w:r w:rsidR="00C73269">
          <w:rPr>
            <w:noProof/>
            <w:webHidden/>
          </w:rPr>
        </w:r>
        <w:r w:rsidR="00C73269">
          <w:rPr>
            <w:noProof/>
            <w:webHidden/>
          </w:rPr>
          <w:fldChar w:fldCharType="separate"/>
        </w:r>
        <w:r w:rsidR="00DA6395">
          <w:rPr>
            <w:noProof/>
            <w:webHidden/>
          </w:rPr>
          <w:t>21</w:t>
        </w:r>
        <w:r w:rsidR="00C73269">
          <w:rPr>
            <w:noProof/>
            <w:webHidden/>
          </w:rPr>
          <w:fldChar w:fldCharType="end"/>
        </w:r>
      </w:hyperlink>
    </w:p>
    <w:p w14:paraId="3163969B" w14:textId="77777777" w:rsidR="00C73269" w:rsidRDefault="002F450F" w:rsidP="00C73269">
      <w:pPr>
        <w:pStyle w:val="TableofFigures"/>
        <w:tabs>
          <w:tab w:val="right" w:leader="dot" w:pos="9628"/>
        </w:tabs>
        <w:rPr>
          <w:rFonts w:asciiTheme="minorHAnsi" w:eastAsiaTheme="minorEastAsia" w:hAnsiTheme="minorHAnsi" w:cstheme="minorBidi"/>
          <w:noProof/>
          <w:sz w:val="22"/>
          <w:szCs w:val="22"/>
          <w:lang w:eastAsia="en-AU"/>
        </w:rPr>
      </w:pPr>
      <w:hyperlink w:anchor="_Toc486232658" w:history="1">
        <w:r w:rsidR="00C73269" w:rsidRPr="004E3FAD">
          <w:rPr>
            <w:rStyle w:val="Hyperlink"/>
            <w:noProof/>
          </w:rPr>
          <w:t>Figure 5.7</w:t>
        </w:r>
        <w:r w:rsidR="00C73269">
          <w:rPr>
            <w:rFonts w:asciiTheme="minorHAnsi" w:eastAsiaTheme="minorEastAsia" w:hAnsiTheme="minorHAnsi" w:cstheme="minorBidi"/>
            <w:noProof/>
            <w:sz w:val="22"/>
            <w:szCs w:val="22"/>
            <w:lang w:eastAsia="en-AU"/>
          </w:rPr>
          <w:tab/>
        </w:r>
        <w:r w:rsidR="00C73269" w:rsidRPr="004E3FAD">
          <w:rPr>
            <w:rStyle w:val="Hyperlink"/>
            <w:noProof/>
          </w:rPr>
          <w:t>Patients COPD medicines utilisation duration by COPD-X guidelines indicator in 2016</w:t>
        </w:r>
        <w:r w:rsidR="00C73269">
          <w:rPr>
            <w:noProof/>
            <w:webHidden/>
          </w:rPr>
          <w:tab/>
        </w:r>
        <w:r w:rsidR="00C73269">
          <w:rPr>
            <w:noProof/>
            <w:webHidden/>
          </w:rPr>
          <w:fldChar w:fldCharType="begin"/>
        </w:r>
        <w:r w:rsidR="00C73269">
          <w:rPr>
            <w:noProof/>
            <w:webHidden/>
          </w:rPr>
          <w:instrText xml:space="preserve"> PAGEREF _Toc486232658 \h </w:instrText>
        </w:r>
        <w:r w:rsidR="00C73269">
          <w:rPr>
            <w:noProof/>
            <w:webHidden/>
          </w:rPr>
        </w:r>
        <w:r w:rsidR="00C73269">
          <w:rPr>
            <w:noProof/>
            <w:webHidden/>
          </w:rPr>
          <w:fldChar w:fldCharType="separate"/>
        </w:r>
        <w:r w:rsidR="00DA6395">
          <w:rPr>
            <w:noProof/>
            <w:webHidden/>
          </w:rPr>
          <w:t>28</w:t>
        </w:r>
        <w:r w:rsidR="00C73269">
          <w:rPr>
            <w:noProof/>
            <w:webHidden/>
          </w:rPr>
          <w:fldChar w:fldCharType="end"/>
        </w:r>
      </w:hyperlink>
    </w:p>
    <w:p w14:paraId="54957DFE" w14:textId="77777777" w:rsidR="00C73269" w:rsidRDefault="00C73269" w:rsidP="00C73269">
      <w:pPr>
        <w:pStyle w:val="BodyText"/>
        <w:spacing w:line="240" w:lineRule="auto"/>
        <w:rPr>
          <w:noProof/>
        </w:rPr>
      </w:pPr>
      <w:r>
        <w:rPr>
          <w:noProof/>
        </w:rPr>
        <w:fldChar w:fldCharType="end"/>
      </w:r>
    </w:p>
    <w:p w14:paraId="3598BAAC" w14:textId="77777777" w:rsidR="00C73269" w:rsidRDefault="00C73269" w:rsidP="001229CE">
      <w:pPr>
        <w:rPr>
          <w:noProof/>
        </w:rPr>
      </w:pPr>
    </w:p>
    <w:p w14:paraId="6FCDBCC4" w14:textId="2C80DEF9" w:rsidR="00B85972" w:rsidRPr="00B7140E" w:rsidRDefault="00704EF3" w:rsidP="00704EF3">
      <w:pPr>
        <w:pStyle w:val="Heading1"/>
        <w:keepNext w:val="0"/>
        <w:pageBreakBefore/>
        <w:spacing w:before="120" w:after="480"/>
        <w:jc w:val="center"/>
        <w:rPr>
          <w:rFonts w:ascii="Cambria" w:eastAsia="Times New Roman" w:hAnsi="Cambria" w:cs="Times New Roman"/>
          <w:bCs w:val="0"/>
          <w:color w:val="4F81BD"/>
          <w:kern w:val="0"/>
          <w:sz w:val="36"/>
        </w:rPr>
      </w:pPr>
      <w:r>
        <w:rPr>
          <w:rFonts w:ascii="Cambria" w:hAnsi="Cambria" w:cs="Times New Roman"/>
          <w:noProof/>
          <w:kern w:val="0"/>
          <w:sz w:val="24"/>
          <w:szCs w:val="24"/>
        </w:rPr>
        <w:lastRenderedPageBreak/>
        <w:fldChar w:fldCharType="end"/>
      </w:r>
      <w:bookmarkStart w:id="2" w:name="_Toc486231774"/>
      <w:r w:rsidR="00587F24" w:rsidRPr="00B7140E">
        <w:rPr>
          <w:rFonts w:ascii="Cambria" w:eastAsia="Times New Roman" w:hAnsi="Cambria" w:cs="Times New Roman"/>
          <w:bCs w:val="0"/>
          <w:color w:val="4F81BD"/>
          <w:kern w:val="0"/>
          <w:sz w:val="36"/>
        </w:rPr>
        <w:t>Section</w:t>
      </w:r>
      <w:r w:rsidR="00B7140E" w:rsidRPr="00B7140E">
        <w:rPr>
          <w:rFonts w:ascii="Cambria" w:eastAsia="Times New Roman" w:hAnsi="Cambria" w:cs="Times New Roman"/>
          <w:bCs w:val="0"/>
          <w:color w:val="4F81BD"/>
          <w:kern w:val="0"/>
          <w:sz w:val="36"/>
        </w:rPr>
        <w:t xml:space="preserve"> 5</w:t>
      </w:r>
      <w:r w:rsidR="00B85972" w:rsidRPr="00B7140E">
        <w:rPr>
          <w:rFonts w:ascii="Cambria" w:eastAsia="Times New Roman" w:hAnsi="Cambria" w:cs="Times New Roman"/>
          <w:bCs w:val="0"/>
          <w:color w:val="4F81BD"/>
          <w:kern w:val="0"/>
          <w:sz w:val="36"/>
        </w:rPr>
        <w:t>:</w:t>
      </w:r>
      <w:r w:rsidR="00587F24" w:rsidRPr="00B7140E">
        <w:rPr>
          <w:rFonts w:ascii="Cambria" w:eastAsia="Times New Roman" w:hAnsi="Cambria" w:cs="Times New Roman"/>
          <w:bCs w:val="0"/>
          <w:color w:val="4F81BD"/>
          <w:kern w:val="0"/>
          <w:sz w:val="36"/>
        </w:rPr>
        <w:t xml:space="preserve"> </w:t>
      </w:r>
      <w:r w:rsidR="00B85972" w:rsidRPr="00B7140E">
        <w:rPr>
          <w:rFonts w:ascii="Cambria" w:eastAsia="Times New Roman" w:hAnsi="Cambria" w:cs="Times New Roman"/>
          <w:bCs w:val="0"/>
          <w:color w:val="4F81BD"/>
          <w:kern w:val="0"/>
          <w:sz w:val="36"/>
        </w:rPr>
        <w:t>ToR5</w:t>
      </w:r>
      <w:r w:rsidR="00B85972" w:rsidRPr="00B7140E">
        <w:rPr>
          <w:rFonts w:ascii="Cambria" w:eastAsia="Times New Roman" w:hAnsi="Cambria" w:cs="Times New Roman"/>
          <w:bCs w:val="0"/>
          <w:color w:val="4F81BD"/>
          <w:kern w:val="0"/>
          <w:sz w:val="36"/>
        </w:rPr>
        <w:br/>
      </w:r>
      <w:r w:rsidR="00587F24" w:rsidRPr="00B7140E">
        <w:rPr>
          <w:rFonts w:ascii="Cambria" w:eastAsia="Times New Roman" w:hAnsi="Cambria" w:cs="Times New Roman"/>
          <w:bCs w:val="0"/>
          <w:color w:val="4F81BD"/>
          <w:kern w:val="0"/>
          <w:sz w:val="36"/>
        </w:rPr>
        <w:t xml:space="preserve">COPD Medicines </w:t>
      </w:r>
      <w:r w:rsidR="00B85972" w:rsidRPr="00B7140E">
        <w:rPr>
          <w:rFonts w:ascii="Cambria" w:eastAsia="Times New Roman" w:hAnsi="Cambria" w:cs="Times New Roman"/>
          <w:bCs w:val="0"/>
          <w:color w:val="4F81BD"/>
          <w:kern w:val="0"/>
          <w:sz w:val="36"/>
        </w:rPr>
        <w:t>Utilisation analysis</w:t>
      </w:r>
      <w:bookmarkEnd w:id="0"/>
      <w:bookmarkEnd w:id="2"/>
    </w:p>
    <w:p w14:paraId="42CF9C0C" w14:textId="40DA46A8" w:rsidR="00B85972" w:rsidRDefault="00B85972" w:rsidP="00B85972">
      <w:pPr>
        <w:pStyle w:val="ToRinbox"/>
      </w:pPr>
      <w:r w:rsidRPr="00AF439E">
        <w:t>Analyse the current utilisation of PBS listed COPD medicines to identify the extent of co-prescribing and use that is inconsistent with clinical guidelines and</w:t>
      </w:r>
      <w:r>
        <w:t>/</w:t>
      </w:r>
      <w:r w:rsidRPr="00AF439E">
        <w:t>or PBS restrictions.</w:t>
      </w:r>
    </w:p>
    <w:p w14:paraId="31A2411E" w14:textId="1E991825" w:rsidR="00B85972" w:rsidRPr="00DA6395" w:rsidRDefault="00587F24" w:rsidP="00DA6395">
      <w:pPr>
        <w:pStyle w:val="Heading2"/>
      </w:pPr>
      <w:bookmarkStart w:id="3" w:name="_Toc465702699"/>
      <w:bookmarkStart w:id="4" w:name="_Toc473291137"/>
      <w:bookmarkStart w:id="5" w:name="_Toc486231775"/>
      <w:r w:rsidRPr="00DA6395">
        <w:t>5.1</w:t>
      </w:r>
      <w:r w:rsidR="00B7140E" w:rsidRPr="00DA6395">
        <w:tab/>
      </w:r>
      <w:r w:rsidR="00B85972" w:rsidRPr="00DA6395">
        <w:t xml:space="preserve">Key findings for </w:t>
      </w:r>
      <w:proofErr w:type="spellStart"/>
      <w:r w:rsidR="00B85972" w:rsidRPr="00DA6395">
        <w:t>ToR</w:t>
      </w:r>
      <w:proofErr w:type="spellEnd"/>
      <w:r w:rsidR="00B85972" w:rsidRPr="00DA6395">
        <w:t xml:space="preserve"> 5</w:t>
      </w:r>
      <w:bookmarkEnd w:id="3"/>
      <w:bookmarkEnd w:id="4"/>
      <w:bookmarkEnd w:id="5"/>
    </w:p>
    <w:p w14:paraId="3672C85E" w14:textId="00A15059" w:rsidR="006E195E" w:rsidRPr="005D3504" w:rsidRDefault="006E195E" w:rsidP="005D3504">
      <w:pPr>
        <w:pStyle w:val="Heading3"/>
      </w:pPr>
      <w:bookmarkStart w:id="6" w:name="_Toc486231776"/>
      <w:r w:rsidRPr="005D3504">
        <w:t>Utilisation analysis of PBS</w:t>
      </w:r>
      <w:r w:rsidR="00E03983" w:rsidRPr="005D3504">
        <w:t>/RPBS</w:t>
      </w:r>
      <w:r w:rsidRPr="005D3504">
        <w:t xml:space="preserve"> claims data</w:t>
      </w:r>
      <w:bookmarkEnd w:id="6"/>
    </w:p>
    <w:p w14:paraId="67F81F5E" w14:textId="5822B556" w:rsidR="004F53B7" w:rsidRPr="005D3504" w:rsidRDefault="004F53B7" w:rsidP="005D3504">
      <w:pPr>
        <w:pStyle w:val="Bullettext"/>
      </w:pPr>
      <w:r w:rsidRPr="005D3504">
        <w:t xml:space="preserve">The number of </w:t>
      </w:r>
      <w:r w:rsidR="007E5CEB" w:rsidRPr="005D3504">
        <w:t>PBS</w:t>
      </w:r>
      <w:r w:rsidR="00DB6B99" w:rsidRPr="005D3504">
        <w:t>/RPBS</w:t>
      </w:r>
      <w:r w:rsidR="007E5CEB" w:rsidRPr="005D3504">
        <w:t xml:space="preserve"> </w:t>
      </w:r>
      <w:r w:rsidRPr="005D3504">
        <w:t xml:space="preserve">prescriptions </w:t>
      </w:r>
      <w:r w:rsidR="00CB3CE6" w:rsidRPr="005D3504">
        <w:t>for</w:t>
      </w:r>
      <w:r w:rsidR="00D55C3A" w:rsidRPr="005D3504">
        <w:t xml:space="preserve"> COPD/Asthma medicines (LAMA, LABA and ICS) </w:t>
      </w:r>
      <w:r w:rsidR="007E5CEB" w:rsidRPr="005D3504">
        <w:t>i</w:t>
      </w:r>
      <w:r w:rsidRPr="005D3504">
        <w:t xml:space="preserve">n </w:t>
      </w:r>
      <w:r w:rsidR="007E5CEB" w:rsidRPr="005D3504">
        <w:t xml:space="preserve">the </w:t>
      </w:r>
      <w:r w:rsidRPr="005D3504">
        <w:t xml:space="preserve">2016 </w:t>
      </w:r>
      <w:r w:rsidR="007E5CEB" w:rsidRPr="005D3504">
        <w:t xml:space="preserve">calendar year was </w:t>
      </w:r>
      <w:r w:rsidR="00DB6B99" w:rsidRPr="005D3504">
        <w:t xml:space="preserve">approximately </w:t>
      </w:r>
      <w:r w:rsidR="007E5CEB" w:rsidRPr="005D3504">
        <w:t>5.2 million scripts based on claims processed</w:t>
      </w:r>
      <w:r w:rsidRPr="005D3504">
        <w:t xml:space="preserve">. This </w:t>
      </w:r>
      <w:r w:rsidR="00D94970" w:rsidRPr="005D3504">
        <w:t xml:space="preserve">number </w:t>
      </w:r>
      <w:r w:rsidR="007E5CEB" w:rsidRPr="005D3504">
        <w:t xml:space="preserve">has increased by </w:t>
      </w:r>
      <w:r w:rsidRPr="005D3504">
        <w:t>70.5%</w:t>
      </w:r>
      <w:r w:rsidR="007E5CEB" w:rsidRPr="005D3504">
        <w:t xml:space="preserve"> compared to 2006</w:t>
      </w:r>
      <w:r w:rsidR="00DB6B99" w:rsidRPr="005D3504">
        <w:t xml:space="preserve"> (Figure </w:t>
      </w:r>
      <w:r w:rsidR="0016687F">
        <w:t>5.3)</w:t>
      </w:r>
      <w:r w:rsidR="00A23526">
        <w:t>.</w:t>
      </w:r>
    </w:p>
    <w:p w14:paraId="53A8776F" w14:textId="5804DD05" w:rsidR="007E5CEB" w:rsidRPr="005D3504" w:rsidRDefault="00D55C3A" w:rsidP="005D3504">
      <w:pPr>
        <w:pStyle w:val="Bullettext"/>
      </w:pPr>
      <w:r w:rsidRPr="005D3504">
        <w:t xml:space="preserve">The total </w:t>
      </w:r>
      <w:r w:rsidR="00DB6B99" w:rsidRPr="005D3504">
        <w:t>PBS/</w:t>
      </w:r>
      <w:r w:rsidR="007E5CEB" w:rsidRPr="005D3504">
        <w:t>RPBS benefits</w:t>
      </w:r>
      <w:r w:rsidRPr="005D3504">
        <w:t xml:space="preserve"> paid for COPD/asthma medicines</w:t>
      </w:r>
      <w:r w:rsidR="007E5CEB" w:rsidRPr="005D3504">
        <w:t xml:space="preserve"> in the 2016 calendar year was $299 million based on claims processed</w:t>
      </w:r>
      <w:r w:rsidR="00CA680D" w:rsidRPr="005D3504">
        <w:t>.  This number has grown from $215.2 million in 2006, which represents an increase in benefits paid of $84.1 million or 39.1%</w:t>
      </w:r>
      <w:r w:rsidR="00DB6B99" w:rsidRPr="005D3504">
        <w:t xml:space="preserve"> (Figure 5.2)</w:t>
      </w:r>
      <w:r w:rsidR="00A944BF" w:rsidRPr="005D3504">
        <w:t>.</w:t>
      </w:r>
    </w:p>
    <w:p w14:paraId="786278BC" w14:textId="6F53424D" w:rsidR="00856E47" w:rsidRPr="005D3504" w:rsidRDefault="005A1F22" w:rsidP="005D3504">
      <w:pPr>
        <w:pStyle w:val="Bullettext"/>
      </w:pPr>
      <w:r w:rsidRPr="005D3504">
        <w:t>The number of prescriptions dispensed for t</w:t>
      </w:r>
      <w:r w:rsidR="00856E47" w:rsidRPr="005D3504">
        <w:t xml:space="preserve">iotropium 18 </w:t>
      </w:r>
      <w:proofErr w:type="spellStart"/>
      <w:r w:rsidR="00856E47" w:rsidRPr="005D3504">
        <w:t>μg</w:t>
      </w:r>
      <w:proofErr w:type="spellEnd"/>
      <w:r w:rsidR="00856E47" w:rsidRPr="005D3504">
        <w:t xml:space="preserve"> and </w:t>
      </w:r>
      <w:r w:rsidRPr="005D3504">
        <w:t>ICS/LABA</w:t>
      </w:r>
      <w:r w:rsidR="00856E47" w:rsidRPr="005D3504">
        <w:t xml:space="preserve"> has </w:t>
      </w:r>
      <w:r w:rsidRPr="005D3504">
        <w:t>grown year on year to 2014; however</w:t>
      </w:r>
      <w:r w:rsidR="004F1518">
        <w:t>, use of these items</w:t>
      </w:r>
      <w:r w:rsidR="00856E47" w:rsidRPr="005D3504">
        <w:t xml:space="preserve"> decline</w:t>
      </w:r>
      <w:r w:rsidRPr="005D3504">
        <w:t>d</w:t>
      </w:r>
      <w:r w:rsidR="00856E47" w:rsidRPr="005D3504">
        <w:t xml:space="preserve"> </w:t>
      </w:r>
      <w:r w:rsidRPr="005D3504">
        <w:t xml:space="preserve">in </w:t>
      </w:r>
      <w:r w:rsidR="00856E47" w:rsidRPr="005D3504">
        <w:t>2015</w:t>
      </w:r>
      <w:r w:rsidRPr="005D3504">
        <w:t xml:space="preserve"> and 2016</w:t>
      </w:r>
      <w:r w:rsidR="00856E47" w:rsidRPr="005D3504">
        <w:t xml:space="preserve"> </w:t>
      </w:r>
      <w:r w:rsidRPr="005D3504">
        <w:t xml:space="preserve">following the introduction </w:t>
      </w:r>
      <w:r w:rsidR="00856E47" w:rsidRPr="005D3504">
        <w:t>new</w:t>
      </w:r>
      <w:r w:rsidRPr="005D3504">
        <w:t xml:space="preserve"> COPD </w:t>
      </w:r>
      <w:r w:rsidR="00856E47" w:rsidRPr="005D3504">
        <w:t>medicines</w:t>
      </w:r>
      <w:r w:rsidRPr="005D3504">
        <w:t>, mainly LABA/LAMA formulations.</w:t>
      </w:r>
    </w:p>
    <w:p w14:paraId="5FA28843" w14:textId="17621D18" w:rsidR="002E0754" w:rsidRPr="005D3504" w:rsidRDefault="004F1518" w:rsidP="005D3504">
      <w:pPr>
        <w:pStyle w:val="Bullettext"/>
      </w:pPr>
      <w:r>
        <w:t>There has</w:t>
      </w:r>
      <w:r w:rsidR="002E0754" w:rsidRPr="005D3504">
        <w:t xml:space="preserve"> been rapid uptake of tiotropium 2.5 </w:t>
      </w:r>
      <w:proofErr w:type="spellStart"/>
      <w:r w:rsidRPr="005D3504">
        <w:t>μg</w:t>
      </w:r>
      <w:proofErr w:type="spellEnd"/>
      <w:r w:rsidRPr="005D3504">
        <w:t xml:space="preserve"> </w:t>
      </w:r>
      <w:r w:rsidR="002E0754" w:rsidRPr="005D3504">
        <w:t xml:space="preserve">since PBS </w:t>
      </w:r>
      <w:r w:rsidR="00D55C3A" w:rsidRPr="005D3504">
        <w:t>listing in</w:t>
      </w:r>
      <w:r w:rsidR="002E0754" w:rsidRPr="005D3504">
        <w:t xml:space="preserve"> 2015.</w:t>
      </w:r>
    </w:p>
    <w:p w14:paraId="5388850B" w14:textId="332B12EE" w:rsidR="00894146" w:rsidRDefault="005A1F22" w:rsidP="005D3504">
      <w:pPr>
        <w:pStyle w:val="Bullettext"/>
      </w:pPr>
      <w:r w:rsidRPr="005D3504">
        <w:t>A COPD</w:t>
      </w:r>
      <w:r w:rsidR="00D55C3A" w:rsidRPr="005D3504">
        <w:t xml:space="preserve"> only c</w:t>
      </w:r>
      <w:r w:rsidRPr="005D3504">
        <w:t>ohort was identified from PBS unit record data based on</w:t>
      </w:r>
      <w:r w:rsidR="00BD0607" w:rsidRPr="005D3504">
        <w:t>:</w:t>
      </w:r>
      <w:r w:rsidRPr="005D3504">
        <w:t xml:space="preserve"> </w:t>
      </w:r>
      <w:r w:rsidR="003C385C" w:rsidRPr="005D3504">
        <w:t xml:space="preserve">patients </w:t>
      </w:r>
      <w:r w:rsidRPr="005D3504">
        <w:t>age</w:t>
      </w:r>
      <w:r w:rsidR="003C385C" w:rsidRPr="005D3504">
        <w:t>d</w:t>
      </w:r>
      <w:r w:rsidRPr="005D3504">
        <w:t xml:space="preserve"> 35 years and above</w:t>
      </w:r>
      <w:r w:rsidR="00BD0607" w:rsidRPr="005D3504">
        <w:t xml:space="preserve"> who</w:t>
      </w:r>
      <w:r w:rsidRPr="005D3504">
        <w:t xml:space="preserve"> initiat</w:t>
      </w:r>
      <w:r w:rsidR="00BD0607" w:rsidRPr="005D3504">
        <w:t>ed</w:t>
      </w:r>
      <w:r w:rsidRPr="005D3504">
        <w:t xml:space="preserve"> on medicines restricted to COPD only</w:t>
      </w:r>
      <w:r w:rsidR="004F1518">
        <w:t>,</w:t>
      </w:r>
      <w:r w:rsidRPr="005D3504">
        <w:t xml:space="preserve"> e.g. tiotropium</w:t>
      </w:r>
      <w:r w:rsidR="00BD0607" w:rsidRPr="005D3504">
        <w:t xml:space="preserve">, </w:t>
      </w:r>
      <w:proofErr w:type="spellStart"/>
      <w:r w:rsidR="00BD0607" w:rsidRPr="005D3504">
        <w:t>indacaterol</w:t>
      </w:r>
      <w:proofErr w:type="spellEnd"/>
      <w:r w:rsidR="00BD0607" w:rsidRPr="005D3504">
        <w:t xml:space="preserve"> or LAMA/LABA</w:t>
      </w:r>
      <w:r w:rsidRPr="005D3504">
        <w:t xml:space="preserve">. Patients initiating ICS/LABA were excluded from the analysis to ensure all patients were treated for COPD and not asthma. </w:t>
      </w:r>
    </w:p>
    <w:p w14:paraId="1C5B3DA5" w14:textId="7DA7C0E4" w:rsidR="005A1F22" w:rsidRPr="001B4E87" w:rsidRDefault="005A1F22" w:rsidP="005D3504">
      <w:pPr>
        <w:pStyle w:val="Bullettext"/>
      </w:pPr>
      <w:r w:rsidRPr="005D3504">
        <w:t xml:space="preserve">The final COPD cohort </w:t>
      </w:r>
      <w:r w:rsidR="002E0754" w:rsidRPr="005D3504">
        <w:t xml:space="preserve">included </w:t>
      </w:r>
      <w:r w:rsidRPr="005D3504">
        <w:t>unique patient</w:t>
      </w:r>
      <w:r w:rsidR="00BB2E3E" w:rsidRPr="005D3504">
        <w:t>s</w:t>
      </w:r>
      <w:r w:rsidRPr="005D3504">
        <w:t xml:space="preserve"> that had been </w:t>
      </w:r>
      <w:r w:rsidR="00D94970" w:rsidRPr="005D3504">
        <w:t xml:space="preserve">dispensed </w:t>
      </w:r>
      <w:r w:rsidRPr="005D3504">
        <w:t>at least one COPD medication</w:t>
      </w:r>
      <w:r w:rsidR="00B37304" w:rsidRPr="005D3504">
        <w:t xml:space="preserve"> and</w:t>
      </w:r>
      <w:r w:rsidRPr="005D3504">
        <w:t xml:space="preserve"> </w:t>
      </w:r>
      <w:r w:rsidR="00B37304" w:rsidRPr="005D3504">
        <w:t xml:space="preserve">at least one refill of the </w:t>
      </w:r>
      <w:r w:rsidR="00B37304" w:rsidRPr="001B4E87">
        <w:t xml:space="preserve">same medicine </w:t>
      </w:r>
      <w:r w:rsidRPr="001B4E87">
        <w:t xml:space="preserve">in the </w:t>
      </w:r>
      <w:r w:rsidR="00D94970" w:rsidRPr="001B4E87">
        <w:t>8</w:t>
      </w:r>
      <w:r w:rsidRPr="001B4E87">
        <w:t xml:space="preserve"> years between 1 Nove</w:t>
      </w:r>
      <w:r w:rsidR="00B7140E" w:rsidRPr="001B4E87">
        <w:t>mber 2008 and 31 October 2016.</w:t>
      </w:r>
      <w:r w:rsidR="00894146">
        <w:t xml:space="preserve"> 2016 data was extrapolated to 12 months.</w:t>
      </w:r>
    </w:p>
    <w:p w14:paraId="28A7D54F" w14:textId="24647E96" w:rsidR="00BD0607" w:rsidRPr="004F1518" w:rsidRDefault="006E195E" w:rsidP="005D3504">
      <w:pPr>
        <w:pStyle w:val="Bullettext"/>
      </w:pPr>
      <w:r w:rsidRPr="001B4E87">
        <w:t>The percentage of patients</w:t>
      </w:r>
      <w:r w:rsidR="002E0754" w:rsidRPr="001B4E87">
        <w:t xml:space="preserve"> in the COPD Cohort </w:t>
      </w:r>
      <w:r w:rsidRPr="001B4E87">
        <w:t xml:space="preserve">initiating to combinations outside COPD-X guidelines </w:t>
      </w:r>
      <w:r w:rsidR="00161761" w:rsidRPr="001B4E87">
        <w:t xml:space="preserve">was </w:t>
      </w:r>
      <w:r w:rsidR="002E0754" w:rsidRPr="004F1518">
        <w:t>1</w:t>
      </w:r>
      <w:r w:rsidR="004377F5" w:rsidRPr="004F1518">
        <w:t>3</w:t>
      </w:r>
      <w:r w:rsidR="003845AC" w:rsidRPr="004F1518">
        <w:t>.2</w:t>
      </w:r>
      <w:r w:rsidR="002E0754" w:rsidRPr="004F1518">
        <w:t xml:space="preserve">% in 2010 and </w:t>
      </w:r>
      <w:r w:rsidR="003845AC" w:rsidRPr="004F1518">
        <w:t>25.7</w:t>
      </w:r>
      <w:r w:rsidR="002E0754" w:rsidRPr="004F1518">
        <w:t xml:space="preserve">% </w:t>
      </w:r>
      <w:r w:rsidRPr="004F1518">
        <w:t>in 201</w:t>
      </w:r>
      <w:r w:rsidR="00A52DE8" w:rsidRPr="004F1518">
        <w:t>6</w:t>
      </w:r>
      <w:r w:rsidRPr="004F1518">
        <w:t>.</w:t>
      </w:r>
    </w:p>
    <w:p w14:paraId="5BF166AA" w14:textId="77777777" w:rsidR="0081172E" w:rsidRDefault="00A52DE8" w:rsidP="0081172E">
      <w:pPr>
        <w:pStyle w:val="Bullettext"/>
        <w:widowControl w:val="0"/>
      </w:pPr>
      <w:r w:rsidRPr="004F1518">
        <w:t xml:space="preserve">The percentage of use outside COPD-X guidelines is dominated by </w:t>
      </w:r>
      <w:r w:rsidR="00BD0607" w:rsidRPr="004F1518">
        <w:t xml:space="preserve">initiation to </w:t>
      </w:r>
      <w:r w:rsidR="00161761" w:rsidRPr="004F1518">
        <w:t xml:space="preserve">combinations of </w:t>
      </w:r>
      <w:r w:rsidRPr="004F1518">
        <w:t>LABA/LAMA</w:t>
      </w:r>
      <w:r w:rsidR="00BD0607" w:rsidRPr="004F1518">
        <w:t xml:space="preserve"> (</w:t>
      </w:r>
      <w:r w:rsidR="004707DE" w:rsidRPr="004F1518">
        <w:t>15.</w:t>
      </w:r>
      <w:r w:rsidR="005B7F33" w:rsidRPr="004F1518">
        <w:t>4</w:t>
      </w:r>
      <w:r w:rsidR="00BD0607" w:rsidRPr="004F1518">
        <w:t>%)</w:t>
      </w:r>
      <w:r w:rsidRPr="004F1518">
        <w:t xml:space="preserve"> and ICS/LABA </w:t>
      </w:r>
      <w:r w:rsidR="00161761" w:rsidRPr="004F1518">
        <w:t>plu</w:t>
      </w:r>
      <w:r w:rsidR="002E0754" w:rsidRPr="004F1518">
        <w:t>s</w:t>
      </w:r>
      <w:r w:rsidR="00161761" w:rsidRPr="004F1518">
        <w:t xml:space="preserve"> LAMA</w:t>
      </w:r>
      <w:r w:rsidR="00BD0607" w:rsidRPr="004F1518">
        <w:t xml:space="preserve"> (</w:t>
      </w:r>
      <w:r w:rsidR="004707DE" w:rsidRPr="004F1518">
        <w:t>8.</w:t>
      </w:r>
      <w:r w:rsidR="003845AC" w:rsidRPr="004F1518">
        <w:t>3</w:t>
      </w:r>
      <w:r w:rsidR="004707DE" w:rsidRPr="004F1518">
        <w:t>%</w:t>
      </w:r>
      <w:r w:rsidR="00BD0607" w:rsidRPr="004F1518">
        <w:t>)</w:t>
      </w:r>
      <w:r w:rsidR="007F0AAB">
        <w:t xml:space="preserve"> in 2016</w:t>
      </w:r>
      <w:r w:rsidR="004F1518">
        <w:t>.</w:t>
      </w:r>
      <w:bookmarkStart w:id="7" w:name="_Toc486231777"/>
    </w:p>
    <w:p w14:paraId="2C21D1C8" w14:textId="77777777" w:rsidR="0081172E" w:rsidRDefault="0081172E" w:rsidP="0081172E">
      <w:pPr>
        <w:pStyle w:val="BodyTextnospacebefore"/>
      </w:pPr>
    </w:p>
    <w:p w14:paraId="5484FDA7" w14:textId="56FC67AA" w:rsidR="008C7779" w:rsidRPr="00A944BF" w:rsidRDefault="006E195E" w:rsidP="0081172E">
      <w:pPr>
        <w:pStyle w:val="Heading3"/>
      </w:pPr>
      <w:r w:rsidRPr="00A944BF">
        <w:t>MedicineInsight</w:t>
      </w:r>
      <w:r w:rsidR="006359F4" w:rsidRPr="00A944BF">
        <w:t xml:space="preserve"> data analysis</w:t>
      </w:r>
      <w:bookmarkEnd w:id="7"/>
    </w:p>
    <w:p w14:paraId="4DE70ACF" w14:textId="0C3C5CCC" w:rsidR="00553341" w:rsidRDefault="00856E47" w:rsidP="0081172E">
      <w:pPr>
        <w:pStyle w:val="Bullettext"/>
        <w:widowControl w:val="0"/>
        <w:numPr>
          <w:ilvl w:val="0"/>
          <w:numId w:val="0"/>
        </w:numPr>
      </w:pPr>
      <w:r w:rsidRPr="00856E47">
        <w:t xml:space="preserve">The </w:t>
      </w:r>
      <w:r w:rsidR="00C30AA4">
        <w:t xml:space="preserve">following </w:t>
      </w:r>
      <w:r w:rsidRPr="00856E47">
        <w:t xml:space="preserve">information </w:t>
      </w:r>
      <w:r w:rsidR="00C30AA4">
        <w:t xml:space="preserve">on prescribing of COPD medicines </w:t>
      </w:r>
      <w:r w:rsidRPr="00856E47">
        <w:t xml:space="preserve">is based on </w:t>
      </w:r>
      <w:r w:rsidR="0081172E">
        <w:t xml:space="preserve">GP </w:t>
      </w:r>
      <w:r w:rsidRPr="00856E47">
        <w:t>clinical data collected from volunteer practices recruited to the MedicineInsight program. For this analysis</w:t>
      </w:r>
      <w:r w:rsidR="008C25D5">
        <w:t>,</w:t>
      </w:r>
      <w:r w:rsidRPr="00856E47">
        <w:t xml:space="preserve"> MedicineInsight data was drawn from 423 clinic</w:t>
      </w:r>
      <w:r w:rsidR="0081172E">
        <w:t>ally relevant practice sites, 3,</w:t>
      </w:r>
      <w:r w:rsidRPr="00856E47">
        <w:t>835 active GPs</w:t>
      </w:r>
      <w:r w:rsidR="0081172E">
        <w:t>,</w:t>
      </w:r>
      <w:r w:rsidRPr="00856E47">
        <w:t xml:space="preserve"> and 2,230,658 active patients, to 31 December 2016 inclusive.</w:t>
      </w:r>
    </w:p>
    <w:p w14:paraId="48E659F4" w14:textId="77777777" w:rsidR="00E03983" w:rsidRDefault="00E03983" w:rsidP="0081172E">
      <w:pPr>
        <w:pStyle w:val="Bullettext"/>
        <w:widowControl w:val="0"/>
        <w:numPr>
          <w:ilvl w:val="0"/>
          <w:numId w:val="0"/>
        </w:numPr>
        <w:ind w:left="142"/>
      </w:pPr>
    </w:p>
    <w:p w14:paraId="57BEC77F" w14:textId="22791C36" w:rsidR="00856E47" w:rsidRPr="005D3504" w:rsidRDefault="00856E47" w:rsidP="0081172E">
      <w:pPr>
        <w:pStyle w:val="Bullettext"/>
        <w:widowControl w:val="0"/>
      </w:pPr>
      <w:r w:rsidRPr="005D3504">
        <w:t xml:space="preserve">Of the 1.28 million </w:t>
      </w:r>
      <w:r w:rsidR="00D31764" w:rsidRPr="005D3504">
        <w:t>current</w:t>
      </w:r>
      <w:r w:rsidRPr="005D3504">
        <w:t xml:space="preserve"> MedicineInsight patients aged 35</w:t>
      </w:r>
      <w:r w:rsidR="00ED75C2">
        <w:t xml:space="preserve"> years and over </w:t>
      </w:r>
      <w:r w:rsidR="00ED75C2">
        <w:lastRenderedPageBreak/>
        <w:t>included in the</w:t>
      </w:r>
      <w:r w:rsidRPr="005D3504">
        <w:t xml:space="preserve"> analysis, </w:t>
      </w:r>
      <w:r w:rsidR="00D31764" w:rsidRPr="005D3504">
        <w:t>3</w:t>
      </w:r>
      <w:r w:rsidRPr="005D3504">
        <w:t>% were ever diagnosed with COPD</w:t>
      </w:r>
      <w:r w:rsidR="00D31764" w:rsidRPr="005D3504">
        <w:t xml:space="preserve"> only (n=38,650)</w:t>
      </w:r>
      <w:r w:rsidR="0081172E">
        <w:t>,</w:t>
      </w:r>
      <w:r w:rsidR="00D31764" w:rsidRPr="005D3504">
        <w:t xml:space="preserve"> and 1.6%</w:t>
      </w:r>
      <w:r w:rsidRPr="005D3504">
        <w:t xml:space="preserve"> with </w:t>
      </w:r>
      <w:r w:rsidR="00D31764" w:rsidRPr="005D3504">
        <w:t xml:space="preserve">COPD plus </w:t>
      </w:r>
      <w:r w:rsidRPr="005D3504">
        <w:t>asthma (n=</w:t>
      </w:r>
      <w:r w:rsidR="00D31764" w:rsidRPr="005D3504">
        <w:t>20,546</w:t>
      </w:r>
      <w:r w:rsidRPr="005D3504">
        <w:t>).</w:t>
      </w:r>
    </w:p>
    <w:p w14:paraId="3A84E664" w14:textId="35C874E6" w:rsidR="00856E47" w:rsidRPr="005D3504" w:rsidRDefault="00856E47" w:rsidP="005D3504">
      <w:pPr>
        <w:pStyle w:val="Bullettext"/>
      </w:pPr>
      <w:r w:rsidRPr="005D3504">
        <w:t xml:space="preserve">In MedicineInsight data in 2016, 51,903 prescriptions for the medicines of interest were ordered for </w:t>
      </w:r>
      <w:r w:rsidR="00D31764" w:rsidRPr="005D3504">
        <w:t>current</w:t>
      </w:r>
      <w:r w:rsidRPr="005D3504">
        <w:t xml:space="preserve"> patients with COPD only</w:t>
      </w:r>
      <w:r w:rsidR="0081172E">
        <w:t>,</w:t>
      </w:r>
      <w:r w:rsidRPr="005D3504">
        <w:t xml:space="preserve"> and 54,197 prescriptions for COPD plus asthma.</w:t>
      </w:r>
    </w:p>
    <w:p w14:paraId="525AF79B" w14:textId="59B6F907" w:rsidR="00B04215" w:rsidRPr="005D3504" w:rsidRDefault="00B04215" w:rsidP="005D3504">
      <w:pPr>
        <w:pStyle w:val="Bullettext"/>
      </w:pPr>
      <w:r w:rsidRPr="005D3504">
        <w:t>For all COPD and COPD plus asthma patients, 41.6% had no prescriptions written for any SAMA, SABA, LAMA, LABA or ICS (including combinations) inhalers in 2016.</w:t>
      </w:r>
    </w:p>
    <w:p w14:paraId="714CF5A9" w14:textId="42265139" w:rsidR="00B04215" w:rsidRPr="005D3504" w:rsidRDefault="00B04215" w:rsidP="005D3504">
      <w:pPr>
        <w:pStyle w:val="Bullettext"/>
      </w:pPr>
      <w:r w:rsidRPr="005D3504">
        <w:t xml:space="preserve">With regard to medicine combinations </w:t>
      </w:r>
      <w:r w:rsidR="00AC2D69" w:rsidRPr="005D3504">
        <w:t>of safety concern -</w:t>
      </w:r>
      <w:r w:rsidRPr="005D3504">
        <w:t xml:space="preserve"> </w:t>
      </w:r>
      <w:r w:rsidR="00AC2D69" w:rsidRPr="005D3504">
        <w:t>for COPD only patients 3.6% were at risk of duplicated therapy</w:t>
      </w:r>
      <w:r w:rsidR="0081172E">
        <w:t>,</w:t>
      </w:r>
      <w:r w:rsidR="00AC2D69" w:rsidRPr="005D3504">
        <w:t xml:space="preserve"> and 1.6% </w:t>
      </w:r>
      <w:r w:rsidR="007E6A90" w:rsidRPr="005D3504">
        <w:t xml:space="preserve">were </w:t>
      </w:r>
      <w:r w:rsidR="00AC2D69" w:rsidRPr="005D3504">
        <w:t>on combinations of SAMA and LAMA. For patients with COPD plus asthma, 6.1% may be at risk of duplicated therapy</w:t>
      </w:r>
      <w:r w:rsidR="0081172E">
        <w:t>,</w:t>
      </w:r>
      <w:r w:rsidR="00AC2D69" w:rsidRPr="005D3504">
        <w:t xml:space="preserve"> and 3.2% were on combinations of SAMA and LAMA.</w:t>
      </w:r>
    </w:p>
    <w:p w14:paraId="172BF1EF" w14:textId="1E0D333E" w:rsidR="00856E47" w:rsidRPr="005D3504" w:rsidRDefault="00856E47" w:rsidP="005D3504">
      <w:pPr>
        <w:pStyle w:val="Bullettext"/>
      </w:pPr>
      <w:r w:rsidRPr="005D3504">
        <w:t xml:space="preserve">Of the </w:t>
      </w:r>
      <w:r w:rsidR="00B04215" w:rsidRPr="005D3504">
        <w:t xml:space="preserve">38,650 COPD only </w:t>
      </w:r>
      <w:r w:rsidRPr="005D3504">
        <w:t>patients</w:t>
      </w:r>
      <w:r w:rsidR="00B04215" w:rsidRPr="005D3504">
        <w:t>,</w:t>
      </w:r>
      <w:r w:rsidRPr="005D3504">
        <w:t xml:space="preserve"> 3</w:t>
      </w:r>
      <w:r w:rsidR="007E6A90" w:rsidRPr="005D3504">
        <w:t>,</w:t>
      </w:r>
      <w:r w:rsidR="00AC2D69" w:rsidRPr="005D3504">
        <w:t>043 people initiated</w:t>
      </w:r>
      <w:r w:rsidRPr="005D3504">
        <w:t xml:space="preserve"> therapy with a COPD medication (excluding SABA) between 1</w:t>
      </w:r>
      <w:r w:rsidR="0081172E">
        <w:t xml:space="preserve"> July 2015 and 31 December 2016:</w:t>
      </w:r>
      <w:r w:rsidRPr="005D3504">
        <w:t xml:space="preserve"> </w:t>
      </w:r>
    </w:p>
    <w:p w14:paraId="23D41C16" w14:textId="7B739974" w:rsidR="00856E47" w:rsidRPr="005D3504" w:rsidRDefault="00856E47" w:rsidP="005D3504">
      <w:pPr>
        <w:pStyle w:val="Bullettext"/>
        <w:numPr>
          <w:ilvl w:val="1"/>
          <w:numId w:val="1"/>
        </w:numPr>
      </w:pPr>
      <w:r w:rsidRPr="005D3504">
        <w:t>45.9% were prescribed only one medicine of interest as initial therapy, 49.0% were prescribed dual t</w:t>
      </w:r>
      <w:r w:rsidR="00A944BF" w:rsidRPr="005D3504">
        <w:t>herapy</w:t>
      </w:r>
      <w:r w:rsidR="0081172E">
        <w:t>,</w:t>
      </w:r>
      <w:r w:rsidR="00A944BF" w:rsidRPr="005D3504">
        <w:t xml:space="preserve"> and 4.5% triple therapy.</w:t>
      </w:r>
    </w:p>
    <w:p w14:paraId="6F34DE4C" w14:textId="03C17140" w:rsidR="00856E47" w:rsidRPr="005D3504" w:rsidRDefault="00856E47" w:rsidP="00E465DA">
      <w:pPr>
        <w:pStyle w:val="Bullettext"/>
        <w:numPr>
          <w:ilvl w:val="1"/>
          <w:numId w:val="1"/>
        </w:numPr>
        <w:ind w:left="1434" w:hanging="357"/>
      </w:pPr>
      <w:r w:rsidRPr="005D3504">
        <w:t xml:space="preserve">The most common choices of initial therapy by class were: dual therapy with ICS + LABA (41.6%), LAMA </w:t>
      </w:r>
      <w:proofErr w:type="gramStart"/>
      <w:r w:rsidRPr="005D3504">
        <w:t>monotherapy</w:t>
      </w:r>
      <w:proofErr w:type="gramEnd"/>
      <w:r w:rsidRPr="005D3504">
        <w:t xml:space="preserve"> (32.6%) and L</w:t>
      </w:r>
      <w:r w:rsidR="00A944BF" w:rsidRPr="005D3504">
        <w:t>AMA + LABA dual therapy (7.0%).</w:t>
      </w:r>
    </w:p>
    <w:p w14:paraId="17F47685" w14:textId="06CBCA99" w:rsidR="00856E47" w:rsidRPr="005D3504" w:rsidRDefault="00856E47" w:rsidP="005D3504">
      <w:pPr>
        <w:pStyle w:val="Bullettext"/>
        <w:numPr>
          <w:ilvl w:val="1"/>
          <w:numId w:val="1"/>
        </w:numPr>
      </w:pPr>
      <w:r w:rsidRPr="005D3504">
        <w:t>A significant amount of combination use of COPD medications was therefore observed to be outside clinical guidelines</w:t>
      </w:r>
      <w:r w:rsidR="00C30AA4" w:rsidRPr="005D3504">
        <w:t xml:space="preserve"> and PBS restrictions</w:t>
      </w:r>
      <w:r w:rsidRPr="005D3504">
        <w:t xml:space="preserve"> (</w:t>
      </w:r>
      <w:r w:rsidR="00C30AA4" w:rsidRPr="005D3504">
        <w:t>53.5</w:t>
      </w:r>
      <w:r w:rsidR="00E465DA">
        <w:t>%).</w:t>
      </w:r>
    </w:p>
    <w:p w14:paraId="2238F6E3" w14:textId="1CD2DF5E" w:rsidR="00856E47" w:rsidRPr="005D3504" w:rsidRDefault="00856E47" w:rsidP="005D3504">
      <w:pPr>
        <w:pStyle w:val="Bullettext"/>
      </w:pPr>
      <w:r w:rsidRPr="005D3504">
        <w:t xml:space="preserve">Among patients with COPD </w:t>
      </w:r>
      <w:r w:rsidR="0081172E">
        <w:t xml:space="preserve">only </w:t>
      </w:r>
      <w:r w:rsidR="00AC2D69" w:rsidRPr="005D3504">
        <w:t>and COPD plus asthma</w:t>
      </w:r>
      <w:r w:rsidRPr="005D3504">
        <w:t>, 38.1% (n=22,524) ever had a record of one or more spirometry tests.</w:t>
      </w:r>
    </w:p>
    <w:p w14:paraId="479EC50E" w14:textId="1B53BFAB" w:rsidR="008C7779" w:rsidRPr="005D3504" w:rsidRDefault="008C7779" w:rsidP="005D3504">
      <w:pPr>
        <w:pStyle w:val="Bullettext"/>
      </w:pPr>
      <w:r w:rsidRPr="005D3504">
        <w:t>Common adverse event</w:t>
      </w:r>
      <w:r w:rsidR="00C30AA4" w:rsidRPr="005D3504">
        <w:t>s</w:t>
      </w:r>
      <w:r w:rsidRPr="005D3504">
        <w:t xml:space="preserve"> recorded for COPD</w:t>
      </w:r>
      <w:r w:rsidR="00AC2D69" w:rsidRPr="005D3504">
        <w:t xml:space="preserve"> medicines </w:t>
      </w:r>
      <w:r w:rsidR="0081172E">
        <w:t>included:</w:t>
      </w:r>
      <w:r w:rsidRPr="005D3504">
        <w:t xml:space="preserve"> cough, rash, palpitations, muscle spasms, headache, nausea, laryngeal discomfort</w:t>
      </w:r>
      <w:r w:rsidR="0081172E">
        <w:t>,</w:t>
      </w:r>
      <w:r w:rsidRPr="005D3504">
        <w:t xml:space="preserve"> and dyspnoea.</w:t>
      </w:r>
    </w:p>
    <w:p w14:paraId="4C8F3217" w14:textId="76ECC6C7" w:rsidR="004006D7" w:rsidRDefault="004006D7" w:rsidP="0081172E"/>
    <w:p w14:paraId="4F03D7F2" w14:textId="7D4830D6" w:rsidR="00E03983" w:rsidRPr="0065511F" w:rsidRDefault="00A67954" w:rsidP="00714C0B">
      <w:pPr>
        <w:pStyle w:val="Heading3"/>
        <w:rPr>
          <w:u w:val="single"/>
        </w:rPr>
      </w:pPr>
      <w:bookmarkStart w:id="8" w:name="_Toc486231778"/>
      <w:r w:rsidRPr="0065511F">
        <w:t xml:space="preserve">Stakeholder </w:t>
      </w:r>
      <w:r w:rsidR="003251DE">
        <w:t xml:space="preserve">Views </w:t>
      </w:r>
      <w:r w:rsidR="0081172E">
        <w:rPr>
          <w:sz w:val="24"/>
          <w:szCs w:val="24"/>
        </w:rPr>
        <w:t>(Forum and p</w:t>
      </w:r>
      <w:r w:rsidR="003251DE" w:rsidRPr="00714C0B">
        <w:rPr>
          <w:sz w:val="24"/>
          <w:szCs w:val="24"/>
        </w:rPr>
        <w:t xml:space="preserve">ublic </w:t>
      </w:r>
      <w:r w:rsidR="0081172E">
        <w:rPr>
          <w:sz w:val="24"/>
          <w:szCs w:val="24"/>
        </w:rPr>
        <w:t>c</w:t>
      </w:r>
      <w:r w:rsidR="003251DE" w:rsidRPr="00714C0B">
        <w:rPr>
          <w:sz w:val="24"/>
          <w:szCs w:val="24"/>
        </w:rPr>
        <w:t>onsultation</w:t>
      </w:r>
      <w:r w:rsidR="0081172E">
        <w:rPr>
          <w:sz w:val="24"/>
          <w:szCs w:val="24"/>
        </w:rPr>
        <w:t>s</w:t>
      </w:r>
      <w:r w:rsidR="005E0D10" w:rsidRPr="00714C0B">
        <w:rPr>
          <w:sz w:val="24"/>
          <w:szCs w:val="24"/>
        </w:rPr>
        <w:t>)</w:t>
      </w:r>
      <w:bookmarkEnd w:id="8"/>
    </w:p>
    <w:p w14:paraId="55C8B29F" w14:textId="4AEAAF55" w:rsidR="00ED75C2" w:rsidRDefault="00ED75C2" w:rsidP="00ED75C2">
      <w:pPr>
        <w:pStyle w:val="Bullettext"/>
        <w:numPr>
          <w:ilvl w:val="0"/>
          <w:numId w:val="30"/>
        </w:numPr>
      </w:pPr>
      <w:r>
        <w:t>I</w:t>
      </w:r>
      <w:r w:rsidR="00A82376">
        <w:t>n the PBS</w:t>
      </w:r>
      <w:r w:rsidRPr="00714C0B">
        <w:t xml:space="preserve"> data </w:t>
      </w:r>
      <w:r>
        <w:t>analysis, t</w:t>
      </w:r>
      <w:r w:rsidRPr="00714C0B">
        <w:t xml:space="preserve">he exclusion of </w:t>
      </w:r>
      <w:r>
        <w:t xml:space="preserve">patients initiating therapy with </w:t>
      </w:r>
      <w:r w:rsidRPr="00714C0B">
        <w:t xml:space="preserve">ICS/LABA </w:t>
      </w:r>
      <w:r>
        <w:t xml:space="preserve">may </w:t>
      </w:r>
      <w:r w:rsidRPr="00714C0B">
        <w:t xml:space="preserve">significantly underestimate the COPD only population. </w:t>
      </w:r>
    </w:p>
    <w:p w14:paraId="504E47EC" w14:textId="0F795FFF" w:rsidR="00B1573D" w:rsidRPr="00ED75C2" w:rsidRDefault="00F06649" w:rsidP="00ED75C2">
      <w:pPr>
        <w:pStyle w:val="Bullettext"/>
        <w:numPr>
          <w:ilvl w:val="0"/>
          <w:numId w:val="30"/>
        </w:numPr>
      </w:pPr>
      <w:r w:rsidRPr="00ED75C2">
        <w:rPr>
          <w:rFonts w:asciiTheme="majorHAnsi" w:hAnsiTheme="majorHAnsi"/>
        </w:rPr>
        <w:t>T</w:t>
      </w:r>
      <w:r w:rsidR="005E0D10" w:rsidRPr="00ED75C2">
        <w:rPr>
          <w:rFonts w:asciiTheme="majorHAnsi" w:hAnsiTheme="majorHAnsi"/>
        </w:rPr>
        <w:t xml:space="preserve">he </w:t>
      </w:r>
      <w:r w:rsidR="0081172E" w:rsidRPr="00ED75C2">
        <w:rPr>
          <w:rFonts w:asciiTheme="majorHAnsi" w:hAnsiTheme="majorHAnsi"/>
        </w:rPr>
        <w:t xml:space="preserve">PBS data </w:t>
      </w:r>
      <w:r w:rsidR="005E0D10" w:rsidRPr="00ED75C2">
        <w:rPr>
          <w:rFonts w:asciiTheme="majorHAnsi" w:hAnsiTheme="majorHAnsi"/>
        </w:rPr>
        <w:t>analysis did not consider samples</w:t>
      </w:r>
      <w:r w:rsidR="0081172E" w:rsidRPr="00ED75C2">
        <w:rPr>
          <w:rFonts w:asciiTheme="majorHAnsi" w:hAnsiTheme="majorHAnsi"/>
        </w:rPr>
        <w:t>,</w:t>
      </w:r>
      <w:r w:rsidR="005E0D10" w:rsidRPr="00ED75C2">
        <w:rPr>
          <w:rFonts w:asciiTheme="majorHAnsi" w:hAnsiTheme="majorHAnsi"/>
        </w:rPr>
        <w:t xml:space="preserve"> hospital initiations</w:t>
      </w:r>
      <w:r w:rsidR="0081172E" w:rsidRPr="00ED75C2">
        <w:rPr>
          <w:rFonts w:asciiTheme="majorHAnsi" w:hAnsiTheme="majorHAnsi"/>
        </w:rPr>
        <w:t>, or over-the-counter SABA use, which may lead to an overestimation of use outside guidelines</w:t>
      </w:r>
      <w:r w:rsidRPr="00ED75C2">
        <w:rPr>
          <w:rFonts w:asciiTheme="majorHAnsi" w:hAnsiTheme="majorHAnsi"/>
        </w:rPr>
        <w:t xml:space="preserve"> and PBS restrictions</w:t>
      </w:r>
      <w:r w:rsidR="001563B4" w:rsidRPr="00ED75C2">
        <w:rPr>
          <w:rFonts w:asciiTheme="majorHAnsi" w:hAnsiTheme="majorHAnsi"/>
        </w:rPr>
        <w:t>.</w:t>
      </w:r>
      <w:r w:rsidR="005E0D10" w:rsidRPr="00ED75C2">
        <w:rPr>
          <w:rFonts w:asciiTheme="majorHAnsi" w:hAnsiTheme="majorHAnsi"/>
        </w:rPr>
        <w:t xml:space="preserve"> </w:t>
      </w:r>
    </w:p>
    <w:p w14:paraId="292307E8" w14:textId="454C223D" w:rsidR="0081172E" w:rsidRPr="0081172E" w:rsidRDefault="0081172E" w:rsidP="00ED75C2">
      <w:pPr>
        <w:pStyle w:val="ListParagraph"/>
        <w:numPr>
          <w:ilvl w:val="0"/>
          <w:numId w:val="30"/>
        </w:numPr>
        <w:spacing w:line="276" w:lineRule="auto"/>
        <w:jc w:val="both"/>
        <w:rPr>
          <w:rFonts w:asciiTheme="majorHAnsi" w:hAnsiTheme="majorHAnsi"/>
        </w:rPr>
      </w:pPr>
      <w:r w:rsidRPr="0016687F">
        <w:rPr>
          <w:rFonts w:asciiTheme="majorHAnsi" w:hAnsiTheme="majorHAnsi"/>
        </w:rPr>
        <w:t>Analysis of SAMA, SABA and ICS/LABA patient utilisation</w:t>
      </w:r>
      <w:r>
        <w:rPr>
          <w:rFonts w:asciiTheme="majorHAnsi" w:hAnsiTheme="majorHAnsi"/>
        </w:rPr>
        <w:t>,</w:t>
      </w:r>
      <w:r w:rsidRPr="0016687F">
        <w:rPr>
          <w:rFonts w:asciiTheme="majorHAnsi" w:hAnsiTheme="majorHAnsi"/>
        </w:rPr>
        <w:t xml:space="preserve"> including initiations</w:t>
      </w:r>
      <w:r>
        <w:rPr>
          <w:rFonts w:asciiTheme="majorHAnsi" w:hAnsiTheme="majorHAnsi"/>
        </w:rPr>
        <w:t>,</w:t>
      </w:r>
      <w:r w:rsidRPr="0016687F">
        <w:rPr>
          <w:rFonts w:asciiTheme="majorHAnsi" w:hAnsiTheme="majorHAnsi"/>
        </w:rPr>
        <w:t xml:space="preserve"> is required to better understand the overall use of all </w:t>
      </w:r>
      <w:r w:rsidR="00F06649">
        <w:rPr>
          <w:rFonts w:asciiTheme="majorHAnsi" w:hAnsiTheme="majorHAnsi"/>
        </w:rPr>
        <w:t>COPD medications.</w:t>
      </w:r>
    </w:p>
    <w:p w14:paraId="7E55F7DA" w14:textId="37E1DA13" w:rsidR="0026535A" w:rsidRDefault="0026535A" w:rsidP="00714C0B">
      <w:pPr>
        <w:pStyle w:val="ListParagraph"/>
        <w:numPr>
          <w:ilvl w:val="0"/>
          <w:numId w:val="30"/>
        </w:numPr>
        <w:jc w:val="both"/>
        <w:rPr>
          <w:rFonts w:asciiTheme="majorHAnsi" w:hAnsiTheme="majorHAnsi"/>
        </w:rPr>
      </w:pPr>
      <w:r>
        <w:rPr>
          <w:rFonts w:asciiTheme="majorHAnsi" w:hAnsiTheme="majorHAnsi"/>
        </w:rPr>
        <w:t xml:space="preserve">The MedicineInsight analysis underestimates the utilisation of SABA medications </w:t>
      </w:r>
      <w:r w:rsidR="00894146">
        <w:rPr>
          <w:rFonts w:asciiTheme="majorHAnsi" w:hAnsiTheme="majorHAnsi"/>
        </w:rPr>
        <w:t>(</w:t>
      </w:r>
      <w:r w:rsidR="0001611C">
        <w:rPr>
          <w:rFonts w:asciiTheme="majorHAnsi" w:hAnsiTheme="majorHAnsi"/>
        </w:rPr>
        <w:t xml:space="preserve">available </w:t>
      </w:r>
      <w:r w:rsidR="00A82376">
        <w:rPr>
          <w:rFonts w:asciiTheme="majorHAnsi" w:hAnsiTheme="majorHAnsi"/>
        </w:rPr>
        <w:t>over-the-</w:t>
      </w:r>
      <w:r>
        <w:rPr>
          <w:rFonts w:asciiTheme="majorHAnsi" w:hAnsiTheme="majorHAnsi"/>
        </w:rPr>
        <w:t>counter</w:t>
      </w:r>
      <w:r w:rsidR="00894146">
        <w:rPr>
          <w:rFonts w:asciiTheme="majorHAnsi" w:hAnsiTheme="majorHAnsi"/>
        </w:rPr>
        <w:t>) and</w:t>
      </w:r>
      <w:r>
        <w:rPr>
          <w:rFonts w:asciiTheme="majorHAnsi" w:hAnsiTheme="majorHAnsi"/>
        </w:rPr>
        <w:t xml:space="preserve"> </w:t>
      </w:r>
      <w:r w:rsidR="000574D3">
        <w:rPr>
          <w:rFonts w:asciiTheme="majorHAnsi" w:hAnsiTheme="majorHAnsi"/>
        </w:rPr>
        <w:t xml:space="preserve">should </w:t>
      </w:r>
      <w:r>
        <w:rPr>
          <w:rFonts w:asciiTheme="majorHAnsi" w:hAnsiTheme="majorHAnsi"/>
        </w:rPr>
        <w:t xml:space="preserve">be </w:t>
      </w:r>
      <w:r w:rsidR="0001611C">
        <w:rPr>
          <w:rFonts w:asciiTheme="majorHAnsi" w:hAnsiTheme="majorHAnsi"/>
        </w:rPr>
        <w:t xml:space="preserve">interpreted with caution. </w:t>
      </w:r>
    </w:p>
    <w:p w14:paraId="42F2CAD2" w14:textId="0FA22BF0" w:rsidR="0081540C" w:rsidRDefault="00ED4D1A" w:rsidP="0081540C">
      <w:pPr>
        <w:pStyle w:val="ListParagraph"/>
        <w:numPr>
          <w:ilvl w:val="0"/>
          <w:numId w:val="30"/>
        </w:numPr>
        <w:spacing w:before="120" w:line="276" w:lineRule="auto"/>
        <w:jc w:val="both"/>
        <w:rPr>
          <w:rFonts w:asciiTheme="majorHAnsi" w:hAnsiTheme="majorHAnsi"/>
        </w:rPr>
      </w:pPr>
      <w:r>
        <w:rPr>
          <w:rFonts w:asciiTheme="majorHAnsi" w:hAnsiTheme="majorHAnsi"/>
        </w:rPr>
        <w:t xml:space="preserve">International evidence was presented regarding the uncertainty in COPD patient identification. </w:t>
      </w:r>
      <w:r w:rsidR="0081540C">
        <w:rPr>
          <w:rFonts w:asciiTheme="majorHAnsi" w:hAnsiTheme="majorHAnsi"/>
        </w:rPr>
        <w:t xml:space="preserve">Concerns were expressed by </w:t>
      </w:r>
      <w:r w:rsidR="001412B8">
        <w:rPr>
          <w:rFonts w:asciiTheme="majorHAnsi" w:hAnsiTheme="majorHAnsi"/>
        </w:rPr>
        <w:t xml:space="preserve">a number of </w:t>
      </w:r>
      <w:r w:rsidR="0081540C">
        <w:rPr>
          <w:rFonts w:asciiTheme="majorHAnsi" w:hAnsiTheme="majorHAnsi"/>
        </w:rPr>
        <w:t xml:space="preserve">stakeholders </w:t>
      </w:r>
      <w:r w:rsidR="000574D3">
        <w:rPr>
          <w:rFonts w:asciiTheme="majorHAnsi" w:hAnsiTheme="majorHAnsi"/>
        </w:rPr>
        <w:t xml:space="preserve">as to </w:t>
      </w:r>
      <w:r w:rsidR="0081540C">
        <w:rPr>
          <w:rFonts w:asciiTheme="majorHAnsi" w:hAnsiTheme="majorHAnsi"/>
        </w:rPr>
        <w:t>whether healthcare utilisation databases are adequate to inform PBAC decision making</w:t>
      </w:r>
      <w:r>
        <w:rPr>
          <w:rFonts w:asciiTheme="majorHAnsi" w:hAnsiTheme="majorHAnsi"/>
        </w:rPr>
        <w:t>.</w:t>
      </w:r>
    </w:p>
    <w:p w14:paraId="5FCFC584" w14:textId="77777777" w:rsidR="00F06649" w:rsidRPr="00F06649" w:rsidRDefault="003E2F72">
      <w:pPr>
        <w:pStyle w:val="ListParagraph"/>
        <w:numPr>
          <w:ilvl w:val="0"/>
          <w:numId w:val="30"/>
        </w:numPr>
        <w:spacing w:before="120" w:line="276" w:lineRule="auto"/>
        <w:jc w:val="both"/>
        <w:rPr>
          <w:rFonts w:asciiTheme="majorHAnsi" w:hAnsiTheme="majorHAnsi"/>
        </w:rPr>
      </w:pPr>
      <w:r w:rsidRPr="00DF62C0">
        <w:t>For further information</w:t>
      </w:r>
      <w:r w:rsidR="00F06649">
        <w:t>,</w:t>
      </w:r>
      <w:r w:rsidRPr="00DF62C0">
        <w:t xml:space="preserve"> the Stakeholder Forum Summary is available at Appendix F</w:t>
      </w:r>
      <w:r w:rsidR="00F06649">
        <w:t>.</w:t>
      </w:r>
    </w:p>
    <w:p w14:paraId="3997EF06" w14:textId="447CFB65" w:rsidR="001563B4" w:rsidRPr="00714C0B" w:rsidRDefault="00F06649">
      <w:pPr>
        <w:pStyle w:val="ListParagraph"/>
        <w:numPr>
          <w:ilvl w:val="0"/>
          <w:numId w:val="30"/>
        </w:numPr>
        <w:spacing w:before="120" w:line="276" w:lineRule="auto"/>
        <w:jc w:val="both"/>
        <w:rPr>
          <w:rFonts w:asciiTheme="majorHAnsi" w:hAnsiTheme="majorHAnsi"/>
        </w:rPr>
      </w:pPr>
      <w:r>
        <w:t>P</w:t>
      </w:r>
      <w:r w:rsidR="003E2F72">
        <w:t>ublished reference</w:t>
      </w:r>
      <w:r>
        <w:t>s supplied by stakeholders are</w:t>
      </w:r>
      <w:r w:rsidR="003E2F72">
        <w:t xml:space="preserve"> available in Appendix V.</w:t>
      </w:r>
    </w:p>
    <w:p w14:paraId="6E28A61F" w14:textId="6B98F94C" w:rsidR="00B85972" w:rsidRPr="00DA6395" w:rsidRDefault="00587F24" w:rsidP="00DA6395">
      <w:pPr>
        <w:pStyle w:val="Heading2"/>
      </w:pPr>
      <w:bookmarkStart w:id="9" w:name="_Ref467942281"/>
      <w:bookmarkStart w:id="10" w:name="_Toc473291138"/>
      <w:bookmarkStart w:id="11" w:name="_Toc486231779"/>
      <w:r w:rsidRPr="00DA6395">
        <w:lastRenderedPageBreak/>
        <w:t>5.2</w:t>
      </w:r>
      <w:r w:rsidR="00A944BF" w:rsidRPr="00DA6395">
        <w:tab/>
      </w:r>
      <w:r w:rsidR="00B85972" w:rsidRPr="00DA6395">
        <w:t>Introduction</w:t>
      </w:r>
      <w:bookmarkEnd w:id="9"/>
      <w:bookmarkEnd w:id="10"/>
      <w:bookmarkEnd w:id="11"/>
    </w:p>
    <w:p w14:paraId="1DC18B8C" w14:textId="1246EB72" w:rsidR="00345FCE" w:rsidRDefault="00030640" w:rsidP="00B85972">
      <w:pPr>
        <w:pStyle w:val="BodyText"/>
      </w:pPr>
      <w:r w:rsidRPr="00030640">
        <w:t xml:space="preserve">In October 2013, DUSC reviewed the </w:t>
      </w:r>
      <w:r w:rsidR="00242AE9">
        <w:t>PBS</w:t>
      </w:r>
      <w:r w:rsidRPr="00030640">
        <w:t xml:space="preserve"> utilisation of </w:t>
      </w:r>
      <w:proofErr w:type="spellStart"/>
      <w:r w:rsidRPr="00030640">
        <w:t>indacaterol</w:t>
      </w:r>
      <w:proofErr w:type="spellEnd"/>
      <w:r w:rsidRPr="00030640">
        <w:t xml:space="preserve"> for COPD. The review identified co-administration of multiple </w:t>
      </w:r>
      <w:r w:rsidR="00242AE9">
        <w:t>LABA</w:t>
      </w:r>
      <w:r w:rsidRPr="00030640">
        <w:t xml:space="preserve"> products in some patients</w:t>
      </w:r>
      <w:r w:rsidR="00242AE9">
        <w:t>,</w:t>
      </w:r>
      <w:r w:rsidR="00242AE9" w:rsidRPr="00242AE9">
        <w:t xml:space="preserve"> </w:t>
      </w:r>
      <w:r w:rsidR="00242AE9">
        <w:t>which is not supported by PBS prescribing restrictions or clinical practice guidelines</w:t>
      </w:r>
      <w:r w:rsidR="008C25D5">
        <w:t>. This was</w:t>
      </w:r>
      <w:r w:rsidRPr="00030640">
        <w:t xml:space="preserve"> considered a significant </w:t>
      </w:r>
      <w:r w:rsidR="00242AE9">
        <w:t xml:space="preserve">QUM </w:t>
      </w:r>
      <w:r w:rsidRPr="00030640">
        <w:t>issue.</w:t>
      </w:r>
      <w:r>
        <w:t xml:space="preserve"> </w:t>
      </w:r>
      <w:r w:rsidR="00B85972">
        <w:t>Due to limitations in the information available</w:t>
      </w:r>
      <w:r w:rsidR="00242AE9">
        <w:t>,</w:t>
      </w:r>
      <w:r w:rsidR="00B85972">
        <w:t xml:space="preserve"> </w:t>
      </w:r>
      <w:r w:rsidR="005F6081">
        <w:t>DUSC could not d</w:t>
      </w:r>
      <w:r w:rsidR="00B85972">
        <w:t xml:space="preserve">etermine whether this </w:t>
      </w:r>
      <w:r w:rsidR="00242AE9">
        <w:t>QUM issue wa</w:t>
      </w:r>
      <w:r w:rsidR="00B85972">
        <w:t>s due to inappropriate prescribing of multiple products by the clinician or inadvertent improper poly-pharmacy due to a lack of understanding on behalf of the clinician or patient.</w:t>
      </w:r>
    </w:p>
    <w:p w14:paraId="2879D498" w14:textId="40F1D61C" w:rsidR="007A00B1" w:rsidRDefault="00242AE9" w:rsidP="00B85972">
      <w:pPr>
        <w:pStyle w:val="BodyText"/>
      </w:pPr>
      <w:r>
        <w:t>The following utilisation review was</w:t>
      </w:r>
      <w:r w:rsidR="005F6081">
        <w:t xml:space="preserve"> conducted to </w:t>
      </w:r>
      <w:r w:rsidR="005F6081" w:rsidRPr="005F6081">
        <w:t xml:space="preserve">identify the extent of co-prescribing and </w:t>
      </w:r>
      <w:r w:rsidR="004525D1">
        <w:t xml:space="preserve">medication </w:t>
      </w:r>
      <w:r w:rsidR="005F6081" w:rsidRPr="005F6081">
        <w:t>use that is inconsistent with clinical gui</w:t>
      </w:r>
      <w:r w:rsidR="00B02D2A">
        <w:t xml:space="preserve">delines and/or PBS restrictions using </w:t>
      </w:r>
      <w:r w:rsidR="009D302F">
        <w:t>PBS/</w:t>
      </w:r>
      <w:r w:rsidR="007E6A90">
        <w:t>R</w:t>
      </w:r>
      <w:r w:rsidR="009D302F">
        <w:t>PBS</w:t>
      </w:r>
      <w:r w:rsidR="00B02D2A">
        <w:t xml:space="preserve"> claims data. </w:t>
      </w:r>
      <w:r w:rsidR="00B44F29">
        <w:t xml:space="preserve">The </w:t>
      </w:r>
      <w:r w:rsidR="00B44F29" w:rsidRPr="00B44F29">
        <w:t>MedicineInsight Post-Market Surveillance Report 11</w:t>
      </w:r>
      <w:r w:rsidR="00B44F29">
        <w:t xml:space="preserve"> </w:t>
      </w:r>
      <w:r>
        <w:t>was developed with the purpose of</w:t>
      </w:r>
      <w:r w:rsidR="00B44F29">
        <w:t xml:space="preserve"> inform</w:t>
      </w:r>
      <w:r>
        <w:t>ing</w:t>
      </w:r>
      <w:r w:rsidR="00B44F29">
        <w:t xml:space="preserve"> the post-market review and medicines policy for COPD. </w:t>
      </w:r>
      <w:r w:rsidR="008476F7">
        <w:t xml:space="preserve">Results from the MedicineInsight Post-Market Surveillance Report 11 </w:t>
      </w:r>
      <w:r w:rsidR="004525D1">
        <w:t>are</w:t>
      </w:r>
      <w:r w:rsidR="00345FCE">
        <w:t xml:space="preserve"> </w:t>
      </w:r>
      <w:r>
        <w:t xml:space="preserve">summarised </w:t>
      </w:r>
      <w:r w:rsidR="00345FCE">
        <w:t>in this</w:t>
      </w:r>
      <w:r>
        <w:t xml:space="preserve"> section, with the full report at </w:t>
      </w:r>
      <w:r w:rsidR="00B44F29">
        <w:t>Appendix T.</w:t>
      </w:r>
    </w:p>
    <w:p w14:paraId="3043700E" w14:textId="55175090" w:rsidR="000A03AD" w:rsidRPr="00B7140E" w:rsidRDefault="00934D27" w:rsidP="00DA6395">
      <w:pPr>
        <w:pStyle w:val="Heading2"/>
      </w:pPr>
      <w:bookmarkStart w:id="12" w:name="_Toc486231780"/>
      <w:r w:rsidRPr="00B7140E">
        <w:t>5.3</w:t>
      </w:r>
      <w:r w:rsidRPr="00B7140E">
        <w:tab/>
      </w:r>
      <w:r w:rsidR="009D302F">
        <w:t>PBS/RPBS</w:t>
      </w:r>
      <w:r w:rsidR="00345FCE" w:rsidRPr="00B7140E">
        <w:t xml:space="preserve"> claims </w:t>
      </w:r>
      <w:r w:rsidRPr="00B7140E">
        <w:t>d</w:t>
      </w:r>
      <w:r w:rsidR="00345FCE" w:rsidRPr="00B7140E">
        <w:t>ata sources</w:t>
      </w:r>
      <w:r w:rsidR="00377EEA" w:rsidRPr="00B7140E">
        <w:t xml:space="preserve"> and limitations</w:t>
      </w:r>
      <w:bookmarkEnd w:id="12"/>
    </w:p>
    <w:p w14:paraId="6BEC63F7" w14:textId="0B9BA88B" w:rsidR="00FA0E74" w:rsidRPr="00B7140E" w:rsidRDefault="008C25D5" w:rsidP="00916803">
      <w:pPr>
        <w:pStyle w:val="Heading3"/>
        <w:tabs>
          <w:tab w:val="left" w:pos="709"/>
        </w:tabs>
      </w:pPr>
      <w:bookmarkStart w:id="13" w:name="_Toc486231781"/>
      <w:r w:rsidRPr="00B7140E">
        <w:t>5.3.1</w:t>
      </w:r>
      <w:r w:rsidR="00916803">
        <w:tab/>
      </w:r>
      <w:r w:rsidR="00FA0E74" w:rsidRPr="00B7140E">
        <w:t>Department of Human Services (DHS) PBS claiming system</w:t>
      </w:r>
      <w:bookmarkEnd w:id="13"/>
    </w:p>
    <w:p w14:paraId="16F4D697" w14:textId="5B6CF02A" w:rsidR="00165EA8" w:rsidRPr="00714C0B" w:rsidRDefault="00FA0E74" w:rsidP="00A944BF">
      <w:pPr>
        <w:spacing w:before="240" w:line="276" w:lineRule="auto"/>
        <w:jc w:val="both"/>
        <w:rPr>
          <w:rFonts w:asciiTheme="majorHAnsi" w:hAnsiTheme="majorHAnsi"/>
        </w:rPr>
      </w:pPr>
      <w:r w:rsidRPr="00DC080C">
        <w:rPr>
          <w:rFonts w:ascii="Cambria" w:hAnsi="Cambria"/>
        </w:rPr>
        <w:t>A preliminary analysis of PBS/</w:t>
      </w:r>
      <w:r w:rsidR="007E6A90">
        <w:rPr>
          <w:rFonts w:ascii="Cambria" w:hAnsi="Cambria"/>
        </w:rPr>
        <w:t>R</w:t>
      </w:r>
      <w:r w:rsidRPr="00DC080C">
        <w:rPr>
          <w:rFonts w:ascii="Cambria" w:hAnsi="Cambria"/>
        </w:rPr>
        <w:t>PB</w:t>
      </w:r>
      <w:r w:rsidR="00242AE9">
        <w:rPr>
          <w:rFonts w:ascii="Cambria" w:hAnsi="Cambria"/>
        </w:rPr>
        <w:t>S services and benefits was</w:t>
      </w:r>
      <w:r w:rsidRPr="00DC080C">
        <w:rPr>
          <w:rFonts w:ascii="Cambria" w:hAnsi="Cambria"/>
        </w:rPr>
        <w:t xml:space="preserve"> conducted using the DHS PBS claiming system. </w:t>
      </w:r>
      <w:r w:rsidR="006311C2" w:rsidRPr="00DC080C">
        <w:rPr>
          <w:rFonts w:ascii="Cambria" w:hAnsi="Cambria"/>
        </w:rPr>
        <w:t xml:space="preserve">Claims for reimbursement for the supply of PBS or RPBS subsidised medicines are submitted by pharmacies </w:t>
      </w:r>
      <w:r w:rsidR="007E6A90">
        <w:rPr>
          <w:rFonts w:ascii="Cambria" w:hAnsi="Cambria"/>
        </w:rPr>
        <w:t xml:space="preserve">to the </w:t>
      </w:r>
      <w:r w:rsidR="006311C2" w:rsidRPr="00DC080C">
        <w:rPr>
          <w:rFonts w:ascii="Cambria" w:hAnsi="Cambria"/>
        </w:rPr>
        <w:t>DH</w:t>
      </w:r>
      <w:r w:rsidRPr="00DC080C">
        <w:rPr>
          <w:rFonts w:ascii="Cambria" w:hAnsi="Cambria"/>
        </w:rPr>
        <w:t xml:space="preserve">S </w:t>
      </w:r>
      <w:r w:rsidR="006311C2" w:rsidRPr="00DC080C">
        <w:rPr>
          <w:rFonts w:ascii="Cambria" w:hAnsi="Cambria"/>
        </w:rPr>
        <w:t xml:space="preserve">PBS claiming system (PBS Online) for processing.  </w:t>
      </w:r>
      <w:r w:rsidR="009D302F">
        <w:rPr>
          <w:rFonts w:ascii="Cambria" w:hAnsi="Cambria"/>
        </w:rPr>
        <w:t>PBS/RPBS</w:t>
      </w:r>
      <w:r w:rsidR="00165EA8" w:rsidRPr="00DC080C">
        <w:rPr>
          <w:rFonts w:ascii="Cambria" w:hAnsi="Cambria"/>
        </w:rPr>
        <w:t xml:space="preserve"> services and benefits claims data was extracted from the D</w:t>
      </w:r>
      <w:r w:rsidR="007E6A90">
        <w:rPr>
          <w:rFonts w:ascii="Cambria" w:hAnsi="Cambria"/>
        </w:rPr>
        <w:t>HS</w:t>
      </w:r>
      <w:r w:rsidR="00165EA8" w:rsidRPr="00DC080C">
        <w:rPr>
          <w:rFonts w:ascii="Cambria" w:hAnsi="Cambria"/>
        </w:rPr>
        <w:t xml:space="preserve"> </w:t>
      </w:r>
      <w:r w:rsidR="006311C2" w:rsidRPr="00DC080C">
        <w:rPr>
          <w:rFonts w:ascii="Cambria" w:hAnsi="Cambria"/>
        </w:rPr>
        <w:t xml:space="preserve">PBS statistics </w:t>
      </w:r>
      <w:r w:rsidR="00242AE9">
        <w:rPr>
          <w:rFonts w:ascii="Cambria" w:hAnsi="Cambria"/>
        </w:rPr>
        <w:t>website on</w:t>
      </w:r>
      <w:r w:rsidR="00165EA8" w:rsidRPr="00DC080C">
        <w:rPr>
          <w:rFonts w:ascii="Cambria" w:hAnsi="Cambria"/>
        </w:rPr>
        <w:t xml:space="preserve"> 11 April 2017</w:t>
      </w:r>
      <w:r w:rsidR="00242AE9">
        <w:rPr>
          <w:rFonts w:ascii="Cambria" w:hAnsi="Cambria"/>
        </w:rPr>
        <w:t xml:space="preserve"> for</w:t>
      </w:r>
      <w:r w:rsidR="0019239C" w:rsidRPr="00DC080C">
        <w:rPr>
          <w:rFonts w:ascii="Cambria" w:hAnsi="Cambria"/>
        </w:rPr>
        <w:t xml:space="preserve"> preliminary analysis</w:t>
      </w:r>
      <w:r w:rsidR="00165EA8" w:rsidRPr="00DC080C">
        <w:rPr>
          <w:rFonts w:ascii="Cambria" w:hAnsi="Cambria"/>
        </w:rPr>
        <w:t>. The prescription and benefits data is based on the date</w:t>
      </w:r>
      <w:r w:rsidR="00242AE9">
        <w:rPr>
          <w:rFonts w:ascii="Cambria" w:hAnsi="Cambria"/>
        </w:rPr>
        <w:t xml:space="preserve"> the prescription was processed, that is,</w:t>
      </w:r>
      <w:r w:rsidR="00377EEA" w:rsidRPr="00DC080C">
        <w:rPr>
          <w:rFonts w:ascii="Cambria" w:hAnsi="Cambria"/>
        </w:rPr>
        <w:t xml:space="preserve"> the date on which PBS Online finalises the payment for a prescription. However</w:t>
      </w:r>
      <w:r w:rsidR="00242AE9">
        <w:rPr>
          <w:rFonts w:ascii="Cambria" w:hAnsi="Cambria"/>
        </w:rPr>
        <w:t>,</w:t>
      </w:r>
      <w:r w:rsidR="00377EEA" w:rsidRPr="00DC080C">
        <w:rPr>
          <w:rFonts w:ascii="Cambria" w:hAnsi="Cambria"/>
        </w:rPr>
        <w:t xml:space="preserve"> some of these scripts could be adjusted later if errors were found by suppling pharmacies or DHS during a final reconciliation. The analysis conducted using the DHS claims data set is therefore </w:t>
      </w:r>
      <w:r w:rsidR="004525D1" w:rsidRPr="00DC080C">
        <w:rPr>
          <w:rFonts w:ascii="Cambria" w:hAnsi="Cambria"/>
        </w:rPr>
        <w:t>s</w:t>
      </w:r>
      <w:r w:rsidR="00377EEA" w:rsidRPr="00DC080C">
        <w:rPr>
          <w:rFonts w:ascii="Cambria" w:hAnsi="Cambria"/>
        </w:rPr>
        <w:t xml:space="preserve">ubject to monthly variations resulting from bulk processing of </w:t>
      </w:r>
      <w:r w:rsidR="00377EEA" w:rsidRPr="00714C0B">
        <w:rPr>
          <w:rFonts w:asciiTheme="majorHAnsi" w:hAnsiTheme="majorHAnsi"/>
        </w:rPr>
        <w:t xml:space="preserve">prescriptions. </w:t>
      </w:r>
      <w:r w:rsidR="00242AE9">
        <w:rPr>
          <w:rFonts w:asciiTheme="majorHAnsi" w:hAnsiTheme="majorHAnsi"/>
        </w:rPr>
        <w:t>The DHS PBS claims</w:t>
      </w:r>
      <w:r w:rsidR="00B37304" w:rsidRPr="00714C0B">
        <w:rPr>
          <w:rFonts w:asciiTheme="majorHAnsi" w:hAnsiTheme="majorHAnsi"/>
        </w:rPr>
        <w:t xml:space="preserve"> data </w:t>
      </w:r>
      <w:r w:rsidR="00242AE9">
        <w:rPr>
          <w:rFonts w:asciiTheme="majorHAnsi" w:hAnsiTheme="majorHAnsi"/>
        </w:rPr>
        <w:t>includes t</w:t>
      </w:r>
      <w:r w:rsidR="00FC4126">
        <w:rPr>
          <w:rFonts w:asciiTheme="majorHAnsi" w:hAnsiTheme="majorHAnsi"/>
        </w:rPr>
        <w:t>he whole market, including</w:t>
      </w:r>
      <w:r w:rsidR="00B37304" w:rsidRPr="00714C0B">
        <w:rPr>
          <w:rFonts w:asciiTheme="majorHAnsi" w:hAnsiTheme="majorHAnsi"/>
        </w:rPr>
        <w:t xml:space="preserve"> all age groups</w:t>
      </w:r>
      <w:r w:rsidR="00FC4126">
        <w:rPr>
          <w:rFonts w:asciiTheme="majorHAnsi" w:hAnsiTheme="majorHAnsi"/>
        </w:rPr>
        <w:t>,</w:t>
      </w:r>
      <w:r w:rsidR="00B37304" w:rsidRPr="00714C0B">
        <w:rPr>
          <w:rFonts w:asciiTheme="majorHAnsi" w:hAnsiTheme="majorHAnsi"/>
        </w:rPr>
        <w:t xml:space="preserve"> and asthma and mixed airways disease patients.</w:t>
      </w:r>
    </w:p>
    <w:p w14:paraId="6162EFE5" w14:textId="6D9D9045" w:rsidR="000A03AD" w:rsidRPr="00A944BF" w:rsidRDefault="008C25D5" w:rsidP="00916803">
      <w:pPr>
        <w:pStyle w:val="Heading3"/>
        <w:tabs>
          <w:tab w:val="left" w:pos="709"/>
        </w:tabs>
      </w:pPr>
      <w:bookmarkStart w:id="14" w:name="_Toc486231782"/>
      <w:r w:rsidRPr="00A944BF">
        <w:t>5.3.2</w:t>
      </w:r>
      <w:r w:rsidR="00916803">
        <w:tab/>
      </w:r>
      <w:r w:rsidR="00FA0E74" w:rsidRPr="00A944BF">
        <w:t>Department of Health (</w:t>
      </w:r>
      <w:proofErr w:type="spellStart"/>
      <w:r w:rsidR="00FA0E74" w:rsidRPr="00A944BF">
        <w:t>DoH</w:t>
      </w:r>
      <w:proofErr w:type="spellEnd"/>
      <w:r w:rsidR="00FA0E74" w:rsidRPr="00A944BF">
        <w:t>) PBS claims database</w:t>
      </w:r>
      <w:bookmarkEnd w:id="14"/>
    </w:p>
    <w:p w14:paraId="30BDA870" w14:textId="1152B216" w:rsidR="0074779D" w:rsidRPr="00DC080C" w:rsidRDefault="00D90DD2" w:rsidP="00A944BF">
      <w:pPr>
        <w:spacing w:before="240" w:line="276" w:lineRule="auto"/>
        <w:jc w:val="both"/>
        <w:rPr>
          <w:rFonts w:ascii="Cambria" w:hAnsi="Cambria"/>
        </w:rPr>
      </w:pPr>
      <w:r w:rsidRPr="00DC080C">
        <w:rPr>
          <w:rFonts w:ascii="Cambria" w:hAnsi="Cambria"/>
        </w:rPr>
        <w:t>A data file of individual record claims data was supplied from the Department of Health (</w:t>
      </w:r>
      <w:proofErr w:type="spellStart"/>
      <w:r w:rsidRPr="00DC080C">
        <w:rPr>
          <w:rFonts w:ascii="Cambria" w:hAnsi="Cambria"/>
        </w:rPr>
        <w:t>DoH</w:t>
      </w:r>
      <w:proofErr w:type="spellEnd"/>
      <w:r w:rsidRPr="00DC080C">
        <w:rPr>
          <w:rFonts w:ascii="Cambria" w:hAnsi="Cambria"/>
        </w:rPr>
        <w:t xml:space="preserve">) PBS claims database. </w:t>
      </w:r>
      <w:r w:rsidR="00FC4126">
        <w:rPr>
          <w:rFonts w:ascii="Cambria" w:hAnsi="Cambria"/>
        </w:rPr>
        <w:t>PBS</w:t>
      </w:r>
      <w:r w:rsidRPr="00DC080C">
        <w:rPr>
          <w:rFonts w:ascii="Cambria" w:hAnsi="Cambria"/>
        </w:rPr>
        <w:t xml:space="preserve"> and </w:t>
      </w:r>
      <w:r w:rsidR="00FC4126">
        <w:rPr>
          <w:rFonts w:ascii="Cambria" w:hAnsi="Cambria"/>
        </w:rPr>
        <w:t>RPBS</w:t>
      </w:r>
      <w:r w:rsidRPr="00DC080C">
        <w:rPr>
          <w:rFonts w:ascii="Cambria" w:hAnsi="Cambria"/>
        </w:rPr>
        <w:t xml:space="preserve"> patient records</w:t>
      </w:r>
      <w:r w:rsidR="00A944BF">
        <w:rPr>
          <w:rFonts w:ascii="Cambria" w:hAnsi="Cambria"/>
        </w:rPr>
        <w:t xml:space="preserve"> were included in the dataset. </w:t>
      </w:r>
      <w:r w:rsidRPr="00DC080C">
        <w:rPr>
          <w:rFonts w:ascii="Cambria" w:hAnsi="Cambria"/>
        </w:rPr>
        <w:t>The data set cont</w:t>
      </w:r>
      <w:r w:rsidR="00FC4126">
        <w:rPr>
          <w:rFonts w:ascii="Cambria" w:hAnsi="Cambria"/>
        </w:rPr>
        <w:t>ained</w:t>
      </w:r>
      <w:r w:rsidRPr="00DC080C">
        <w:rPr>
          <w:rFonts w:ascii="Cambria" w:hAnsi="Cambria"/>
        </w:rPr>
        <w:t xml:space="preserve"> unique identifiers that enable</w:t>
      </w:r>
      <w:r w:rsidR="00FC4126">
        <w:rPr>
          <w:rFonts w:ascii="Cambria" w:hAnsi="Cambria"/>
        </w:rPr>
        <w:t>d</w:t>
      </w:r>
      <w:r w:rsidRPr="00DC080C">
        <w:rPr>
          <w:rFonts w:ascii="Cambria" w:hAnsi="Cambria"/>
        </w:rPr>
        <w:t xml:space="preserve"> patient de-identification. </w:t>
      </w:r>
      <w:r w:rsidR="000A03AD" w:rsidRPr="00DC080C">
        <w:rPr>
          <w:rFonts w:ascii="Cambria" w:hAnsi="Cambria"/>
        </w:rPr>
        <w:t>P</w:t>
      </w:r>
      <w:r w:rsidR="00FC4126">
        <w:rPr>
          <w:rFonts w:ascii="Cambria" w:hAnsi="Cambria"/>
        </w:rPr>
        <w:t>BS and RPBS data for ATC</w:t>
      </w:r>
      <w:r w:rsidR="000A03AD" w:rsidRPr="00DC080C">
        <w:rPr>
          <w:rFonts w:ascii="Cambria" w:hAnsi="Cambria"/>
        </w:rPr>
        <w:t xml:space="preserve"> ‘H02’</w:t>
      </w:r>
      <w:r w:rsidR="00FC4126">
        <w:rPr>
          <w:rFonts w:ascii="Cambria" w:hAnsi="Cambria"/>
        </w:rPr>
        <w:t xml:space="preserve"> and </w:t>
      </w:r>
      <w:r w:rsidR="000A03AD" w:rsidRPr="00DC080C">
        <w:rPr>
          <w:rFonts w:ascii="Cambria" w:hAnsi="Cambria"/>
        </w:rPr>
        <w:t>’R03’ prescription</w:t>
      </w:r>
      <w:r w:rsidR="00FC4126">
        <w:rPr>
          <w:rFonts w:ascii="Cambria" w:hAnsi="Cambria"/>
        </w:rPr>
        <w:t>s</w:t>
      </w:r>
      <w:r w:rsidR="000A03AD" w:rsidRPr="00DC080C">
        <w:rPr>
          <w:rFonts w:ascii="Cambria" w:hAnsi="Cambria"/>
        </w:rPr>
        <w:t xml:space="preserve"> </w:t>
      </w:r>
      <w:r w:rsidR="00FC4126">
        <w:rPr>
          <w:rFonts w:ascii="Cambria" w:hAnsi="Cambria"/>
        </w:rPr>
        <w:t xml:space="preserve">were included </w:t>
      </w:r>
      <w:r w:rsidR="000013F1" w:rsidRPr="00DC080C">
        <w:rPr>
          <w:rFonts w:ascii="Cambria" w:hAnsi="Cambria"/>
        </w:rPr>
        <w:t xml:space="preserve">in the analysis. </w:t>
      </w:r>
      <w:r w:rsidR="00B34210" w:rsidRPr="00DC080C">
        <w:rPr>
          <w:rFonts w:ascii="Cambria" w:hAnsi="Cambria"/>
        </w:rPr>
        <w:t xml:space="preserve">The data analysis was conducted for prescriptions </w:t>
      </w:r>
      <w:r w:rsidR="000A03AD" w:rsidRPr="00DC080C">
        <w:rPr>
          <w:rFonts w:ascii="Cambria" w:hAnsi="Cambria"/>
        </w:rPr>
        <w:t xml:space="preserve">supplied </w:t>
      </w:r>
      <w:r w:rsidR="00B34210" w:rsidRPr="00DC080C">
        <w:rPr>
          <w:rFonts w:ascii="Cambria" w:hAnsi="Cambria"/>
        </w:rPr>
        <w:t>between the periods of</w:t>
      </w:r>
      <w:r w:rsidR="00FC4126">
        <w:rPr>
          <w:rFonts w:ascii="Cambria" w:hAnsi="Cambria"/>
        </w:rPr>
        <w:t xml:space="preserve"> 1 November </w:t>
      </w:r>
      <w:r w:rsidR="000A03AD" w:rsidRPr="00DC080C">
        <w:rPr>
          <w:rFonts w:ascii="Cambria" w:hAnsi="Cambria"/>
        </w:rPr>
        <w:t>2006 to 31 October 2016</w:t>
      </w:r>
      <w:r w:rsidR="00B34210" w:rsidRPr="00DC080C">
        <w:rPr>
          <w:rFonts w:ascii="Cambria" w:hAnsi="Cambria"/>
        </w:rPr>
        <w:t xml:space="preserve">. Under co-payment </w:t>
      </w:r>
      <w:r w:rsidR="00FC4126">
        <w:rPr>
          <w:rFonts w:ascii="Cambria" w:hAnsi="Cambria"/>
        </w:rPr>
        <w:t xml:space="preserve">prescriptions were included </w:t>
      </w:r>
      <w:r w:rsidR="00B34210" w:rsidRPr="00DC080C">
        <w:rPr>
          <w:rFonts w:ascii="Cambria" w:hAnsi="Cambria"/>
        </w:rPr>
        <w:t xml:space="preserve">in the analysis from April 2012. </w:t>
      </w:r>
      <w:r w:rsidR="002E28E4" w:rsidRPr="00DC080C">
        <w:rPr>
          <w:rFonts w:ascii="Cambria" w:hAnsi="Cambria"/>
        </w:rPr>
        <w:t xml:space="preserve">As COPD is very uncommon among people aged less than 35 years, the dataset was restricted to patients aged 35 years and older (acknowledging that </w:t>
      </w:r>
      <w:r w:rsidR="00FC4126">
        <w:rPr>
          <w:rFonts w:ascii="Cambria" w:hAnsi="Cambria"/>
        </w:rPr>
        <w:t xml:space="preserve">some patients </w:t>
      </w:r>
      <w:r w:rsidR="002E28E4" w:rsidRPr="00DC080C">
        <w:rPr>
          <w:rFonts w:ascii="Cambria" w:hAnsi="Cambria"/>
        </w:rPr>
        <w:t>in the dataset will have asthma or ACOS)</w:t>
      </w:r>
      <w:r w:rsidR="00FC4126">
        <w:rPr>
          <w:rFonts w:ascii="Cambria" w:hAnsi="Cambria"/>
        </w:rPr>
        <w:t xml:space="preserve"> as of</w:t>
      </w:r>
      <w:r w:rsidR="0008429C" w:rsidRPr="00DC080C">
        <w:rPr>
          <w:rFonts w:ascii="Cambria" w:hAnsi="Cambria"/>
        </w:rPr>
        <w:t xml:space="preserve"> 31 October 2016</w:t>
      </w:r>
      <w:r w:rsidR="002E28E4" w:rsidRPr="00DC080C">
        <w:rPr>
          <w:rFonts w:ascii="Cambria" w:hAnsi="Cambria"/>
        </w:rPr>
        <w:t xml:space="preserve">. </w:t>
      </w:r>
      <w:r w:rsidR="00B34210" w:rsidRPr="00DC080C">
        <w:rPr>
          <w:rFonts w:ascii="Cambria" w:hAnsi="Cambria"/>
        </w:rPr>
        <w:t xml:space="preserve">The </w:t>
      </w:r>
      <w:r w:rsidR="000A03AD" w:rsidRPr="00DC080C">
        <w:rPr>
          <w:rFonts w:ascii="Cambria" w:hAnsi="Cambria"/>
        </w:rPr>
        <w:t xml:space="preserve">data </w:t>
      </w:r>
      <w:r w:rsidR="00B34210" w:rsidRPr="00DC080C">
        <w:rPr>
          <w:rFonts w:ascii="Cambria" w:hAnsi="Cambria"/>
        </w:rPr>
        <w:lastRenderedPageBreak/>
        <w:t xml:space="preserve">was </w:t>
      </w:r>
      <w:r w:rsidR="000A03AD" w:rsidRPr="00DC080C">
        <w:rPr>
          <w:rFonts w:ascii="Cambria" w:hAnsi="Cambria"/>
        </w:rPr>
        <w:t xml:space="preserve">extracted </w:t>
      </w:r>
      <w:r w:rsidR="00FC4126">
        <w:rPr>
          <w:rFonts w:ascii="Cambria" w:hAnsi="Cambria"/>
        </w:rPr>
        <w:t xml:space="preserve">on </w:t>
      </w:r>
      <w:r w:rsidR="000A03AD" w:rsidRPr="00DC080C">
        <w:rPr>
          <w:rFonts w:ascii="Cambria" w:hAnsi="Cambria"/>
        </w:rPr>
        <w:t>3</w:t>
      </w:r>
      <w:r w:rsidR="00FC4126">
        <w:rPr>
          <w:rFonts w:ascii="Cambria" w:hAnsi="Cambria"/>
        </w:rPr>
        <w:t>1</w:t>
      </w:r>
      <w:r w:rsidR="000A03AD" w:rsidRPr="00DC080C">
        <w:rPr>
          <w:rFonts w:ascii="Cambria" w:hAnsi="Cambria"/>
        </w:rPr>
        <w:t xml:space="preserve"> January 2017.</w:t>
      </w:r>
      <w:r w:rsidR="002E28E4" w:rsidRPr="00DC080C">
        <w:rPr>
          <w:rFonts w:ascii="Cambria" w:hAnsi="Cambria"/>
        </w:rPr>
        <w:t xml:space="preserve"> The supplied data file comprised approximately 113 million prescribing records (see data specification in </w:t>
      </w:r>
      <w:r w:rsidR="002E28E4" w:rsidRPr="0021626D">
        <w:rPr>
          <w:rFonts w:ascii="Cambria" w:hAnsi="Cambria"/>
        </w:rPr>
        <w:t>Appendix N).</w:t>
      </w:r>
    </w:p>
    <w:p w14:paraId="16C2B479" w14:textId="7B7475A5" w:rsidR="0074779D" w:rsidRPr="00587F24" w:rsidRDefault="00FC4126" w:rsidP="0074779D">
      <w:pPr>
        <w:pStyle w:val="BodyText"/>
        <w:rPr>
          <w:rFonts w:asciiTheme="majorHAnsi" w:hAnsiTheme="majorHAnsi"/>
        </w:rPr>
      </w:pPr>
      <w:r>
        <w:t>C</w:t>
      </w:r>
      <w:r w:rsidR="0074779D" w:rsidRPr="00DC080C">
        <w:t>aution should be taken when int</w:t>
      </w:r>
      <w:r w:rsidR="00DC66C6">
        <w:t xml:space="preserve">erpreting analyses based on PBS/RPBS </w:t>
      </w:r>
      <w:r w:rsidR="0074779D" w:rsidRPr="00DC080C">
        <w:t>prescription claims data as there are important limitations with the data</w:t>
      </w:r>
      <w:r>
        <w:t xml:space="preserve"> </w:t>
      </w:r>
      <w:r w:rsidR="00DC66C6">
        <w:t>set, including</w:t>
      </w:r>
      <w:r w:rsidR="00763992" w:rsidRPr="00DC080C">
        <w:t>:</w:t>
      </w:r>
    </w:p>
    <w:p w14:paraId="217978E1" w14:textId="19863BE6" w:rsidR="0074779D" w:rsidRPr="00A67954" w:rsidRDefault="0074779D" w:rsidP="008D66C4">
      <w:pPr>
        <w:pStyle w:val="Heading4"/>
      </w:pPr>
      <w:r w:rsidRPr="00A67954">
        <w:t xml:space="preserve">Population </w:t>
      </w:r>
    </w:p>
    <w:p w14:paraId="6D269123" w14:textId="24895275" w:rsidR="00763992" w:rsidRPr="005D3504" w:rsidRDefault="00184DA3" w:rsidP="005D3504">
      <w:pPr>
        <w:pStyle w:val="Bullettext"/>
      </w:pPr>
      <w:r w:rsidRPr="005D3504">
        <w:t>Medications provided during hospitalisation, or given on discharge from hospital, may not be captured in PBS prescriptions data.</w:t>
      </w:r>
    </w:p>
    <w:p w14:paraId="04327539" w14:textId="7B9ADF40" w:rsidR="00184DA3" w:rsidRPr="005D3504" w:rsidRDefault="00184DA3" w:rsidP="005D3504">
      <w:pPr>
        <w:pStyle w:val="Bullettext"/>
      </w:pPr>
      <w:r w:rsidRPr="005D3504">
        <w:t>Medications that are obtained through remote Aboriginal Health Service organisations are not captured.</w:t>
      </w:r>
    </w:p>
    <w:p w14:paraId="55F533CE" w14:textId="26C3E1A5" w:rsidR="0074779D" w:rsidRPr="00DC080C" w:rsidRDefault="0074779D" w:rsidP="008D66C4">
      <w:pPr>
        <w:pStyle w:val="Heading4"/>
      </w:pPr>
      <w:r w:rsidRPr="00DC080C">
        <w:t>Data availability</w:t>
      </w:r>
    </w:p>
    <w:p w14:paraId="3AD14C90" w14:textId="41DB32BA" w:rsidR="0074779D" w:rsidRPr="005D3504" w:rsidRDefault="0074779D" w:rsidP="005D3504">
      <w:pPr>
        <w:pStyle w:val="Bullettext"/>
      </w:pPr>
      <w:r w:rsidRPr="005D3504">
        <w:t xml:space="preserve">The recent PBS listing dates for some COPD medicines (particularly the FDCs listed in late 2015) means that it may be premature to try to accurately determine the nature and extent of their integration into treatment pathways for </w:t>
      </w:r>
      <w:r w:rsidR="00DC66C6">
        <w:t xml:space="preserve">COPD </w:t>
      </w:r>
      <w:r w:rsidRPr="005D3504">
        <w:t xml:space="preserve">patients. </w:t>
      </w:r>
    </w:p>
    <w:p w14:paraId="2C2491F1" w14:textId="2C6EE32D" w:rsidR="00CD2147" w:rsidRPr="00DC080C" w:rsidRDefault="00CD2147" w:rsidP="008D66C4">
      <w:pPr>
        <w:pStyle w:val="Heading4"/>
      </w:pPr>
      <w:r w:rsidRPr="00DC080C">
        <w:t>Diagnosis</w:t>
      </w:r>
      <w:r w:rsidR="00184DA3" w:rsidRPr="00DC080C">
        <w:t xml:space="preserve"> and clinical information</w:t>
      </w:r>
      <w:r w:rsidRPr="00DC080C">
        <w:t xml:space="preserve"> </w:t>
      </w:r>
    </w:p>
    <w:p w14:paraId="00BC578B" w14:textId="5C6D58CA" w:rsidR="00763992" w:rsidRPr="00DC080C" w:rsidRDefault="002E28E4" w:rsidP="005D3504">
      <w:pPr>
        <w:pStyle w:val="Bullettext"/>
      </w:pPr>
      <w:r w:rsidRPr="00DC080C">
        <w:t xml:space="preserve">The </w:t>
      </w:r>
      <w:r w:rsidR="008A31FD" w:rsidRPr="00DC080C">
        <w:t>data</w:t>
      </w:r>
      <w:r w:rsidR="00DC66C6">
        <w:t xml:space="preserve"> </w:t>
      </w:r>
      <w:r w:rsidR="00184DA3" w:rsidRPr="00DC080C">
        <w:t>set</w:t>
      </w:r>
      <w:r w:rsidR="008A31FD" w:rsidRPr="00DC080C">
        <w:t xml:space="preserve"> does not include information r</w:t>
      </w:r>
      <w:r w:rsidR="00A944BF">
        <w:t>elating to patient diagnosis.</w:t>
      </w:r>
    </w:p>
    <w:p w14:paraId="74FC22CC" w14:textId="5C2C8911" w:rsidR="00184DA3" w:rsidRPr="00DC080C" w:rsidRDefault="00B85972" w:rsidP="005D3504">
      <w:pPr>
        <w:pStyle w:val="Bullettext"/>
      </w:pPr>
      <w:r w:rsidRPr="00DC080C">
        <w:t xml:space="preserve">As bronchodilators and ICS are used for the treatment of both COPD and asthma, there is a risk that patients with asthma may be misclassified as COPD and vice versa. For </w:t>
      </w:r>
      <w:r w:rsidR="009D302F">
        <w:t>PBS/RPBS</w:t>
      </w:r>
      <w:r w:rsidRPr="00DC080C">
        <w:t xml:space="preserve"> items that are not restricted solely to the treatment of COPD (e.g. the ICS/LABAs, which are also listed for asthma), it is not possible to directly determine the underlying condition associated with the prescriptions dispensed. In this case, inferences need to be made, and the approach typically used by DUSC and the Australian Institute for Health and Welfare (AIHW) is to restrict the analyses to specific age groups. For instance, COPD is very uncommon among people aged less than 35 years and therefore it may be reasonable to assume that respiratory medications prescribed in this age group will not be for COPD. On the other hand, medications dispensed to people aged 35 years and over may include those prescribed for either COPD or asthma.</w:t>
      </w:r>
    </w:p>
    <w:p w14:paraId="5F6F7EEE" w14:textId="4F6EB708" w:rsidR="00184DA3" w:rsidRPr="00DC080C" w:rsidRDefault="00184DA3" w:rsidP="005D3504">
      <w:pPr>
        <w:pStyle w:val="Bullettext"/>
      </w:pPr>
      <w:r w:rsidRPr="00DC080C">
        <w:t xml:space="preserve">Patients with </w:t>
      </w:r>
      <w:r w:rsidR="00DC66C6">
        <w:t>ACOS further complicate</w:t>
      </w:r>
      <w:r w:rsidRPr="00DC080C">
        <w:t xml:space="preserve"> data interpretation as these patients are treated using a different </w:t>
      </w:r>
      <w:r w:rsidR="00DC66C6">
        <w:t xml:space="preserve">algorithm </w:t>
      </w:r>
      <w:r w:rsidRPr="00DC080C">
        <w:t xml:space="preserve">and may be eligible for both COPD and asthma treatments. While there is some debate in the scientific community regarding the proportion of patients with ACOS, the estimate typically quoted in Australia is 15% (November 2010 PSD for </w:t>
      </w:r>
      <w:proofErr w:type="spellStart"/>
      <w:r w:rsidRPr="00DC080C">
        <w:t>indacaterol</w:t>
      </w:r>
      <w:proofErr w:type="spellEnd"/>
      <w:r w:rsidRPr="00DC080C">
        <w:t>).</w:t>
      </w:r>
    </w:p>
    <w:p w14:paraId="4730FF71" w14:textId="2ACC4846" w:rsidR="00184DA3" w:rsidRPr="00DC080C" w:rsidRDefault="00184DA3" w:rsidP="005D3504">
      <w:pPr>
        <w:pStyle w:val="Bullettext"/>
      </w:pPr>
      <w:r w:rsidRPr="00DC080C">
        <w:t>The data</w:t>
      </w:r>
      <w:r w:rsidR="00DC66C6">
        <w:t xml:space="preserve"> </w:t>
      </w:r>
      <w:r w:rsidRPr="00DC080C">
        <w:t>set does not contain clinical information about the reason for the prescription or the nature or severity of the condition for which the medication was prescribed. As such, it is not possible to determine whether PBS medicines are being used in the intended population according to the PBS restriction (e.g. the requirement for COPD patients to have a FEV</w:t>
      </w:r>
      <w:r w:rsidRPr="00DC080C">
        <w:rPr>
          <w:vertAlign w:val="subscript"/>
        </w:rPr>
        <w:t>1</w:t>
      </w:r>
      <w:r w:rsidRPr="00DC080C">
        <w:t xml:space="preserve"> less than 50% of predicted normal prior to therapy in order to access an ICS/LABA on the PBS).</w:t>
      </w:r>
    </w:p>
    <w:p w14:paraId="18FCE817" w14:textId="3C4C0477" w:rsidR="00B85972" w:rsidRPr="00DC080C" w:rsidRDefault="006A7169" w:rsidP="008D66C4">
      <w:pPr>
        <w:pStyle w:val="Heading4"/>
      </w:pPr>
      <w:r w:rsidRPr="00DC080C">
        <w:lastRenderedPageBreak/>
        <w:t xml:space="preserve">Switching and add on therapy </w:t>
      </w:r>
    </w:p>
    <w:p w14:paraId="51D099DB" w14:textId="2ADC861B" w:rsidR="004F53B7" w:rsidRPr="00DC080C" w:rsidRDefault="009D302F" w:rsidP="005D3504">
      <w:pPr>
        <w:pStyle w:val="Bullettext"/>
      </w:pPr>
      <w:r w:rsidRPr="00DC080C">
        <w:t>Assessing</w:t>
      </w:r>
      <w:r>
        <w:t xml:space="preserve"> aspects of medication utilisation such as co-administration or switching </w:t>
      </w:r>
      <w:r w:rsidRPr="00DC080C">
        <w:t xml:space="preserve">between </w:t>
      </w:r>
      <w:r>
        <w:t xml:space="preserve">medicines </w:t>
      </w:r>
      <w:r w:rsidRPr="00DC080C">
        <w:t>is also not straightforward</w:t>
      </w:r>
      <w:r>
        <w:t xml:space="preserve"> when based on </w:t>
      </w:r>
      <w:r w:rsidRPr="00DC080C">
        <w:t>prescription refill</w:t>
      </w:r>
      <w:r w:rsidR="00BF5A5E">
        <w:t xml:space="preserve"> data </w:t>
      </w:r>
      <w:r>
        <w:t>alone.</w:t>
      </w:r>
    </w:p>
    <w:p w14:paraId="4ABC6844" w14:textId="79FD6E1B" w:rsidR="00E80ED2" w:rsidRPr="00DC080C" w:rsidRDefault="00B85972" w:rsidP="005D3504">
      <w:pPr>
        <w:pStyle w:val="Bullettext"/>
      </w:pPr>
      <w:r w:rsidRPr="00DC080C">
        <w:t xml:space="preserve">The stepwise approach to </w:t>
      </w:r>
      <w:r w:rsidR="00DC66C6">
        <w:t xml:space="preserve">COPD </w:t>
      </w:r>
      <w:r w:rsidRPr="00DC080C">
        <w:t xml:space="preserve">management, coupled with the selection of therapies available on the PBS, means that patients switch and add on therapies as needed to control symptoms, manage side effects, and simplify treatment regimens. </w:t>
      </w:r>
      <w:r w:rsidR="00D14F3F" w:rsidRPr="00DC080C">
        <w:t xml:space="preserve"> </w:t>
      </w:r>
      <w:r w:rsidR="008A0506" w:rsidRPr="00DC080C">
        <w:t xml:space="preserve">This utilisation analysis has included assumptions relating </w:t>
      </w:r>
      <w:r w:rsidR="00763992" w:rsidRPr="00DC080C">
        <w:t>a</w:t>
      </w:r>
      <w:r w:rsidR="008A0506" w:rsidRPr="00DC080C">
        <w:t xml:space="preserve"> </w:t>
      </w:r>
      <w:r w:rsidR="005D05F5" w:rsidRPr="00DC080C">
        <w:t xml:space="preserve">standard </w:t>
      </w:r>
      <w:r w:rsidR="008A0506" w:rsidRPr="00DC080C">
        <w:t>prescription coverage period to account</w:t>
      </w:r>
      <w:r w:rsidR="006832E5">
        <w:t xml:space="preserve"> for switch and add on therapy.</w:t>
      </w:r>
    </w:p>
    <w:p w14:paraId="295D70D2" w14:textId="7774DB5C" w:rsidR="00C56F13" w:rsidRPr="00DC080C" w:rsidRDefault="00C56F13" w:rsidP="008D66C4">
      <w:pPr>
        <w:pStyle w:val="Heading4"/>
      </w:pPr>
      <w:r w:rsidRPr="00DC080C">
        <w:t>Compliance and adherence</w:t>
      </w:r>
    </w:p>
    <w:p w14:paraId="0A76095C" w14:textId="77777777" w:rsidR="00DC66C6" w:rsidRDefault="009D302F" w:rsidP="005D3504">
      <w:pPr>
        <w:pStyle w:val="Bullettext"/>
      </w:pPr>
      <w:r>
        <w:t>PBS/RPBS</w:t>
      </w:r>
      <w:r w:rsidR="00763992" w:rsidRPr="00DC080C">
        <w:t xml:space="preserve"> data do not provide information on prescriptions written by a health care professional that are not filled by the patient, thereby making assessment of primary non-adherence and p</w:t>
      </w:r>
      <w:r w:rsidR="00BF5A5E">
        <w:t xml:space="preserve">rescriber intent difficult. </w:t>
      </w:r>
    </w:p>
    <w:p w14:paraId="14DF07CC" w14:textId="22193CC4" w:rsidR="00763992" w:rsidRPr="00DC080C" w:rsidRDefault="00DC66C6" w:rsidP="005D3504">
      <w:pPr>
        <w:pStyle w:val="Bullettext"/>
      </w:pPr>
      <w:r>
        <w:t>The data does not indicate whether or how often a</w:t>
      </w:r>
      <w:r w:rsidR="00763992" w:rsidRPr="00DC080C">
        <w:t xml:space="preserve"> medication was actually used. Patients may not be completely </w:t>
      </w:r>
      <w:proofErr w:type="gramStart"/>
      <w:r w:rsidR="00763992" w:rsidRPr="00DC080C">
        <w:t>adherent</w:t>
      </w:r>
      <w:proofErr w:type="gramEnd"/>
      <w:r w:rsidR="00763992" w:rsidRPr="00DC080C">
        <w:t xml:space="preserve"> to their prescribed therapy.</w:t>
      </w:r>
    </w:p>
    <w:p w14:paraId="3608BE85" w14:textId="2EDBB885" w:rsidR="00763992" w:rsidRPr="00DC080C" w:rsidRDefault="005B235E" w:rsidP="005D3504">
      <w:pPr>
        <w:pStyle w:val="Bullettext"/>
      </w:pPr>
      <w:r w:rsidRPr="00DC080C">
        <w:t>P</w:t>
      </w:r>
      <w:r w:rsidR="00C56F13" w:rsidRPr="00DC080C">
        <w:t xml:space="preserve">oor </w:t>
      </w:r>
      <w:r w:rsidR="00763992" w:rsidRPr="00DC080C">
        <w:t>adherence</w:t>
      </w:r>
      <w:r w:rsidR="00C56F13" w:rsidRPr="00DC080C">
        <w:t xml:space="preserve"> with COPD treatments is frequently observed, despite it bein</w:t>
      </w:r>
      <w:r w:rsidR="00DC66C6">
        <w:t xml:space="preserve">g a highly symptomatic disease. </w:t>
      </w:r>
      <w:r w:rsidR="00C56F13" w:rsidRPr="00DC080C">
        <w:t>Compliance issues can confound analyses as the prescription coverage period may be appear longer</w:t>
      </w:r>
      <w:r w:rsidR="009D302F">
        <w:t>,</w:t>
      </w:r>
      <w:r w:rsidR="00C56F13" w:rsidRPr="00DC080C">
        <w:t xml:space="preserve"> </w:t>
      </w:r>
      <w:r w:rsidR="009D302F">
        <w:t xml:space="preserve">however </w:t>
      </w:r>
      <w:r w:rsidR="00BF5A5E">
        <w:t>it does</w:t>
      </w:r>
      <w:r w:rsidR="009D302F">
        <w:t xml:space="preserve"> not</w:t>
      </w:r>
      <w:r w:rsidR="00C56F13" w:rsidRPr="00DC080C">
        <w:t xml:space="preserve"> represent consist</w:t>
      </w:r>
      <w:r w:rsidR="009D302F">
        <w:t>ent</w:t>
      </w:r>
      <w:r w:rsidR="00C56F13" w:rsidRPr="00DC080C">
        <w:t xml:space="preserve"> medicine use. </w:t>
      </w:r>
    </w:p>
    <w:p w14:paraId="139B3CC3" w14:textId="4576C04C" w:rsidR="00C56F13" w:rsidRPr="00DC080C" w:rsidRDefault="00C56F13" w:rsidP="008D66C4">
      <w:pPr>
        <w:pStyle w:val="Heading4"/>
      </w:pPr>
      <w:r w:rsidRPr="00DC080C">
        <w:t>Stockpiling</w:t>
      </w:r>
    </w:p>
    <w:p w14:paraId="00BDF086" w14:textId="7797B07D" w:rsidR="00C56F13" w:rsidRPr="00DC080C" w:rsidRDefault="00763992" w:rsidP="005D3504">
      <w:pPr>
        <w:pStyle w:val="Bullettext"/>
      </w:pPr>
      <w:r w:rsidRPr="00DC080C">
        <w:t xml:space="preserve">Stockpiling of medication is a phenomenon that can cause data anomalies and must be taken into account when analysing PBS claims data. </w:t>
      </w:r>
      <w:r w:rsidR="005B235E" w:rsidRPr="00DC080C">
        <w:t xml:space="preserve"> </w:t>
      </w:r>
      <w:r w:rsidR="00C56F13" w:rsidRPr="00DC080C">
        <w:t xml:space="preserve">Stockpiling can occur at any time of the year, but often occurs towards the end of the calendar year when a Safety Net card holder fills prescriptions more frequently than expected, so as to avoid a higher co-payment in the </w:t>
      </w:r>
      <w:r w:rsidR="009D302F">
        <w:t xml:space="preserve">first few months of the </w:t>
      </w:r>
      <w:r w:rsidR="00C56F13" w:rsidRPr="00DC080C">
        <w:t xml:space="preserve">next calendar year when they lose Safety Net eligibility. </w:t>
      </w:r>
    </w:p>
    <w:p w14:paraId="61597F04" w14:textId="23E72D48" w:rsidR="00B85972" w:rsidRPr="00A944BF" w:rsidRDefault="00587F24" w:rsidP="00DA6395">
      <w:pPr>
        <w:pStyle w:val="Heading2"/>
      </w:pPr>
      <w:bookmarkStart w:id="15" w:name="_Toc473291140"/>
      <w:bookmarkStart w:id="16" w:name="_Toc486231783"/>
      <w:r w:rsidRPr="00A944BF">
        <w:t xml:space="preserve">5.4 </w:t>
      </w:r>
      <w:r w:rsidRPr="00A944BF">
        <w:tab/>
      </w:r>
      <w:r w:rsidR="009D302F">
        <w:t>PBS/RPBS</w:t>
      </w:r>
      <w:r w:rsidR="007C1840" w:rsidRPr="00A944BF">
        <w:t xml:space="preserve"> utilisation analysis m</w:t>
      </w:r>
      <w:r w:rsidR="00B85972" w:rsidRPr="00A944BF">
        <w:t>ethodology</w:t>
      </w:r>
      <w:bookmarkEnd w:id="15"/>
      <w:bookmarkEnd w:id="16"/>
    </w:p>
    <w:p w14:paraId="49DAED59" w14:textId="5936A2F4" w:rsidR="005B235E" w:rsidRPr="00A944BF" w:rsidRDefault="00AF559F" w:rsidP="005D3504">
      <w:pPr>
        <w:pStyle w:val="Heading3"/>
      </w:pPr>
      <w:bookmarkStart w:id="17" w:name="_Toc486231784"/>
      <w:r w:rsidRPr="00A944BF">
        <w:t>5.4.1</w:t>
      </w:r>
      <w:r w:rsidRPr="00A944BF">
        <w:tab/>
      </w:r>
      <w:r w:rsidR="005B235E" w:rsidRPr="00A944BF">
        <w:t>Department of Human Services (DHS) PBS claiming system</w:t>
      </w:r>
      <w:bookmarkEnd w:id="17"/>
    </w:p>
    <w:p w14:paraId="7D068592" w14:textId="3A2B92C2" w:rsidR="006B63F7" w:rsidRDefault="00D90DD2" w:rsidP="00B85972">
      <w:pPr>
        <w:pStyle w:val="BodyText"/>
      </w:pPr>
      <w:r>
        <w:t xml:space="preserve">A preliminary analysis </w:t>
      </w:r>
      <w:r w:rsidR="00BF1EF7">
        <w:t>was</w:t>
      </w:r>
      <w:r w:rsidR="006B63F7">
        <w:t xml:space="preserve"> conducted to </w:t>
      </w:r>
      <w:r w:rsidR="009D302F">
        <w:t>report</w:t>
      </w:r>
      <w:r w:rsidR="006B63F7">
        <w:t xml:space="preserve"> the </w:t>
      </w:r>
      <w:r w:rsidR="009D302F">
        <w:t xml:space="preserve">total </w:t>
      </w:r>
      <w:r w:rsidR="006B63F7">
        <w:t>prescriptions and benefits of COPD</w:t>
      </w:r>
      <w:r w:rsidR="00BF1EF7">
        <w:t>/a</w:t>
      </w:r>
      <w:r w:rsidR="001041B8">
        <w:t>sthma</w:t>
      </w:r>
      <w:r w:rsidR="006B63F7">
        <w:t xml:space="preserve"> medicines</w:t>
      </w:r>
      <w:r w:rsidR="009D302F">
        <w:t xml:space="preserve"> subsidised through the</w:t>
      </w:r>
      <w:r w:rsidR="006B63F7">
        <w:t xml:space="preserve"> DHS P</w:t>
      </w:r>
      <w:r w:rsidR="006B63F7" w:rsidRPr="00FA0E74">
        <w:t>BS claim</w:t>
      </w:r>
      <w:r w:rsidR="006B63F7">
        <w:t xml:space="preserve">s dataset. </w:t>
      </w:r>
      <w:r w:rsidR="00ED2E42">
        <w:t>R</w:t>
      </w:r>
      <w:r w:rsidR="006B63F7">
        <w:t xml:space="preserve">efer to </w:t>
      </w:r>
      <w:r w:rsidR="00ED2E42">
        <w:t xml:space="preserve">Appendix C </w:t>
      </w:r>
      <w:r w:rsidR="001041B8">
        <w:t xml:space="preserve">for </w:t>
      </w:r>
      <w:r w:rsidR="006B63F7">
        <w:t>COPD</w:t>
      </w:r>
      <w:r w:rsidR="00BF1EF7">
        <w:t>/a</w:t>
      </w:r>
      <w:r w:rsidR="001041B8">
        <w:t>sthma</w:t>
      </w:r>
      <w:r w:rsidR="00BF1EF7">
        <w:t xml:space="preserve"> medicine PBS items included </w:t>
      </w:r>
      <w:r w:rsidR="006B63F7">
        <w:t xml:space="preserve">in the analysis.  </w:t>
      </w:r>
      <w:r w:rsidR="00ED2E42">
        <w:t>A number of ICS/LABA medications have a Restricted Benefit PBS listing and therefore it is not possible to distinguish betwe</w:t>
      </w:r>
      <w:r w:rsidR="00BF1EF7">
        <w:t>en the COPD and a</w:t>
      </w:r>
      <w:r w:rsidR="00ED2E42">
        <w:t xml:space="preserve">sthma populations. </w:t>
      </w:r>
      <w:r w:rsidR="006B63F7">
        <w:t xml:space="preserve">All items included in the analysis are above the general co-payment threshold and therefore there was no requirement to add under </w:t>
      </w:r>
      <w:r w:rsidR="00BF1EF7">
        <w:t>co-</w:t>
      </w:r>
      <w:r w:rsidR="006B63F7">
        <w:t>payment source data.</w:t>
      </w:r>
    </w:p>
    <w:p w14:paraId="36B0A9E3" w14:textId="7F0BE07A" w:rsidR="005B235E" w:rsidRPr="00A944BF" w:rsidRDefault="00AF559F" w:rsidP="005D3504">
      <w:pPr>
        <w:pStyle w:val="Heading3"/>
      </w:pPr>
      <w:bookmarkStart w:id="18" w:name="_Toc486231785"/>
      <w:r w:rsidRPr="00A944BF">
        <w:lastRenderedPageBreak/>
        <w:t>5.4.2</w:t>
      </w:r>
      <w:r w:rsidRPr="00A944BF">
        <w:tab/>
      </w:r>
      <w:r w:rsidR="005B235E" w:rsidRPr="00A944BF">
        <w:t>Department of Health (</w:t>
      </w:r>
      <w:proofErr w:type="spellStart"/>
      <w:r w:rsidR="005B235E" w:rsidRPr="00A944BF">
        <w:t>DoH</w:t>
      </w:r>
      <w:proofErr w:type="spellEnd"/>
      <w:r w:rsidR="005B235E" w:rsidRPr="00A944BF">
        <w:t>) PBS claims database</w:t>
      </w:r>
      <w:bookmarkEnd w:id="18"/>
      <w:r w:rsidR="005B235E" w:rsidRPr="00A944BF">
        <w:t xml:space="preserve"> </w:t>
      </w:r>
    </w:p>
    <w:p w14:paraId="32A6D174" w14:textId="70D0B62E" w:rsidR="00ED2E42" w:rsidRDefault="00ED2E42" w:rsidP="00ED2E42">
      <w:pPr>
        <w:pStyle w:val="BodyText"/>
      </w:pPr>
      <w:r>
        <w:t xml:space="preserve">A detailed analysis of the </w:t>
      </w:r>
      <w:proofErr w:type="spellStart"/>
      <w:r>
        <w:t>DoH</w:t>
      </w:r>
      <w:proofErr w:type="spellEnd"/>
      <w:r>
        <w:t xml:space="preserve"> PBS claims data</w:t>
      </w:r>
      <w:r w:rsidR="00076269">
        <w:t xml:space="preserve"> </w:t>
      </w:r>
      <w:r>
        <w:t xml:space="preserve">set </w:t>
      </w:r>
      <w:r w:rsidR="00076269">
        <w:t xml:space="preserve">was </w:t>
      </w:r>
      <w:r>
        <w:t xml:space="preserve">conducted based on prescriptions </w:t>
      </w:r>
      <w:r w:rsidR="00131B6C">
        <w:t xml:space="preserve">dispensed </w:t>
      </w:r>
      <w:r>
        <w:t xml:space="preserve">and unique patients. In order to address some of the issues discussed in Section </w:t>
      </w:r>
      <w:r w:rsidR="00076269">
        <w:t>5.2</w:t>
      </w:r>
      <w:r>
        <w:t xml:space="preserve"> and restrict the data analysis to a population with a higher likelihood of COPD, a number of steps were taken to prepare the </w:t>
      </w:r>
      <w:proofErr w:type="spellStart"/>
      <w:r>
        <w:t>DoH</w:t>
      </w:r>
      <w:proofErr w:type="spellEnd"/>
      <w:r>
        <w:t xml:space="preserve"> PBS data</w:t>
      </w:r>
      <w:r w:rsidR="00076269">
        <w:t xml:space="preserve"> </w:t>
      </w:r>
      <w:r>
        <w:t>set.</w:t>
      </w:r>
    </w:p>
    <w:p w14:paraId="14FF7C6B" w14:textId="21B8FD4E" w:rsidR="004525D1" w:rsidRPr="008C25D5" w:rsidRDefault="004525D1" w:rsidP="008D66C4">
      <w:pPr>
        <w:pStyle w:val="Heading4"/>
      </w:pPr>
      <w:r w:rsidRPr="008C25D5">
        <w:t>Drug treatment in</w:t>
      </w:r>
      <w:r w:rsidR="005B235E" w:rsidRPr="008C25D5">
        <w:t>clusion and exclusions</w:t>
      </w:r>
    </w:p>
    <w:p w14:paraId="2854D563" w14:textId="414970A4" w:rsidR="009242DE" w:rsidRDefault="004525D1" w:rsidP="005D3504">
      <w:pPr>
        <w:pStyle w:val="Bullettext"/>
      </w:pPr>
      <w:r>
        <w:t>P</w:t>
      </w:r>
      <w:r w:rsidRPr="00351214">
        <w:t xml:space="preserve">atients </w:t>
      </w:r>
      <w:r w:rsidR="00A0386E">
        <w:t xml:space="preserve">that </w:t>
      </w:r>
      <w:r w:rsidR="00D4307D">
        <w:t>were supplied</w:t>
      </w:r>
      <w:r w:rsidR="00A0386E">
        <w:t xml:space="preserve"> their first prescription with an</w:t>
      </w:r>
      <w:r w:rsidRPr="00351214">
        <w:t xml:space="preserve"> ICS/LABA medicine</w:t>
      </w:r>
      <w:r>
        <w:t xml:space="preserve"> </w:t>
      </w:r>
      <w:r w:rsidR="00D4307D">
        <w:t>in the data</w:t>
      </w:r>
      <w:r w:rsidR="00076269">
        <w:t xml:space="preserve"> </w:t>
      </w:r>
      <w:r w:rsidR="00D4307D">
        <w:t xml:space="preserve">set period (1 November 2008 to </w:t>
      </w:r>
      <w:r w:rsidR="00076269">
        <w:t xml:space="preserve">31 </w:t>
      </w:r>
      <w:r w:rsidR="00D4307D">
        <w:t xml:space="preserve">October 2016) were excluded </w:t>
      </w:r>
      <w:r>
        <w:t>from the analysis</w:t>
      </w:r>
      <w:r w:rsidRPr="00351214">
        <w:t>. The rationale for the exclusion is to reduce the likelihood of including patients with asthma and mixed airways disease in the COPD cohort and increase confidence that the study has better captured prescribing patterns relevant to COPD patients.</w:t>
      </w:r>
    </w:p>
    <w:p w14:paraId="48A8BEC1" w14:textId="39731E9E" w:rsidR="005B235E" w:rsidRDefault="004525D1" w:rsidP="005D3504">
      <w:pPr>
        <w:pStyle w:val="Bullettext"/>
      </w:pPr>
      <w:r>
        <w:t>A</w:t>
      </w:r>
      <w:r w:rsidRPr="00A059E2">
        <w:t xml:space="preserve"> complete analysis of prescribing for COPD would include short-acting reliever medications (SAMAs and SABAs), </w:t>
      </w:r>
      <w:r w:rsidR="00076269">
        <w:t xml:space="preserve">but </w:t>
      </w:r>
      <w:r w:rsidRPr="00A059E2">
        <w:t>analysis of these medications is problematic for several reasons. Firstly, SABAs can be readily purchased over</w:t>
      </w:r>
      <w:r>
        <w:t>-</w:t>
      </w:r>
      <w:r w:rsidRPr="00A059E2">
        <w:t>the</w:t>
      </w:r>
      <w:r>
        <w:t>-</w:t>
      </w:r>
      <w:r w:rsidRPr="00A059E2">
        <w:t xml:space="preserve">counter in Australia. The extent of utilisation of these medicines is therefore likely to be significantly underestimated on the basis of PBS claims. </w:t>
      </w:r>
      <w:r>
        <w:t>Secondly, short-acting bronchodilators (and corticosteroids) are inexpensive</w:t>
      </w:r>
      <w:r w:rsidRPr="002B3ED1">
        <w:t xml:space="preserve"> and </w:t>
      </w:r>
      <w:r>
        <w:t>priced under the general co-payment</w:t>
      </w:r>
      <w:r w:rsidRPr="002B3ED1">
        <w:t xml:space="preserve">. </w:t>
      </w:r>
      <w:r>
        <w:t>Therefore,</w:t>
      </w:r>
      <w:r w:rsidRPr="002B3ED1">
        <w:t xml:space="preserve"> these agents</w:t>
      </w:r>
      <w:r>
        <w:t xml:space="preserve"> were not all captured in </w:t>
      </w:r>
      <w:r w:rsidRPr="002B3ED1">
        <w:t>the PBS/RPBS</w:t>
      </w:r>
      <w:r w:rsidRPr="00DD082F">
        <w:t xml:space="preserve"> </w:t>
      </w:r>
      <w:r w:rsidRPr="002B3ED1">
        <w:t xml:space="preserve">dataset </w:t>
      </w:r>
      <w:r w:rsidR="006832E5">
        <w:t>prior to April 2012.</w:t>
      </w:r>
    </w:p>
    <w:p w14:paraId="598AF980" w14:textId="549FD59E" w:rsidR="004525D1" w:rsidRDefault="004525D1" w:rsidP="005D3504">
      <w:pPr>
        <w:pStyle w:val="Bullettext"/>
      </w:pPr>
      <w:r>
        <w:t xml:space="preserve">As all </w:t>
      </w:r>
      <w:proofErr w:type="gramStart"/>
      <w:r>
        <w:t>LAMA</w:t>
      </w:r>
      <w:proofErr w:type="gramEnd"/>
      <w:r>
        <w:t>, LABA, LAMA/</w:t>
      </w:r>
      <w:r w:rsidRPr="00C05832">
        <w:t xml:space="preserve">LAMA </w:t>
      </w:r>
      <w:r>
        <w:t xml:space="preserve">and ICS/LABA </w:t>
      </w:r>
      <w:r w:rsidRPr="00C05832">
        <w:t xml:space="preserve">preparations are dispensed at a price that is higher than </w:t>
      </w:r>
      <w:r>
        <w:t>the general</w:t>
      </w:r>
      <w:r w:rsidRPr="00C05832">
        <w:t xml:space="preserve"> PBS co-payment, </w:t>
      </w:r>
      <w:r>
        <w:t xml:space="preserve">the </w:t>
      </w:r>
      <w:r w:rsidR="009D302F">
        <w:t>PBS/RPBS</w:t>
      </w:r>
      <w:r>
        <w:t xml:space="preserve"> dataset is complete for the long-acting medicines that are the focus of this Review.</w:t>
      </w:r>
      <w:r w:rsidR="006832E5">
        <w:t xml:space="preserve"> </w:t>
      </w:r>
      <w:r w:rsidR="005B235E" w:rsidRPr="00113033">
        <w:t xml:space="preserve">Refer </w:t>
      </w:r>
      <w:r w:rsidR="001412B8">
        <w:t xml:space="preserve">to </w:t>
      </w:r>
      <w:r w:rsidR="00113033">
        <w:t>Appendix C</w:t>
      </w:r>
      <w:r w:rsidR="005B235E">
        <w:t xml:space="preserve"> for the </w:t>
      </w:r>
      <w:r w:rsidR="009D302F">
        <w:t>PBS/RPBS</w:t>
      </w:r>
      <w:r w:rsidR="00076269">
        <w:t xml:space="preserve"> items included </w:t>
      </w:r>
      <w:r w:rsidR="005B235E">
        <w:t>in this analysis.</w:t>
      </w:r>
    </w:p>
    <w:p w14:paraId="50DA4B76" w14:textId="0E453833" w:rsidR="00D443B9" w:rsidRPr="00975CB4" w:rsidRDefault="00D4307D" w:rsidP="008D66C4">
      <w:pPr>
        <w:pStyle w:val="Heading4"/>
      </w:pPr>
      <w:r>
        <w:t xml:space="preserve">COPD patient </w:t>
      </w:r>
      <w:r w:rsidR="008D536B">
        <w:t>cohort</w:t>
      </w:r>
    </w:p>
    <w:p w14:paraId="4F989FA6" w14:textId="45BAD778" w:rsidR="00D4307D" w:rsidRDefault="008D536B" w:rsidP="00D4307D">
      <w:pPr>
        <w:pStyle w:val="BodyText"/>
      </w:pPr>
      <w:r>
        <w:t xml:space="preserve">A patient cohort was selected based on </w:t>
      </w:r>
      <w:r w:rsidR="00D4307D">
        <w:t xml:space="preserve">those patients who had not been supplied with medicines used in the management of COPD prior to 1 November 2008 (i.e. applying a </w:t>
      </w:r>
      <w:r>
        <w:t xml:space="preserve">consistent </w:t>
      </w:r>
      <w:r w:rsidR="00D4307D">
        <w:t xml:space="preserve">look-back period of two years from the first observed </w:t>
      </w:r>
      <w:r w:rsidR="009D302F">
        <w:t>PBS/RPBS</w:t>
      </w:r>
      <w:r w:rsidR="00D4307D">
        <w:t xml:space="preserve"> COPD claim). Th</w:t>
      </w:r>
      <w:r>
        <w:t xml:space="preserve">is rationale for the COPD selection was to </w:t>
      </w:r>
      <w:r w:rsidR="00D4307D">
        <w:t>improve the detection and analysis of initiations (event analysis) and analysis of utilisation (prevalent analysis).</w:t>
      </w:r>
    </w:p>
    <w:p w14:paraId="6BBC020F" w14:textId="104753A4" w:rsidR="008D536B" w:rsidRPr="00975CB4" w:rsidRDefault="00CB1B58" w:rsidP="008D66C4">
      <w:pPr>
        <w:pStyle w:val="Heading4"/>
      </w:pPr>
      <w:r w:rsidRPr="00975CB4">
        <w:t>Estimation of COPD incident and prevalent patients</w:t>
      </w:r>
    </w:p>
    <w:p w14:paraId="30E353C4" w14:textId="583310E9" w:rsidR="00954773" w:rsidRDefault="00954773" w:rsidP="00975CB4">
      <w:pPr>
        <w:pStyle w:val="BodyText"/>
        <w:spacing w:after="240"/>
      </w:pPr>
      <w:r>
        <w:t xml:space="preserve">Treatment regimens were calculated to account for </w:t>
      </w:r>
      <w:r w:rsidR="00CB1B58">
        <w:t xml:space="preserve">the number of initiating and prevalent patients </w:t>
      </w:r>
      <w:r>
        <w:t>co-supplied</w:t>
      </w:r>
      <w:r w:rsidR="00CB1B58">
        <w:t xml:space="preserve"> COPD medications</w:t>
      </w:r>
      <w:r w:rsidR="006832E5">
        <w:t xml:space="preserve">. </w:t>
      </w:r>
      <w:r w:rsidRPr="002E4D5E">
        <w:t>Standard pres</w:t>
      </w:r>
      <w:r>
        <w:t xml:space="preserve">cription coverage days (SCDs) were estimated to calculate treatment COPD regimens and assess </w:t>
      </w:r>
      <w:r w:rsidR="00CB1B58">
        <w:t xml:space="preserve">gaps in the supply of </w:t>
      </w:r>
      <w:r>
        <w:t>medication</w:t>
      </w:r>
      <w:r w:rsidR="00CB1B58">
        <w:t>s</w:t>
      </w:r>
      <w:r>
        <w:t xml:space="preserve"> including discontinuations. In this analysis SCDs were calculated using the median time-to-refill for PBS items, refer to Table 5.1.</w:t>
      </w:r>
    </w:p>
    <w:p w14:paraId="3116A2F5" w14:textId="38F0B624" w:rsidR="00954773" w:rsidRPr="00A944BF" w:rsidRDefault="00A944BF" w:rsidP="00714C0B">
      <w:pPr>
        <w:pStyle w:val="TR5TableHeader"/>
      </w:pPr>
      <w:bookmarkStart w:id="19" w:name="_Toc486232643"/>
      <w:r>
        <w:lastRenderedPageBreak/>
        <w:t>Table 5.1</w:t>
      </w:r>
      <w:r>
        <w:tab/>
      </w:r>
      <w:r w:rsidR="00954773" w:rsidRPr="00A944BF">
        <w:t xml:space="preserve">Standard prescription coverage days calculated from the </w:t>
      </w:r>
      <w:proofErr w:type="spellStart"/>
      <w:r w:rsidR="00954773" w:rsidRPr="00A944BF">
        <w:t>DoH</w:t>
      </w:r>
      <w:proofErr w:type="spellEnd"/>
      <w:r w:rsidR="00954773" w:rsidRPr="00A944BF">
        <w:t xml:space="preserve"> claims database</w:t>
      </w:r>
      <w:bookmarkEnd w:id="19"/>
    </w:p>
    <w:tbl>
      <w:tblPr>
        <w:tblW w:w="5000" w:type="pct"/>
        <w:tblInd w:w="-10" w:type="dxa"/>
        <w:tblLook w:val="04A0" w:firstRow="1" w:lastRow="0" w:firstColumn="1" w:lastColumn="0" w:noHBand="0" w:noVBand="1"/>
        <w:tblDescription w:val="Time to refill analysis – filtered for single script supply"/>
      </w:tblPr>
      <w:tblGrid>
        <w:gridCol w:w="2181"/>
        <w:gridCol w:w="3488"/>
        <w:gridCol w:w="3901"/>
      </w:tblGrid>
      <w:tr w:rsidR="00954773" w:rsidRPr="00C734C2" w14:paraId="037151F4" w14:textId="77777777" w:rsidTr="00714C0B">
        <w:trPr>
          <w:trHeight w:val="85"/>
        </w:trPr>
        <w:tc>
          <w:tcPr>
            <w:tcW w:w="212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C7664EC" w14:textId="77777777" w:rsidR="00954773" w:rsidRPr="008D66C4" w:rsidRDefault="00954773" w:rsidP="00A67954">
            <w:pPr>
              <w:keepNext/>
              <w:keepLines/>
              <w:rPr>
                <w:rFonts w:ascii="Arial Narrow" w:eastAsia="Times New Roman" w:hAnsi="Arial Narrow" w:cs="Arial"/>
                <w:b/>
                <w:bCs/>
                <w:sz w:val="21"/>
                <w:szCs w:val="21"/>
                <w:lang w:eastAsia="en-AU"/>
              </w:rPr>
            </w:pPr>
            <w:r w:rsidRPr="008D66C4">
              <w:rPr>
                <w:rFonts w:ascii="Arial Narrow" w:eastAsia="Times New Roman" w:hAnsi="Arial Narrow" w:cs="Arial"/>
                <w:b/>
                <w:bCs/>
                <w:sz w:val="21"/>
                <w:szCs w:val="21"/>
                <w:lang w:eastAsia="en-AU"/>
              </w:rPr>
              <w:t>PBS item code</w:t>
            </w:r>
          </w:p>
        </w:tc>
        <w:tc>
          <w:tcPr>
            <w:tcW w:w="3402" w:type="dxa"/>
            <w:tcBorders>
              <w:top w:val="single" w:sz="8" w:space="0" w:color="auto"/>
              <w:left w:val="nil"/>
              <w:bottom w:val="single" w:sz="8" w:space="0" w:color="auto"/>
              <w:right w:val="single" w:sz="8" w:space="0" w:color="auto"/>
            </w:tcBorders>
            <w:shd w:val="clear" w:color="000000" w:fill="BFBFBF"/>
            <w:vAlign w:val="center"/>
            <w:hideMark/>
          </w:tcPr>
          <w:p w14:paraId="750A9C5B" w14:textId="77777777" w:rsidR="00954773" w:rsidRPr="008D66C4" w:rsidRDefault="00954773" w:rsidP="00A67954">
            <w:pPr>
              <w:keepNext/>
              <w:keepLines/>
              <w:rPr>
                <w:rFonts w:ascii="Arial Narrow" w:eastAsia="Times New Roman" w:hAnsi="Arial Narrow" w:cs="Arial"/>
                <w:b/>
                <w:bCs/>
                <w:sz w:val="21"/>
                <w:szCs w:val="21"/>
                <w:lang w:eastAsia="en-AU"/>
              </w:rPr>
            </w:pPr>
            <w:r w:rsidRPr="008D66C4">
              <w:rPr>
                <w:rFonts w:ascii="Arial Narrow" w:eastAsia="Times New Roman" w:hAnsi="Arial Narrow" w:cs="Arial"/>
                <w:b/>
                <w:bCs/>
                <w:sz w:val="21"/>
                <w:szCs w:val="21"/>
                <w:lang w:eastAsia="en-AU"/>
              </w:rPr>
              <w:t>Drug name</w:t>
            </w:r>
          </w:p>
        </w:tc>
        <w:tc>
          <w:tcPr>
            <w:tcW w:w="3805" w:type="dxa"/>
            <w:tcBorders>
              <w:top w:val="single" w:sz="8" w:space="0" w:color="auto"/>
              <w:left w:val="nil"/>
              <w:bottom w:val="single" w:sz="8" w:space="0" w:color="auto"/>
              <w:right w:val="single" w:sz="8" w:space="0" w:color="auto"/>
            </w:tcBorders>
            <w:shd w:val="clear" w:color="000000" w:fill="BFBFBF"/>
            <w:vAlign w:val="center"/>
            <w:hideMark/>
          </w:tcPr>
          <w:p w14:paraId="331D3B1B" w14:textId="77777777" w:rsidR="00954773" w:rsidRPr="008D66C4" w:rsidRDefault="00954773" w:rsidP="00A67954">
            <w:pPr>
              <w:keepNext/>
              <w:keepLines/>
              <w:jc w:val="center"/>
              <w:rPr>
                <w:rFonts w:ascii="Arial Narrow" w:eastAsia="Times New Roman" w:hAnsi="Arial Narrow" w:cs="Arial"/>
                <w:b/>
                <w:bCs/>
                <w:sz w:val="21"/>
                <w:szCs w:val="21"/>
                <w:lang w:eastAsia="en-AU"/>
              </w:rPr>
            </w:pPr>
            <w:r w:rsidRPr="008D66C4">
              <w:rPr>
                <w:rFonts w:ascii="Arial Narrow" w:eastAsia="Times New Roman" w:hAnsi="Arial Narrow" w:cs="Arial"/>
                <w:b/>
                <w:bCs/>
                <w:sz w:val="21"/>
                <w:szCs w:val="21"/>
                <w:lang w:eastAsia="en-AU"/>
              </w:rPr>
              <w:t>Standard prescription coverage days</w:t>
            </w:r>
          </w:p>
        </w:tc>
      </w:tr>
      <w:tr w:rsidR="00954773" w:rsidRPr="00C734C2" w14:paraId="120AEAF1"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D61BAA2"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08432T</w:t>
            </w:r>
          </w:p>
        </w:tc>
        <w:tc>
          <w:tcPr>
            <w:tcW w:w="3402" w:type="dxa"/>
            <w:tcBorders>
              <w:top w:val="nil"/>
              <w:left w:val="nil"/>
              <w:bottom w:val="single" w:sz="8" w:space="0" w:color="auto"/>
              <w:right w:val="single" w:sz="8" w:space="0" w:color="auto"/>
            </w:tcBorders>
            <w:shd w:val="clear" w:color="auto" w:fill="auto"/>
            <w:vAlign w:val="center"/>
            <w:hideMark/>
          </w:tcPr>
          <w:p w14:paraId="1941AD26" w14:textId="4A64C6A1" w:rsidR="00954773" w:rsidRPr="008D66C4" w:rsidRDefault="0026487B" w:rsidP="00A67954">
            <w:pPr>
              <w:keepNext/>
              <w:keepLines/>
              <w:rPr>
                <w:rFonts w:ascii="Arial Narrow" w:eastAsia="Times New Roman" w:hAnsi="Arial Narrow" w:cs="Arial"/>
                <w:sz w:val="21"/>
                <w:szCs w:val="21"/>
                <w:lang w:eastAsia="en-AU"/>
              </w:rPr>
            </w:pPr>
            <w:r>
              <w:rPr>
                <w:rFonts w:ascii="Arial Narrow" w:eastAsia="Times New Roman" w:hAnsi="Arial Narrow" w:cs="Arial"/>
                <w:sz w:val="21"/>
                <w:szCs w:val="21"/>
                <w:lang w:eastAsia="en-AU"/>
              </w:rPr>
              <w:t>f</w:t>
            </w:r>
            <w:r w:rsidR="00954773" w:rsidRPr="008D66C4">
              <w:rPr>
                <w:rFonts w:ascii="Arial Narrow" w:eastAsia="Times New Roman" w:hAnsi="Arial Narrow" w:cs="Arial"/>
                <w:sz w:val="21"/>
                <w:szCs w:val="21"/>
                <w:lang w:eastAsia="en-AU"/>
              </w:rPr>
              <w:t>luticasone</w:t>
            </w:r>
            <w:r w:rsidR="003B67B3">
              <w:rPr>
                <w:rFonts w:ascii="Arial Narrow" w:eastAsia="Times New Roman" w:hAnsi="Arial Narrow" w:cs="Arial"/>
                <w:sz w:val="21"/>
                <w:szCs w:val="21"/>
                <w:lang w:eastAsia="en-AU"/>
              </w:rPr>
              <w:t xml:space="preserve"> propionate</w:t>
            </w:r>
            <w:r w:rsidR="00954773" w:rsidRPr="008D66C4">
              <w:rPr>
                <w:rFonts w:ascii="Arial Narrow" w:eastAsia="Times New Roman" w:hAnsi="Arial Narrow" w:cs="Arial"/>
                <w:sz w:val="21"/>
                <w:szCs w:val="21"/>
                <w:lang w:eastAsia="en-AU"/>
              </w:rPr>
              <w:t xml:space="preserve"> / salmeterol</w:t>
            </w:r>
          </w:p>
        </w:tc>
        <w:tc>
          <w:tcPr>
            <w:tcW w:w="3805" w:type="dxa"/>
            <w:tcBorders>
              <w:top w:val="nil"/>
              <w:left w:val="nil"/>
              <w:bottom w:val="single" w:sz="8" w:space="0" w:color="auto"/>
              <w:right w:val="single" w:sz="8" w:space="0" w:color="auto"/>
            </w:tcBorders>
            <w:shd w:val="clear" w:color="auto" w:fill="auto"/>
            <w:vAlign w:val="center"/>
            <w:hideMark/>
          </w:tcPr>
          <w:p w14:paraId="079C4B8C"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32</w:t>
            </w:r>
          </w:p>
        </w:tc>
      </w:tr>
      <w:tr w:rsidR="00954773" w:rsidRPr="00C734C2" w14:paraId="5262C01A"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47E3D20D"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08519J</w:t>
            </w:r>
          </w:p>
        </w:tc>
        <w:tc>
          <w:tcPr>
            <w:tcW w:w="3402" w:type="dxa"/>
            <w:tcBorders>
              <w:top w:val="nil"/>
              <w:left w:val="nil"/>
              <w:bottom w:val="single" w:sz="8" w:space="0" w:color="auto"/>
              <w:right w:val="single" w:sz="8" w:space="0" w:color="auto"/>
            </w:tcBorders>
            <w:shd w:val="clear" w:color="auto" w:fill="auto"/>
            <w:vAlign w:val="center"/>
            <w:hideMark/>
          </w:tcPr>
          <w:p w14:paraId="09FE26E6" w14:textId="092BDC61" w:rsidR="00954773" w:rsidRPr="008D66C4" w:rsidRDefault="0026487B" w:rsidP="00A67954">
            <w:pPr>
              <w:keepNext/>
              <w:keepLines/>
              <w:rPr>
                <w:rFonts w:ascii="Arial Narrow" w:eastAsia="Times New Roman" w:hAnsi="Arial Narrow" w:cs="Arial"/>
                <w:sz w:val="21"/>
                <w:szCs w:val="21"/>
                <w:lang w:eastAsia="en-AU"/>
              </w:rPr>
            </w:pPr>
            <w:r>
              <w:rPr>
                <w:rFonts w:ascii="Arial Narrow" w:eastAsia="Times New Roman" w:hAnsi="Arial Narrow" w:cs="Arial"/>
                <w:sz w:val="21"/>
                <w:szCs w:val="21"/>
                <w:lang w:eastAsia="en-AU"/>
              </w:rPr>
              <w:t>f</w:t>
            </w:r>
            <w:r w:rsidR="00954773" w:rsidRPr="008D66C4">
              <w:rPr>
                <w:rFonts w:ascii="Arial Narrow" w:eastAsia="Times New Roman" w:hAnsi="Arial Narrow" w:cs="Arial"/>
                <w:sz w:val="21"/>
                <w:szCs w:val="21"/>
                <w:lang w:eastAsia="en-AU"/>
              </w:rPr>
              <w:t>luticasone</w:t>
            </w:r>
            <w:r w:rsidR="003B67B3">
              <w:rPr>
                <w:rFonts w:ascii="Arial Narrow" w:eastAsia="Times New Roman" w:hAnsi="Arial Narrow" w:cs="Arial"/>
                <w:sz w:val="21"/>
                <w:szCs w:val="21"/>
                <w:lang w:eastAsia="en-AU"/>
              </w:rPr>
              <w:t xml:space="preserve"> propionate</w:t>
            </w:r>
            <w:r w:rsidR="00954773" w:rsidRPr="008D66C4">
              <w:rPr>
                <w:rFonts w:ascii="Arial Narrow" w:eastAsia="Times New Roman" w:hAnsi="Arial Narrow" w:cs="Arial"/>
                <w:sz w:val="21"/>
                <w:szCs w:val="21"/>
                <w:lang w:eastAsia="en-AU"/>
              </w:rPr>
              <w:t xml:space="preserve"> / salmeterol</w:t>
            </w:r>
          </w:p>
        </w:tc>
        <w:tc>
          <w:tcPr>
            <w:tcW w:w="3805" w:type="dxa"/>
            <w:tcBorders>
              <w:top w:val="nil"/>
              <w:left w:val="nil"/>
              <w:bottom w:val="single" w:sz="8" w:space="0" w:color="auto"/>
              <w:right w:val="single" w:sz="8" w:space="0" w:color="auto"/>
            </w:tcBorders>
            <w:shd w:val="clear" w:color="auto" w:fill="auto"/>
            <w:vAlign w:val="center"/>
            <w:hideMark/>
          </w:tcPr>
          <w:p w14:paraId="762707CA"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36</w:t>
            </w:r>
          </w:p>
        </w:tc>
      </w:tr>
      <w:tr w:rsidR="00954773" w:rsidRPr="00C734C2" w14:paraId="63C02E2E"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317078B1"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08750M</w:t>
            </w:r>
          </w:p>
        </w:tc>
        <w:tc>
          <w:tcPr>
            <w:tcW w:w="3402" w:type="dxa"/>
            <w:tcBorders>
              <w:top w:val="nil"/>
              <w:left w:val="nil"/>
              <w:bottom w:val="single" w:sz="8" w:space="0" w:color="auto"/>
              <w:right w:val="single" w:sz="8" w:space="0" w:color="auto"/>
            </w:tcBorders>
            <w:shd w:val="clear" w:color="auto" w:fill="auto"/>
            <w:vAlign w:val="center"/>
            <w:hideMark/>
          </w:tcPr>
          <w:p w14:paraId="42D2F092"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 xml:space="preserve">budesonide / </w:t>
            </w:r>
            <w:proofErr w:type="spellStart"/>
            <w:r w:rsidRPr="008D66C4">
              <w:rPr>
                <w:rFonts w:ascii="Arial Narrow" w:eastAsia="Times New Roman" w:hAnsi="Arial Narrow" w:cs="Arial"/>
                <w:sz w:val="21"/>
                <w:szCs w:val="21"/>
                <w:lang w:eastAsia="en-AU"/>
              </w:rPr>
              <w:t>eformoterol</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3163FBD0"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42</w:t>
            </w:r>
          </w:p>
        </w:tc>
      </w:tr>
      <w:tr w:rsidR="00954773" w:rsidRPr="00C734C2" w14:paraId="278EB42A"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5EB88FD3"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10018G</w:t>
            </w:r>
          </w:p>
        </w:tc>
        <w:tc>
          <w:tcPr>
            <w:tcW w:w="3402" w:type="dxa"/>
            <w:tcBorders>
              <w:top w:val="nil"/>
              <w:left w:val="nil"/>
              <w:bottom w:val="single" w:sz="8" w:space="0" w:color="auto"/>
              <w:right w:val="single" w:sz="8" w:space="0" w:color="auto"/>
            </w:tcBorders>
            <w:shd w:val="clear" w:color="auto" w:fill="auto"/>
            <w:vAlign w:val="center"/>
            <w:hideMark/>
          </w:tcPr>
          <w:p w14:paraId="697267D1"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 xml:space="preserve">budesonide / </w:t>
            </w:r>
            <w:proofErr w:type="spellStart"/>
            <w:r w:rsidRPr="008D66C4">
              <w:rPr>
                <w:rFonts w:ascii="Arial Narrow" w:eastAsia="Times New Roman" w:hAnsi="Arial Narrow" w:cs="Arial"/>
                <w:sz w:val="21"/>
                <w:szCs w:val="21"/>
                <w:lang w:eastAsia="en-AU"/>
              </w:rPr>
              <w:t>eformoterol</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6505B8C8"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49</w:t>
            </w:r>
          </w:p>
        </w:tc>
      </w:tr>
      <w:tr w:rsidR="00954773" w:rsidRPr="00C734C2" w14:paraId="20D3200F"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8A26B21"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10199T</w:t>
            </w:r>
          </w:p>
        </w:tc>
        <w:tc>
          <w:tcPr>
            <w:tcW w:w="3402" w:type="dxa"/>
            <w:tcBorders>
              <w:top w:val="nil"/>
              <w:left w:val="nil"/>
              <w:bottom w:val="single" w:sz="8" w:space="0" w:color="auto"/>
              <w:right w:val="single" w:sz="8" w:space="0" w:color="auto"/>
            </w:tcBorders>
            <w:shd w:val="clear" w:color="auto" w:fill="auto"/>
            <w:vAlign w:val="center"/>
            <w:hideMark/>
          </w:tcPr>
          <w:p w14:paraId="79F4897B" w14:textId="29638DCB" w:rsidR="00954773" w:rsidRPr="008D66C4" w:rsidRDefault="0026487B" w:rsidP="00A67954">
            <w:pPr>
              <w:keepNext/>
              <w:keepLines/>
              <w:rPr>
                <w:rFonts w:ascii="Arial Narrow" w:eastAsia="Times New Roman" w:hAnsi="Arial Narrow" w:cs="Arial"/>
                <w:sz w:val="21"/>
                <w:szCs w:val="21"/>
                <w:lang w:eastAsia="en-AU"/>
              </w:rPr>
            </w:pPr>
            <w:r>
              <w:rPr>
                <w:rFonts w:ascii="Arial Narrow" w:eastAsia="Times New Roman" w:hAnsi="Arial Narrow" w:cs="Arial"/>
                <w:sz w:val="21"/>
                <w:szCs w:val="21"/>
                <w:lang w:eastAsia="en-AU"/>
              </w:rPr>
              <w:t>f</w:t>
            </w:r>
            <w:r w:rsidR="00954773" w:rsidRPr="008D66C4">
              <w:rPr>
                <w:rFonts w:ascii="Arial Narrow" w:eastAsia="Times New Roman" w:hAnsi="Arial Narrow" w:cs="Arial"/>
                <w:sz w:val="21"/>
                <w:szCs w:val="21"/>
                <w:lang w:eastAsia="en-AU"/>
              </w:rPr>
              <w:t>luticasone</w:t>
            </w:r>
            <w:r w:rsidR="003B67B3">
              <w:rPr>
                <w:rFonts w:ascii="Arial Narrow" w:eastAsia="Times New Roman" w:hAnsi="Arial Narrow" w:cs="Arial"/>
                <w:sz w:val="21"/>
                <w:szCs w:val="21"/>
                <w:lang w:eastAsia="en-AU"/>
              </w:rPr>
              <w:t xml:space="preserve"> </w:t>
            </w:r>
            <w:proofErr w:type="spellStart"/>
            <w:r w:rsidR="003B67B3">
              <w:rPr>
                <w:rFonts w:ascii="Arial Narrow" w:eastAsia="Times New Roman" w:hAnsi="Arial Narrow" w:cs="Arial"/>
                <w:sz w:val="21"/>
                <w:szCs w:val="21"/>
                <w:lang w:eastAsia="en-AU"/>
              </w:rPr>
              <w:t>furoate</w:t>
            </w:r>
            <w:proofErr w:type="spellEnd"/>
            <w:r w:rsidR="00954773" w:rsidRPr="008D66C4">
              <w:rPr>
                <w:rFonts w:ascii="Arial Narrow" w:eastAsia="Times New Roman" w:hAnsi="Arial Narrow" w:cs="Arial"/>
                <w:sz w:val="21"/>
                <w:szCs w:val="21"/>
                <w:lang w:eastAsia="en-AU"/>
              </w:rPr>
              <w:t xml:space="preserve"> / </w:t>
            </w:r>
            <w:proofErr w:type="spellStart"/>
            <w:r w:rsidR="00954773" w:rsidRPr="008D66C4">
              <w:rPr>
                <w:rFonts w:ascii="Arial Narrow" w:eastAsia="Times New Roman" w:hAnsi="Arial Narrow" w:cs="Arial"/>
                <w:sz w:val="21"/>
                <w:szCs w:val="21"/>
                <w:lang w:eastAsia="en-AU"/>
              </w:rPr>
              <w:t>vilanterol</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354B323D"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31</w:t>
            </w:r>
          </w:p>
        </w:tc>
      </w:tr>
      <w:tr w:rsidR="00954773" w:rsidRPr="00C734C2" w14:paraId="2336C996" w14:textId="77777777" w:rsidTr="00714C0B">
        <w:trPr>
          <w:trHeight w:val="85"/>
        </w:trPr>
        <w:tc>
          <w:tcPr>
            <w:tcW w:w="2127" w:type="dxa"/>
            <w:tcBorders>
              <w:top w:val="nil"/>
              <w:left w:val="single" w:sz="8" w:space="0" w:color="auto"/>
              <w:bottom w:val="single" w:sz="8" w:space="0" w:color="auto"/>
              <w:right w:val="single" w:sz="8" w:space="0" w:color="auto"/>
            </w:tcBorders>
            <w:shd w:val="clear" w:color="000000" w:fill="D9D9D9"/>
            <w:vAlign w:val="center"/>
            <w:hideMark/>
          </w:tcPr>
          <w:p w14:paraId="5E81A761" w14:textId="77777777" w:rsidR="00954773" w:rsidRPr="008D66C4" w:rsidRDefault="00954773" w:rsidP="00A67954">
            <w:pPr>
              <w:keepNext/>
              <w:keepLines/>
              <w:rPr>
                <w:rFonts w:ascii="Arial Narrow" w:eastAsia="Times New Roman" w:hAnsi="Arial Narrow" w:cs="Arial"/>
                <w:b/>
                <w:bCs/>
                <w:i/>
                <w:iCs/>
                <w:sz w:val="21"/>
                <w:szCs w:val="21"/>
                <w:lang w:eastAsia="en-AU"/>
              </w:rPr>
            </w:pPr>
            <w:r w:rsidRPr="008D66C4">
              <w:rPr>
                <w:rFonts w:ascii="Arial Narrow" w:eastAsia="Times New Roman" w:hAnsi="Arial Narrow" w:cs="Arial"/>
                <w:b/>
                <w:bCs/>
                <w:i/>
                <w:iCs/>
                <w:sz w:val="21"/>
                <w:szCs w:val="21"/>
                <w:lang w:eastAsia="en-AU"/>
              </w:rPr>
              <w:t> </w:t>
            </w:r>
          </w:p>
        </w:tc>
        <w:tc>
          <w:tcPr>
            <w:tcW w:w="3402" w:type="dxa"/>
            <w:tcBorders>
              <w:top w:val="nil"/>
              <w:left w:val="nil"/>
              <w:bottom w:val="single" w:sz="8" w:space="0" w:color="auto"/>
              <w:right w:val="single" w:sz="8" w:space="0" w:color="auto"/>
            </w:tcBorders>
            <w:shd w:val="clear" w:color="000000" w:fill="D9D9D9"/>
            <w:vAlign w:val="center"/>
            <w:hideMark/>
          </w:tcPr>
          <w:p w14:paraId="2EFF1C77" w14:textId="77777777" w:rsidR="00954773" w:rsidRPr="008D66C4" w:rsidRDefault="00954773" w:rsidP="00A67954">
            <w:pPr>
              <w:keepNext/>
              <w:keepLines/>
              <w:rPr>
                <w:rFonts w:ascii="Arial Narrow" w:eastAsia="Times New Roman" w:hAnsi="Arial Narrow" w:cs="Arial"/>
                <w:b/>
                <w:bCs/>
                <w:i/>
                <w:iCs/>
                <w:sz w:val="21"/>
                <w:szCs w:val="21"/>
                <w:lang w:eastAsia="en-AU"/>
              </w:rPr>
            </w:pPr>
            <w:r w:rsidRPr="008D66C4">
              <w:rPr>
                <w:rFonts w:ascii="Arial Narrow" w:eastAsia="Times New Roman" w:hAnsi="Arial Narrow" w:cs="Arial"/>
                <w:b/>
                <w:bCs/>
                <w:i/>
                <w:iCs/>
                <w:sz w:val="21"/>
                <w:szCs w:val="21"/>
                <w:lang w:eastAsia="en-AU"/>
              </w:rPr>
              <w:t xml:space="preserve">ICS/LABA </w:t>
            </w:r>
            <w:proofErr w:type="spellStart"/>
            <w:r w:rsidRPr="008D66C4">
              <w:rPr>
                <w:rFonts w:ascii="Arial Narrow" w:eastAsia="Times New Roman" w:hAnsi="Arial Narrow" w:cs="Arial"/>
                <w:b/>
                <w:bCs/>
                <w:i/>
                <w:iCs/>
                <w:sz w:val="21"/>
                <w:szCs w:val="21"/>
                <w:lang w:eastAsia="en-AU"/>
              </w:rPr>
              <w:t>Total</w:t>
            </w:r>
            <w:r w:rsidRPr="008D66C4">
              <w:rPr>
                <w:rFonts w:ascii="Arial Narrow" w:eastAsia="Times New Roman" w:hAnsi="Arial Narrow" w:cs="Arial"/>
                <w:b/>
                <w:bCs/>
                <w:i/>
                <w:iCs/>
                <w:sz w:val="21"/>
                <w:szCs w:val="21"/>
                <w:vertAlign w:val="superscript"/>
                <w:lang w:eastAsia="en-AU"/>
              </w:rPr>
              <w:t>a</w:t>
            </w:r>
            <w:proofErr w:type="spellEnd"/>
          </w:p>
        </w:tc>
        <w:tc>
          <w:tcPr>
            <w:tcW w:w="3805" w:type="dxa"/>
            <w:tcBorders>
              <w:top w:val="nil"/>
              <w:left w:val="nil"/>
              <w:bottom w:val="single" w:sz="8" w:space="0" w:color="auto"/>
              <w:right w:val="single" w:sz="8" w:space="0" w:color="auto"/>
            </w:tcBorders>
            <w:shd w:val="clear" w:color="000000" w:fill="D9D9D9"/>
            <w:vAlign w:val="center"/>
            <w:hideMark/>
          </w:tcPr>
          <w:p w14:paraId="0BF3CE1C" w14:textId="77777777" w:rsidR="00954773" w:rsidRPr="008D66C4" w:rsidRDefault="00954773" w:rsidP="00A67954">
            <w:pPr>
              <w:keepNext/>
              <w:keepLines/>
              <w:jc w:val="center"/>
              <w:rPr>
                <w:rFonts w:ascii="Arial Narrow" w:eastAsia="Times New Roman" w:hAnsi="Arial Narrow" w:cs="Tahoma"/>
                <w:b/>
                <w:bCs/>
                <w:color w:val="000000"/>
                <w:sz w:val="21"/>
                <w:szCs w:val="21"/>
                <w:lang w:eastAsia="en-AU"/>
              </w:rPr>
            </w:pPr>
            <w:r w:rsidRPr="008D66C4">
              <w:rPr>
                <w:rFonts w:ascii="Arial Narrow" w:eastAsia="Times New Roman" w:hAnsi="Arial Narrow" w:cs="Tahoma"/>
                <w:b/>
                <w:bCs/>
                <w:color w:val="000000"/>
                <w:sz w:val="21"/>
                <w:szCs w:val="21"/>
                <w:lang w:eastAsia="en-AU"/>
              </w:rPr>
              <w:t>35</w:t>
            </w:r>
          </w:p>
        </w:tc>
      </w:tr>
      <w:tr w:rsidR="00954773" w:rsidRPr="00C734C2" w14:paraId="0E1FC5DC"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07E048ED"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05134F</w:t>
            </w:r>
          </w:p>
        </w:tc>
        <w:tc>
          <w:tcPr>
            <w:tcW w:w="3402" w:type="dxa"/>
            <w:tcBorders>
              <w:top w:val="nil"/>
              <w:left w:val="nil"/>
              <w:bottom w:val="single" w:sz="8" w:space="0" w:color="auto"/>
              <w:right w:val="single" w:sz="8" w:space="0" w:color="auto"/>
            </w:tcBorders>
            <w:shd w:val="clear" w:color="auto" w:fill="auto"/>
            <w:vAlign w:val="center"/>
            <w:hideMark/>
          </w:tcPr>
          <w:p w14:paraId="425A5FE0" w14:textId="7B83C234" w:rsidR="00954773" w:rsidRPr="008D66C4" w:rsidRDefault="0026487B" w:rsidP="00A67954">
            <w:pPr>
              <w:keepNext/>
              <w:keepLines/>
              <w:rPr>
                <w:rFonts w:ascii="Arial Narrow" w:eastAsia="Times New Roman" w:hAnsi="Arial Narrow" w:cs="Arial"/>
                <w:sz w:val="21"/>
                <w:szCs w:val="21"/>
                <w:lang w:eastAsia="en-AU"/>
              </w:rPr>
            </w:pPr>
            <w:proofErr w:type="spellStart"/>
            <w:r>
              <w:rPr>
                <w:rFonts w:ascii="Arial Narrow" w:eastAsia="Times New Roman" w:hAnsi="Arial Narrow" w:cs="Arial"/>
                <w:sz w:val="21"/>
                <w:szCs w:val="21"/>
                <w:lang w:eastAsia="en-AU"/>
              </w:rPr>
              <w:t>i</w:t>
            </w:r>
            <w:r w:rsidR="00954773" w:rsidRPr="008D66C4">
              <w:rPr>
                <w:rFonts w:ascii="Arial Narrow" w:eastAsia="Times New Roman" w:hAnsi="Arial Narrow" w:cs="Arial"/>
                <w:sz w:val="21"/>
                <w:szCs w:val="21"/>
                <w:lang w:eastAsia="en-AU"/>
              </w:rPr>
              <w:t>ndacaterol</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201CDB8F"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31</w:t>
            </w:r>
          </w:p>
        </w:tc>
      </w:tr>
      <w:tr w:rsidR="00954773" w:rsidRPr="00C734C2" w14:paraId="4C02AE17"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73F63248"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05137J</w:t>
            </w:r>
          </w:p>
        </w:tc>
        <w:tc>
          <w:tcPr>
            <w:tcW w:w="3402" w:type="dxa"/>
            <w:tcBorders>
              <w:top w:val="nil"/>
              <w:left w:val="nil"/>
              <w:bottom w:val="single" w:sz="8" w:space="0" w:color="auto"/>
              <w:right w:val="single" w:sz="8" w:space="0" w:color="auto"/>
            </w:tcBorders>
            <w:shd w:val="clear" w:color="auto" w:fill="auto"/>
            <w:vAlign w:val="center"/>
            <w:hideMark/>
          </w:tcPr>
          <w:p w14:paraId="46F3D82F" w14:textId="5CA1F5C5" w:rsidR="00954773" w:rsidRPr="008D66C4" w:rsidRDefault="0026487B" w:rsidP="00A67954">
            <w:pPr>
              <w:keepNext/>
              <w:keepLines/>
              <w:rPr>
                <w:rFonts w:ascii="Arial Narrow" w:eastAsia="Times New Roman" w:hAnsi="Arial Narrow" w:cs="Arial"/>
                <w:sz w:val="21"/>
                <w:szCs w:val="21"/>
                <w:lang w:eastAsia="en-AU"/>
              </w:rPr>
            </w:pPr>
            <w:proofErr w:type="spellStart"/>
            <w:r>
              <w:rPr>
                <w:rFonts w:ascii="Arial Narrow" w:eastAsia="Times New Roman" w:hAnsi="Arial Narrow" w:cs="Arial"/>
                <w:sz w:val="21"/>
                <w:szCs w:val="21"/>
                <w:lang w:eastAsia="en-AU"/>
              </w:rPr>
              <w:t>i</w:t>
            </w:r>
            <w:r w:rsidR="00954773" w:rsidRPr="008D66C4">
              <w:rPr>
                <w:rFonts w:ascii="Arial Narrow" w:eastAsia="Times New Roman" w:hAnsi="Arial Narrow" w:cs="Arial"/>
                <w:sz w:val="21"/>
                <w:szCs w:val="21"/>
                <w:lang w:eastAsia="en-AU"/>
              </w:rPr>
              <w:t>ndacaterol</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13B96FCC"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31</w:t>
            </w:r>
          </w:p>
        </w:tc>
      </w:tr>
      <w:tr w:rsidR="00954773" w:rsidRPr="00C734C2" w14:paraId="15E8AE10" w14:textId="77777777" w:rsidTr="00714C0B">
        <w:trPr>
          <w:trHeight w:val="85"/>
        </w:trPr>
        <w:tc>
          <w:tcPr>
            <w:tcW w:w="2127" w:type="dxa"/>
            <w:tcBorders>
              <w:top w:val="nil"/>
              <w:left w:val="single" w:sz="8" w:space="0" w:color="auto"/>
              <w:bottom w:val="single" w:sz="8" w:space="0" w:color="auto"/>
              <w:right w:val="single" w:sz="8" w:space="0" w:color="auto"/>
            </w:tcBorders>
            <w:shd w:val="clear" w:color="000000" w:fill="D9D9D9"/>
            <w:vAlign w:val="center"/>
            <w:hideMark/>
          </w:tcPr>
          <w:p w14:paraId="1DDD7F0D" w14:textId="77777777" w:rsidR="00954773" w:rsidRPr="008D66C4" w:rsidRDefault="00954773" w:rsidP="00A67954">
            <w:pPr>
              <w:keepNext/>
              <w:keepLines/>
              <w:rPr>
                <w:rFonts w:ascii="Arial Narrow" w:eastAsia="Times New Roman" w:hAnsi="Arial Narrow" w:cs="Arial"/>
                <w:b/>
                <w:bCs/>
                <w:i/>
                <w:iCs/>
                <w:sz w:val="21"/>
                <w:szCs w:val="21"/>
                <w:lang w:eastAsia="en-AU"/>
              </w:rPr>
            </w:pPr>
            <w:r w:rsidRPr="008D66C4">
              <w:rPr>
                <w:rFonts w:ascii="Arial Narrow" w:eastAsia="Times New Roman" w:hAnsi="Arial Narrow" w:cs="Arial"/>
                <w:b/>
                <w:bCs/>
                <w:i/>
                <w:iCs/>
                <w:sz w:val="21"/>
                <w:szCs w:val="21"/>
                <w:lang w:eastAsia="en-AU"/>
              </w:rPr>
              <w:t> </w:t>
            </w:r>
          </w:p>
        </w:tc>
        <w:tc>
          <w:tcPr>
            <w:tcW w:w="3402" w:type="dxa"/>
            <w:tcBorders>
              <w:top w:val="nil"/>
              <w:left w:val="nil"/>
              <w:bottom w:val="single" w:sz="8" w:space="0" w:color="auto"/>
              <w:right w:val="single" w:sz="8" w:space="0" w:color="auto"/>
            </w:tcBorders>
            <w:shd w:val="clear" w:color="000000" w:fill="D9D9D9"/>
            <w:vAlign w:val="center"/>
            <w:hideMark/>
          </w:tcPr>
          <w:p w14:paraId="555FCF44" w14:textId="77777777" w:rsidR="00954773" w:rsidRPr="008D66C4" w:rsidRDefault="00954773" w:rsidP="00A67954">
            <w:pPr>
              <w:keepNext/>
              <w:keepLines/>
              <w:rPr>
                <w:rFonts w:ascii="Arial Narrow" w:eastAsia="Times New Roman" w:hAnsi="Arial Narrow" w:cs="Arial"/>
                <w:b/>
                <w:bCs/>
                <w:i/>
                <w:iCs/>
                <w:sz w:val="21"/>
                <w:szCs w:val="21"/>
                <w:lang w:eastAsia="en-AU"/>
              </w:rPr>
            </w:pPr>
            <w:r w:rsidRPr="008D66C4">
              <w:rPr>
                <w:rFonts w:ascii="Arial Narrow" w:eastAsia="Times New Roman" w:hAnsi="Arial Narrow" w:cs="Arial"/>
                <w:b/>
                <w:bCs/>
                <w:i/>
                <w:iCs/>
                <w:sz w:val="21"/>
                <w:szCs w:val="21"/>
                <w:lang w:eastAsia="en-AU"/>
              </w:rPr>
              <w:t>LABA Total</w:t>
            </w:r>
          </w:p>
        </w:tc>
        <w:tc>
          <w:tcPr>
            <w:tcW w:w="3805" w:type="dxa"/>
            <w:tcBorders>
              <w:top w:val="nil"/>
              <w:left w:val="nil"/>
              <w:bottom w:val="single" w:sz="8" w:space="0" w:color="auto"/>
              <w:right w:val="single" w:sz="8" w:space="0" w:color="auto"/>
            </w:tcBorders>
            <w:shd w:val="clear" w:color="000000" w:fill="D9D9D9"/>
            <w:vAlign w:val="center"/>
            <w:hideMark/>
          </w:tcPr>
          <w:p w14:paraId="579F50B9" w14:textId="77777777" w:rsidR="00954773" w:rsidRPr="008D66C4" w:rsidRDefault="00954773" w:rsidP="00A67954">
            <w:pPr>
              <w:keepNext/>
              <w:keepLines/>
              <w:jc w:val="center"/>
              <w:rPr>
                <w:rFonts w:ascii="Arial Narrow" w:eastAsia="Times New Roman" w:hAnsi="Arial Narrow" w:cs="Tahoma"/>
                <w:b/>
                <w:bCs/>
                <w:color w:val="000000"/>
                <w:sz w:val="21"/>
                <w:szCs w:val="21"/>
                <w:lang w:eastAsia="en-AU"/>
              </w:rPr>
            </w:pPr>
            <w:r w:rsidRPr="008D66C4">
              <w:rPr>
                <w:rFonts w:ascii="Arial Narrow" w:eastAsia="Times New Roman" w:hAnsi="Arial Narrow" w:cs="Tahoma"/>
                <w:b/>
                <w:bCs/>
                <w:color w:val="000000"/>
                <w:sz w:val="21"/>
                <w:szCs w:val="21"/>
                <w:lang w:eastAsia="en-AU"/>
              </w:rPr>
              <w:t>31</w:t>
            </w:r>
          </w:p>
        </w:tc>
      </w:tr>
      <w:tr w:rsidR="00954773" w:rsidRPr="00C734C2" w14:paraId="72B6EACF"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A6A6206"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10156M</w:t>
            </w:r>
          </w:p>
        </w:tc>
        <w:tc>
          <w:tcPr>
            <w:tcW w:w="3402" w:type="dxa"/>
            <w:tcBorders>
              <w:top w:val="nil"/>
              <w:left w:val="nil"/>
              <w:bottom w:val="single" w:sz="8" w:space="0" w:color="auto"/>
              <w:right w:val="single" w:sz="8" w:space="0" w:color="auto"/>
            </w:tcBorders>
            <w:shd w:val="clear" w:color="auto" w:fill="auto"/>
            <w:vAlign w:val="center"/>
            <w:hideMark/>
          </w:tcPr>
          <w:p w14:paraId="7E3F3B38" w14:textId="77777777" w:rsidR="00954773" w:rsidRPr="008D66C4" w:rsidRDefault="00954773" w:rsidP="00A67954">
            <w:pPr>
              <w:keepNext/>
              <w:keepLines/>
              <w:rPr>
                <w:rFonts w:ascii="Arial Narrow" w:eastAsia="Times New Roman" w:hAnsi="Arial Narrow" w:cs="Arial"/>
                <w:sz w:val="21"/>
                <w:szCs w:val="21"/>
                <w:lang w:eastAsia="en-AU"/>
              </w:rPr>
            </w:pPr>
            <w:proofErr w:type="spellStart"/>
            <w:r w:rsidRPr="008D66C4">
              <w:rPr>
                <w:rFonts w:ascii="Arial Narrow" w:eastAsia="Times New Roman" w:hAnsi="Arial Narrow" w:cs="Arial"/>
                <w:sz w:val="21"/>
                <w:szCs w:val="21"/>
                <w:lang w:eastAsia="en-AU"/>
              </w:rPr>
              <w:t>indacaterol</w:t>
            </w:r>
            <w:proofErr w:type="spellEnd"/>
            <w:r w:rsidRPr="008D66C4">
              <w:rPr>
                <w:rFonts w:ascii="Arial Narrow" w:eastAsia="Times New Roman" w:hAnsi="Arial Narrow" w:cs="Arial"/>
                <w:sz w:val="21"/>
                <w:szCs w:val="21"/>
                <w:lang w:eastAsia="en-AU"/>
              </w:rPr>
              <w:t xml:space="preserve"> / </w:t>
            </w:r>
            <w:proofErr w:type="spellStart"/>
            <w:r w:rsidRPr="008D66C4">
              <w:rPr>
                <w:rFonts w:ascii="Arial Narrow" w:eastAsia="Times New Roman" w:hAnsi="Arial Narrow" w:cs="Arial"/>
                <w:sz w:val="21"/>
                <w:szCs w:val="21"/>
                <w:lang w:eastAsia="en-AU"/>
              </w:rPr>
              <w:t>glycopyrronium</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5ACFD8A4"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31</w:t>
            </w:r>
          </w:p>
        </w:tc>
      </w:tr>
      <w:tr w:rsidR="00954773" w:rsidRPr="00C734C2" w14:paraId="029FEE47"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6E5B023B"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10188F</w:t>
            </w:r>
          </w:p>
        </w:tc>
        <w:tc>
          <w:tcPr>
            <w:tcW w:w="3402" w:type="dxa"/>
            <w:tcBorders>
              <w:top w:val="nil"/>
              <w:left w:val="nil"/>
              <w:bottom w:val="single" w:sz="8" w:space="0" w:color="auto"/>
              <w:right w:val="single" w:sz="8" w:space="0" w:color="auto"/>
            </w:tcBorders>
            <w:shd w:val="clear" w:color="auto" w:fill="auto"/>
            <w:vAlign w:val="center"/>
            <w:hideMark/>
          </w:tcPr>
          <w:p w14:paraId="3471752A" w14:textId="77777777" w:rsidR="00954773" w:rsidRPr="008D66C4" w:rsidRDefault="00954773" w:rsidP="00A67954">
            <w:pPr>
              <w:keepNext/>
              <w:keepLines/>
              <w:rPr>
                <w:rFonts w:ascii="Arial Narrow" w:eastAsia="Times New Roman" w:hAnsi="Arial Narrow" w:cs="Arial"/>
                <w:sz w:val="21"/>
                <w:szCs w:val="21"/>
                <w:lang w:eastAsia="en-AU"/>
              </w:rPr>
            </w:pPr>
            <w:proofErr w:type="spellStart"/>
            <w:r w:rsidRPr="008D66C4">
              <w:rPr>
                <w:rFonts w:ascii="Arial Narrow" w:eastAsia="Times New Roman" w:hAnsi="Arial Narrow" w:cs="Arial"/>
                <w:sz w:val="21"/>
                <w:szCs w:val="21"/>
                <w:lang w:eastAsia="en-AU"/>
              </w:rPr>
              <w:t>umeclidinium</w:t>
            </w:r>
            <w:proofErr w:type="spellEnd"/>
            <w:r w:rsidRPr="008D66C4">
              <w:rPr>
                <w:rFonts w:ascii="Arial Narrow" w:eastAsia="Times New Roman" w:hAnsi="Arial Narrow" w:cs="Arial"/>
                <w:sz w:val="21"/>
                <w:szCs w:val="21"/>
                <w:lang w:eastAsia="en-AU"/>
              </w:rPr>
              <w:t xml:space="preserve"> / </w:t>
            </w:r>
            <w:proofErr w:type="spellStart"/>
            <w:r w:rsidRPr="008D66C4">
              <w:rPr>
                <w:rFonts w:ascii="Arial Narrow" w:eastAsia="Times New Roman" w:hAnsi="Arial Narrow" w:cs="Arial"/>
                <w:sz w:val="21"/>
                <w:szCs w:val="21"/>
                <w:lang w:eastAsia="en-AU"/>
              </w:rPr>
              <w:t>vilanterol</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7FA89D1A"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31</w:t>
            </w:r>
          </w:p>
        </w:tc>
      </w:tr>
      <w:tr w:rsidR="00954773" w:rsidRPr="00C734C2" w14:paraId="3E91D214"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4C84C8C6"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10557P</w:t>
            </w:r>
          </w:p>
        </w:tc>
        <w:tc>
          <w:tcPr>
            <w:tcW w:w="3402" w:type="dxa"/>
            <w:tcBorders>
              <w:top w:val="nil"/>
              <w:left w:val="nil"/>
              <w:bottom w:val="single" w:sz="8" w:space="0" w:color="auto"/>
              <w:right w:val="single" w:sz="8" w:space="0" w:color="auto"/>
            </w:tcBorders>
            <w:shd w:val="clear" w:color="auto" w:fill="auto"/>
            <w:vAlign w:val="center"/>
            <w:hideMark/>
          </w:tcPr>
          <w:p w14:paraId="1D172981"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 xml:space="preserve">tiotropium / </w:t>
            </w:r>
            <w:proofErr w:type="spellStart"/>
            <w:r w:rsidRPr="008D66C4">
              <w:rPr>
                <w:rFonts w:ascii="Arial Narrow" w:eastAsia="Times New Roman" w:hAnsi="Arial Narrow" w:cs="Arial"/>
                <w:sz w:val="21"/>
                <w:szCs w:val="21"/>
                <w:lang w:eastAsia="en-AU"/>
              </w:rPr>
              <w:t>olodaterol</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1C9FEE9E"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30</w:t>
            </w:r>
          </w:p>
        </w:tc>
      </w:tr>
      <w:tr w:rsidR="00954773" w:rsidRPr="00C734C2" w14:paraId="06A5E3D5"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7B352952"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10565C</w:t>
            </w:r>
          </w:p>
        </w:tc>
        <w:tc>
          <w:tcPr>
            <w:tcW w:w="3402" w:type="dxa"/>
            <w:tcBorders>
              <w:top w:val="nil"/>
              <w:left w:val="nil"/>
              <w:bottom w:val="single" w:sz="8" w:space="0" w:color="auto"/>
              <w:right w:val="single" w:sz="8" w:space="0" w:color="auto"/>
            </w:tcBorders>
            <w:shd w:val="clear" w:color="auto" w:fill="auto"/>
            <w:vAlign w:val="center"/>
            <w:hideMark/>
          </w:tcPr>
          <w:p w14:paraId="417F29BF" w14:textId="77777777" w:rsidR="00954773" w:rsidRPr="008D66C4" w:rsidRDefault="00954773" w:rsidP="00A67954">
            <w:pPr>
              <w:keepNext/>
              <w:keepLines/>
              <w:rPr>
                <w:rFonts w:ascii="Arial Narrow" w:eastAsia="Times New Roman" w:hAnsi="Arial Narrow" w:cs="Arial"/>
                <w:sz w:val="21"/>
                <w:szCs w:val="21"/>
                <w:lang w:eastAsia="en-AU"/>
              </w:rPr>
            </w:pPr>
            <w:proofErr w:type="spellStart"/>
            <w:r w:rsidRPr="008D66C4">
              <w:rPr>
                <w:rFonts w:ascii="Arial Narrow" w:eastAsia="Times New Roman" w:hAnsi="Arial Narrow" w:cs="Arial"/>
                <w:sz w:val="21"/>
                <w:szCs w:val="21"/>
                <w:lang w:eastAsia="en-AU"/>
              </w:rPr>
              <w:t>aclidinium</w:t>
            </w:r>
            <w:proofErr w:type="spellEnd"/>
            <w:r w:rsidRPr="008D66C4">
              <w:rPr>
                <w:rFonts w:ascii="Arial Narrow" w:eastAsia="Times New Roman" w:hAnsi="Arial Narrow" w:cs="Arial"/>
                <w:sz w:val="21"/>
                <w:szCs w:val="21"/>
                <w:lang w:eastAsia="en-AU"/>
              </w:rPr>
              <w:t xml:space="preserve"> / </w:t>
            </w:r>
            <w:proofErr w:type="spellStart"/>
            <w:r w:rsidRPr="008D66C4">
              <w:rPr>
                <w:rFonts w:ascii="Arial Narrow" w:eastAsia="Times New Roman" w:hAnsi="Arial Narrow" w:cs="Arial"/>
                <w:sz w:val="21"/>
                <w:szCs w:val="21"/>
                <w:lang w:eastAsia="en-AU"/>
              </w:rPr>
              <w:t>eformoterol</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46716113"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33</w:t>
            </w:r>
          </w:p>
        </w:tc>
      </w:tr>
      <w:tr w:rsidR="00954773" w:rsidRPr="00C734C2" w14:paraId="5A1CB725" w14:textId="77777777" w:rsidTr="00714C0B">
        <w:trPr>
          <w:trHeight w:val="85"/>
        </w:trPr>
        <w:tc>
          <w:tcPr>
            <w:tcW w:w="2127" w:type="dxa"/>
            <w:tcBorders>
              <w:top w:val="nil"/>
              <w:left w:val="single" w:sz="8" w:space="0" w:color="auto"/>
              <w:bottom w:val="single" w:sz="8" w:space="0" w:color="auto"/>
              <w:right w:val="single" w:sz="8" w:space="0" w:color="auto"/>
            </w:tcBorders>
            <w:shd w:val="clear" w:color="000000" w:fill="D9D9D9"/>
            <w:vAlign w:val="center"/>
            <w:hideMark/>
          </w:tcPr>
          <w:p w14:paraId="25221243" w14:textId="77777777" w:rsidR="00954773" w:rsidRPr="008D66C4" w:rsidRDefault="00954773" w:rsidP="00A67954">
            <w:pPr>
              <w:keepNext/>
              <w:keepLines/>
              <w:rPr>
                <w:rFonts w:ascii="Arial Narrow" w:eastAsia="Times New Roman" w:hAnsi="Arial Narrow" w:cs="Arial"/>
                <w:b/>
                <w:bCs/>
                <w:i/>
                <w:iCs/>
                <w:sz w:val="21"/>
                <w:szCs w:val="21"/>
                <w:lang w:eastAsia="en-AU"/>
              </w:rPr>
            </w:pPr>
            <w:r w:rsidRPr="008D66C4">
              <w:rPr>
                <w:rFonts w:ascii="Arial Narrow" w:eastAsia="Times New Roman" w:hAnsi="Arial Narrow" w:cs="Arial"/>
                <w:b/>
                <w:bCs/>
                <w:i/>
                <w:iCs/>
                <w:sz w:val="21"/>
                <w:szCs w:val="21"/>
                <w:lang w:eastAsia="en-AU"/>
              </w:rPr>
              <w:t> </w:t>
            </w:r>
          </w:p>
        </w:tc>
        <w:tc>
          <w:tcPr>
            <w:tcW w:w="3402" w:type="dxa"/>
            <w:tcBorders>
              <w:top w:val="nil"/>
              <w:left w:val="nil"/>
              <w:bottom w:val="single" w:sz="8" w:space="0" w:color="auto"/>
              <w:right w:val="single" w:sz="8" w:space="0" w:color="auto"/>
            </w:tcBorders>
            <w:shd w:val="clear" w:color="000000" w:fill="D9D9D9"/>
            <w:vAlign w:val="center"/>
            <w:hideMark/>
          </w:tcPr>
          <w:p w14:paraId="27234A71" w14:textId="77777777" w:rsidR="00954773" w:rsidRPr="008D66C4" w:rsidRDefault="00954773" w:rsidP="00A67954">
            <w:pPr>
              <w:keepNext/>
              <w:keepLines/>
              <w:rPr>
                <w:rFonts w:ascii="Arial Narrow" w:eastAsia="Times New Roman" w:hAnsi="Arial Narrow" w:cs="Arial"/>
                <w:b/>
                <w:bCs/>
                <w:i/>
                <w:iCs/>
                <w:sz w:val="21"/>
                <w:szCs w:val="21"/>
                <w:lang w:eastAsia="en-AU"/>
              </w:rPr>
            </w:pPr>
            <w:r w:rsidRPr="008D66C4">
              <w:rPr>
                <w:rFonts w:ascii="Arial Narrow" w:eastAsia="Times New Roman" w:hAnsi="Arial Narrow" w:cs="Arial"/>
                <w:b/>
                <w:bCs/>
                <w:i/>
                <w:iCs/>
                <w:sz w:val="21"/>
                <w:szCs w:val="21"/>
                <w:lang w:eastAsia="en-AU"/>
              </w:rPr>
              <w:t>LABA/LAMA Total</w:t>
            </w:r>
          </w:p>
        </w:tc>
        <w:tc>
          <w:tcPr>
            <w:tcW w:w="3805" w:type="dxa"/>
            <w:tcBorders>
              <w:top w:val="nil"/>
              <w:left w:val="nil"/>
              <w:bottom w:val="single" w:sz="8" w:space="0" w:color="auto"/>
              <w:right w:val="single" w:sz="8" w:space="0" w:color="auto"/>
            </w:tcBorders>
            <w:shd w:val="clear" w:color="000000" w:fill="D9D9D9"/>
            <w:vAlign w:val="center"/>
            <w:hideMark/>
          </w:tcPr>
          <w:p w14:paraId="0FEB8A13" w14:textId="77777777" w:rsidR="00954773" w:rsidRPr="008D66C4" w:rsidRDefault="00954773" w:rsidP="00A67954">
            <w:pPr>
              <w:keepNext/>
              <w:keepLines/>
              <w:jc w:val="center"/>
              <w:rPr>
                <w:rFonts w:ascii="Arial Narrow" w:eastAsia="Times New Roman" w:hAnsi="Arial Narrow" w:cs="Tahoma"/>
                <w:b/>
                <w:bCs/>
                <w:color w:val="000000"/>
                <w:sz w:val="21"/>
                <w:szCs w:val="21"/>
                <w:lang w:eastAsia="en-AU"/>
              </w:rPr>
            </w:pPr>
            <w:r w:rsidRPr="008D66C4">
              <w:rPr>
                <w:rFonts w:ascii="Arial Narrow" w:eastAsia="Times New Roman" w:hAnsi="Arial Narrow" w:cs="Tahoma"/>
                <w:b/>
                <w:bCs/>
                <w:color w:val="000000"/>
                <w:sz w:val="21"/>
                <w:szCs w:val="21"/>
                <w:lang w:eastAsia="en-AU"/>
              </w:rPr>
              <w:t>31</w:t>
            </w:r>
          </w:p>
        </w:tc>
      </w:tr>
      <w:tr w:rsidR="00954773" w:rsidRPr="00C734C2" w14:paraId="580A2110"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AAAE1C8"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08626B</w:t>
            </w:r>
          </w:p>
        </w:tc>
        <w:tc>
          <w:tcPr>
            <w:tcW w:w="3402" w:type="dxa"/>
            <w:tcBorders>
              <w:top w:val="nil"/>
              <w:left w:val="nil"/>
              <w:bottom w:val="single" w:sz="8" w:space="0" w:color="auto"/>
              <w:right w:val="single" w:sz="8" w:space="0" w:color="auto"/>
            </w:tcBorders>
            <w:shd w:val="clear" w:color="auto" w:fill="auto"/>
            <w:vAlign w:val="center"/>
            <w:hideMark/>
          </w:tcPr>
          <w:p w14:paraId="28A4793E" w14:textId="4BAC32DC" w:rsidR="00954773" w:rsidRPr="008D66C4" w:rsidRDefault="0026487B" w:rsidP="00A67954">
            <w:pPr>
              <w:keepNext/>
              <w:keepLines/>
              <w:rPr>
                <w:rFonts w:ascii="Arial Narrow" w:eastAsia="Times New Roman" w:hAnsi="Arial Narrow" w:cs="Arial"/>
                <w:sz w:val="21"/>
                <w:szCs w:val="21"/>
                <w:lang w:eastAsia="en-AU"/>
              </w:rPr>
            </w:pPr>
            <w:r>
              <w:rPr>
                <w:rFonts w:ascii="Arial Narrow" w:eastAsia="Times New Roman" w:hAnsi="Arial Narrow" w:cs="Arial"/>
                <w:sz w:val="21"/>
                <w:szCs w:val="21"/>
                <w:lang w:eastAsia="en-AU"/>
              </w:rPr>
              <w:t>t</w:t>
            </w:r>
            <w:r w:rsidR="00954773" w:rsidRPr="008D66C4">
              <w:rPr>
                <w:rFonts w:ascii="Arial Narrow" w:eastAsia="Times New Roman" w:hAnsi="Arial Narrow" w:cs="Arial"/>
                <w:sz w:val="21"/>
                <w:szCs w:val="21"/>
                <w:lang w:eastAsia="en-AU"/>
              </w:rPr>
              <w:t>iotropium</w:t>
            </w:r>
          </w:p>
        </w:tc>
        <w:tc>
          <w:tcPr>
            <w:tcW w:w="3805" w:type="dxa"/>
            <w:tcBorders>
              <w:top w:val="nil"/>
              <w:left w:val="nil"/>
              <w:bottom w:val="single" w:sz="8" w:space="0" w:color="auto"/>
              <w:right w:val="single" w:sz="8" w:space="0" w:color="auto"/>
            </w:tcBorders>
            <w:shd w:val="clear" w:color="auto" w:fill="auto"/>
            <w:vAlign w:val="center"/>
            <w:hideMark/>
          </w:tcPr>
          <w:p w14:paraId="48CC1338"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32</w:t>
            </w:r>
          </w:p>
        </w:tc>
      </w:tr>
      <w:tr w:rsidR="00954773" w:rsidRPr="00C734C2" w14:paraId="4E644DD9"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17A334DD"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10059K</w:t>
            </w:r>
          </w:p>
        </w:tc>
        <w:tc>
          <w:tcPr>
            <w:tcW w:w="3402" w:type="dxa"/>
            <w:tcBorders>
              <w:top w:val="nil"/>
              <w:left w:val="nil"/>
              <w:bottom w:val="single" w:sz="8" w:space="0" w:color="auto"/>
              <w:right w:val="single" w:sz="8" w:space="0" w:color="auto"/>
            </w:tcBorders>
            <w:shd w:val="clear" w:color="auto" w:fill="auto"/>
            <w:vAlign w:val="center"/>
            <w:hideMark/>
          </w:tcPr>
          <w:p w14:paraId="6B2FB1CA" w14:textId="77777777" w:rsidR="00954773" w:rsidRPr="008D66C4" w:rsidRDefault="00954773" w:rsidP="00A67954">
            <w:pPr>
              <w:keepNext/>
              <w:keepLines/>
              <w:rPr>
                <w:rFonts w:ascii="Arial Narrow" w:eastAsia="Times New Roman" w:hAnsi="Arial Narrow" w:cs="Arial"/>
                <w:sz w:val="21"/>
                <w:szCs w:val="21"/>
                <w:lang w:eastAsia="en-AU"/>
              </w:rPr>
            </w:pPr>
            <w:proofErr w:type="spellStart"/>
            <w:r w:rsidRPr="008D66C4">
              <w:rPr>
                <w:rFonts w:ascii="Arial Narrow" w:eastAsia="Times New Roman" w:hAnsi="Arial Narrow" w:cs="Arial"/>
                <w:sz w:val="21"/>
                <w:szCs w:val="21"/>
                <w:lang w:eastAsia="en-AU"/>
              </w:rPr>
              <w:t>glycopyrronium</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1FC4725E"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31</w:t>
            </w:r>
          </w:p>
        </w:tc>
      </w:tr>
      <w:tr w:rsidR="00954773" w:rsidRPr="00C734C2" w14:paraId="44D12758"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790B6588"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10124W</w:t>
            </w:r>
          </w:p>
        </w:tc>
        <w:tc>
          <w:tcPr>
            <w:tcW w:w="3402" w:type="dxa"/>
            <w:tcBorders>
              <w:top w:val="nil"/>
              <w:left w:val="nil"/>
              <w:bottom w:val="single" w:sz="8" w:space="0" w:color="auto"/>
              <w:right w:val="single" w:sz="8" w:space="0" w:color="auto"/>
            </w:tcBorders>
            <w:shd w:val="clear" w:color="auto" w:fill="auto"/>
            <w:vAlign w:val="center"/>
            <w:hideMark/>
          </w:tcPr>
          <w:p w14:paraId="4542FB3B" w14:textId="5B6B4F9B" w:rsidR="00954773" w:rsidRPr="008D66C4" w:rsidRDefault="0026487B" w:rsidP="00A67954">
            <w:pPr>
              <w:keepNext/>
              <w:keepLines/>
              <w:rPr>
                <w:rFonts w:ascii="Arial Narrow" w:eastAsia="Times New Roman" w:hAnsi="Arial Narrow" w:cs="Arial"/>
                <w:sz w:val="21"/>
                <w:szCs w:val="21"/>
                <w:lang w:eastAsia="en-AU"/>
              </w:rPr>
            </w:pPr>
            <w:proofErr w:type="spellStart"/>
            <w:r>
              <w:rPr>
                <w:rFonts w:ascii="Arial Narrow" w:eastAsia="Times New Roman" w:hAnsi="Arial Narrow" w:cs="Arial"/>
                <w:sz w:val="21"/>
                <w:szCs w:val="21"/>
                <w:lang w:eastAsia="en-AU"/>
              </w:rPr>
              <w:t>a</w:t>
            </w:r>
            <w:r w:rsidR="00954773" w:rsidRPr="008D66C4">
              <w:rPr>
                <w:rFonts w:ascii="Arial Narrow" w:eastAsia="Times New Roman" w:hAnsi="Arial Narrow" w:cs="Arial"/>
                <w:sz w:val="21"/>
                <w:szCs w:val="21"/>
                <w:lang w:eastAsia="en-AU"/>
              </w:rPr>
              <w:t>clidinium</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35ACE4C5"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35</w:t>
            </w:r>
          </w:p>
        </w:tc>
      </w:tr>
      <w:tr w:rsidR="00954773" w:rsidRPr="00C734C2" w14:paraId="30A6AC32"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26DF2347"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10187E</w:t>
            </w:r>
          </w:p>
        </w:tc>
        <w:tc>
          <w:tcPr>
            <w:tcW w:w="3402" w:type="dxa"/>
            <w:tcBorders>
              <w:top w:val="nil"/>
              <w:left w:val="nil"/>
              <w:bottom w:val="single" w:sz="8" w:space="0" w:color="auto"/>
              <w:right w:val="single" w:sz="8" w:space="0" w:color="auto"/>
            </w:tcBorders>
            <w:shd w:val="clear" w:color="auto" w:fill="auto"/>
            <w:vAlign w:val="center"/>
            <w:hideMark/>
          </w:tcPr>
          <w:p w14:paraId="59591922" w14:textId="77777777" w:rsidR="00954773" w:rsidRPr="008D66C4" w:rsidRDefault="00954773" w:rsidP="00A67954">
            <w:pPr>
              <w:keepNext/>
              <w:keepLines/>
              <w:rPr>
                <w:rFonts w:ascii="Arial Narrow" w:eastAsia="Times New Roman" w:hAnsi="Arial Narrow" w:cs="Arial"/>
                <w:sz w:val="21"/>
                <w:szCs w:val="21"/>
                <w:lang w:eastAsia="en-AU"/>
              </w:rPr>
            </w:pPr>
            <w:proofErr w:type="spellStart"/>
            <w:r w:rsidRPr="008D66C4">
              <w:rPr>
                <w:rFonts w:ascii="Arial Narrow" w:eastAsia="Times New Roman" w:hAnsi="Arial Narrow" w:cs="Arial"/>
                <w:sz w:val="21"/>
                <w:szCs w:val="21"/>
                <w:lang w:eastAsia="en-AU"/>
              </w:rPr>
              <w:t>umeclidinium</w:t>
            </w:r>
            <w:proofErr w:type="spellEnd"/>
          </w:p>
        </w:tc>
        <w:tc>
          <w:tcPr>
            <w:tcW w:w="3805" w:type="dxa"/>
            <w:tcBorders>
              <w:top w:val="nil"/>
              <w:left w:val="nil"/>
              <w:bottom w:val="single" w:sz="8" w:space="0" w:color="auto"/>
              <w:right w:val="single" w:sz="8" w:space="0" w:color="auto"/>
            </w:tcBorders>
            <w:shd w:val="clear" w:color="auto" w:fill="auto"/>
            <w:vAlign w:val="center"/>
            <w:hideMark/>
          </w:tcPr>
          <w:p w14:paraId="4A260BFC"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31</w:t>
            </w:r>
          </w:p>
        </w:tc>
      </w:tr>
      <w:tr w:rsidR="00954773" w:rsidRPr="00C734C2" w14:paraId="5DB75361" w14:textId="77777777" w:rsidTr="00714C0B">
        <w:trPr>
          <w:trHeight w:val="85"/>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0528D85A" w14:textId="77777777" w:rsidR="00954773" w:rsidRPr="008D66C4" w:rsidRDefault="00954773" w:rsidP="00A67954">
            <w:pPr>
              <w:keepNext/>
              <w:keepLines/>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10509D</w:t>
            </w:r>
          </w:p>
        </w:tc>
        <w:tc>
          <w:tcPr>
            <w:tcW w:w="3402" w:type="dxa"/>
            <w:tcBorders>
              <w:top w:val="nil"/>
              <w:left w:val="nil"/>
              <w:bottom w:val="single" w:sz="8" w:space="0" w:color="auto"/>
              <w:right w:val="single" w:sz="8" w:space="0" w:color="auto"/>
            </w:tcBorders>
            <w:shd w:val="clear" w:color="auto" w:fill="auto"/>
            <w:vAlign w:val="center"/>
            <w:hideMark/>
          </w:tcPr>
          <w:p w14:paraId="0B00B48A" w14:textId="19A0B1AE" w:rsidR="00954773" w:rsidRPr="008D66C4" w:rsidRDefault="0026487B" w:rsidP="00A67954">
            <w:pPr>
              <w:keepNext/>
              <w:keepLines/>
              <w:rPr>
                <w:rFonts w:ascii="Arial Narrow" w:eastAsia="Times New Roman" w:hAnsi="Arial Narrow" w:cs="Arial"/>
                <w:sz w:val="21"/>
                <w:szCs w:val="21"/>
                <w:lang w:eastAsia="en-AU"/>
              </w:rPr>
            </w:pPr>
            <w:r>
              <w:rPr>
                <w:rFonts w:ascii="Arial Narrow" w:eastAsia="Times New Roman" w:hAnsi="Arial Narrow" w:cs="Arial"/>
                <w:sz w:val="21"/>
                <w:szCs w:val="21"/>
                <w:lang w:eastAsia="en-AU"/>
              </w:rPr>
              <w:t>t</w:t>
            </w:r>
            <w:r w:rsidR="00954773" w:rsidRPr="008D66C4">
              <w:rPr>
                <w:rFonts w:ascii="Arial Narrow" w:eastAsia="Times New Roman" w:hAnsi="Arial Narrow" w:cs="Arial"/>
                <w:sz w:val="21"/>
                <w:szCs w:val="21"/>
                <w:lang w:eastAsia="en-AU"/>
              </w:rPr>
              <w:t>iotropium</w:t>
            </w:r>
          </w:p>
        </w:tc>
        <w:tc>
          <w:tcPr>
            <w:tcW w:w="3805" w:type="dxa"/>
            <w:tcBorders>
              <w:top w:val="nil"/>
              <w:left w:val="nil"/>
              <w:bottom w:val="single" w:sz="8" w:space="0" w:color="auto"/>
              <w:right w:val="single" w:sz="8" w:space="0" w:color="auto"/>
            </w:tcBorders>
            <w:shd w:val="clear" w:color="auto" w:fill="auto"/>
            <w:vAlign w:val="center"/>
            <w:hideMark/>
          </w:tcPr>
          <w:p w14:paraId="351ABC52" w14:textId="77777777" w:rsidR="00954773" w:rsidRPr="008D66C4" w:rsidRDefault="00954773" w:rsidP="00A67954">
            <w:pPr>
              <w:keepNext/>
              <w:keepLines/>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31</w:t>
            </w:r>
          </w:p>
        </w:tc>
      </w:tr>
      <w:tr w:rsidR="00954773" w:rsidRPr="00C734C2" w14:paraId="0AC30E08" w14:textId="77777777" w:rsidTr="00714C0B">
        <w:trPr>
          <w:trHeight w:val="85"/>
        </w:trPr>
        <w:tc>
          <w:tcPr>
            <w:tcW w:w="2127" w:type="dxa"/>
            <w:tcBorders>
              <w:top w:val="nil"/>
              <w:left w:val="single" w:sz="8" w:space="0" w:color="auto"/>
              <w:bottom w:val="single" w:sz="8" w:space="0" w:color="auto"/>
              <w:right w:val="single" w:sz="8" w:space="0" w:color="auto"/>
            </w:tcBorders>
            <w:shd w:val="clear" w:color="000000" w:fill="D9D9D9"/>
            <w:vAlign w:val="center"/>
            <w:hideMark/>
          </w:tcPr>
          <w:p w14:paraId="5D0695EA" w14:textId="77777777" w:rsidR="00954773" w:rsidRPr="008D66C4" w:rsidRDefault="00954773" w:rsidP="00A67954">
            <w:pPr>
              <w:keepNext/>
              <w:keepLines/>
              <w:rPr>
                <w:rFonts w:ascii="Arial Narrow" w:eastAsia="Times New Roman" w:hAnsi="Arial Narrow" w:cs="Arial"/>
                <w:b/>
                <w:bCs/>
                <w:i/>
                <w:iCs/>
                <w:sz w:val="21"/>
                <w:szCs w:val="21"/>
                <w:lang w:eastAsia="en-AU"/>
              </w:rPr>
            </w:pPr>
            <w:r w:rsidRPr="008D66C4">
              <w:rPr>
                <w:rFonts w:ascii="Arial Narrow" w:eastAsia="Times New Roman" w:hAnsi="Arial Narrow" w:cs="Arial"/>
                <w:b/>
                <w:bCs/>
                <w:i/>
                <w:iCs/>
                <w:sz w:val="21"/>
                <w:szCs w:val="21"/>
                <w:lang w:eastAsia="en-AU"/>
              </w:rPr>
              <w:t> </w:t>
            </w:r>
          </w:p>
        </w:tc>
        <w:tc>
          <w:tcPr>
            <w:tcW w:w="3402" w:type="dxa"/>
            <w:tcBorders>
              <w:top w:val="nil"/>
              <w:left w:val="nil"/>
              <w:bottom w:val="single" w:sz="8" w:space="0" w:color="auto"/>
              <w:right w:val="single" w:sz="8" w:space="0" w:color="auto"/>
            </w:tcBorders>
            <w:shd w:val="clear" w:color="000000" w:fill="D9D9D9"/>
            <w:vAlign w:val="center"/>
            <w:hideMark/>
          </w:tcPr>
          <w:p w14:paraId="60B21E81" w14:textId="77777777" w:rsidR="00954773" w:rsidRPr="008D66C4" w:rsidRDefault="00954773" w:rsidP="00A67954">
            <w:pPr>
              <w:keepNext/>
              <w:keepLines/>
              <w:rPr>
                <w:rFonts w:ascii="Arial Narrow" w:eastAsia="Times New Roman" w:hAnsi="Arial Narrow" w:cs="Arial"/>
                <w:b/>
                <w:bCs/>
                <w:i/>
                <w:iCs/>
                <w:sz w:val="21"/>
                <w:szCs w:val="21"/>
                <w:lang w:eastAsia="en-AU"/>
              </w:rPr>
            </w:pPr>
            <w:r w:rsidRPr="008D66C4">
              <w:rPr>
                <w:rFonts w:ascii="Arial Narrow" w:eastAsia="Times New Roman" w:hAnsi="Arial Narrow" w:cs="Arial"/>
                <w:b/>
                <w:bCs/>
                <w:i/>
                <w:iCs/>
                <w:sz w:val="21"/>
                <w:szCs w:val="21"/>
                <w:lang w:eastAsia="en-AU"/>
              </w:rPr>
              <w:t>LAMA Total</w:t>
            </w:r>
          </w:p>
        </w:tc>
        <w:tc>
          <w:tcPr>
            <w:tcW w:w="3805" w:type="dxa"/>
            <w:tcBorders>
              <w:top w:val="nil"/>
              <w:left w:val="nil"/>
              <w:bottom w:val="single" w:sz="8" w:space="0" w:color="auto"/>
              <w:right w:val="single" w:sz="8" w:space="0" w:color="auto"/>
            </w:tcBorders>
            <w:shd w:val="clear" w:color="000000" w:fill="D9D9D9"/>
            <w:vAlign w:val="center"/>
            <w:hideMark/>
          </w:tcPr>
          <w:p w14:paraId="2C49154E" w14:textId="77777777" w:rsidR="00954773" w:rsidRPr="008D66C4" w:rsidRDefault="00954773" w:rsidP="00A67954">
            <w:pPr>
              <w:keepNext/>
              <w:keepLines/>
              <w:jc w:val="center"/>
              <w:rPr>
                <w:rFonts w:ascii="Arial Narrow" w:eastAsia="Times New Roman" w:hAnsi="Arial Narrow" w:cs="Tahoma"/>
                <w:b/>
                <w:bCs/>
                <w:color w:val="000000"/>
                <w:sz w:val="21"/>
                <w:szCs w:val="21"/>
                <w:lang w:eastAsia="en-AU"/>
              </w:rPr>
            </w:pPr>
            <w:r w:rsidRPr="008D66C4">
              <w:rPr>
                <w:rFonts w:ascii="Arial Narrow" w:eastAsia="Times New Roman" w:hAnsi="Arial Narrow" w:cs="Tahoma"/>
                <w:b/>
                <w:bCs/>
                <w:color w:val="000000"/>
                <w:sz w:val="21"/>
                <w:szCs w:val="21"/>
                <w:lang w:eastAsia="en-AU"/>
              </w:rPr>
              <w:t>32</w:t>
            </w:r>
          </w:p>
        </w:tc>
      </w:tr>
    </w:tbl>
    <w:p w14:paraId="665B1F8E" w14:textId="77777777" w:rsidR="00FA1142" w:rsidRPr="008D66C4" w:rsidRDefault="00FA1142" w:rsidP="00A67954">
      <w:pPr>
        <w:pStyle w:val="10TableorFigurefootnote"/>
        <w:keepLines/>
        <w:rPr>
          <w:sz w:val="18"/>
          <w:szCs w:val="18"/>
        </w:rPr>
      </w:pPr>
      <w:r w:rsidRPr="008D66C4">
        <w:rPr>
          <w:sz w:val="18"/>
          <w:szCs w:val="18"/>
        </w:rPr>
        <w:t>Source: PBS Dispensing records between 1/11/2006 and 31/10/2016 file R2017068_PBS_COPD_DATA.CSV.</w:t>
      </w:r>
    </w:p>
    <w:p w14:paraId="4D3BEB3C" w14:textId="63A032DF" w:rsidR="00FA1142" w:rsidRPr="008D66C4" w:rsidRDefault="00FA1142" w:rsidP="00A67954">
      <w:pPr>
        <w:pStyle w:val="10TableorFigurefootnote"/>
        <w:keepLines/>
        <w:rPr>
          <w:sz w:val="18"/>
          <w:szCs w:val="18"/>
        </w:rPr>
      </w:pPr>
      <w:r w:rsidRPr="008D66C4">
        <w:rPr>
          <w:sz w:val="18"/>
          <w:szCs w:val="18"/>
        </w:rPr>
        <w:t>Abbreviations: PBS, Pharmaceutical Benefits Scheme</w:t>
      </w:r>
    </w:p>
    <w:p w14:paraId="1C450B7E" w14:textId="61999ACA" w:rsidR="00C5347F" w:rsidRDefault="00954773" w:rsidP="00DA1EB9">
      <w:pPr>
        <w:pStyle w:val="BodyText"/>
      </w:pPr>
      <w:r>
        <w:t xml:space="preserve">The SCD is used to work out how many days of supply of a medicine a patient has on hand through accumulation and depletion by filling scripts more or less frequently. </w:t>
      </w:r>
      <w:r w:rsidR="00C12C0E">
        <w:t xml:space="preserve">Breaks in therapy </w:t>
      </w:r>
      <w:r w:rsidR="00DA1EB9">
        <w:t xml:space="preserve">were assumed </w:t>
      </w:r>
      <w:r w:rsidR="00C12C0E">
        <w:t>when</w:t>
      </w:r>
      <w:r w:rsidR="00186975">
        <w:t xml:space="preserve"> a patient does not refill </w:t>
      </w:r>
      <w:r w:rsidR="00A574D2">
        <w:t xml:space="preserve">their prescription </w:t>
      </w:r>
      <w:r w:rsidR="007627E3">
        <w:t>within two SCD periods after estimated coverage ends</w:t>
      </w:r>
      <w:r w:rsidR="00DA1EB9">
        <w:t>. Stockpile adjustments were accounted for in the analysis by estimating the amount of supply on hand, refer to A</w:t>
      </w:r>
      <w:r w:rsidR="00FA1142">
        <w:t>ppendix R for further details.</w:t>
      </w:r>
    </w:p>
    <w:p w14:paraId="1BF15560" w14:textId="7437594D" w:rsidR="00C5347F" w:rsidRDefault="00DA1EB9" w:rsidP="00C5347F">
      <w:pPr>
        <w:pStyle w:val="BodyText"/>
      </w:pPr>
      <w:r>
        <w:t xml:space="preserve">In this analysis COPD initiations </w:t>
      </w:r>
      <w:r w:rsidR="00C5347F">
        <w:t xml:space="preserve">were defined </w:t>
      </w:r>
      <w:r w:rsidRPr="00DA1EB9">
        <w:t>as a patient</w:t>
      </w:r>
      <w:r w:rsidR="00076269">
        <w:t>,</w:t>
      </w:r>
      <w:r w:rsidRPr="00DA1EB9">
        <w:t xml:space="preserve"> </w:t>
      </w:r>
      <w:r w:rsidR="00C5347F">
        <w:t>aged 35 years and older, commencing on medications listed on the PBS for COPD only (</w:t>
      </w:r>
      <w:r w:rsidR="00C5347F" w:rsidRPr="00DA1EB9">
        <w:t>LABA, LAMA or LABA/LAMA</w:t>
      </w:r>
      <w:r w:rsidR="00C5347F">
        <w:t>) t</w:t>
      </w:r>
      <w:r w:rsidR="00076269">
        <w:t>hat refilled a prescription for</w:t>
      </w:r>
      <w:r w:rsidR="00C5347F">
        <w:t xml:space="preserve"> the same PBS item </w:t>
      </w:r>
      <w:r w:rsidR="00A0386E" w:rsidRPr="00DA1EB9">
        <w:t>at least once</w:t>
      </w:r>
      <w:r w:rsidR="00076269">
        <w:t xml:space="preserve"> </w:t>
      </w:r>
      <w:r w:rsidR="004D6C8D">
        <w:t>with</w:t>
      </w:r>
      <w:r w:rsidR="00975CB4">
        <w:t>in</w:t>
      </w:r>
      <w:r w:rsidR="00A0386E" w:rsidRPr="00DA1EB9">
        <w:t xml:space="preserve"> </w:t>
      </w:r>
      <w:r w:rsidR="00C5347F">
        <w:t xml:space="preserve">two SCDs. </w:t>
      </w:r>
      <w:r w:rsidR="00C5347F" w:rsidRPr="00DA1EB9">
        <w:t>The rationale for the requirement to have refilled is reduce the likelihood of including patients that have received a single supply in the study period and potentially discontinu</w:t>
      </w:r>
      <w:r w:rsidR="004D6C8D">
        <w:t>ed use due to incorrect diagnosi</w:t>
      </w:r>
      <w:r w:rsidR="00C5347F" w:rsidRPr="00DA1EB9">
        <w:t>s.</w:t>
      </w:r>
    </w:p>
    <w:p w14:paraId="2EB0911D" w14:textId="09D13381" w:rsidR="00257875" w:rsidRDefault="00257875" w:rsidP="00257875">
      <w:pPr>
        <w:pStyle w:val="BodyText"/>
      </w:pPr>
      <w:r>
        <w:t xml:space="preserve">A regimen </w:t>
      </w:r>
      <w:r w:rsidR="000A558B">
        <w:t>for each one week period was taken to include all medications that were inside their calculated SCDs in that week</w:t>
      </w:r>
      <w:r>
        <w:t xml:space="preserve">. </w:t>
      </w:r>
      <w:r w:rsidRPr="00F10EF6">
        <w:t xml:space="preserve">Further adjustments were applied to </w:t>
      </w:r>
      <w:r w:rsidR="004D6C8D">
        <w:t>calculate</w:t>
      </w:r>
      <w:r>
        <w:t xml:space="preserve"> </w:t>
      </w:r>
      <w:r w:rsidRPr="00F10EF6">
        <w:t xml:space="preserve">regimens to remove small </w:t>
      </w:r>
      <w:r>
        <w:t xml:space="preserve">data </w:t>
      </w:r>
      <w:r w:rsidRPr="00F10EF6">
        <w:t xml:space="preserve">artefacts </w:t>
      </w:r>
      <w:r>
        <w:t xml:space="preserve">that were not clinically meaningful. Refer to Appendix R for further details regarding the additional rules applied to </w:t>
      </w:r>
      <w:r w:rsidR="00975CB4">
        <w:t xml:space="preserve">calculate treatment regimens. </w:t>
      </w:r>
      <w:r w:rsidR="00CB1B58">
        <w:t xml:space="preserve">The estimated </w:t>
      </w:r>
      <w:proofErr w:type="gramStart"/>
      <w:r w:rsidR="000E09F2">
        <w:t xml:space="preserve">number of </w:t>
      </w:r>
      <w:r w:rsidR="00CB1B58">
        <w:t xml:space="preserve">COPD </w:t>
      </w:r>
      <w:r w:rsidR="000E09F2">
        <w:t xml:space="preserve">patient </w:t>
      </w:r>
      <w:r w:rsidR="00CB1B58">
        <w:t xml:space="preserve">initiations </w:t>
      </w:r>
      <w:r w:rsidR="000E09F2">
        <w:t>including regimens ar</w:t>
      </w:r>
      <w:r w:rsidR="00FA1142">
        <w:t>e</w:t>
      </w:r>
      <w:proofErr w:type="gramEnd"/>
      <w:r w:rsidR="00FA1142">
        <w:t xml:space="preserve"> presented in calendar years.</w:t>
      </w:r>
    </w:p>
    <w:p w14:paraId="54D3599E" w14:textId="6AF4985D" w:rsidR="00B03939" w:rsidRDefault="000E09F2" w:rsidP="00B03939">
      <w:pPr>
        <w:pStyle w:val="BodyText"/>
      </w:pPr>
      <w:r>
        <w:t>P</w:t>
      </w:r>
      <w:r w:rsidR="00CD39F9">
        <w:t xml:space="preserve">revalent patients </w:t>
      </w:r>
      <w:r w:rsidR="00CB1B58">
        <w:t>were calculated based on</w:t>
      </w:r>
      <w:r w:rsidR="00CD39F9">
        <w:t xml:space="preserve"> unique patient counts per year for </w:t>
      </w:r>
      <w:r w:rsidR="00DA6077">
        <w:t xml:space="preserve">patient regimens that have coverage of any proportion </w:t>
      </w:r>
      <w:r w:rsidR="00F745CA">
        <w:t>of</w:t>
      </w:r>
      <w:r w:rsidR="00FA1142">
        <w:t xml:space="preserve"> that year. </w:t>
      </w:r>
      <w:r w:rsidR="00DA6077">
        <w:t xml:space="preserve">Patients </w:t>
      </w:r>
      <w:r>
        <w:t xml:space="preserve">that </w:t>
      </w:r>
      <w:r w:rsidR="00DA6077">
        <w:t>switch</w:t>
      </w:r>
      <w:r>
        <w:t>ed</w:t>
      </w:r>
      <w:r w:rsidR="00F745CA">
        <w:t xml:space="preserve"> </w:t>
      </w:r>
      <w:r>
        <w:t xml:space="preserve">drug treatments </w:t>
      </w:r>
      <w:r w:rsidR="00F745CA">
        <w:t>during a year</w:t>
      </w:r>
      <w:r w:rsidR="00DA6077">
        <w:t xml:space="preserve"> and </w:t>
      </w:r>
      <w:r>
        <w:t>had</w:t>
      </w:r>
      <w:r w:rsidR="00DA6077">
        <w:t xml:space="preserve"> more than one regimen </w:t>
      </w:r>
      <w:r>
        <w:t>were</w:t>
      </w:r>
      <w:r w:rsidR="00DA6077">
        <w:t xml:space="preserve"> counted as one unique patient</w:t>
      </w:r>
      <w:r w:rsidR="00CD39F9">
        <w:t xml:space="preserve">. </w:t>
      </w:r>
      <w:r>
        <w:t xml:space="preserve">The estimated </w:t>
      </w:r>
      <w:r w:rsidR="00131B6C">
        <w:t xml:space="preserve">number of </w:t>
      </w:r>
      <w:r>
        <w:t>prevalent patient</w:t>
      </w:r>
      <w:r w:rsidR="00131B6C">
        <w:t>s</w:t>
      </w:r>
      <w:r>
        <w:t xml:space="preserve"> </w:t>
      </w:r>
      <w:r w:rsidR="00160D80">
        <w:t>included</w:t>
      </w:r>
      <w:r>
        <w:t xml:space="preserve"> </w:t>
      </w:r>
      <w:r w:rsidR="00DA6077">
        <w:t>initiati</w:t>
      </w:r>
      <w:r>
        <w:t>ons</w:t>
      </w:r>
      <w:r w:rsidR="00DA6077">
        <w:t xml:space="preserve"> to COPD therapies</w:t>
      </w:r>
      <w:r w:rsidR="00160D80">
        <w:t xml:space="preserve"> </w:t>
      </w:r>
      <w:r w:rsidR="00160D80">
        <w:lastRenderedPageBreak/>
        <w:t>and</w:t>
      </w:r>
      <w:r w:rsidR="00DA6077">
        <w:t xml:space="preserve"> continuing COPD therapy</w:t>
      </w:r>
      <w:r>
        <w:t>.</w:t>
      </w:r>
      <w:r w:rsidR="00DA6077">
        <w:t xml:space="preserve"> </w:t>
      </w:r>
      <w:r w:rsidR="00160D80">
        <w:t xml:space="preserve">Patient death was not recorded in the </w:t>
      </w:r>
      <w:proofErr w:type="spellStart"/>
      <w:r w:rsidR="00160D80">
        <w:t>DoH</w:t>
      </w:r>
      <w:proofErr w:type="spellEnd"/>
      <w:r w:rsidR="00160D80">
        <w:t xml:space="preserve"> PBS data</w:t>
      </w:r>
      <w:r w:rsidR="004D6C8D">
        <w:t xml:space="preserve"> </w:t>
      </w:r>
      <w:r w:rsidR="00160D80">
        <w:t>set and therefore no adjustments were made</w:t>
      </w:r>
      <w:r w:rsidR="00B03939">
        <w:t xml:space="preserve"> to the COPD cohort analysis</w:t>
      </w:r>
      <w:r w:rsidR="00975CB4">
        <w:t xml:space="preserve">. </w:t>
      </w:r>
      <w:r w:rsidR="00160D80">
        <w:t>Patients were assumed to have discontinued treatment if they had not refilled their prescription within 2 SCDs</w:t>
      </w:r>
      <w:r w:rsidR="00E00415">
        <w:t xml:space="preserve"> and they were able to re-enter the prevalent pool in a subsequent year if they refilled their prescription at a later date. Patients </w:t>
      </w:r>
      <w:r w:rsidR="00B03939">
        <w:t>re-entering the prevalent population were</w:t>
      </w:r>
      <w:r w:rsidR="00FA1142">
        <w:t xml:space="preserve"> not recounted as initiations. </w:t>
      </w:r>
      <w:r w:rsidR="00B03939">
        <w:t>The estimated number</w:t>
      </w:r>
      <w:r w:rsidR="004D6C8D">
        <w:t>s</w:t>
      </w:r>
      <w:r w:rsidR="00B03939">
        <w:t xml:space="preserve"> of COPD prevalent patient ar</w:t>
      </w:r>
      <w:r w:rsidR="00FA1142">
        <w:t xml:space="preserve">e presented in calendar years. </w:t>
      </w:r>
    </w:p>
    <w:p w14:paraId="4D297719" w14:textId="6615908E" w:rsidR="00784C6A" w:rsidRDefault="00B03939" w:rsidP="00975CB4">
      <w:pPr>
        <w:pStyle w:val="BodyText"/>
        <w:spacing w:after="240"/>
      </w:pPr>
      <w:r>
        <w:t xml:space="preserve">No censoring adjustments </w:t>
      </w:r>
      <w:r w:rsidR="004D6C8D">
        <w:t xml:space="preserve">were </w:t>
      </w:r>
      <w:r>
        <w:t xml:space="preserve">made in the final months of the study period to allow for the timing effects of initiation and regimen coverage rules, with the exception of extrapolation, where relevant, to improve comparisons between calendar years (which is noted where it has been used). </w:t>
      </w:r>
      <w:r w:rsidR="006B2D19">
        <w:t xml:space="preserve">The method of extrapolation of the 2016 patient analysis was conducted </w:t>
      </w:r>
      <w:r w:rsidRPr="00B03939">
        <w:t>by applying 2015 month on month ratios by class to the corresponding 2016 months for September through December.</w:t>
      </w:r>
      <w:r w:rsidR="006B2D19">
        <w:t xml:space="preserve"> </w:t>
      </w:r>
      <w:r>
        <w:t>The r</w:t>
      </w:r>
      <w:r w:rsidR="00975CB4">
        <w:t>ationale for this is to improve</w:t>
      </w:r>
      <w:r>
        <w:t xml:space="preserve"> transparency of patient behaviour in the later periods that cover the introduction of the more recently PBS listed COPD therapies.</w:t>
      </w:r>
      <w:r w:rsidR="00FA1142">
        <w:t xml:space="preserve"> </w:t>
      </w:r>
      <w:r w:rsidR="00784C6A">
        <w:t>An analysis was conducted to determine initiating and prevalent patient</w:t>
      </w:r>
      <w:r w:rsidR="0090759D">
        <w:t>s</w:t>
      </w:r>
      <w:r w:rsidR="00784C6A">
        <w:t xml:space="preserve"> on COPD medications including regimens </w:t>
      </w:r>
      <w:r w:rsidR="0090759D">
        <w:t>within and outside COPD-X guidelines.</w:t>
      </w:r>
    </w:p>
    <w:p w14:paraId="0035A33D" w14:textId="57180F9D" w:rsidR="0090759D" w:rsidRDefault="0090759D" w:rsidP="00975CB4">
      <w:pPr>
        <w:pStyle w:val="BodyText"/>
        <w:spacing w:after="240"/>
      </w:pPr>
      <w:r>
        <w:t>A summary of the methodological approach is presented</w:t>
      </w:r>
      <w:r w:rsidR="00131B6C">
        <w:t xml:space="preserve"> below</w:t>
      </w:r>
      <w:r>
        <w:t>, for further</w:t>
      </w:r>
      <w:r w:rsidR="00975CB4">
        <w:t xml:space="preserve"> details refer to Appendix R.</w:t>
      </w:r>
    </w:p>
    <w:p w14:paraId="2684D0F3" w14:textId="3EAFE6A6" w:rsidR="005B235E" w:rsidRPr="008C25D5" w:rsidRDefault="005B235E" w:rsidP="008D66C4">
      <w:pPr>
        <w:pStyle w:val="Heading4"/>
      </w:pPr>
      <w:r w:rsidRPr="008C25D5">
        <w:t>Summary steps completed within the analysis</w:t>
      </w:r>
    </w:p>
    <w:p w14:paraId="63D62390" w14:textId="6A3C2BB5" w:rsidR="00B85972" w:rsidRDefault="00B85972" w:rsidP="00B85972">
      <w:pPr>
        <w:pStyle w:val="BodyText"/>
      </w:pPr>
      <w:r w:rsidRPr="008A4EE4">
        <w:rPr>
          <w:b/>
        </w:rPr>
        <w:t>Step 1</w:t>
      </w:r>
      <w:r>
        <w:t xml:space="preserve"> was to remove the PBS-listed items that are not used in the management of COPD</w:t>
      </w:r>
      <w:r w:rsidR="00F75521">
        <w:t xml:space="preserve">. </w:t>
      </w:r>
    </w:p>
    <w:p w14:paraId="291F2C7F" w14:textId="1C3AD263" w:rsidR="00B85972" w:rsidRDefault="00B85972" w:rsidP="00B85972">
      <w:pPr>
        <w:pStyle w:val="BodyText"/>
      </w:pPr>
      <w:r w:rsidRPr="008A4EE4">
        <w:rPr>
          <w:b/>
        </w:rPr>
        <w:t>Step 2</w:t>
      </w:r>
      <w:r>
        <w:t xml:space="preserve"> was to exclude patients i</w:t>
      </w:r>
      <w:r w:rsidR="00FA1142">
        <w:t>nitiating to ICS/LABA medicine.</w:t>
      </w:r>
    </w:p>
    <w:p w14:paraId="4FC40CC7" w14:textId="239E9583" w:rsidR="00B85972" w:rsidRDefault="00B85972" w:rsidP="00B85972">
      <w:pPr>
        <w:pStyle w:val="BodyText"/>
      </w:pPr>
      <w:r w:rsidRPr="008A4EE4">
        <w:rPr>
          <w:b/>
        </w:rPr>
        <w:t>Step 3</w:t>
      </w:r>
      <w:r>
        <w:t xml:space="preserve"> was to retain only COPD patients starting a COPD medicine for the first time during the study period. This is defined as those patients who had not been supplied with medicines used in the management of COPD prior to 1 November 2008 (i.e. applying a look-back period of two years</w:t>
      </w:r>
      <w:r w:rsidR="00F75521">
        <w:t xml:space="preserve"> from the first observed </w:t>
      </w:r>
      <w:r w:rsidR="009D302F">
        <w:t>PBS/RPBS</w:t>
      </w:r>
      <w:r w:rsidR="00F75521">
        <w:t xml:space="preserve"> COPD claim</w:t>
      </w:r>
      <w:r>
        <w:t>). This is to improve the detection and analysis of initiations (event analysis) and analysis of utilisation (prevalent analysis).</w:t>
      </w:r>
    </w:p>
    <w:p w14:paraId="2F2B213C" w14:textId="4FA1E83D" w:rsidR="00B85972" w:rsidRDefault="00B85972" w:rsidP="00B85972">
      <w:pPr>
        <w:pStyle w:val="BodyText"/>
      </w:pPr>
      <w:r w:rsidRPr="008A4EE4">
        <w:rPr>
          <w:b/>
        </w:rPr>
        <w:t>Step 4</w:t>
      </w:r>
      <w:r>
        <w:t xml:space="preserve"> was to perform a time-to-refill analysis to provide values for use as assumptions for calculating ‘standard</w:t>
      </w:r>
      <w:r w:rsidR="0094066B">
        <w:t xml:space="preserve"> prescription</w:t>
      </w:r>
      <w:r>
        <w:t xml:space="preserve"> coverage days’ (SCDs)</w:t>
      </w:r>
      <w:r w:rsidR="0094066B">
        <w:t xml:space="preserve"> for each medicine item.</w:t>
      </w:r>
      <w:r>
        <w:t xml:space="preserve"> </w:t>
      </w:r>
      <w:r w:rsidR="00F75521">
        <w:t xml:space="preserve">The median time for refill was used in the calculation of the SCD </w:t>
      </w:r>
      <w:r w:rsidR="007627E3">
        <w:t xml:space="preserve">of </w:t>
      </w:r>
      <w:r w:rsidR="00F75521">
        <w:t>all COPD medications.</w:t>
      </w:r>
    </w:p>
    <w:p w14:paraId="37BCA776" w14:textId="4AE5077A" w:rsidR="004F53B7" w:rsidRDefault="00B85972" w:rsidP="00B85972">
      <w:pPr>
        <w:pStyle w:val="BodyText"/>
      </w:pPr>
      <w:r>
        <w:rPr>
          <w:b/>
        </w:rPr>
        <w:t xml:space="preserve">Step </w:t>
      </w:r>
      <w:r w:rsidR="008667F7">
        <w:rPr>
          <w:b/>
        </w:rPr>
        <w:t>5</w:t>
      </w:r>
      <w:r>
        <w:t xml:space="preserve"> was to undertake a patient level analysis to determine the estimated medication coverage days for each drug or drug class. This mainly involves detecting breaks in treatment (based upon time</w:t>
      </w:r>
      <w:r w:rsidR="00FA1142">
        <w:t>-to-refill analysis at Step 4).</w:t>
      </w:r>
    </w:p>
    <w:p w14:paraId="24A6C6B4" w14:textId="7BFF9E48" w:rsidR="00B85972" w:rsidRPr="0090759D" w:rsidRDefault="0054495E" w:rsidP="00B85972">
      <w:pPr>
        <w:pStyle w:val="BodyText"/>
      </w:pPr>
      <w:r w:rsidRPr="008667F7">
        <w:rPr>
          <w:b/>
        </w:rPr>
        <w:t xml:space="preserve">Step </w:t>
      </w:r>
      <w:r w:rsidR="00DC080C" w:rsidRPr="008667F7">
        <w:rPr>
          <w:b/>
        </w:rPr>
        <w:t>6</w:t>
      </w:r>
      <w:r w:rsidR="00FA1142">
        <w:rPr>
          <w:b/>
        </w:rPr>
        <w:t xml:space="preserve"> </w:t>
      </w:r>
      <w:r w:rsidR="0090759D">
        <w:t xml:space="preserve">was </w:t>
      </w:r>
      <w:r w:rsidR="0020630E">
        <w:t xml:space="preserve">to calculate </w:t>
      </w:r>
      <w:r w:rsidR="0020630E" w:rsidRPr="00FA1142">
        <w:t>p</w:t>
      </w:r>
      <w:r w:rsidR="0020630E">
        <w:t>atient incidence and prevalence</w:t>
      </w:r>
      <w:r w:rsidR="0090759D">
        <w:t xml:space="preserve"> for the selected COPD patient cohort including drug regimens.</w:t>
      </w:r>
    </w:p>
    <w:p w14:paraId="1D4FE046" w14:textId="5D1A14B7" w:rsidR="0090759D" w:rsidRDefault="00B85972" w:rsidP="0090759D">
      <w:pPr>
        <w:pStyle w:val="BodyText"/>
        <w:spacing w:after="240"/>
      </w:pPr>
      <w:r>
        <w:rPr>
          <w:b/>
        </w:rPr>
        <w:lastRenderedPageBreak/>
        <w:t xml:space="preserve">Step </w:t>
      </w:r>
      <w:r w:rsidR="00DC080C">
        <w:rPr>
          <w:b/>
        </w:rPr>
        <w:t>7</w:t>
      </w:r>
      <w:r>
        <w:t xml:space="preserve"> </w:t>
      </w:r>
      <w:r w:rsidR="0020630E">
        <w:t>involved estimating t</w:t>
      </w:r>
      <w:r w:rsidR="0090759D">
        <w:t>he proportion of patients supplied COPD medications within and outside COPD-X guidelines.</w:t>
      </w:r>
    </w:p>
    <w:p w14:paraId="5E705BE9" w14:textId="77777777" w:rsidR="0090759D" w:rsidRPr="00A2516F" w:rsidRDefault="0090759D" w:rsidP="008D66C4">
      <w:pPr>
        <w:pStyle w:val="Heading4"/>
      </w:pPr>
      <w:r w:rsidRPr="00A2516F">
        <w:t>Data file</w:t>
      </w:r>
      <w:r>
        <w:t xml:space="preserve"> </w:t>
      </w:r>
    </w:p>
    <w:p w14:paraId="1782DD4D" w14:textId="2CA5E329" w:rsidR="0090759D" w:rsidRDefault="0090759D" w:rsidP="0090759D">
      <w:pPr>
        <w:pStyle w:val="BodyText"/>
        <w:spacing w:after="240"/>
      </w:pPr>
      <w:r w:rsidRPr="00CE3794">
        <w:t>Source: PBS Dispensing records between 1/11/2006 and 31/10/2016 file R2017068_PBS_COPD_DATA.CSV</w:t>
      </w:r>
      <w:r>
        <w:t xml:space="preserve"> refilled at least once (within two SCDs). The SCD values are presented in Table 5.1.</w:t>
      </w:r>
    </w:p>
    <w:p w14:paraId="04A8E546" w14:textId="12709CC8" w:rsidR="0090759D" w:rsidRPr="00975CB4" w:rsidRDefault="0090759D" w:rsidP="008D66C4">
      <w:pPr>
        <w:pStyle w:val="Heading4"/>
      </w:pPr>
      <w:r w:rsidRPr="00975CB4">
        <w:t>Example of analysis</w:t>
      </w:r>
    </w:p>
    <w:p w14:paraId="5A857945" w14:textId="7C09745E" w:rsidR="0054495E" w:rsidRPr="0054495E" w:rsidRDefault="008C7779" w:rsidP="0054495E">
      <w:pPr>
        <w:pStyle w:val="BodyText"/>
        <w:rPr>
          <w:color w:val="000000"/>
        </w:rPr>
      </w:pPr>
      <w:r>
        <w:t>Figure 5.1 illustrates the method specified above. Step 5 calculates the SCD for each drug – fluticasone</w:t>
      </w:r>
      <w:r w:rsidR="003B67B3">
        <w:t xml:space="preserve"> propionate</w:t>
      </w:r>
      <w:r>
        <w:t xml:space="preserve">/salmeterol 250/25 </w:t>
      </w:r>
      <w:proofErr w:type="spellStart"/>
      <w:r>
        <w:t>μg</w:t>
      </w:r>
      <w:proofErr w:type="spellEnd"/>
      <w:r>
        <w:t xml:space="preserve"> (FLU/SAL 250/25), tiotropium 18 </w:t>
      </w:r>
      <w:proofErr w:type="spellStart"/>
      <w:r>
        <w:t>μg</w:t>
      </w:r>
      <w:proofErr w:type="spellEnd"/>
      <w:r>
        <w:t xml:space="preserve"> (TIO 18), </w:t>
      </w:r>
      <w:proofErr w:type="spellStart"/>
      <w:r>
        <w:t>indacaterol</w:t>
      </w:r>
      <w:proofErr w:type="spellEnd"/>
      <w:r>
        <w:t xml:space="preserve"> 150 </w:t>
      </w:r>
      <w:proofErr w:type="spellStart"/>
      <w:r>
        <w:t>μg</w:t>
      </w:r>
      <w:proofErr w:type="spellEnd"/>
      <w:r>
        <w:t xml:space="preserve"> (IND 150) and </w:t>
      </w:r>
      <w:proofErr w:type="spellStart"/>
      <w:r>
        <w:t>indacaterol</w:t>
      </w:r>
      <w:proofErr w:type="spellEnd"/>
      <w:r>
        <w:t>/</w:t>
      </w:r>
      <w:proofErr w:type="spellStart"/>
      <w:r>
        <w:t>glycopyrronium</w:t>
      </w:r>
      <w:proofErr w:type="spellEnd"/>
      <w:r>
        <w:t xml:space="preserve"> 110/50 </w:t>
      </w:r>
      <w:proofErr w:type="spellStart"/>
      <w:r>
        <w:t>μg</w:t>
      </w:r>
      <w:proofErr w:type="spellEnd"/>
      <w:r>
        <w:t xml:space="preserve"> (IND/GLY) – arriving at the treatment episodes (blue bars). The Step 6 process (including adjustments) determines the treatment regimens (red bars). In Figure 5.1</w:t>
      </w:r>
      <w:r w:rsidR="00B85972">
        <w:t xml:space="preserve">, the first breaks can be observed in the latter half of 2005. Here </w:t>
      </w:r>
      <w:r w:rsidR="00B85972" w:rsidRPr="0004278D">
        <w:rPr>
          <w:color w:val="000000"/>
        </w:rPr>
        <w:t>fluticasone</w:t>
      </w:r>
      <w:r w:rsidR="003B67B3">
        <w:rPr>
          <w:color w:val="000000"/>
        </w:rPr>
        <w:t xml:space="preserve"> propionate</w:t>
      </w:r>
      <w:r w:rsidR="00B85972" w:rsidRPr="0004278D">
        <w:rPr>
          <w:color w:val="000000"/>
        </w:rPr>
        <w:t>/salmeterol (</w:t>
      </w:r>
      <w:r w:rsidR="00B85972" w:rsidRPr="0031511D">
        <w:rPr>
          <w:color w:val="000000"/>
        </w:rPr>
        <w:t>FLU/SAL 250/25 – Epi 1</w:t>
      </w:r>
      <w:r w:rsidR="00B85972" w:rsidRPr="0004278D">
        <w:rPr>
          <w:color w:val="000000"/>
        </w:rPr>
        <w:t>)</w:t>
      </w:r>
      <w:r w:rsidR="00B85972">
        <w:rPr>
          <w:color w:val="000000"/>
        </w:rPr>
        <w:t xml:space="preserve"> is not refilled on at least two expected supply dates, resulting in a clear therapy break, before being re-continued in 2005 (third bar down </w:t>
      </w:r>
      <w:r w:rsidR="00B85972" w:rsidRPr="0031511D">
        <w:rPr>
          <w:color w:val="000000"/>
        </w:rPr>
        <w:t>FLU/SAL 250/25 – Epi 2</w:t>
      </w:r>
      <w:r w:rsidR="00B85972" w:rsidRPr="0004278D">
        <w:rPr>
          <w:color w:val="000000"/>
        </w:rPr>
        <w:t>)</w:t>
      </w:r>
      <w:r w:rsidR="00B85972">
        <w:rPr>
          <w:color w:val="000000"/>
        </w:rPr>
        <w:t>.</w:t>
      </w:r>
    </w:p>
    <w:p w14:paraId="4D8A4526" w14:textId="11C22F31" w:rsidR="0054495E" w:rsidRPr="0054495E" w:rsidRDefault="0054495E" w:rsidP="0054495E">
      <w:pPr>
        <w:pStyle w:val="BodyText"/>
        <w:rPr>
          <w:color w:val="000000"/>
        </w:rPr>
      </w:pPr>
      <w:r w:rsidRPr="0054495E">
        <w:rPr>
          <w:color w:val="000000"/>
        </w:rPr>
        <w:t>Figure 5.1 also shows (in the second and third blue bars) that tiotropium (TIO 18) and fluticasone</w:t>
      </w:r>
      <w:r w:rsidR="003B67B3">
        <w:rPr>
          <w:color w:val="000000"/>
        </w:rPr>
        <w:t xml:space="preserve"> propionate</w:t>
      </w:r>
      <w:r w:rsidRPr="0054495E">
        <w:rPr>
          <w:color w:val="000000"/>
        </w:rPr>
        <w:t>/salmeterol (FLU/SAL 250/25) are co-prescribed (and likely co-administered) continuously between late 2005 and late 2013. As a consequence, the treatment regimen is estimated (represented by the red bars) for [FLU_SAL 250/25 with TIO 18] Epi-3. The same logic follows for the remaining individual therapy episodes and the corresponding treatment regimens.</w:t>
      </w:r>
    </w:p>
    <w:p w14:paraId="2A66B5AA" w14:textId="4A3DDA2B" w:rsidR="0054495E" w:rsidRDefault="0054495E" w:rsidP="0054495E">
      <w:pPr>
        <w:pStyle w:val="BodyText"/>
        <w:rPr>
          <w:color w:val="000000"/>
        </w:rPr>
      </w:pPr>
      <w:r w:rsidRPr="0054495E">
        <w:rPr>
          <w:color w:val="000000"/>
        </w:rPr>
        <w:t xml:space="preserve">Similar methods have been used for assessing medicine use in Australian populations (Pratt et al, 2011; </w:t>
      </w:r>
      <w:proofErr w:type="spellStart"/>
      <w:r w:rsidRPr="0054495E">
        <w:rPr>
          <w:color w:val="000000"/>
        </w:rPr>
        <w:t>Vitry</w:t>
      </w:r>
      <w:proofErr w:type="spellEnd"/>
      <w:r w:rsidRPr="0054495E">
        <w:rPr>
          <w:color w:val="000000"/>
        </w:rPr>
        <w:t xml:space="preserve"> et al, 2010). Hallas (2005) describes the method and provides references to early variants. This methodology includes a number of the same refinements as implemented by DUSC when analysing concomitant use of medicines in 12-month post-market reviews. Furthe</w:t>
      </w:r>
      <w:r w:rsidR="0020630E">
        <w:rPr>
          <w:color w:val="000000"/>
        </w:rPr>
        <w:t>r explanation of the methods is</w:t>
      </w:r>
      <w:r w:rsidRPr="0054495E">
        <w:rPr>
          <w:color w:val="000000"/>
        </w:rPr>
        <w:t xml:space="preserve"> described in A</w:t>
      </w:r>
      <w:r w:rsidR="00BD2F13">
        <w:rPr>
          <w:color w:val="000000"/>
        </w:rPr>
        <w:t>ppendix R</w:t>
      </w:r>
      <w:r w:rsidRPr="0054495E">
        <w:rPr>
          <w:color w:val="000000"/>
        </w:rPr>
        <w:t>.</w:t>
      </w:r>
    </w:p>
    <w:p w14:paraId="4A99D5E7" w14:textId="2BD56D49" w:rsidR="005D05F5" w:rsidRDefault="005D05F5" w:rsidP="00687947">
      <w:pPr>
        <w:pStyle w:val="BodyText"/>
        <w:rPr>
          <w:color w:val="000000"/>
        </w:rPr>
      </w:pPr>
    </w:p>
    <w:p w14:paraId="511C011C" w14:textId="77777777" w:rsidR="009242DE" w:rsidRDefault="009242DE" w:rsidP="00B85972">
      <w:pPr>
        <w:pStyle w:val="Caption"/>
        <w:sectPr w:rsidR="009242DE" w:rsidSect="00E03983">
          <w:footerReference w:type="default" r:id="rId14"/>
          <w:pgSz w:w="11906" w:h="16838"/>
          <w:pgMar w:top="1134" w:right="1134" w:bottom="1134" w:left="1418" w:header="709" w:footer="709" w:gutter="0"/>
          <w:cols w:space="708"/>
          <w:docGrid w:linePitch="360"/>
        </w:sectPr>
      </w:pPr>
      <w:bookmarkStart w:id="20" w:name="_Ref467944418"/>
      <w:bookmarkStart w:id="21" w:name="_Toc468034568"/>
      <w:bookmarkStart w:id="22" w:name="_Toc473291352"/>
    </w:p>
    <w:p w14:paraId="288F3CBF" w14:textId="3E5B1F54" w:rsidR="00B85972" w:rsidRPr="00FA1142" w:rsidRDefault="00B85972" w:rsidP="0041494E">
      <w:pPr>
        <w:pStyle w:val="ToR5FigureHeader"/>
      </w:pPr>
      <w:bookmarkStart w:id="23" w:name="_Toc486232652"/>
      <w:proofErr w:type="gramStart"/>
      <w:r w:rsidRPr="00FA1142">
        <w:lastRenderedPageBreak/>
        <w:t xml:space="preserve">Figure </w:t>
      </w:r>
      <w:r w:rsidR="00413B05" w:rsidRPr="00FA1142">
        <w:t>5</w:t>
      </w:r>
      <w:r w:rsidRPr="00FA1142">
        <w:t>.</w:t>
      </w:r>
      <w:proofErr w:type="gramEnd"/>
      <w:r w:rsidR="00C43D95">
        <w:fldChar w:fldCharType="begin"/>
      </w:r>
      <w:r w:rsidR="00C43D95">
        <w:instrText xml:space="preserve"> SEQ Figure \* ARABIC \s 1 </w:instrText>
      </w:r>
      <w:r w:rsidR="00C43D95">
        <w:fldChar w:fldCharType="separate"/>
      </w:r>
      <w:r w:rsidR="001F1F1E">
        <w:rPr>
          <w:noProof/>
        </w:rPr>
        <w:t>1</w:t>
      </w:r>
      <w:r w:rsidR="00C43D95">
        <w:rPr>
          <w:noProof/>
        </w:rPr>
        <w:fldChar w:fldCharType="end"/>
      </w:r>
      <w:bookmarkEnd w:id="20"/>
      <w:r w:rsidRPr="00FA1142">
        <w:tab/>
        <w:t>Patient sample showing individual therapy episodes and calculated adjusted treatment regimens</w:t>
      </w:r>
      <w:bookmarkEnd w:id="21"/>
      <w:bookmarkEnd w:id="22"/>
      <w:bookmarkEnd w:id="23"/>
    </w:p>
    <w:p w14:paraId="1A1A2C5A" w14:textId="4C311FF9" w:rsidR="00B85972" w:rsidRDefault="0090782E" w:rsidP="00B85972">
      <w:pPr>
        <w:pStyle w:val="Picturewithbox"/>
      </w:pPr>
      <w:r>
        <w:rPr>
          <w:noProof/>
          <w:lang w:eastAsia="en-AU"/>
        </w:rPr>
        <mc:AlternateContent>
          <mc:Choice Requires="wps">
            <w:drawing>
              <wp:anchor distT="0" distB="0" distL="114300" distR="114300" simplePos="0" relativeHeight="251659264" behindDoc="0" locked="0" layoutInCell="1" allowOverlap="1" wp14:anchorId="2A2E9A5B" wp14:editId="35AA92B1">
                <wp:simplePos x="0" y="0"/>
                <wp:positionH relativeFrom="column">
                  <wp:posOffset>4657725</wp:posOffset>
                </wp:positionH>
                <wp:positionV relativeFrom="paragraph">
                  <wp:posOffset>2536190</wp:posOffset>
                </wp:positionV>
                <wp:extent cx="2324100" cy="43815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438150"/>
                        </a:xfrm>
                        <a:prstGeom prst="rect">
                          <a:avLst/>
                        </a:prstGeom>
                        <a:noFill/>
                        <a:ln w="6350">
                          <a:noFill/>
                        </a:ln>
                        <a:effectLst/>
                      </wps:spPr>
                      <wps:txbx>
                        <w:txbxContent>
                          <w:p w14:paraId="6C75D759" w14:textId="77777777" w:rsidR="00C43D95" w:rsidRPr="00A1666F" w:rsidRDefault="00C43D95" w:rsidP="00B85972">
                            <w:pPr>
                              <w:pStyle w:val="05Tabletext"/>
                            </w:pPr>
                            <w:r w:rsidRPr="00A1666F">
                              <w:t>Adjusted treatment regimens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366.75pt;margin-top:199.7pt;width:18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" filled="f" stroked="f" strokeweight=".5pt">
                <v:path arrowok="t"/>
                <v:textbox>
                  <w:txbxContent>
                    <w:p w14:paraId="6C75D759" w14:textId="77777777" w:rsidR="00C43D95" w:rsidRPr="00A1666F" w:rsidRDefault="00C43D95" w:rsidP="00B85972">
                      <w:pPr>
                        <w:pStyle w:val="05Tabletext"/>
                      </w:pPr>
                      <w:r w:rsidRPr="00A1666F">
                        <w:t>Adjusted treatment regimens</w:t>
                      </w:r>
                    </w:p>
                  </w:txbxContent>
                </v:textbox>
              </v:shape>
            </w:pict>
          </mc:Fallback>
        </mc:AlternateContent>
      </w:r>
      <w:r w:rsidR="00B85972">
        <w:rPr>
          <w:noProof/>
          <w:lang w:eastAsia="en-AU"/>
        </w:rPr>
        <mc:AlternateContent>
          <mc:Choice Requires="wps">
            <w:drawing>
              <wp:anchor distT="0" distB="0" distL="114300" distR="114300" simplePos="0" relativeHeight="251657216" behindDoc="0" locked="0" layoutInCell="1" allowOverlap="1" wp14:anchorId="7251C483" wp14:editId="13A46641">
                <wp:simplePos x="0" y="0"/>
                <wp:positionH relativeFrom="column">
                  <wp:posOffset>4676775</wp:posOffset>
                </wp:positionH>
                <wp:positionV relativeFrom="paragraph">
                  <wp:posOffset>1142365</wp:posOffset>
                </wp:positionV>
                <wp:extent cx="2324100" cy="438150"/>
                <wp:effectExtent l="0" t="0" r="0" b="0"/>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438150"/>
                        </a:xfrm>
                        <a:prstGeom prst="rect">
                          <a:avLst/>
                        </a:prstGeom>
                        <a:noFill/>
                        <a:ln w="6350">
                          <a:noFill/>
                        </a:ln>
                        <a:effectLst/>
                      </wps:spPr>
                      <wps:txbx>
                        <w:txbxContent>
                          <w:p w14:paraId="29577139" w14:textId="77777777" w:rsidR="00C43D95" w:rsidRPr="00A1666F" w:rsidRDefault="00C43D95" w:rsidP="00B85972">
                            <w:pPr>
                              <w:pStyle w:val="05Tabletext"/>
                            </w:pPr>
                            <w:r w:rsidRPr="00A1666F">
                              <w:t>Individual therapy episodes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27" type="#_x0000_t202" style="position:absolute;left:0;text-align:left;margin-left:368.25pt;margin-top:89.95pt;width:183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" filled="f" stroked="f" strokeweight=".5pt">
                <v:path arrowok="t"/>
                <v:textbox>
                  <w:txbxContent>
                    <w:p w14:paraId="29577139" w14:textId="77777777" w:rsidR="00C43D95" w:rsidRPr="00A1666F" w:rsidRDefault="00C43D95" w:rsidP="00B85972">
                      <w:pPr>
                        <w:pStyle w:val="05Tabletext"/>
                      </w:pPr>
                      <w:r w:rsidRPr="00A1666F">
                        <w:t>Individual therapy episodes</w:t>
                      </w:r>
                    </w:p>
                  </w:txbxContent>
                </v:textbox>
              </v:shape>
            </w:pict>
          </mc:Fallback>
        </mc:AlternateContent>
      </w:r>
      <w:r w:rsidR="00B85972" w:rsidRPr="004C1A4B">
        <w:rPr>
          <w:noProof/>
          <w:lang w:eastAsia="en-AU"/>
        </w:rPr>
        <w:t xml:space="preserve"> </w:t>
      </w:r>
      <w:r w:rsidR="00B85972">
        <w:rPr>
          <w:noProof/>
          <w:lang w:eastAsia="en-AU"/>
        </w:rPr>
        <w:drawing>
          <wp:inline distT="0" distB="0" distL="0" distR="0" wp14:anchorId="4CF570F2" wp14:editId="78E92405">
            <wp:extent cx="9255760" cy="3381555"/>
            <wp:effectExtent l="0" t="0" r="2540" b="9525"/>
            <wp:docPr id="31" name="Picture 31" descr="Patient sample showing individual therapy episodes and calculated adjusted treatment regim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66745" cy="3385568"/>
                    </a:xfrm>
                    <a:prstGeom prst="rect">
                      <a:avLst/>
                    </a:prstGeom>
                    <a:noFill/>
                    <a:ln>
                      <a:noFill/>
                    </a:ln>
                  </pic:spPr>
                </pic:pic>
              </a:graphicData>
            </a:graphic>
          </wp:inline>
        </w:drawing>
      </w:r>
    </w:p>
    <w:p w14:paraId="003EA1DE" w14:textId="43209AF6" w:rsidR="00B85972" w:rsidRPr="0041494E" w:rsidRDefault="00B85972" w:rsidP="00B85972">
      <w:pPr>
        <w:pStyle w:val="11TableorFigurefootnotenostick"/>
        <w:rPr>
          <w:sz w:val="18"/>
          <w:szCs w:val="18"/>
        </w:rPr>
      </w:pPr>
      <w:r w:rsidRPr="0041494E">
        <w:rPr>
          <w:sz w:val="18"/>
          <w:szCs w:val="18"/>
        </w:rPr>
        <w:t>Sample taken from estimated treatment regimens: PBS Dispensing records between 1/4/2005 and 31/12/2015 file REQ198_COPD.CSV</w:t>
      </w:r>
    </w:p>
    <w:p w14:paraId="7DD460BE" w14:textId="77777777" w:rsidR="00B85972" w:rsidRDefault="00B85972" w:rsidP="00B85972">
      <w:pPr>
        <w:pStyle w:val="BodyText"/>
        <w:sectPr w:rsidR="00B85972" w:rsidSect="009242DE">
          <w:footerReference w:type="default" r:id="rId16"/>
          <w:pgSz w:w="16838" w:h="11906" w:orient="landscape"/>
          <w:pgMar w:top="1134" w:right="1134" w:bottom="1134" w:left="1134" w:header="709" w:footer="709" w:gutter="0"/>
          <w:cols w:space="708"/>
          <w:docGrid w:linePitch="360"/>
        </w:sectPr>
      </w:pPr>
    </w:p>
    <w:p w14:paraId="57904179" w14:textId="5FCD13C6" w:rsidR="00B85972" w:rsidRPr="00653571" w:rsidRDefault="00DC080C" w:rsidP="00DA6395">
      <w:pPr>
        <w:pStyle w:val="Heading2"/>
      </w:pPr>
      <w:bookmarkStart w:id="24" w:name="_Toc462991999"/>
      <w:bookmarkStart w:id="25" w:name="_Toc473291141"/>
      <w:bookmarkStart w:id="26" w:name="_Toc486231786"/>
      <w:r w:rsidRPr="00653571">
        <w:lastRenderedPageBreak/>
        <w:t xml:space="preserve">5.5 </w:t>
      </w:r>
      <w:r w:rsidRPr="00653571">
        <w:tab/>
      </w:r>
      <w:r w:rsidR="00FA0E74" w:rsidRPr="00653571">
        <w:t>Preliminary analysis</w:t>
      </w:r>
      <w:r w:rsidR="00651525" w:rsidRPr="00653571">
        <w:t xml:space="preserve"> of </w:t>
      </w:r>
      <w:r w:rsidR="00FA0E74" w:rsidRPr="00653571">
        <w:t>COPD</w:t>
      </w:r>
      <w:r w:rsidR="00A24683" w:rsidRPr="00653571">
        <w:t xml:space="preserve"> </w:t>
      </w:r>
      <w:r w:rsidR="00147763" w:rsidRPr="00653571">
        <w:t>PBS/</w:t>
      </w:r>
      <w:r w:rsidR="00A24683" w:rsidRPr="00653571">
        <w:t>RPBS utilisation</w:t>
      </w:r>
      <w:bookmarkEnd w:id="24"/>
      <w:bookmarkEnd w:id="25"/>
      <w:bookmarkEnd w:id="26"/>
    </w:p>
    <w:p w14:paraId="33D26477" w14:textId="49A9A29F" w:rsidR="00B85972" w:rsidRDefault="00E33FA8" w:rsidP="0077015B">
      <w:pPr>
        <w:pStyle w:val="BodyText"/>
      </w:pPr>
      <w:r>
        <w:t xml:space="preserve">Analysis of </w:t>
      </w:r>
      <w:r w:rsidR="00147763">
        <w:t>PBS/</w:t>
      </w:r>
      <w:r>
        <w:t xml:space="preserve">RPBS </w:t>
      </w:r>
      <w:r w:rsidR="007634CF">
        <w:t xml:space="preserve">claims data for the whole market </w:t>
      </w:r>
      <w:r w:rsidR="00B37304">
        <w:t>(</w:t>
      </w:r>
      <w:r w:rsidR="007634CF">
        <w:t>includ</w:t>
      </w:r>
      <w:r w:rsidR="0090782E">
        <w:t>es</w:t>
      </w:r>
      <w:r w:rsidR="007634CF">
        <w:t xml:space="preserve"> all age groups</w:t>
      </w:r>
      <w:r w:rsidR="0090782E">
        <w:t xml:space="preserve"> and</w:t>
      </w:r>
      <w:r w:rsidR="007634CF">
        <w:t xml:space="preserve"> asthma and mixed airways disease patients</w:t>
      </w:r>
      <w:r w:rsidR="00B37304">
        <w:t>)</w:t>
      </w:r>
      <w:r w:rsidR="007634CF">
        <w:t xml:space="preserve"> shows</w:t>
      </w:r>
      <w:r w:rsidR="007634CF" w:rsidRPr="0050490D">
        <w:t xml:space="preserve"> that the total benefits paid in 2016 </w:t>
      </w:r>
      <w:r w:rsidR="007634CF">
        <w:t xml:space="preserve">calendar year </w:t>
      </w:r>
      <w:r w:rsidR="007634CF" w:rsidRPr="0050490D">
        <w:t>for prescriptions for the ‘in-scope’ COPD medicines</w:t>
      </w:r>
      <w:r w:rsidR="007634CF">
        <w:t xml:space="preserve"> </w:t>
      </w:r>
      <w:r w:rsidR="007634CF" w:rsidRPr="0050490D">
        <w:t>(LAMAs, LABAs, LAMA/LABAs and ICS/LABAs) was $299</w:t>
      </w:r>
      <w:r w:rsidR="007634CF">
        <w:t xml:space="preserve"> Million</w:t>
      </w:r>
      <w:r w:rsidR="00CA680D">
        <w:t xml:space="preserve"> (</w:t>
      </w:r>
      <w:r>
        <w:t xml:space="preserve">Refer to Figure </w:t>
      </w:r>
      <w:r w:rsidR="00115404">
        <w:t>5</w:t>
      </w:r>
      <w:r>
        <w:t>.2</w:t>
      </w:r>
      <w:r w:rsidR="00CA680D">
        <w:t>)</w:t>
      </w:r>
      <w:r>
        <w:t xml:space="preserve">. </w:t>
      </w:r>
      <w:r w:rsidR="00B85972">
        <w:t xml:space="preserve">This </w:t>
      </w:r>
      <w:r w:rsidR="00CA680D">
        <w:t xml:space="preserve">number </w:t>
      </w:r>
      <w:r w:rsidR="00B85972">
        <w:t xml:space="preserve">has grown from </w:t>
      </w:r>
      <w:r w:rsidR="00B85972" w:rsidRPr="00054AB9">
        <w:t>$215.2</w:t>
      </w:r>
      <w:r w:rsidR="00B85972">
        <w:t xml:space="preserve"> million in 2006</w:t>
      </w:r>
      <w:r w:rsidR="00B85972" w:rsidRPr="00054AB9">
        <w:t>, which represents an increase in benefits paid of $84.1 million or 39.1%.</w:t>
      </w:r>
    </w:p>
    <w:p w14:paraId="0219DCC7" w14:textId="41E77C56" w:rsidR="00873D47" w:rsidRDefault="00B85972" w:rsidP="00B85972">
      <w:pPr>
        <w:pStyle w:val="BodyText"/>
      </w:pPr>
      <w:r w:rsidRPr="0084308F">
        <w:rPr>
          <w:rFonts w:asciiTheme="majorHAnsi" w:hAnsiTheme="majorHAnsi"/>
        </w:rPr>
        <w:fldChar w:fldCharType="begin"/>
      </w:r>
      <w:r w:rsidRPr="0084308F">
        <w:rPr>
          <w:rFonts w:asciiTheme="majorHAnsi" w:hAnsiTheme="majorHAnsi"/>
        </w:rPr>
        <w:instrText xml:space="preserve"> REF _Ref467951200 \h </w:instrText>
      </w:r>
      <w:r w:rsidR="00F90D90" w:rsidRPr="0084308F">
        <w:rPr>
          <w:rFonts w:asciiTheme="majorHAnsi" w:hAnsiTheme="majorHAnsi"/>
        </w:rPr>
        <w:instrText xml:space="preserve"> \* MERGEFORMAT </w:instrText>
      </w:r>
      <w:r w:rsidRPr="0084308F">
        <w:rPr>
          <w:rFonts w:asciiTheme="majorHAnsi" w:hAnsiTheme="majorHAnsi"/>
        </w:rPr>
      </w:r>
      <w:r w:rsidRPr="0084308F">
        <w:rPr>
          <w:rFonts w:asciiTheme="majorHAnsi" w:hAnsiTheme="majorHAnsi"/>
        </w:rPr>
        <w:fldChar w:fldCharType="separate"/>
      </w:r>
      <w:proofErr w:type="gramStart"/>
      <w:r w:rsidR="001F1F1E" w:rsidRPr="0084308F">
        <w:rPr>
          <w:rFonts w:asciiTheme="majorHAnsi" w:hAnsiTheme="majorHAnsi"/>
          <w:iCs/>
        </w:rPr>
        <w:t>Figure 5.</w:t>
      </w:r>
      <w:proofErr w:type="gramEnd"/>
      <w:r w:rsidRPr="0084308F">
        <w:rPr>
          <w:rFonts w:asciiTheme="majorHAnsi" w:hAnsiTheme="majorHAnsi"/>
        </w:rPr>
        <w:fldChar w:fldCharType="end"/>
      </w:r>
      <w:r w:rsidR="00147763" w:rsidRPr="0084308F">
        <w:rPr>
          <w:rFonts w:asciiTheme="majorHAnsi" w:hAnsiTheme="majorHAnsi"/>
        </w:rPr>
        <w:t>3</w:t>
      </w:r>
      <w:r>
        <w:t xml:space="preserve"> </w:t>
      </w:r>
      <w:r w:rsidRPr="0050490D">
        <w:t>show</w:t>
      </w:r>
      <w:r w:rsidR="0090782E">
        <w:t>s</w:t>
      </w:r>
      <w:r w:rsidRPr="0050490D">
        <w:t xml:space="preserve"> </w:t>
      </w:r>
      <w:r w:rsidR="00147763">
        <w:t>PBS/R</w:t>
      </w:r>
      <w:r w:rsidR="00147763" w:rsidRPr="0050490D">
        <w:t xml:space="preserve">PBS </w:t>
      </w:r>
      <w:r w:rsidR="00147763">
        <w:t>pre</w:t>
      </w:r>
      <w:r w:rsidRPr="0050490D">
        <w:t>script</w:t>
      </w:r>
      <w:r w:rsidR="00147763">
        <w:t>ion</w:t>
      </w:r>
      <w:r w:rsidRPr="0050490D">
        <w:t xml:space="preserve"> volumes in 2016 for </w:t>
      </w:r>
      <w:r w:rsidR="00147763">
        <w:t xml:space="preserve">all ‘in-scope’ COPD medicines </w:t>
      </w:r>
      <w:r w:rsidR="002C4B2B">
        <w:t>(</w:t>
      </w:r>
      <w:r w:rsidR="007634CF">
        <w:t xml:space="preserve">for the whole market including all age groups, </w:t>
      </w:r>
      <w:r w:rsidR="0020630E">
        <w:t xml:space="preserve">and </w:t>
      </w:r>
      <w:r w:rsidR="007634CF">
        <w:t>asthma and mixed airways disease patients</w:t>
      </w:r>
      <w:r w:rsidR="002C4B2B">
        <w:t>)</w:t>
      </w:r>
      <w:r w:rsidR="007634CF">
        <w:t xml:space="preserve"> </w:t>
      </w:r>
      <w:r w:rsidR="00147763">
        <w:t xml:space="preserve">reached approximately </w:t>
      </w:r>
      <w:r w:rsidRPr="0050490D">
        <w:t>5.2 million</w:t>
      </w:r>
      <w:r w:rsidRPr="00054AB9">
        <w:t xml:space="preserve">. This </w:t>
      </w:r>
      <w:r w:rsidR="00CA680D">
        <w:t xml:space="preserve">number </w:t>
      </w:r>
      <w:r w:rsidRPr="00054AB9">
        <w:t>has increased from a total of 3.1 million scripts in 2006, which is an increase o</w:t>
      </w:r>
      <w:r w:rsidR="00C734C2">
        <w:t>f 2.1 million scripts or 70.5%.</w:t>
      </w:r>
    </w:p>
    <w:p w14:paraId="4C338AA3" w14:textId="30098494" w:rsidR="0054495E" w:rsidRDefault="007634CF" w:rsidP="00B85972">
      <w:pPr>
        <w:pStyle w:val="BodyText"/>
      </w:pPr>
      <w:r>
        <w:t xml:space="preserve">Figure 5.4 </w:t>
      </w:r>
      <w:r w:rsidR="002C4B2B">
        <w:t>shows PBS/RPBS prescription volumes by class</w:t>
      </w:r>
      <w:r w:rsidR="0090782E">
        <w:t>.</w:t>
      </w:r>
      <w:r w:rsidR="002C4B2B">
        <w:t xml:space="preserve"> </w:t>
      </w:r>
      <w:r w:rsidR="002C4B2B" w:rsidRPr="0050490D">
        <w:t>LAMAs, LABAs</w:t>
      </w:r>
      <w:r w:rsidR="002C4B2B">
        <w:t xml:space="preserve"> and</w:t>
      </w:r>
      <w:r w:rsidR="002C4B2B" w:rsidRPr="0050490D">
        <w:t xml:space="preserve"> LAMA/LABAs</w:t>
      </w:r>
      <w:r w:rsidR="002C4B2B">
        <w:t xml:space="preserve"> are indicated for use in COPD</w:t>
      </w:r>
      <w:r w:rsidR="00CD42F5">
        <w:t xml:space="preserve"> only</w:t>
      </w:r>
      <w:r w:rsidR="002C4B2B">
        <w:t xml:space="preserve"> patients and total prescription volumes for these </w:t>
      </w:r>
      <w:r w:rsidR="00873D47">
        <w:t xml:space="preserve">COPD only </w:t>
      </w:r>
      <w:r w:rsidR="002C4B2B">
        <w:t>medicines reached 2.5 mi</w:t>
      </w:r>
      <w:r w:rsidR="00873D47">
        <w:t>llion scripts in 2016 (</w:t>
      </w:r>
      <w:r w:rsidR="00CD42F5">
        <w:t xml:space="preserve">noting this </w:t>
      </w:r>
      <w:r w:rsidR="00873D47">
        <w:t>includ</w:t>
      </w:r>
      <w:r w:rsidR="00CD42F5">
        <w:t>es</w:t>
      </w:r>
      <w:r w:rsidR="00873D47">
        <w:t xml:space="preserve"> all patient age groups). This has increased from a total of 1.2 million scripts in 2006,</w:t>
      </w:r>
      <w:r w:rsidR="002C4B2B">
        <w:t xml:space="preserve"> which is an increase of 1.3 million scripts </w:t>
      </w:r>
      <w:r w:rsidR="00873D47">
        <w:t>or 106.8%.</w:t>
      </w:r>
      <w:r w:rsidR="00093A03">
        <w:t xml:space="preserve"> Figure 5.4 also shows that total PBS/RPBS prescription volumes for COPD only medicines declined by 6.0% year on year between 2015 and 2016.</w:t>
      </w:r>
    </w:p>
    <w:p w14:paraId="0B723C50" w14:textId="44CEEA76" w:rsidR="0054495E" w:rsidRDefault="0054495E" w:rsidP="00B85972">
      <w:pPr>
        <w:pStyle w:val="BodyText"/>
      </w:pPr>
      <w:r>
        <w:t>Tiotropium 18</w:t>
      </w:r>
      <w:r w:rsidR="00147763">
        <w:t xml:space="preserve"> </w:t>
      </w:r>
      <w:r w:rsidR="0020630E">
        <w:t xml:space="preserve">µg </w:t>
      </w:r>
      <w:r>
        <w:t>represents the medication with the highest P</w:t>
      </w:r>
      <w:r w:rsidR="00147763">
        <w:t>BS</w:t>
      </w:r>
      <w:r>
        <w:t>/R</w:t>
      </w:r>
      <w:r w:rsidR="00147763">
        <w:t>P</w:t>
      </w:r>
      <w:r w:rsidR="00113033">
        <w:t>B</w:t>
      </w:r>
      <w:r>
        <w:t>S utilisation and expenditure for COPD. ICS/LABA medications represent a significant proportion of prescriptions</w:t>
      </w:r>
      <w:r w:rsidR="0046762F">
        <w:t xml:space="preserve"> and may include patients with asthma.</w:t>
      </w:r>
    </w:p>
    <w:p w14:paraId="00AC0A8F" w14:textId="33B19C0A" w:rsidR="0054495E" w:rsidRDefault="00261CF3" w:rsidP="00B85972">
      <w:pPr>
        <w:pStyle w:val="BodyText"/>
        <w:sectPr w:rsidR="0054495E" w:rsidSect="0054495E">
          <w:footerReference w:type="default" r:id="rId17"/>
          <w:pgSz w:w="11906" w:h="16838"/>
          <w:pgMar w:top="1134" w:right="1134" w:bottom="1134" w:left="1134" w:header="709" w:footer="709" w:gutter="0"/>
          <w:cols w:space="708"/>
          <w:docGrid w:linePitch="360"/>
        </w:sectPr>
      </w:pPr>
      <w:r>
        <w:t xml:space="preserve">There is increasing use of all combination LABA/LAMAs and tiotropium 2.5 </w:t>
      </w:r>
      <w:r w:rsidR="0020630E">
        <w:t xml:space="preserve">µg </w:t>
      </w:r>
      <w:r>
        <w:t xml:space="preserve">between 2015 and 2016. This is not unexpected given these medicines are new to market.   </w:t>
      </w:r>
    </w:p>
    <w:p w14:paraId="788D1BFB" w14:textId="574DAC3F" w:rsidR="00B85972" w:rsidRPr="00653571" w:rsidRDefault="00B85972" w:rsidP="0041494E">
      <w:pPr>
        <w:pStyle w:val="ToR5FigureHeader"/>
      </w:pPr>
      <w:bookmarkStart w:id="27" w:name="_Ref467951120"/>
      <w:bookmarkStart w:id="28" w:name="_Toc468034569"/>
      <w:bookmarkStart w:id="29" w:name="_Toc473291353"/>
      <w:bookmarkStart w:id="30" w:name="_Toc486232653"/>
      <w:bookmarkStart w:id="31" w:name="_Ref462989545"/>
      <w:proofErr w:type="gramStart"/>
      <w:r w:rsidRPr="00653571">
        <w:lastRenderedPageBreak/>
        <w:t xml:space="preserve">Figure </w:t>
      </w:r>
      <w:r w:rsidR="00115404" w:rsidRPr="00653571">
        <w:t>5</w:t>
      </w:r>
      <w:r w:rsidRPr="00653571">
        <w:t>.</w:t>
      </w:r>
      <w:proofErr w:type="gramEnd"/>
      <w:r w:rsidR="00C43D95">
        <w:fldChar w:fldCharType="begin"/>
      </w:r>
      <w:r w:rsidR="00C43D95">
        <w:instrText xml:space="preserve"> SEQ Figure \* ARABIC \s 1 </w:instrText>
      </w:r>
      <w:r w:rsidR="00C43D95">
        <w:fldChar w:fldCharType="separate"/>
      </w:r>
      <w:r w:rsidR="001F1F1E">
        <w:rPr>
          <w:noProof/>
        </w:rPr>
        <w:t>2</w:t>
      </w:r>
      <w:r w:rsidR="00C43D95">
        <w:rPr>
          <w:noProof/>
        </w:rPr>
        <w:fldChar w:fldCharType="end"/>
      </w:r>
      <w:bookmarkEnd w:id="27"/>
      <w:r w:rsidR="00653571">
        <w:tab/>
      </w:r>
      <w:r w:rsidRPr="00653571">
        <w:t xml:space="preserve">COPD </w:t>
      </w:r>
      <w:r w:rsidR="00261CF3" w:rsidRPr="00653571">
        <w:t>PBS/</w:t>
      </w:r>
      <w:r w:rsidR="00AC63AD" w:rsidRPr="00653571">
        <w:t>R</w:t>
      </w:r>
      <w:r w:rsidRPr="00653571">
        <w:t>PBS benefits paid</w:t>
      </w:r>
      <w:r w:rsidR="0020630E">
        <w:t>,</w:t>
      </w:r>
      <w:r w:rsidRPr="00653571">
        <w:t xml:space="preserve"> </w:t>
      </w:r>
      <w:r w:rsidR="006156B2" w:rsidRPr="00653571">
        <w:t xml:space="preserve">total market </w:t>
      </w:r>
      <w:r w:rsidRPr="00653571">
        <w:t xml:space="preserve">by COPD </w:t>
      </w:r>
      <w:r w:rsidR="006156B2" w:rsidRPr="00653571">
        <w:t xml:space="preserve">and asthma </w:t>
      </w:r>
      <w:r w:rsidRPr="00653571">
        <w:t>medicine, 2006 to 201</w:t>
      </w:r>
      <w:bookmarkEnd w:id="28"/>
      <w:bookmarkEnd w:id="29"/>
      <w:r w:rsidRPr="00653571">
        <w:t>6</w:t>
      </w:r>
      <w:bookmarkEnd w:id="30"/>
    </w:p>
    <w:p w14:paraId="58776232" w14:textId="23847A5C" w:rsidR="00B85972" w:rsidRPr="008D66C4" w:rsidRDefault="00AC63AD" w:rsidP="00B85972">
      <w:pPr>
        <w:pStyle w:val="10TableorFigurefootnote"/>
        <w:rPr>
          <w:sz w:val="18"/>
          <w:szCs w:val="18"/>
        </w:rPr>
      </w:pPr>
      <w:r>
        <w:rPr>
          <w:noProof/>
          <w:lang w:eastAsia="en-AU"/>
        </w:rPr>
        <w:drawing>
          <wp:inline distT="0" distB="0" distL="0" distR="0" wp14:anchorId="023BF643" wp14:editId="7BE54F71">
            <wp:extent cx="9040483" cy="5013960"/>
            <wp:effectExtent l="19050" t="19050" r="27940" b="15240"/>
            <wp:docPr id="3" name="Picture 3" title="COPD PBS/RPBS benefits paid total market by COPD and asthma medicine, 2006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6517" cy="5017307"/>
                    </a:xfrm>
                    <a:prstGeom prst="rect">
                      <a:avLst/>
                    </a:prstGeom>
                    <a:noFill/>
                    <a:ln>
                      <a:solidFill>
                        <a:schemeClr val="accent1"/>
                      </a:solidFill>
                    </a:ln>
                  </pic:spPr>
                </pic:pic>
              </a:graphicData>
            </a:graphic>
          </wp:inline>
        </w:drawing>
      </w:r>
      <w:r w:rsidR="00B85972" w:rsidRPr="001A0AE8">
        <w:t xml:space="preserve"> </w:t>
      </w:r>
      <w:r w:rsidR="00B85972" w:rsidRPr="008D66C4">
        <w:rPr>
          <w:sz w:val="18"/>
          <w:szCs w:val="18"/>
        </w:rPr>
        <w:t xml:space="preserve">Source: http://medicarestatistics.humanservices.gov.au/statistics/pbs_item.jsp (accessed </w:t>
      </w:r>
      <w:r w:rsidR="002D2EBD" w:rsidRPr="008D66C4">
        <w:rPr>
          <w:sz w:val="18"/>
          <w:szCs w:val="18"/>
        </w:rPr>
        <w:t>15</w:t>
      </w:r>
      <w:r w:rsidR="00B85972" w:rsidRPr="008D66C4">
        <w:rPr>
          <w:sz w:val="18"/>
          <w:szCs w:val="18"/>
        </w:rPr>
        <w:t xml:space="preserve"> </w:t>
      </w:r>
      <w:r w:rsidR="002D2EBD" w:rsidRPr="008D66C4">
        <w:rPr>
          <w:sz w:val="18"/>
          <w:szCs w:val="18"/>
        </w:rPr>
        <w:t>April</w:t>
      </w:r>
      <w:r w:rsidR="00B85972" w:rsidRPr="008D66C4">
        <w:rPr>
          <w:sz w:val="18"/>
          <w:szCs w:val="18"/>
        </w:rPr>
        <w:t xml:space="preserve"> 2017)</w:t>
      </w:r>
    </w:p>
    <w:p w14:paraId="3E810E0A" w14:textId="22496DC2" w:rsidR="007634CF" w:rsidRPr="008D66C4" w:rsidRDefault="007634CF" w:rsidP="00B85972">
      <w:pPr>
        <w:pStyle w:val="10TableorFigurefootnote"/>
        <w:rPr>
          <w:sz w:val="18"/>
          <w:szCs w:val="18"/>
        </w:rPr>
      </w:pPr>
      <w:r w:rsidRPr="008D66C4">
        <w:rPr>
          <w:sz w:val="18"/>
          <w:szCs w:val="18"/>
        </w:rPr>
        <w:t xml:space="preserve">Includes PBS/RPBS claims data for the whole market including all age groups, </w:t>
      </w:r>
      <w:r w:rsidR="00826E48">
        <w:rPr>
          <w:sz w:val="18"/>
          <w:szCs w:val="18"/>
        </w:rPr>
        <w:t xml:space="preserve">and </w:t>
      </w:r>
      <w:r w:rsidRPr="008D66C4">
        <w:rPr>
          <w:sz w:val="18"/>
          <w:szCs w:val="18"/>
        </w:rPr>
        <w:t>asthma and mixed airways disease patients.</w:t>
      </w:r>
    </w:p>
    <w:p w14:paraId="381EB3B1" w14:textId="0CE05F0D" w:rsidR="005504EA" w:rsidRPr="008D66C4" w:rsidRDefault="00B85972" w:rsidP="008B3393">
      <w:pPr>
        <w:pStyle w:val="11TableorFigurefootnotenostick"/>
        <w:rPr>
          <w:sz w:val="18"/>
          <w:szCs w:val="18"/>
        </w:rPr>
      </w:pPr>
      <w:r w:rsidRPr="008D66C4">
        <w:rPr>
          <w:sz w:val="18"/>
          <w:szCs w:val="18"/>
        </w:rPr>
        <w:t>Abbreviations: COPD, chronic obstructive pulmonary disease; PBS, Pharmaceutical Benefits Scheme.</w:t>
      </w:r>
    </w:p>
    <w:p w14:paraId="2E155C59" w14:textId="77777777" w:rsidR="00B85972" w:rsidRDefault="00B85972" w:rsidP="00B85972">
      <w:pPr>
        <w:autoSpaceDE w:val="0"/>
        <w:autoSpaceDN w:val="0"/>
        <w:adjustRightInd w:val="0"/>
        <w:rPr>
          <w:b/>
          <w:sz w:val="20"/>
          <w:szCs w:val="20"/>
        </w:rPr>
        <w:sectPr w:rsidR="00B85972" w:rsidSect="00AA3B67">
          <w:footerReference w:type="default" r:id="rId19"/>
          <w:pgSz w:w="16838" w:h="11906" w:orient="landscape"/>
          <w:pgMar w:top="1134" w:right="1134" w:bottom="1134" w:left="1134" w:header="709" w:footer="709" w:gutter="0"/>
          <w:cols w:space="708"/>
          <w:docGrid w:linePitch="360"/>
        </w:sectPr>
      </w:pPr>
    </w:p>
    <w:p w14:paraId="6A8694FD" w14:textId="2568CFB2" w:rsidR="00B85972" w:rsidRPr="00653571" w:rsidRDefault="00B85972" w:rsidP="0041494E">
      <w:pPr>
        <w:pStyle w:val="ToR5FigureHeader"/>
      </w:pPr>
      <w:bookmarkStart w:id="32" w:name="_Ref467951200"/>
      <w:bookmarkStart w:id="33" w:name="_Toc468034571"/>
      <w:bookmarkStart w:id="34" w:name="_Toc473291355"/>
      <w:bookmarkStart w:id="35" w:name="_Toc486232654"/>
      <w:r w:rsidRPr="00653571">
        <w:lastRenderedPageBreak/>
        <w:t>Figure</w:t>
      </w:r>
      <w:r w:rsidR="00115404" w:rsidRPr="00653571">
        <w:t xml:space="preserve"> 5</w:t>
      </w:r>
      <w:r w:rsidRPr="00653571">
        <w:t>.</w:t>
      </w:r>
      <w:bookmarkEnd w:id="32"/>
      <w:r w:rsidR="00115404" w:rsidRPr="00653571">
        <w:t>3</w:t>
      </w:r>
      <w:r w:rsidR="00653571">
        <w:tab/>
      </w:r>
      <w:r w:rsidR="007634CF" w:rsidRPr="00653571">
        <w:t xml:space="preserve">COPD PBS/RPBS </w:t>
      </w:r>
      <w:r w:rsidR="00C91D70">
        <w:t xml:space="preserve">dispensed </w:t>
      </w:r>
      <w:r w:rsidR="007634CF" w:rsidRPr="00653571">
        <w:t>script volumes</w:t>
      </w:r>
      <w:r w:rsidR="00826E48">
        <w:t>,</w:t>
      </w:r>
      <w:r w:rsidR="007634CF" w:rsidRPr="00653571">
        <w:t xml:space="preserve"> </w:t>
      </w:r>
      <w:r w:rsidR="006156B2" w:rsidRPr="00653571">
        <w:t xml:space="preserve">total market </w:t>
      </w:r>
      <w:r w:rsidR="007634CF" w:rsidRPr="00653571">
        <w:t xml:space="preserve">by COPD </w:t>
      </w:r>
      <w:r w:rsidR="006156B2" w:rsidRPr="00653571">
        <w:t>and asthma medicine</w:t>
      </w:r>
      <w:r w:rsidR="00826E48">
        <w:t>,</w:t>
      </w:r>
      <w:r w:rsidR="006156B2" w:rsidRPr="00653571">
        <w:t xml:space="preserve"> </w:t>
      </w:r>
      <w:r w:rsidR="007634CF" w:rsidRPr="00653571">
        <w:t>2006 to 2016</w:t>
      </w:r>
      <w:bookmarkEnd w:id="33"/>
      <w:bookmarkEnd w:id="34"/>
      <w:bookmarkEnd w:id="35"/>
    </w:p>
    <w:p w14:paraId="24B42437" w14:textId="621DBAD9" w:rsidR="00AC63AD" w:rsidRDefault="00AC63AD" w:rsidP="00B85972">
      <w:pPr>
        <w:pStyle w:val="10TableorFigurefootnote"/>
      </w:pPr>
      <w:r>
        <w:rPr>
          <w:noProof/>
          <w:lang w:eastAsia="en-AU"/>
        </w:rPr>
        <w:drawing>
          <wp:inline distT="0" distB="0" distL="0" distR="0" wp14:anchorId="4F2D566E" wp14:editId="35209648">
            <wp:extent cx="9396000" cy="4644012"/>
            <wp:effectExtent l="0" t="0" r="0" b="4445"/>
            <wp:docPr id="5" name="Picture 5" title="COPD PBS/RPBS dispensed script volumes total market by COPD and asthma medicine, 2006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96000" cy="4644012"/>
                    </a:xfrm>
                    <a:prstGeom prst="rect">
                      <a:avLst/>
                    </a:prstGeom>
                    <a:noFill/>
                  </pic:spPr>
                </pic:pic>
              </a:graphicData>
            </a:graphic>
          </wp:inline>
        </w:drawing>
      </w:r>
    </w:p>
    <w:p w14:paraId="7642FFD1" w14:textId="7BB4351C" w:rsidR="00B85972" w:rsidRPr="008D66C4" w:rsidRDefault="00B85972" w:rsidP="00B85972">
      <w:pPr>
        <w:pStyle w:val="10TableorFigurefootnote"/>
        <w:rPr>
          <w:sz w:val="18"/>
          <w:szCs w:val="18"/>
        </w:rPr>
      </w:pPr>
      <w:r w:rsidRPr="008D66C4">
        <w:rPr>
          <w:sz w:val="18"/>
          <w:szCs w:val="18"/>
        </w:rPr>
        <w:t>Source: http://medicarestatistics.humanservices.gov.au/statistics/pbs_item.jsp (accessed 1</w:t>
      </w:r>
      <w:r w:rsidR="002D2EBD" w:rsidRPr="008D66C4">
        <w:rPr>
          <w:sz w:val="18"/>
          <w:szCs w:val="18"/>
        </w:rPr>
        <w:t>5</w:t>
      </w:r>
      <w:r w:rsidRPr="008D66C4">
        <w:rPr>
          <w:sz w:val="18"/>
          <w:szCs w:val="18"/>
        </w:rPr>
        <w:t xml:space="preserve"> </w:t>
      </w:r>
      <w:r w:rsidR="002D2EBD" w:rsidRPr="008D66C4">
        <w:rPr>
          <w:sz w:val="18"/>
          <w:szCs w:val="18"/>
        </w:rPr>
        <w:t>April</w:t>
      </w:r>
      <w:r w:rsidR="00826E48">
        <w:rPr>
          <w:sz w:val="18"/>
          <w:szCs w:val="18"/>
        </w:rPr>
        <w:t xml:space="preserve"> 2017)</w:t>
      </w:r>
    </w:p>
    <w:p w14:paraId="2C112352" w14:textId="62FB8493" w:rsidR="007634CF" w:rsidRPr="008D66C4" w:rsidRDefault="007634CF" w:rsidP="00B85972">
      <w:pPr>
        <w:pStyle w:val="10TableorFigurefootnote"/>
        <w:rPr>
          <w:sz w:val="18"/>
          <w:szCs w:val="18"/>
        </w:rPr>
      </w:pPr>
      <w:r w:rsidRPr="008D66C4">
        <w:rPr>
          <w:sz w:val="18"/>
          <w:szCs w:val="18"/>
        </w:rPr>
        <w:t>Includes PBS/RPBS claims data for the whole market including all age groups,</w:t>
      </w:r>
      <w:r w:rsidR="00826E48">
        <w:rPr>
          <w:sz w:val="18"/>
          <w:szCs w:val="18"/>
        </w:rPr>
        <w:t xml:space="preserve"> and</w:t>
      </w:r>
      <w:r w:rsidRPr="008D66C4">
        <w:rPr>
          <w:sz w:val="18"/>
          <w:szCs w:val="18"/>
        </w:rPr>
        <w:t xml:space="preserve"> asthma and mixed airways disease patients.</w:t>
      </w:r>
    </w:p>
    <w:p w14:paraId="035CE852" w14:textId="77777777" w:rsidR="00B85972" w:rsidRPr="008D66C4" w:rsidRDefault="00B85972" w:rsidP="00B85972">
      <w:pPr>
        <w:pStyle w:val="11TableorFigurefootnotenostick"/>
        <w:rPr>
          <w:sz w:val="18"/>
          <w:szCs w:val="18"/>
        </w:rPr>
      </w:pPr>
      <w:r w:rsidRPr="008D66C4">
        <w:rPr>
          <w:sz w:val="18"/>
          <w:szCs w:val="18"/>
        </w:rPr>
        <w:t>Abbreviations: COPD, chronic obstructive pulmonary disease; PBS, Pharmaceutical Benefits Scheme.</w:t>
      </w:r>
    </w:p>
    <w:p w14:paraId="238CE6AE" w14:textId="38963E32" w:rsidR="005504EA" w:rsidRPr="00653571" w:rsidRDefault="005504EA" w:rsidP="0041494E">
      <w:pPr>
        <w:pStyle w:val="ToR5FigureHeader"/>
      </w:pPr>
      <w:bookmarkStart w:id="36" w:name="_Toc486232655"/>
      <w:r w:rsidRPr="00653571">
        <w:lastRenderedPageBreak/>
        <w:t>Figure 5.</w:t>
      </w:r>
      <w:r w:rsidR="007634CF" w:rsidRPr="00653571">
        <w:t>4</w:t>
      </w:r>
      <w:r w:rsidRPr="00653571">
        <w:tab/>
      </w:r>
      <w:r w:rsidR="007634CF" w:rsidRPr="00653571">
        <w:t xml:space="preserve">COPD PBS/RPBS </w:t>
      </w:r>
      <w:r w:rsidR="00C91D70">
        <w:t xml:space="preserve">dispensed </w:t>
      </w:r>
      <w:r w:rsidR="007634CF" w:rsidRPr="00653571">
        <w:t>script volumes and year on year movement</w:t>
      </w:r>
      <w:r w:rsidR="00826E48">
        <w:t>,</w:t>
      </w:r>
      <w:r w:rsidR="006156B2" w:rsidRPr="00653571">
        <w:t xml:space="preserve"> total market</w:t>
      </w:r>
      <w:r w:rsidR="007634CF" w:rsidRPr="00653571">
        <w:t xml:space="preserve"> by COPD </w:t>
      </w:r>
      <w:r w:rsidR="006156B2" w:rsidRPr="00653571">
        <w:t>and asthma medicine class</w:t>
      </w:r>
      <w:r w:rsidR="00826E48">
        <w:t>,</w:t>
      </w:r>
      <w:r w:rsidR="006156B2" w:rsidRPr="00653571">
        <w:t xml:space="preserve"> </w:t>
      </w:r>
      <w:r w:rsidR="007634CF" w:rsidRPr="00653571">
        <w:t>2006 to 2016</w:t>
      </w:r>
      <w:bookmarkEnd w:id="36"/>
    </w:p>
    <w:p w14:paraId="6F7A5F19" w14:textId="463E9305" w:rsidR="005504EA" w:rsidRDefault="007634CF" w:rsidP="005504EA">
      <w:pPr>
        <w:pStyle w:val="10TableorFigurefootnote"/>
      </w:pPr>
      <w:r w:rsidRPr="007634CF">
        <w:rPr>
          <w:noProof/>
          <w:lang w:eastAsia="en-AU"/>
        </w:rPr>
        <w:drawing>
          <wp:inline distT="0" distB="0" distL="0" distR="0" wp14:anchorId="699AF68A" wp14:editId="0CCB5C2E">
            <wp:extent cx="9251950" cy="4496435"/>
            <wp:effectExtent l="19050" t="19050" r="25400" b="18415"/>
            <wp:docPr id="1" name="Picture 1" title="COPD PBS/RPBS dispensed script volumes and year on year movement total market by COPD and asthma medicine class, 2006 t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251950" cy="4496435"/>
                    </a:xfrm>
                    <a:prstGeom prst="rect">
                      <a:avLst/>
                    </a:prstGeom>
                    <a:ln>
                      <a:solidFill>
                        <a:schemeClr val="tx1"/>
                      </a:solidFill>
                    </a:ln>
                  </pic:spPr>
                </pic:pic>
              </a:graphicData>
            </a:graphic>
          </wp:inline>
        </w:drawing>
      </w:r>
    </w:p>
    <w:p w14:paraId="449F43A2" w14:textId="6046D1D3" w:rsidR="005504EA" w:rsidRPr="008D66C4" w:rsidRDefault="005504EA" w:rsidP="005504EA">
      <w:pPr>
        <w:pStyle w:val="10TableorFigurefootnote"/>
        <w:rPr>
          <w:sz w:val="18"/>
          <w:szCs w:val="18"/>
        </w:rPr>
      </w:pPr>
      <w:r w:rsidRPr="008D66C4">
        <w:rPr>
          <w:sz w:val="18"/>
          <w:szCs w:val="18"/>
        </w:rPr>
        <w:t>Source: http://medicarestatistics.humanservices.gov.au/statistics/pbs_item.</w:t>
      </w:r>
      <w:r w:rsidR="00826E48">
        <w:rPr>
          <w:sz w:val="18"/>
          <w:szCs w:val="18"/>
        </w:rPr>
        <w:t>jsp (accessed 15 April 2017)</w:t>
      </w:r>
    </w:p>
    <w:p w14:paraId="5EE1935C" w14:textId="17EC656B" w:rsidR="007634CF" w:rsidRPr="008D66C4" w:rsidRDefault="007634CF" w:rsidP="005504EA">
      <w:pPr>
        <w:pStyle w:val="10TableorFigurefootnote"/>
        <w:rPr>
          <w:sz w:val="18"/>
          <w:szCs w:val="18"/>
        </w:rPr>
      </w:pPr>
      <w:r w:rsidRPr="008D66C4">
        <w:rPr>
          <w:sz w:val="18"/>
          <w:szCs w:val="18"/>
        </w:rPr>
        <w:t>Includes PBS/RPBS claims data for the whole market including all age groups,</w:t>
      </w:r>
      <w:r w:rsidR="00826E48">
        <w:rPr>
          <w:sz w:val="18"/>
          <w:szCs w:val="18"/>
        </w:rPr>
        <w:t xml:space="preserve"> and</w:t>
      </w:r>
      <w:r w:rsidRPr="008D66C4">
        <w:rPr>
          <w:sz w:val="18"/>
          <w:szCs w:val="18"/>
        </w:rPr>
        <w:t xml:space="preserve"> asthma and mixed airways disease patients.</w:t>
      </w:r>
    </w:p>
    <w:p w14:paraId="2CF279F1" w14:textId="77777777" w:rsidR="005504EA" w:rsidRPr="008D66C4" w:rsidRDefault="005504EA" w:rsidP="005504EA">
      <w:pPr>
        <w:pStyle w:val="11TableorFigurefootnotenostick"/>
        <w:rPr>
          <w:sz w:val="18"/>
          <w:szCs w:val="18"/>
        </w:rPr>
      </w:pPr>
      <w:r w:rsidRPr="008D66C4">
        <w:rPr>
          <w:sz w:val="18"/>
          <w:szCs w:val="18"/>
        </w:rPr>
        <w:t>Abbreviations: COPD, chronic obstructive pulmonary disease; PBS, Pharmaceutical Benefits Scheme.</w:t>
      </w:r>
    </w:p>
    <w:p w14:paraId="16AB2FB8" w14:textId="77777777" w:rsidR="005504EA" w:rsidRPr="008B3393" w:rsidRDefault="005504EA" w:rsidP="00975CB4">
      <w:pPr>
        <w:pStyle w:val="BodyText"/>
      </w:pPr>
    </w:p>
    <w:p w14:paraId="1E493AC7" w14:textId="77777777" w:rsidR="00B85972" w:rsidRDefault="00B85972" w:rsidP="00B85972">
      <w:pPr>
        <w:autoSpaceDE w:val="0"/>
        <w:autoSpaceDN w:val="0"/>
        <w:adjustRightInd w:val="0"/>
        <w:rPr>
          <w:b/>
          <w:sz w:val="20"/>
          <w:szCs w:val="20"/>
        </w:rPr>
        <w:sectPr w:rsidR="00B85972" w:rsidSect="00AA3B67">
          <w:pgSz w:w="16838" w:h="11906" w:orient="landscape"/>
          <w:pgMar w:top="1134" w:right="1134" w:bottom="1134" w:left="1134" w:header="709" w:footer="709" w:gutter="0"/>
          <w:cols w:space="708"/>
          <w:docGrid w:linePitch="360"/>
        </w:sectPr>
      </w:pPr>
    </w:p>
    <w:p w14:paraId="09894678" w14:textId="58768C7D" w:rsidR="001F58E9" w:rsidRPr="00653571" w:rsidRDefault="007C1840" w:rsidP="00DA6395">
      <w:pPr>
        <w:pStyle w:val="Heading2"/>
      </w:pPr>
      <w:bookmarkStart w:id="37" w:name="_Toc486231787"/>
      <w:r w:rsidRPr="00653571">
        <w:lastRenderedPageBreak/>
        <w:t>5.</w:t>
      </w:r>
      <w:r w:rsidR="00DC080C" w:rsidRPr="00653571">
        <w:t>6</w:t>
      </w:r>
      <w:r w:rsidRPr="00653571">
        <w:tab/>
      </w:r>
      <w:r w:rsidR="00A24683" w:rsidRPr="00653571">
        <w:t>COPD utilisation analysis</w:t>
      </w:r>
      <w:r w:rsidR="00413B05" w:rsidRPr="00653571">
        <w:t xml:space="preserve"> based on</w:t>
      </w:r>
      <w:r w:rsidR="00261CF3" w:rsidRPr="00653571">
        <w:t xml:space="preserve"> PBS</w:t>
      </w:r>
      <w:r w:rsidR="00413B05" w:rsidRPr="00653571">
        <w:t xml:space="preserve"> individual unit record</w:t>
      </w:r>
      <w:r w:rsidR="00261CF3" w:rsidRPr="00653571">
        <w:t xml:space="preserve"> data</w:t>
      </w:r>
      <w:bookmarkEnd w:id="37"/>
    </w:p>
    <w:p w14:paraId="34F22583" w14:textId="147C51A8" w:rsidR="00E33FA8" w:rsidRPr="00653571" w:rsidRDefault="007C1840" w:rsidP="005D3504">
      <w:pPr>
        <w:pStyle w:val="Heading3"/>
      </w:pPr>
      <w:bookmarkStart w:id="38" w:name="_Toc486231788"/>
      <w:r w:rsidRPr="00AC6B39">
        <w:rPr>
          <w:i w:val="0"/>
        </w:rPr>
        <w:t>5.</w:t>
      </w:r>
      <w:r w:rsidR="00DC080C" w:rsidRPr="00AC6B39">
        <w:rPr>
          <w:i w:val="0"/>
        </w:rPr>
        <w:t>6</w:t>
      </w:r>
      <w:r w:rsidRPr="00AC6B39">
        <w:rPr>
          <w:i w:val="0"/>
        </w:rPr>
        <w:t>.1</w:t>
      </w:r>
      <w:r w:rsidRPr="00653571">
        <w:tab/>
      </w:r>
      <w:r w:rsidR="00413B05" w:rsidRPr="00653571">
        <w:t>D</w:t>
      </w:r>
      <w:r w:rsidR="00DE3FE6" w:rsidRPr="00653571">
        <w:t xml:space="preserve">ata </w:t>
      </w:r>
      <w:r w:rsidR="00413B05" w:rsidRPr="00653571">
        <w:t>inclusions</w:t>
      </w:r>
      <w:bookmarkEnd w:id="38"/>
    </w:p>
    <w:p w14:paraId="6DD97DBA" w14:textId="212936EE" w:rsidR="00651525" w:rsidRPr="0077015B" w:rsidRDefault="00651525" w:rsidP="00651525">
      <w:pPr>
        <w:pStyle w:val="BodyText"/>
      </w:pPr>
      <w:r w:rsidRPr="0050490D">
        <w:t>Out of approximately 113 million prescribing records in the supplied file</w:t>
      </w:r>
      <w:r w:rsidR="00E9194F" w:rsidRPr="00E9194F">
        <w:t xml:space="preserve"> </w:t>
      </w:r>
      <w:r w:rsidR="00E9194F">
        <w:t xml:space="preserve">from the </w:t>
      </w:r>
      <w:proofErr w:type="spellStart"/>
      <w:r w:rsidR="00E9194F">
        <w:t>DoH</w:t>
      </w:r>
      <w:proofErr w:type="spellEnd"/>
      <w:r w:rsidR="00E9194F">
        <w:t xml:space="preserve"> </w:t>
      </w:r>
      <w:r w:rsidR="00FA0E74">
        <w:t>claims</w:t>
      </w:r>
      <w:r w:rsidR="00E9194F" w:rsidRPr="00E9194F">
        <w:t xml:space="preserve"> database</w:t>
      </w:r>
      <w:r w:rsidRPr="0050490D">
        <w:t xml:space="preserve">, 73.5 million records were excluded immediately as they </w:t>
      </w:r>
      <w:r>
        <w:t>we</w:t>
      </w:r>
      <w:r w:rsidRPr="0050490D">
        <w:t>re not</w:t>
      </w:r>
      <w:r w:rsidR="00826E48">
        <w:t xml:space="preserve"> for</w:t>
      </w:r>
      <w:r w:rsidRPr="0050490D">
        <w:t xml:space="preserve"> long-acting bronchodilators used to manage COPD. The remaining 39.5 million</w:t>
      </w:r>
      <w:r w:rsidRPr="00002CBE">
        <w:t xml:space="preserve"> records relate to ‘in-scope’ COPD medicines</w:t>
      </w:r>
      <w:r w:rsidR="00CD42F5">
        <w:t xml:space="preserve"> (see Appendix Q for additional data)</w:t>
      </w:r>
      <w:r w:rsidR="008D6B5F">
        <w:t xml:space="preserve">. </w:t>
      </w:r>
    </w:p>
    <w:p w14:paraId="72611E1E" w14:textId="50106CC2" w:rsidR="00B85972" w:rsidRDefault="00B85972" w:rsidP="00B85972">
      <w:pPr>
        <w:pStyle w:val="BodyText"/>
      </w:pPr>
      <w:proofErr w:type="gramStart"/>
      <w:r w:rsidRPr="0050490D">
        <w:t>For the purposes of identifying the extent of co-prescribing and use that is inconsistent with clinical guidelines, the COPD cohort was further refined.</w:t>
      </w:r>
      <w:proofErr w:type="gramEnd"/>
      <w:r w:rsidRPr="0050490D">
        <w:t xml:space="preserve"> A further 27.2 million records were excluded for patients that did not initiate to the</w:t>
      </w:r>
      <w:r w:rsidR="00826E48">
        <w:t>rapies within the period from 1 </w:t>
      </w:r>
      <w:r w:rsidRPr="0050490D">
        <w:t>November</w:t>
      </w:r>
      <w:r>
        <w:t> </w:t>
      </w:r>
      <w:r w:rsidRPr="0050490D">
        <w:t xml:space="preserve">2008 to 31 October 2016 (allowing for a </w:t>
      </w:r>
      <w:r w:rsidR="002325FE">
        <w:t xml:space="preserve">minimum </w:t>
      </w:r>
      <w:r w:rsidRPr="0050490D">
        <w:t xml:space="preserve">two-year look-back). This </w:t>
      </w:r>
      <w:r w:rsidR="002325FE">
        <w:t xml:space="preserve">allows a consistent commencement period of the analysis </w:t>
      </w:r>
      <w:r w:rsidRPr="0050490D">
        <w:t xml:space="preserve">when trying to develop </w:t>
      </w:r>
      <w:r w:rsidRPr="00CD42F5">
        <w:t>an understanding of regimen switches and additions, as well as therapy initiations that are typical for this patient pop</w:t>
      </w:r>
      <w:r w:rsidRPr="0050490D">
        <w:t>ulation</w:t>
      </w:r>
      <w:r>
        <w:t>.</w:t>
      </w:r>
    </w:p>
    <w:p w14:paraId="3D780C98" w14:textId="6E32BB4F" w:rsidR="00FB4D32" w:rsidRDefault="00B85972" w:rsidP="00B85972">
      <w:pPr>
        <w:pStyle w:val="BodyText"/>
      </w:pPr>
      <w:r w:rsidRPr="0050490D">
        <w:t xml:space="preserve">Of the remaining 12.3 million records, 5.9 million related to patients that had initiated to ICS/LABA class drugs. As initiating to ICS/LABA is </w:t>
      </w:r>
      <w:r>
        <w:t>generally not recommended in clinical guidelines</w:t>
      </w:r>
      <w:r w:rsidR="0094066B">
        <w:t xml:space="preserve"> or PBS restrictions </w:t>
      </w:r>
      <w:r>
        <w:t xml:space="preserve"> for</w:t>
      </w:r>
      <w:r w:rsidRPr="0050490D">
        <w:t xml:space="preserve"> COPD, these patients were also excluded leaving 6.4 million records in the final ‘likely COPD’ cohort</w:t>
      </w:r>
      <w:r w:rsidR="002325FE">
        <w:t>.</w:t>
      </w:r>
    </w:p>
    <w:p w14:paraId="68D27479" w14:textId="452D03E1" w:rsidR="00B85972" w:rsidRDefault="00047AA2" w:rsidP="00B85972">
      <w:pPr>
        <w:pStyle w:val="BodyText"/>
      </w:pPr>
      <w:r>
        <w:t>Acknowledging that the</w:t>
      </w:r>
      <w:r w:rsidR="006156B2" w:rsidRPr="00CD42F5">
        <w:t xml:space="preserve"> </w:t>
      </w:r>
      <w:r w:rsidR="00CD42F5" w:rsidRPr="00CD42F5">
        <w:t>refinements</w:t>
      </w:r>
      <w:r>
        <w:t xml:space="preserve"> discussed above </w:t>
      </w:r>
      <w:r w:rsidR="00CD42F5" w:rsidRPr="00CD42F5">
        <w:t>will underestim</w:t>
      </w:r>
      <w:r>
        <w:t>ate the number of COPD patients</w:t>
      </w:r>
      <w:r w:rsidR="00FB4D32" w:rsidRPr="00CD42F5">
        <w:t xml:space="preserve">, </w:t>
      </w:r>
      <w:r>
        <w:t>th</w:t>
      </w:r>
      <w:r w:rsidR="00B85972" w:rsidRPr="00CD42F5">
        <w:t xml:space="preserve">e final COPD cohort represents </w:t>
      </w:r>
      <w:r w:rsidR="00AA6A49" w:rsidRPr="00975CB4">
        <w:t>310</w:t>
      </w:r>
      <w:r w:rsidR="00B85972" w:rsidRPr="00AA6A49">
        <w:t>,</w:t>
      </w:r>
      <w:r w:rsidR="00AA6A49">
        <w:t>557</w:t>
      </w:r>
      <w:r w:rsidR="00AA6A49" w:rsidRPr="00CD42F5">
        <w:t xml:space="preserve"> </w:t>
      </w:r>
      <w:r w:rsidR="00B85972" w:rsidRPr="00CD42F5">
        <w:t>unique patients that have been prescribed at least one COPD medicine</w:t>
      </w:r>
      <w:r w:rsidR="00CD42F5">
        <w:t xml:space="preserve"> and at least one subsequent refill</w:t>
      </w:r>
      <w:r w:rsidR="00B85972" w:rsidRPr="00CD42F5">
        <w:t xml:space="preserve"> in the 8 years between </w:t>
      </w:r>
      <w:proofErr w:type="gramStart"/>
      <w:r w:rsidR="00B85972" w:rsidRPr="00CD42F5">
        <w:t xml:space="preserve">1 </w:t>
      </w:r>
      <w:r w:rsidR="00826E48">
        <w:t> </w:t>
      </w:r>
      <w:r w:rsidR="00B85972" w:rsidRPr="00CD42F5">
        <w:t>November</w:t>
      </w:r>
      <w:proofErr w:type="gramEnd"/>
      <w:r w:rsidR="00B85972" w:rsidRPr="00CD42F5">
        <w:t xml:space="preserve"> 2008 and 31 October 2016.</w:t>
      </w:r>
    </w:p>
    <w:p w14:paraId="1E0258B2" w14:textId="6617C88A" w:rsidR="00E33FA8" w:rsidRPr="00653571" w:rsidRDefault="007C1840" w:rsidP="005D3504">
      <w:pPr>
        <w:pStyle w:val="Heading3"/>
      </w:pPr>
      <w:bookmarkStart w:id="39" w:name="_Toc486231789"/>
      <w:r w:rsidRPr="00653571">
        <w:t>5.</w:t>
      </w:r>
      <w:r w:rsidR="00DC080C" w:rsidRPr="00653571">
        <w:t>6</w:t>
      </w:r>
      <w:r w:rsidRPr="00653571">
        <w:t>.2</w:t>
      </w:r>
      <w:r w:rsidRPr="00653571">
        <w:tab/>
      </w:r>
      <w:r w:rsidR="00E33FA8" w:rsidRPr="00653571">
        <w:t>Monthly prescriptions</w:t>
      </w:r>
      <w:bookmarkEnd w:id="39"/>
    </w:p>
    <w:p w14:paraId="02B8C64A" w14:textId="177E8343" w:rsidR="009A2144" w:rsidRDefault="000C3295" w:rsidP="00B85972">
      <w:pPr>
        <w:pStyle w:val="BodyText"/>
      </w:pPr>
      <w:r>
        <w:t xml:space="preserve">Figure 5.6 (Figure 5.6 represents the analysis shown in Figure 5.5 with the exclusion of </w:t>
      </w:r>
      <w:r w:rsidRPr="00F745CA">
        <w:t xml:space="preserve">Tiotropium 18 </w:t>
      </w:r>
      <w:proofErr w:type="spellStart"/>
      <w:r w:rsidRPr="00F745CA">
        <w:t>μg</w:t>
      </w:r>
      <w:proofErr w:type="spellEnd"/>
      <w:r>
        <w:t xml:space="preserve"> to provide better visibility of the other COPD medicines)</w:t>
      </w:r>
      <w:r w:rsidR="00F745CA">
        <w:t xml:space="preserve"> and Table 5.</w:t>
      </w:r>
      <w:r w:rsidR="0041494E">
        <w:t>2</w:t>
      </w:r>
      <w:r w:rsidR="00B85972">
        <w:t xml:space="preserve"> </w:t>
      </w:r>
      <w:r w:rsidR="00B85972" w:rsidRPr="0050490D">
        <w:t xml:space="preserve">present the </w:t>
      </w:r>
      <w:r w:rsidR="00C91D70">
        <w:t xml:space="preserve">dispensed </w:t>
      </w:r>
      <w:r w:rsidR="00B85972" w:rsidRPr="0050490D">
        <w:t>script volumes by month</w:t>
      </w:r>
      <w:r w:rsidR="00730670">
        <w:t xml:space="preserve"> between November 2012 and October 2016</w:t>
      </w:r>
      <w:r w:rsidR="00B85972" w:rsidRPr="0050490D">
        <w:t xml:space="preserve"> for the</w:t>
      </w:r>
      <w:r w:rsidR="00785B3E">
        <w:t xml:space="preserve"> cohort of</w:t>
      </w:r>
      <w:r w:rsidR="00B85972" w:rsidRPr="0050490D">
        <w:t xml:space="preserve"> </w:t>
      </w:r>
      <w:r w:rsidR="00730670">
        <w:t>patients initiating to LABA, LAMA and LABA/LAMA between November 2008 and October 2012</w:t>
      </w:r>
      <w:r w:rsidR="00122921">
        <w:t xml:space="preserve"> based</w:t>
      </w:r>
      <w:r w:rsidR="00730670">
        <w:t xml:space="preserve"> on</w:t>
      </w:r>
      <w:r w:rsidR="00122921">
        <w:t xml:space="preserve"> </w:t>
      </w:r>
      <w:r w:rsidR="009D302F">
        <w:t>PBS/RPBS</w:t>
      </w:r>
      <w:r w:rsidR="00122921">
        <w:t xml:space="preserve"> claims data</w:t>
      </w:r>
      <w:r w:rsidR="00B85972" w:rsidRPr="0050490D">
        <w:t xml:space="preserve">. </w:t>
      </w:r>
      <w:r w:rsidR="00826E48">
        <w:t>This analysis was undertaken</w:t>
      </w:r>
      <w:r w:rsidR="009A2144">
        <w:t xml:space="preserve"> to better understand</w:t>
      </w:r>
      <w:r w:rsidR="00820FAD">
        <w:t xml:space="preserve"> the</w:t>
      </w:r>
      <w:r w:rsidR="009A2144">
        <w:t xml:space="preserve"> utilisation of COPD medicines </w:t>
      </w:r>
      <w:r w:rsidR="00820FAD">
        <w:t xml:space="preserve">in the latter part of the study period that includes the most recent PBS listed medicines </w:t>
      </w:r>
      <w:r w:rsidR="009A2144">
        <w:t>for a consistent patient cohort.</w:t>
      </w:r>
    </w:p>
    <w:p w14:paraId="1C8AD569" w14:textId="1529EAB3" w:rsidR="00E177CD" w:rsidRPr="00F745CA" w:rsidRDefault="00122921" w:rsidP="00E177CD">
      <w:pPr>
        <w:pStyle w:val="BodyText"/>
      </w:pPr>
      <w:r w:rsidRPr="00F745CA">
        <w:t>The analysis is based on date of supply of prescriptions</w:t>
      </w:r>
      <w:r w:rsidR="0046762F" w:rsidRPr="00F745CA">
        <w:t xml:space="preserve"> and excludes ICS/LABA initiations</w:t>
      </w:r>
      <w:r w:rsidRPr="00F745CA">
        <w:t xml:space="preserve">. </w:t>
      </w:r>
      <w:r w:rsidR="00B85972" w:rsidRPr="00F745CA">
        <w:t>Seasonal stockpiling towards the end of each calendar year can</w:t>
      </w:r>
      <w:r w:rsidR="00826E48">
        <w:t xml:space="preserve"> clearly be seen. Tiotropium 18 </w:t>
      </w:r>
      <w:proofErr w:type="spellStart"/>
      <w:r w:rsidR="00B85972" w:rsidRPr="00F745CA">
        <w:t>μg</w:t>
      </w:r>
      <w:proofErr w:type="spellEnd"/>
      <w:r w:rsidR="00B85972" w:rsidRPr="00F745CA">
        <w:t xml:space="preserve"> and fluticasone</w:t>
      </w:r>
      <w:r w:rsidR="003B67B3">
        <w:t xml:space="preserve"> propionate</w:t>
      </w:r>
      <w:r w:rsidR="00B85972" w:rsidRPr="00F745CA">
        <w:t xml:space="preserve">/salmeterol 250/25 </w:t>
      </w:r>
      <w:proofErr w:type="spellStart"/>
      <w:r w:rsidR="00B85972" w:rsidRPr="00F745CA">
        <w:t>μg</w:t>
      </w:r>
      <w:proofErr w:type="spellEnd"/>
      <w:r w:rsidR="00B85972" w:rsidRPr="00F745CA">
        <w:t xml:space="preserve"> are responsible for the largest share of the script volumes</w:t>
      </w:r>
      <w:r w:rsidR="00820FAD" w:rsidRPr="00F745CA">
        <w:t xml:space="preserve"> throughout the study period</w:t>
      </w:r>
      <w:r w:rsidR="00B85972" w:rsidRPr="00F745CA">
        <w:t xml:space="preserve">. </w:t>
      </w:r>
      <w:r w:rsidR="00BE1830" w:rsidRPr="00975CB4">
        <w:t>In November 2012</w:t>
      </w:r>
      <w:r w:rsidR="00B85972" w:rsidRPr="00F745CA">
        <w:t>, they account</w:t>
      </w:r>
      <w:r w:rsidR="009A2144" w:rsidRPr="00975CB4">
        <w:t xml:space="preserve">ed </w:t>
      </w:r>
      <w:r w:rsidR="00B85972" w:rsidRPr="00F745CA">
        <w:t xml:space="preserve">for </w:t>
      </w:r>
      <w:r w:rsidR="00BE1830" w:rsidRPr="00975CB4">
        <w:t>7</w:t>
      </w:r>
      <w:r w:rsidR="00A87877" w:rsidRPr="00975CB4">
        <w:t>5</w:t>
      </w:r>
      <w:r w:rsidR="00BE1830" w:rsidRPr="00975CB4">
        <w:t>.</w:t>
      </w:r>
      <w:r w:rsidR="00A87877" w:rsidRPr="00A87877">
        <w:t>4</w:t>
      </w:r>
      <w:r w:rsidR="00826E48">
        <w:t>% and</w:t>
      </w:r>
      <w:r w:rsidR="00BE1830" w:rsidRPr="00975CB4">
        <w:t xml:space="preserve"> 1</w:t>
      </w:r>
      <w:r w:rsidR="00A87877" w:rsidRPr="00975CB4">
        <w:t>1</w:t>
      </w:r>
      <w:r w:rsidR="00BE1830" w:rsidRPr="00975CB4">
        <w:t>.</w:t>
      </w:r>
      <w:r w:rsidR="00A87877" w:rsidRPr="00A87877">
        <w:t>9</w:t>
      </w:r>
      <w:r w:rsidR="00826E48">
        <w:t>%</w:t>
      </w:r>
      <w:r w:rsidR="00BE1830" w:rsidRPr="00975CB4">
        <w:t xml:space="preserve"> of scripts</w:t>
      </w:r>
      <w:r w:rsidR="00B85972" w:rsidRPr="00F745CA">
        <w:t>, respectively</w:t>
      </w:r>
      <w:r w:rsidR="00BE1830" w:rsidRPr="00975CB4">
        <w:t xml:space="preserve">. By October 2016, Tiotropium 18 </w:t>
      </w:r>
      <w:proofErr w:type="spellStart"/>
      <w:r w:rsidR="00BE1830" w:rsidRPr="00F745CA">
        <w:t>μg</w:t>
      </w:r>
      <w:proofErr w:type="spellEnd"/>
      <w:r w:rsidR="00BE1830" w:rsidRPr="00F745CA">
        <w:t xml:space="preserve"> and fluticasone</w:t>
      </w:r>
      <w:r w:rsidR="003B67B3">
        <w:t xml:space="preserve"> propionate</w:t>
      </w:r>
      <w:r w:rsidR="00BE1830" w:rsidRPr="00F745CA">
        <w:t xml:space="preserve">/salmeterol 250/25 </w:t>
      </w:r>
      <w:proofErr w:type="spellStart"/>
      <w:r w:rsidR="00BE1830" w:rsidRPr="00F745CA">
        <w:t>μg</w:t>
      </w:r>
      <w:proofErr w:type="spellEnd"/>
      <w:r w:rsidR="00BE1830" w:rsidRPr="00F745CA">
        <w:t xml:space="preserve"> accounted f</w:t>
      </w:r>
      <w:r w:rsidR="00BE1830" w:rsidRPr="00A87877">
        <w:t xml:space="preserve">or </w:t>
      </w:r>
      <w:r w:rsidR="00A87877" w:rsidRPr="00975CB4">
        <w:t>48.7</w:t>
      </w:r>
      <w:r w:rsidR="00826E48">
        <w:t xml:space="preserve">% </w:t>
      </w:r>
      <w:r w:rsidR="00BE1830" w:rsidRPr="00A87877">
        <w:t>and 12.</w:t>
      </w:r>
      <w:r w:rsidR="00A87877" w:rsidRPr="00A87877">
        <w:t>4</w:t>
      </w:r>
      <w:r w:rsidR="00826E48">
        <w:t xml:space="preserve">% </w:t>
      </w:r>
      <w:r w:rsidR="00BE1830" w:rsidRPr="00F745CA">
        <w:t>of scripts</w:t>
      </w:r>
      <w:r w:rsidR="00785B3E" w:rsidRPr="00975CB4">
        <w:t>,</w:t>
      </w:r>
      <w:r w:rsidR="00BE1830" w:rsidRPr="00F745CA">
        <w:t xml:space="preserve"> respectively</w:t>
      </w:r>
      <w:r w:rsidR="00413B05" w:rsidRPr="00F745CA">
        <w:t xml:space="preserve">. </w:t>
      </w:r>
      <w:r w:rsidR="00826E48">
        <w:t xml:space="preserve">It </w:t>
      </w:r>
      <w:r w:rsidR="00826E48">
        <w:lastRenderedPageBreak/>
        <w:t>is</w:t>
      </w:r>
      <w:r w:rsidR="00785B3E" w:rsidRPr="00F745CA">
        <w:t xml:space="preserve"> not possible to isolate </w:t>
      </w:r>
      <w:r w:rsidR="00900C43" w:rsidRPr="00975CB4">
        <w:t xml:space="preserve">and measure </w:t>
      </w:r>
      <w:r w:rsidR="00785B3E" w:rsidRPr="00F745CA">
        <w:t xml:space="preserve">the </w:t>
      </w:r>
      <w:r w:rsidR="00900C43" w:rsidRPr="00975CB4">
        <w:t>factors responsible</w:t>
      </w:r>
      <w:r w:rsidR="00785B3E" w:rsidRPr="00F745CA">
        <w:t xml:space="preserve"> for the </w:t>
      </w:r>
      <w:r w:rsidR="009A2144" w:rsidRPr="00975CB4">
        <w:t>decline</w:t>
      </w:r>
      <w:r w:rsidR="00785B3E" w:rsidRPr="00F745CA">
        <w:t xml:space="preserve"> in the utilisation of Tiotropium 18 </w:t>
      </w:r>
      <w:proofErr w:type="spellStart"/>
      <w:r w:rsidR="00785B3E" w:rsidRPr="00975CB4">
        <w:t>μg</w:t>
      </w:r>
      <w:proofErr w:type="spellEnd"/>
      <w:r w:rsidR="00826E48">
        <w:t>. C</w:t>
      </w:r>
      <w:r w:rsidR="00785B3E" w:rsidRPr="00F745CA">
        <w:t xml:space="preserve">ontributing factors </w:t>
      </w:r>
      <w:r w:rsidR="00820FAD" w:rsidRPr="00975CB4">
        <w:t>will</w:t>
      </w:r>
      <w:r w:rsidR="00785B3E" w:rsidRPr="00F745CA">
        <w:t xml:space="preserve"> include patient deaths (which do not feature in the data</w:t>
      </w:r>
      <w:r w:rsidR="00826E48">
        <w:t xml:space="preserve"> set</w:t>
      </w:r>
      <w:r w:rsidR="00785B3E" w:rsidRPr="00F745CA">
        <w:t>), switches</w:t>
      </w:r>
      <w:r w:rsidR="009A2144" w:rsidRPr="00975CB4">
        <w:t xml:space="preserve"> to newer</w:t>
      </w:r>
      <w:r w:rsidR="00826E48">
        <w:t xml:space="preserve"> and alternative</w:t>
      </w:r>
      <w:r w:rsidR="009A2144" w:rsidRPr="00975CB4">
        <w:t xml:space="preserve"> COPD medicines</w:t>
      </w:r>
      <w:r w:rsidR="00826E48">
        <w:t>,</w:t>
      </w:r>
      <w:r w:rsidR="00785B3E" w:rsidRPr="00F745CA">
        <w:t xml:space="preserve"> and </w:t>
      </w:r>
      <w:r w:rsidR="00820FAD" w:rsidRPr="00975CB4">
        <w:t>potentially</w:t>
      </w:r>
      <w:r w:rsidR="00785B3E" w:rsidRPr="00F745CA">
        <w:t xml:space="preserve"> discontinued use</w:t>
      </w:r>
      <w:r w:rsidR="009A2144" w:rsidRPr="00975CB4">
        <w:t xml:space="preserve"> of Tiotropium 18 </w:t>
      </w:r>
      <w:proofErr w:type="spellStart"/>
      <w:r w:rsidR="009A2144" w:rsidRPr="00975CB4">
        <w:t>μg</w:t>
      </w:r>
      <w:proofErr w:type="spellEnd"/>
      <w:r w:rsidR="00785B3E" w:rsidRPr="00F745CA">
        <w:t xml:space="preserve"> in cases where the patient is subsequently diagnosed with asthma.</w:t>
      </w:r>
      <w:r w:rsidR="009A2144" w:rsidRPr="00F745CA">
        <w:t xml:space="preserve"> </w:t>
      </w:r>
      <w:r w:rsidR="00E177CD">
        <w:t xml:space="preserve">The </w:t>
      </w:r>
      <w:r w:rsidR="00E177CD" w:rsidRPr="00975CB4">
        <w:t>result</w:t>
      </w:r>
      <w:r w:rsidR="00E177CD">
        <w:t>s</w:t>
      </w:r>
      <w:r w:rsidR="00E177CD" w:rsidRPr="00975CB4">
        <w:t xml:space="preserve"> underline that ICS/LABA use </w:t>
      </w:r>
      <w:r w:rsidR="00E177CD">
        <w:t>remains</w:t>
      </w:r>
      <w:r w:rsidR="00E177CD" w:rsidRPr="00975CB4">
        <w:t xml:space="preserve"> a</w:t>
      </w:r>
      <w:r w:rsidR="00E177CD">
        <w:t xml:space="preserve"> dominant feature</w:t>
      </w:r>
      <w:r w:rsidR="00E177CD" w:rsidRPr="00975CB4">
        <w:t xml:space="preserve"> </w:t>
      </w:r>
      <w:r w:rsidR="00E177CD">
        <w:t xml:space="preserve">of </w:t>
      </w:r>
      <w:r w:rsidR="00E177CD" w:rsidRPr="00975CB4">
        <w:t>therapy in the management of COPD.</w:t>
      </w:r>
    </w:p>
    <w:p w14:paraId="6CCB3FCA" w14:textId="6B468FC1" w:rsidR="00B85972" w:rsidRDefault="00F745CA" w:rsidP="00B85972">
      <w:pPr>
        <w:pStyle w:val="BodyText"/>
      </w:pPr>
      <w:r>
        <w:t>Table 5.</w:t>
      </w:r>
      <w:r w:rsidR="0041494E">
        <w:t>2</w:t>
      </w:r>
      <w:r w:rsidR="00785B3E" w:rsidRPr="00F745CA">
        <w:t xml:space="preserve"> clearly demonstrates </w:t>
      </w:r>
      <w:r w:rsidR="009A2144" w:rsidRPr="00F745CA">
        <w:t>a downward trend in overall utilisation for COPD medicines</w:t>
      </w:r>
      <w:r w:rsidR="00826E48">
        <w:t xml:space="preserve">. </w:t>
      </w:r>
      <w:proofErr w:type="gramStart"/>
      <w:r w:rsidR="00826E48">
        <w:t>Y</w:t>
      </w:r>
      <w:r w:rsidR="009A2144" w:rsidRPr="00F745CA">
        <w:t>ear on year comparisons for each quarter</w:t>
      </w:r>
      <w:r w:rsidR="00820FAD" w:rsidRPr="00975CB4">
        <w:t xml:space="preserve"> show a reduction in every quarter with the exception of quarter 4, 2016 (noting that this quarter is extrapolated)</w:t>
      </w:r>
      <w:r w:rsidR="00653571">
        <w:t>.</w:t>
      </w:r>
      <w:proofErr w:type="gramEnd"/>
      <w:r w:rsidR="00653571">
        <w:t xml:space="preserve"> </w:t>
      </w:r>
      <w:r w:rsidR="009A2144" w:rsidRPr="00F745CA">
        <w:t>As before</w:t>
      </w:r>
      <w:r w:rsidR="00820FAD" w:rsidRPr="00975CB4">
        <w:t>,</w:t>
      </w:r>
      <w:r w:rsidR="009A2144" w:rsidRPr="00F745CA">
        <w:t xml:space="preserve"> it is not possible to </w:t>
      </w:r>
      <w:r w:rsidR="00820FAD" w:rsidRPr="00975CB4">
        <w:t xml:space="preserve">provide any detail </w:t>
      </w:r>
      <w:r w:rsidR="009A2144" w:rsidRPr="00F745CA">
        <w:t>on the proportion of p</w:t>
      </w:r>
      <w:r w:rsidR="00E177CD">
        <w:t>atients that discontinue</w:t>
      </w:r>
      <w:r w:rsidR="00A87877">
        <w:t xml:space="preserve"> </w:t>
      </w:r>
      <w:r w:rsidR="00E177CD">
        <w:t>therapy, including due to patient death</w:t>
      </w:r>
      <w:r w:rsidR="009A2144" w:rsidRPr="00F745CA">
        <w:t>.</w:t>
      </w:r>
    </w:p>
    <w:p w14:paraId="4C5B0F8F" w14:textId="2165C195" w:rsidR="00B85972" w:rsidRDefault="00B85972" w:rsidP="00B85972">
      <w:pPr>
        <w:pStyle w:val="BodyText"/>
      </w:pPr>
      <w:r w:rsidRPr="00721457">
        <w:fldChar w:fldCharType="begin"/>
      </w:r>
      <w:r w:rsidRPr="00721457">
        <w:instrText xml:space="preserve"> REF _Ref467957831 \h </w:instrText>
      </w:r>
      <w:r w:rsidR="00721457">
        <w:instrText xml:space="preserve"> \* MERGEFORMAT </w:instrText>
      </w:r>
      <w:r w:rsidRPr="00721457">
        <w:fldChar w:fldCharType="separate"/>
      </w:r>
      <w:proofErr w:type="gramStart"/>
      <w:r w:rsidR="001F1F1E" w:rsidRPr="0084308F">
        <w:t>Figure</w:t>
      </w:r>
      <w:r w:rsidR="00E177CD">
        <w:t>s</w:t>
      </w:r>
      <w:r w:rsidR="001F1F1E" w:rsidRPr="0084308F">
        <w:t xml:space="preserve"> 5.</w:t>
      </w:r>
      <w:proofErr w:type="gramEnd"/>
      <w:r w:rsidRPr="00721457">
        <w:fldChar w:fldCharType="end"/>
      </w:r>
      <w:r w:rsidR="00F745CA" w:rsidRPr="00721457">
        <w:t>5</w:t>
      </w:r>
      <w:r w:rsidR="00E177CD">
        <w:t xml:space="preserve"> and </w:t>
      </w:r>
      <w:r w:rsidR="000C3295" w:rsidRPr="00721457">
        <w:t>5.6</w:t>
      </w:r>
      <w:r w:rsidR="00E177CD">
        <w:t>,</w:t>
      </w:r>
      <w:r w:rsidR="00785B3E" w:rsidRPr="00721457">
        <w:t xml:space="preserve"> and Table 5.</w:t>
      </w:r>
      <w:r w:rsidR="0041494E">
        <w:t>2</w:t>
      </w:r>
      <w:r w:rsidR="00E177CD">
        <w:t>,</w:t>
      </w:r>
      <w:r w:rsidRPr="00721457">
        <w:t xml:space="preserve"> also show the introduction of newer medicines</w:t>
      </w:r>
      <w:r>
        <w:t xml:space="preserve">. </w:t>
      </w:r>
      <w:proofErr w:type="spellStart"/>
      <w:r>
        <w:t>Indacaterol</w:t>
      </w:r>
      <w:proofErr w:type="spellEnd"/>
      <w:r>
        <w:t xml:space="preserve"> was introduced in December 2011</w:t>
      </w:r>
      <w:r w:rsidR="00E177CD">
        <w:t>.</w:t>
      </w:r>
      <w:r>
        <w:t xml:space="preserve"> 2014 and 2015 saw the introduction of four new LAMA medicines (including an alternat</w:t>
      </w:r>
      <w:r w:rsidR="00C91D70">
        <w:t>ive</w:t>
      </w:r>
      <w:r w:rsidR="00E177CD">
        <w:t xml:space="preserve"> dose of tiotropium),</w:t>
      </w:r>
      <w:r>
        <w:t xml:space="preserve"> the introdu</w:t>
      </w:r>
      <w:r w:rsidR="00E177CD">
        <w:t>ction of the four LAMA/LABA FDC</w:t>
      </w:r>
      <w:r>
        <w:t xml:space="preserve">s, and two ICS/LABA </w:t>
      </w:r>
      <w:r w:rsidR="00E177CD">
        <w:t>FDC</w:t>
      </w:r>
      <w:r>
        <w:t>s with doses suitable for the management of COPD.</w:t>
      </w:r>
    </w:p>
    <w:p w14:paraId="5C70BF6F" w14:textId="77777777" w:rsidR="00B85972" w:rsidRDefault="00B85972" w:rsidP="00B85972">
      <w:pPr>
        <w:pStyle w:val="06Tabletextspacebefore"/>
        <w:rPr>
          <w:lang w:eastAsia="en-AU"/>
        </w:rPr>
      </w:pPr>
    </w:p>
    <w:p w14:paraId="56FBA9A9" w14:textId="77777777" w:rsidR="00993887" w:rsidRDefault="00993887" w:rsidP="00993887">
      <w:pPr>
        <w:pStyle w:val="06Tabletextspacebefore"/>
        <w:ind w:left="0"/>
        <w:rPr>
          <w:lang w:eastAsia="en-AU"/>
        </w:rPr>
        <w:sectPr w:rsidR="00993887" w:rsidSect="00AA3B67">
          <w:footerReference w:type="default" r:id="rId22"/>
          <w:pgSz w:w="11906" w:h="16838"/>
          <w:pgMar w:top="1134" w:right="1134" w:bottom="1134" w:left="1134" w:header="709" w:footer="709" w:gutter="0"/>
          <w:cols w:space="708"/>
          <w:docGrid w:linePitch="360"/>
        </w:sectPr>
      </w:pPr>
    </w:p>
    <w:p w14:paraId="6C6CE109" w14:textId="182CEC52" w:rsidR="00B85972" w:rsidRPr="00C21A81" w:rsidRDefault="00B85972" w:rsidP="0084308F">
      <w:pPr>
        <w:pStyle w:val="ToR5FigureHeader"/>
      </w:pPr>
      <w:bookmarkStart w:id="40" w:name="_Ref467957831"/>
      <w:bookmarkStart w:id="41" w:name="_Toc468034574"/>
      <w:bookmarkStart w:id="42" w:name="_Toc473291358"/>
      <w:bookmarkStart w:id="43" w:name="_Toc486232656"/>
      <w:bookmarkEnd w:id="31"/>
      <w:r w:rsidRPr="00C21A81">
        <w:lastRenderedPageBreak/>
        <w:t>Figure</w:t>
      </w:r>
      <w:r w:rsidR="00115404" w:rsidRPr="00C21A81">
        <w:t xml:space="preserve"> 5</w:t>
      </w:r>
      <w:r w:rsidRPr="00C21A81">
        <w:t>.</w:t>
      </w:r>
      <w:bookmarkEnd w:id="40"/>
      <w:r w:rsidR="00942486" w:rsidRPr="00C21A81">
        <w:t>5</w:t>
      </w:r>
      <w:r w:rsidRPr="00C21A81">
        <w:tab/>
        <w:t xml:space="preserve">COPD </w:t>
      </w:r>
      <w:r w:rsidR="00AF4C6D" w:rsidRPr="00C21A81">
        <w:t xml:space="preserve">dispensed </w:t>
      </w:r>
      <w:r w:rsidRPr="00C21A81">
        <w:t>script volumes by year and month</w:t>
      </w:r>
      <w:bookmarkEnd w:id="41"/>
      <w:bookmarkEnd w:id="42"/>
      <w:r w:rsidR="00730670" w:rsidRPr="00C21A81">
        <w:t xml:space="preserve"> from </w:t>
      </w:r>
      <w:r w:rsidR="00E177CD">
        <w:t>1</w:t>
      </w:r>
      <w:r w:rsidR="00AF4C6D" w:rsidRPr="00C21A81">
        <w:t xml:space="preserve"> </w:t>
      </w:r>
      <w:r w:rsidR="00730670" w:rsidRPr="00C21A81">
        <w:t xml:space="preserve">November 2012 to </w:t>
      </w:r>
      <w:r w:rsidR="00E177CD">
        <w:t>31</w:t>
      </w:r>
      <w:r w:rsidR="00AF4C6D" w:rsidRPr="00C21A81">
        <w:t xml:space="preserve"> </w:t>
      </w:r>
      <w:r w:rsidR="00730670" w:rsidRPr="00C21A81">
        <w:t xml:space="preserve">October 2016 for patients initiating between </w:t>
      </w:r>
      <w:r w:rsidR="00E177CD">
        <w:t>1</w:t>
      </w:r>
      <w:r w:rsidR="00AF4C6D" w:rsidRPr="00C21A81">
        <w:t xml:space="preserve"> </w:t>
      </w:r>
      <w:r w:rsidR="00730670" w:rsidRPr="00C21A81">
        <w:t xml:space="preserve">November 2008 and </w:t>
      </w:r>
      <w:r w:rsidR="00E177CD">
        <w:t>31</w:t>
      </w:r>
      <w:r w:rsidR="00AF4C6D" w:rsidRPr="00C21A81">
        <w:t xml:space="preserve"> </w:t>
      </w:r>
      <w:r w:rsidR="00730670" w:rsidRPr="00C21A81">
        <w:t>October 2012</w:t>
      </w:r>
      <w:bookmarkEnd w:id="43"/>
    </w:p>
    <w:p w14:paraId="2801FCB3" w14:textId="4B7EBCAF" w:rsidR="00B85972" w:rsidRDefault="00B859CB" w:rsidP="00993887">
      <w:pPr>
        <w:pStyle w:val="Picturewithbox"/>
        <w:pBdr>
          <w:bottom w:val="single" w:sz="4" w:space="17" w:color="auto"/>
        </w:pBdr>
      </w:pPr>
      <w:r>
        <w:rPr>
          <w:noProof/>
          <w:lang w:eastAsia="en-AU"/>
        </w:rPr>
        <w:drawing>
          <wp:inline distT="0" distB="0" distL="0" distR="0" wp14:anchorId="68121F91" wp14:editId="171B3EE4">
            <wp:extent cx="6120130" cy="5798185"/>
            <wp:effectExtent l="0" t="0" r="0" b="0"/>
            <wp:docPr id="2" name="Picture 2" title="COPD dispensed script volumes by year and month from 1st November 2012 to 31st October 2016 for patients initiating between 1st November 2008 and 31st Octob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130" cy="5798185"/>
                    </a:xfrm>
                    <a:prstGeom prst="rect">
                      <a:avLst/>
                    </a:prstGeom>
                  </pic:spPr>
                </pic:pic>
              </a:graphicData>
            </a:graphic>
          </wp:inline>
        </w:drawing>
      </w:r>
    </w:p>
    <w:p w14:paraId="6F481E30" w14:textId="77777777" w:rsidR="00B85972" w:rsidRPr="008D66C4" w:rsidRDefault="00B85972" w:rsidP="00B85972">
      <w:pPr>
        <w:pStyle w:val="10TableorFigurefootnote"/>
        <w:rPr>
          <w:sz w:val="18"/>
          <w:szCs w:val="18"/>
        </w:rPr>
      </w:pPr>
      <w:r w:rsidRPr="008D66C4">
        <w:rPr>
          <w:sz w:val="18"/>
          <w:szCs w:val="18"/>
        </w:rPr>
        <w:t>Source: PBS Dispensing records between 1/11/2006 and 31/10/2016 file R2017068_PBS_COPD_DATA.CSV.</w:t>
      </w:r>
    </w:p>
    <w:p w14:paraId="3CBB1C5C" w14:textId="22229D82" w:rsidR="00B85972" w:rsidRPr="008D66C4" w:rsidRDefault="00993887" w:rsidP="00B85972">
      <w:pPr>
        <w:pStyle w:val="10TableorFigurefootnote"/>
        <w:rPr>
          <w:sz w:val="18"/>
          <w:szCs w:val="18"/>
        </w:rPr>
      </w:pPr>
      <w:proofErr w:type="gramStart"/>
      <w:r w:rsidRPr="008D66C4">
        <w:rPr>
          <w:sz w:val="18"/>
          <w:szCs w:val="18"/>
        </w:rPr>
        <w:t xml:space="preserve">Includes </w:t>
      </w:r>
      <w:r w:rsidR="00730670" w:rsidRPr="008D66C4">
        <w:rPr>
          <w:sz w:val="18"/>
          <w:szCs w:val="18"/>
        </w:rPr>
        <w:t xml:space="preserve">only </w:t>
      </w:r>
      <w:r w:rsidRPr="008D66C4">
        <w:rPr>
          <w:sz w:val="18"/>
          <w:szCs w:val="18"/>
        </w:rPr>
        <w:t>patients who initiated COPD pharmacotherapy with a LABA, LAMA or LABA/LAMA between 1 November 2008 and 31 October 201</w:t>
      </w:r>
      <w:r w:rsidR="00730670" w:rsidRPr="008D66C4">
        <w:rPr>
          <w:sz w:val="18"/>
          <w:szCs w:val="18"/>
        </w:rPr>
        <w:t>2</w:t>
      </w:r>
      <w:r w:rsidR="0086310F">
        <w:rPr>
          <w:sz w:val="18"/>
          <w:szCs w:val="18"/>
        </w:rPr>
        <w:t>.</w:t>
      </w:r>
      <w:proofErr w:type="gramEnd"/>
    </w:p>
    <w:p w14:paraId="6E8425D0" w14:textId="77777777" w:rsidR="00456902" w:rsidRPr="008D66C4" w:rsidRDefault="00B85972" w:rsidP="00B85972">
      <w:pPr>
        <w:pStyle w:val="11TableorFigurefootnotenostick"/>
        <w:rPr>
          <w:sz w:val="18"/>
          <w:szCs w:val="18"/>
        </w:rPr>
      </w:pPr>
      <w:r w:rsidRPr="008D66C4">
        <w:rPr>
          <w:sz w:val="18"/>
          <w:szCs w:val="18"/>
        </w:rPr>
        <w:t>Abbreviations: COPD, chronic obstructive pulmonary disease.</w:t>
      </w:r>
    </w:p>
    <w:p w14:paraId="1294A4E6" w14:textId="77777777" w:rsidR="001048C7" w:rsidRDefault="001048C7" w:rsidP="001048C7">
      <w:pPr>
        <w:pStyle w:val="BodyText"/>
      </w:pPr>
    </w:p>
    <w:p w14:paraId="2E2CE71E" w14:textId="445CA4E4" w:rsidR="001048C7" w:rsidRPr="00C21A81" w:rsidRDefault="001048C7" w:rsidP="0084308F">
      <w:pPr>
        <w:pStyle w:val="ToR5FigureHeader"/>
      </w:pPr>
      <w:bookmarkStart w:id="44" w:name="_Toc486232657"/>
      <w:r w:rsidRPr="00C21A81">
        <w:lastRenderedPageBreak/>
        <w:t>Figure 5.</w:t>
      </w:r>
      <w:r>
        <w:t>6</w:t>
      </w:r>
      <w:r w:rsidRPr="00C21A81">
        <w:tab/>
        <w:t xml:space="preserve">COPD dispensed script volumes </w:t>
      </w:r>
      <w:r>
        <w:t xml:space="preserve">excluding </w:t>
      </w:r>
      <w:r w:rsidRPr="001048C7">
        <w:t xml:space="preserve">Tiotropium 18 </w:t>
      </w:r>
      <w:proofErr w:type="spellStart"/>
      <w:r w:rsidRPr="001048C7">
        <w:t>μg</w:t>
      </w:r>
      <w:proofErr w:type="spellEnd"/>
      <w:r w:rsidR="00E177CD">
        <w:t xml:space="preserve"> by year and month from 1 November 2012 to 31</w:t>
      </w:r>
      <w:r w:rsidRPr="00C21A81">
        <w:t xml:space="preserve"> October 2016 for</w:t>
      </w:r>
      <w:r w:rsidR="00E177CD">
        <w:t xml:space="preserve"> patients initiating between 1 November 2008 and 31</w:t>
      </w:r>
      <w:r w:rsidRPr="00C21A81">
        <w:t xml:space="preserve"> October 2012</w:t>
      </w:r>
      <w:bookmarkEnd w:id="44"/>
    </w:p>
    <w:p w14:paraId="0BAB44CA" w14:textId="3F778DF6" w:rsidR="001048C7" w:rsidRDefault="001048C7" w:rsidP="001048C7">
      <w:pPr>
        <w:pStyle w:val="Picturewithbox"/>
        <w:pBdr>
          <w:bottom w:val="single" w:sz="4" w:space="17" w:color="auto"/>
        </w:pBdr>
      </w:pPr>
      <w:r>
        <w:rPr>
          <w:noProof/>
          <w:lang w:eastAsia="en-AU"/>
        </w:rPr>
        <w:drawing>
          <wp:inline distT="0" distB="0" distL="0" distR="0" wp14:anchorId="688DEB2F" wp14:editId="1D1E3F88">
            <wp:extent cx="6120130" cy="5775960"/>
            <wp:effectExtent l="0" t="0" r="0" b="0"/>
            <wp:docPr id="7" name="Picture 7" title="COPD dispensed script volumes excluding Tiotropium 18 μg by year and month from 1st November 2012 to 31st October 2016 for patients initiating between 1st November 2008 and 31st October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5775960"/>
                    </a:xfrm>
                    <a:prstGeom prst="rect">
                      <a:avLst/>
                    </a:prstGeom>
                  </pic:spPr>
                </pic:pic>
              </a:graphicData>
            </a:graphic>
          </wp:inline>
        </w:drawing>
      </w:r>
    </w:p>
    <w:p w14:paraId="447AB986" w14:textId="77777777" w:rsidR="001048C7" w:rsidRPr="008D66C4" w:rsidRDefault="001048C7" w:rsidP="001048C7">
      <w:pPr>
        <w:pStyle w:val="10TableorFigurefootnote"/>
        <w:rPr>
          <w:sz w:val="18"/>
          <w:szCs w:val="18"/>
        </w:rPr>
      </w:pPr>
      <w:r w:rsidRPr="008D66C4">
        <w:rPr>
          <w:sz w:val="18"/>
          <w:szCs w:val="18"/>
        </w:rPr>
        <w:t>Source: PBS Dispensing records between 1/11/2006 and 31/10/2016 file R2017068_PBS_COPD_DATA.CSV.</w:t>
      </w:r>
    </w:p>
    <w:p w14:paraId="4D54456C" w14:textId="3E86C678" w:rsidR="001048C7" w:rsidRPr="008D66C4" w:rsidRDefault="001048C7" w:rsidP="001048C7">
      <w:pPr>
        <w:pStyle w:val="10TableorFigurefootnote"/>
        <w:rPr>
          <w:sz w:val="18"/>
          <w:szCs w:val="18"/>
        </w:rPr>
      </w:pPr>
      <w:proofErr w:type="gramStart"/>
      <w:r w:rsidRPr="008D66C4">
        <w:rPr>
          <w:sz w:val="18"/>
          <w:szCs w:val="18"/>
        </w:rPr>
        <w:t>Includes only patients who initiated COPD pharmacotherapy with a LABA, LAMA or LABA/LAMA between 1 November 2008 and 31 October 2012</w:t>
      </w:r>
      <w:r w:rsidR="00F90D90">
        <w:rPr>
          <w:sz w:val="18"/>
          <w:szCs w:val="18"/>
        </w:rPr>
        <w:t>.</w:t>
      </w:r>
      <w:proofErr w:type="gramEnd"/>
    </w:p>
    <w:p w14:paraId="2CF05DDE" w14:textId="4F4C55DC" w:rsidR="001048C7" w:rsidRPr="008D66C4" w:rsidRDefault="001048C7" w:rsidP="001048C7">
      <w:pPr>
        <w:pStyle w:val="10TableorFigurefootnote"/>
        <w:rPr>
          <w:sz w:val="18"/>
          <w:szCs w:val="18"/>
        </w:rPr>
      </w:pPr>
      <w:proofErr w:type="gramStart"/>
      <w:r w:rsidRPr="008D66C4">
        <w:rPr>
          <w:sz w:val="18"/>
          <w:szCs w:val="18"/>
        </w:rPr>
        <w:t xml:space="preserve">Excludes Tiotropium 18 </w:t>
      </w:r>
      <w:proofErr w:type="spellStart"/>
      <w:r w:rsidRPr="008D66C4">
        <w:rPr>
          <w:sz w:val="18"/>
          <w:szCs w:val="18"/>
        </w:rPr>
        <w:t>μg</w:t>
      </w:r>
      <w:proofErr w:type="spellEnd"/>
      <w:r w:rsidRPr="008D66C4">
        <w:rPr>
          <w:sz w:val="18"/>
          <w:szCs w:val="18"/>
        </w:rPr>
        <w:t xml:space="preserve"> to prevent obfuscation of other COPD medicines due to the scale of the chart and magnitude of Tiotropium 18 </w:t>
      </w:r>
      <w:proofErr w:type="spellStart"/>
      <w:r w:rsidRPr="008D66C4">
        <w:rPr>
          <w:sz w:val="18"/>
          <w:szCs w:val="18"/>
        </w:rPr>
        <w:t>μg</w:t>
      </w:r>
      <w:proofErr w:type="spellEnd"/>
      <w:r w:rsidRPr="008D66C4">
        <w:rPr>
          <w:sz w:val="18"/>
          <w:szCs w:val="18"/>
        </w:rPr>
        <w:t xml:space="preserve"> dispensed script volumes</w:t>
      </w:r>
      <w:r w:rsidR="00F90D90">
        <w:rPr>
          <w:sz w:val="18"/>
          <w:szCs w:val="18"/>
        </w:rPr>
        <w:t>.</w:t>
      </w:r>
      <w:proofErr w:type="gramEnd"/>
    </w:p>
    <w:p w14:paraId="6B86D1D6" w14:textId="5378B280" w:rsidR="001048C7" w:rsidRPr="008D66C4" w:rsidRDefault="001048C7" w:rsidP="001048C7">
      <w:pPr>
        <w:pStyle w:val="10TableorFigurefootnote"/>
        <w:rPr>
          <w:sz w:val="18"/>
          <w:szCs w:val="18"/>
        </w:rPr>
        <w:sectPr w:rsidR="001048C7" w:rsidRPr="008D66C4" w:rsidSect="00975CB4">
          <w:footerReference w:type="default" r:id="rId25"/>
          <w:pgSz w:w="11906" w:h="16838"/>
          <w:pgMar w:top="1134" w:right="1134" w:bottom="1134" w:left="1134" w:header="709" w:footer="709" w:gutter="0"/>
          <w:cols w:space="708"/>
          <w:docGrid w:linePitch="360"/>
        </w:sectPr>
      </w:pPr>
      <w:r w:rsidRPr="008D66C4">
        <w:rPr>
          <w:sz w:val="18"/>
          <w:szCs w:val="18"/>
        </w:rPr>
        <w:t>Abbreviations: COPD, chronic obstructive pulmonary disease</w:t>
      </w:r>
      <w:r w:rsidR="00F90D90">
        <w:rPr>
          <w:sz w:val="18"/>
          <w:szCs w:val="18"/>
        </w:rPr>
        <w:t>.</w:t>
      </w:r>
    </w:p>
    <w:p w14:paraId="713BD840" w14:textId="0D890475" w:rsidR="00B85972" w:rsidRPr="00C21A81" w:rsidRDefault="00F745CA" w:rsidP="0084308F">
      <w:pPr>
        <w:pStyle w:val="TR5TableHeader"/>
      </w:pPr>
      <w:bookmarkStart w:id="45" w:name="_Toc486232644"/>
      <w:r w:rsidRPr="00C21A81">
        <w:lastRenderedPageBreak/>
        <w:t>Table 5.</w:t>
      </w:r>
      <w:r w:rsidR="0084308F">
        <w:t>2</w:t>
      </w:r>
      <w:r w:rsidR="00C21A81">
        <w:tab/>
      </w:r>
      <w:r w:rsidR="00456902" w:rsidRPr="00C21A81">
        <w:t xml:space="preserve">COPD </w:t>
      </w:r>
      <w:r w:rsidR="00AF4C6D" w:rsidRPr="00C21A81">
        <w:t xml:space="preserve">dispensed </w:t>
      </w:r>
      <w:r w:rsidR="00456902" w:rsidRPr="00C21A81">
        <w:t>script volumes</w:t>
      </w:r>
      <w:r w:rsidR="00BE1830" w:rsidRPr="00C21A81">
        <w:t xml:space="preserve"> and year on year movement</w:t>
      </w:r>
      <w:r w:rsidR="00456902" w:rsidRPr="00C21A81">
        <w:t xml:space="preserve"> by quarter from Quarter 4 2012 to Quarter 4 2016 for patients initiating between </w:t>
      </w:r>
      <w:r w:rsidR="00E177CD">
        <w:t>1</w:t>
      </w:r>
      <w:r w:rsidR="00AF4C6D" w:rsidRPr="00C21A81">
        <w:t xml:space="preserve"> </w:t>
      </w:r>
      <w:r w:rsidR="00456902" w:rsidRPr="00C21A81">
        <w:t xml:space="preserve">November 2008 and </w:t>
      </w:r>
      <w:r w:rsidR="00E177CD">
        <w:t xml:space="preserve">31 </w:t>
      </w:r>
      <w:r w:rsidR="00456902" w:rsidRPr="00C21A81">
        <w:t>October 2012</w:t>
      </w:r>
      <w:bookmarkEnd w:id="45"/>
    </w:p>
    <w:tbl>
      <w:tblPr>
        <w:tblW w:w="5000" w:type="pct"/>
        <w:tblLook w:val="04A0" w:firstRow="1" w:lastRow="0" w:firstColumn="1" w:lastColumn="0" w:noHBand="0" w:noVBand="1"/>
      </w:tblPr>
      <w:tblGrid>
        <w:gridCol w:w="1872"/>
        <w:gridCol w:w="759"/>
        <w:gridCol w:w="759"/>
        <w:gridCol w:w="759"/>
        <w:gridCol w:w="759"/>
        <w:gridCol w:w="759"/>
        <w:gridCol w:w="759"/>
        <w:gridCol w:w="760"/>
        <w:gridCol w:w="760"/>
        <w:gridCol w:w="760"/>
        <w:gridCol w:w="760"/>
        <w:gridCol w:w="760"/>
        <w:gridCol w:w="760"/>
        <w:gridCol w:w="760"/>
        <w:gridCol w:w="760"/>
        <w:gridCol w:w="760"/>
        <w:gridCol w:w="760"/>
        <w:gridCol w:w="760"/>
      </w:tblGrid>
      <w:tr w:rsidR="00011B80" w:rsidRPr="00C734C2" w14:paraId="4A7B4453" w14:textId="77777777" w:rsidTr="00B859CB">
        <w:trPr>
          <w:trHeight w:val="285"/>
        </w:trPr>
        <w:tc>
          <w:tcPr>
            <w:tcW w:w="1849"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ED8FB37" w14:textId="77777777" w:rsidR="00942486" w:rsidRPr="00C734C2" w:rsidRDefault="00942486" w:rsidP="00942486">
            <w:pPr>
              <w:jc w:val="center"/>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Medicine</w:t>
            </w:r>
          </w:p>
        </w:tc>
        <w:tc>
          <w:tcPr>
            <w:tcW w:w="748" w:type="dxa"/>
            <w:tcBorders>
              <w:top w:val="single" w:sz="8" w:space="0" w:color="auto"/>
              <w:left w:val="nil"/>
              <w:bottom w:val="single" w:sz="8" w:space="0" w:color="auto"/>
              <w:right w:val="single" w:sz="8" w:space="0" w:color="auto"/>
            </w:tcBorders>
            <w:shd w:val="clear" w:color="000000" w:fill="BFBFBF"/>
            <w:vAlign w:val="center"/>
            <w:hideMark/>
          </w:tcPr>
          <w:p w14:paraId="252A31FE"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2012 Q4</w:t>
            </w:r>
          </w:p>
        </w:tc>
        <w:tc>
          <w:tcPr>
            <w:tcW w:w="748" w:type="dxa"/>
            <w:tcBorders>
              <w:top w:val="single" w:sz="8" w:space="0" w:color="auto"/>
              <w:left w:val="nil"/>
              <w:bottom w:val="single" w:sz="8" w:space="0" w:color="auto"/>
              <w:right w:val="single" w:sz="8" w:space="0" w:color="auto"/>
            </w:tcBorders>
            <w:shd w:val="clear" w:color="000000" w:fill="BFBFBF"/>
            <w:vAlign w:val="center"/>
            <w:hideMark/>
          </w:tcPr>
          <w:p w14:paraId="5ECC9BE9"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2013 Q1</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6A863426"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2013 Q2</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398B9555"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2013 Q3</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3AECBD90"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2013 Q4</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2731156E"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2014 Q1</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210FE7D1"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2014 Q2</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7A3D0202"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2014 Q3</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1182F2B4"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2014 Q4</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67A58D20"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2015 Q1</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5523E522"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2015 Q2</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5D1A2164"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2015 Q3</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4E7FE393"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2015 Q4</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1B4A6DF9"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2016 Q1</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1169AEB2"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2016 Q2</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1E5F8FD9"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2016 Q3</w:t>
            </w:r>
          </w:p>
        </w:tc>
        <w:tc>
          <w:tcPr>
            <w:tcW w:w="747" w:type="dxa"/>
            <w:tcBorders>
              <w:top w:val="single" w:sz="8" w:space="0" w:color="auto"/>
              <w:left w:val="nil"/>
              <w:bottom w:val="single" w:sz="8" w:space="0" w:color="auto"/>
              <w:right w:val="single" w:sz="8" w:space="0" w:color="auto"/>
            </w:tcBorders>
            <w:shd w:val="clear" w:color="000000" w:fill="BFBFBF"/>
            <w:vAlign w:val="center"/>
            <w:hideMark/>
          </w:tcPr>
          <w:p w14:paraId="531E3F9D" w14:textId="77777777" w:rsidR="00942486" w:rsidRPr="00C734C2" w:rsidRDefault="00942486" w:rsidP="00942486">
            <w:pPr>
              <w:jc w:val="right"/>
              <w:rPr>
                <w:rFonts w:ascii="Arial Narrow" w:eastAsia="Times New Roman" w:hAnsi="Arial Narrow" w:cs="Arial"/>
                <w:b/>
                <w:bCs/>
                <w:sz w:val="18"/>
                <w:szCs w:val="18"/>
                <w:lang w:eastAsia="en-AU"/>
              </w:rPr>
            </w:pPr>
            <w:r w:rsidRPr="00C734C2">
              <w:rPr>
                <w:rFonts w:ascii="Arial Narrow" w:eastAsia="Times New Roman" w:hAnsi="Arial Narrow" w:cs="Arial"/>
                <w:b/>
                <w:bCs/>
                <w:sz w:val="18"/>
                <w:szCs w:val="18"/>
                <w:lang w:eastAsia="en-AU"/>
              </w:rPr>
              <w:t>2016 Q4</w:t>
            </w:r>
          </w:p>
        </w:tc>
      </w:tr>
      <w:tr w:rsidR="00B859CB" w:rsidRPr="00C734C2" w14:paraId="68E9EF92"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75F8F945" w14:textId="77777777" w:rsidR="00B859CB" w:rsidRPr="00C734C2" w:rsidRDefault="00B859CB"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tiotropium 18</w:t>
            </w:r>
          </w:p>
        </w:tc>
        <w:tc>
          <w:tcPr>
            <w:tcW w:w="748" w:type="dxa"/>
            <w:tcBorders>
              <w:top w:val="nil"/>
              <w:left w:val="nil"/>
              <w:bottom w:val="single" w:sz="8" w:space="0" w:color="auto"/>
              <w:right w:val="single" w:sz="8" w:space="0" w:color="auto"/>
            </w:tcBorders>
            <w:shd w:val="clear" w:color="auto" w:fill="auto"/>
            <w:vAlign w:val="center"/>
            <w:hideMark/>
          </w:tcPr>
          <w:p w14:paraId="6B7FB317" w14:textId="313862C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170,433</w:t>
            </w:r>
          </w:p>
        </w:tc>
        <w:tc>
          <w:tcPr>
            <w:tcW w:w="748" w:type="dxa"/>
            <w:tcBorders>
              <w:top w:val="nil"/>
              <w:left w:val="nil"/>
              <w:bottom w:val="single" w:sz="8" w:space="0" w:color="auto"/>
              <w:right w:val="single" w:sz="8" w:space="0" w:color="auto"/>
            </w:tcBorders>
            <w:shd w:val="clear" w:color="auto" w:fill="auto"/>
            <w:vAlign w:val="center"/>
            <w:hideMark/>
          </w:tcPr>
          <w:p w14:paraId="1D067045" w14:textId="4956939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120,694</w:t>
            </w:r>
          </w:p>
        </w:tc>
        <w:tc>
          <w:tcPr>
            <w:tcW w:w="747" w:type="dxa"/>
            <w:tcBorders>
              <w:top w:val="nil"/>
              <w:left w:val="nil"/>
              <w:bottom w:val="single" w:sz="8" w:space="0" w:color="auto"/>
              <w:right w:val="single" w:sz="8" w:space="0" w:color="auto"/>
            </w:tcBorders>
            <w:shd w:val="clear" w:color="auto" w:fill="auto"/>
            <w:vAlign w:val="center"/>
            <w:hideMark/>
          </w:tcPr>
          <w:p w14:paraId="1B0DC4BC" w14:textId="3D5822A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129,507</w:t>
            </w:r>
          </w:p>
        </w:tc>
        <w:tc>
          <w:tcPr>
            <w:tcW w:w="747" w:type="dxa"/>
            <w:tcBorders>
              <w:top w:val="nil"/>
              <w:left w:val="nil"/>
              <w:bottom w:val="single" w:sz="8" w:space="0" w:color="auto"/>
              <w:right w:val="single" w:sz="8" w:space="0" w:color="auto"/>
            </w:tcBorders>
            <w:shd w:val="clear" w:color="auto" w:fill="auto"/>
            <w:vAlign w:val="center"/>
            <w:hideMark/>
          </w:tcPr>
          <w:p w14:paraId="7A412694" w14:textId="1806380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129,788</w:t>
            </w:r>
          </w:p>
        </w:tc>
        <w:tc>
          <w:tcPr>
            <w:tcW w:w="747" w:type="dxa"/>
            <w:tcBorders>
              <w:top w:val="nil"/>
              <w:left w:val="nil"/>
              <w:bottom w:val="single" w:sz="8" w:space="0" w:color="auto"/>
              <w:right w:val="single" w:sz="8" w:space="0" w:color="auto"/>
            </w:tcBorders>
            <w:shd w:val="clear" w:color="auto" w:fill="auto"/>
            <w:vAlign w:val="center"/>
            <w:hideMark/>
          </w:tcPr>
          <w:p w14:paraId="3071E424" w14:textId="6106D75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136,833</w:t>
            </w:r>
          </w:p>
        </w:tc>
        <w:tc>
          <w:tcPr>
            <w:tcW w:w="747" w:type="dxa"/>
            <w:tcBorders>
              <w:top w:val="nil"/>
              <w:left w:val="nil"/>
              <w:bottom w:val="single" w:sz="8" w:space="0" w:color="auto"/>
              <w:right w:val="single" w:sz="8" w:space="0" w:color="auto"/>
            </w:tcBorders>
            <w:shd w:val="clear" w:color="auto" w:fill="auto"/>
            <w:vAlign w:val="center"/>
            <w:hideMark/>
          </w:tcPr>
          <w:p w14:paraId="1C4A13F8" w14:textId="597768C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110,031</w:t>
            </w:r>
          </w:p>
        </w:tc>
        <w:tc>
          <w:tcPr>
            <w:tcW w:w="747" w:type="dxa"/>
            <w:tcBorders>
              <w:top w:val="nil"/>
              <w:left w:val="nil"/>
              <w:bottom w:val="single" w:sz="8" w:space="0" w:color="auto"/>
              <w:right w:val="single" w:sz="8" w:space="0" w:color="auto"/>
            </w:tcBorders>
            <w:shd w:val="clear" w:color="auto" w:fill="auto"/>
            <w:vAlign w:val="center"/>
            <w:hideMark/>
          </w:tcPr>
          <w:p w14:paraId="60ECD13B" w14:textId="2B52993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118,343</w:t>
            </w:r>
          </w:p>
        </w:tc>
        <w:tc>
          <w:tcPr>
            <w:tcW w:w="747" w:type="dxa"/>
            <w:tcBorders>
              <w:top w:val="nil"/>
              <w:left w:val="nil"/>
              <w:bottom w:val="single" w:sz="8" w:space="0" w:color="auto"/>
              <w:right w:val="single" w:sz="8" w:space="0" w:color="auto"/>
            </w:tcBorders>
            <w:shd w:val="clear" w:color="auto" w:fill="auto"/>
            <w:vAlign w:val="center"/>
            <w:hideMark/>
          </w:tcPr>
          <w:p w14:paraId="7823B0DA" w14:textId="62D9A49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117,877</w:t>
            </w:r>
          </w:p>
        </w:tc>
        <w:tc>
          <w:tcPr>
            <w:tcW w:w="747" w:type="dxa"/>
            <w:tcBorders>
              <w:top w:val="nil"/>
              <w:left w:val="nil"/>
              <w:bottom w:val="single" w:sz="8" w:space="0" w:color="auto"/>
              <w:right w:val="single" w:sz="8" w:space="0" w:color="auto"/>
            </w:tcBorders>
            <w:shd w:val="clear" w:color="auto" w:fill="auto"/>
            <w:vAlign w:val="center"/>
            <w:hideMark/>
          </w:tcPr>
          <w:p w14:paraId="0C449508" w14:textId="7FCCBE6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123,005</w:t>
            </w:r>
          </w:p>
        </w:tc>
        <w:tc>
          <w:tcPr>
            <w:tcW w:w="747" w:type="dxa"/>
            <w:tcBorders>
              <w:top w:val="nil"/>
              <w:left w:val="nil"/>
              <w:bottom w:val="single" w:sz="8" w:space="0" w:color="auto"/>
              <w:right w:val="single" w:sz="8" w:space="0" w:color="auto"/>
            </w:tcBorders>
            <w:shd w:val="clear" w:color="auto" w:fill="auto"/>
            <w:vAlign w:val="center"/>
            <w:hideMark/>
          </w:tcPr>
          <w:p w14:paraId="3E1614DF" w14:textId="6346ED4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96,845</w:t>
            </w:r>
          </w:p>
        </w:tc>
        <w:tc>
          <w:tcPr>
            <w:tcW w:w="747" w:type="dxa"/>
            <w:tcBorders>
              <w:top w:val="nil"/>
              <w:left w:val="nil"/>
              <w:bottom w:val="single" w:sz="8" w:space="0" w:color="auto"/>
              <w:right w:val="single" w:sz="8" w:space="0" w:color="auto"/>
            </w:tcBorders>
            <w:shd w:val="clear" w:color="auto" w:fill="auto"/>
            <w:vAlign w:val="center"/>
            <w:hideMark/>
          </w:tcPr>
          <w:p w14:paraId="702B74FE" w14:textId="0140963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102,038</w:t>
            </w:r>
          </w:p>
        </w:tc>
        <w:tc>
          <w:tcPr>
            <w:tcW w:w="747" w:type="dxa"/>
            <w:tcBorders>
              <w:top w:val="nil"/>
              <w:left w:val="nil"/>
              <w:bottom w:val="single" w:sz="8" w:space="0" w:color="auto"/>
              <w:right w:val="single" w:sz="8" w:space="0" w:color="auto"/>
            </w:tcBorders>
            <w:shd w:val="clear" w:color="auto" w:fill="auto"/>
            <w:vAlign w:val="center"/>
            <w:hideMark/>
          </w:tcPr>
          <w:p w14:paraId="4E342723" w14:textId="7AC9704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101,924</w:t>
            </w:r>
          </w:p>
        </w:tc>
        <w:tc>
          <w:tcPr>
            <w:tcW w:w="747" w:type="dxa"/>
            <w:tcBorders>
              <w:top w:val="nil"/>
              <w:left w:val="nil"/>
              <w:bottom w:val="single" w:sz="8" w:space="0" w:color="auto"/>
              <w:right w:val="single" w:sz="8" w:space="0" w:color="auto"/>
            </w:tcBorders>
            <w:shd w:val="clear" w:color="auto" w:fill="auto"/>
            <w:vAlign w:val="center"/>
            <w:hideMark/>
          </w:tcPr>
          <w:p w14:paraId="41CE5516" w14:textId="0DB149E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103,695</w:t>
            </w:r>
          </w:p>
        </w:tc>
        <w:tc>
          <w:tcPr>
            <w:tcW w:w="747" w:type="dxa"/>
            <w:tcBorders>
              <w:top w:val="nil"/>
              <w:left w:val="nil"/>
              <w:bottom w:val="single" w:sz="8" w:space="0" w:color="auto"/>
              <w:right w:val="single" w:sz="8" w:space="0" w:color="auto"/>
            </w:tcBorders>
            <w:shd w:val="clear" w:color="auto" w:fill="auto"/>
            <w:vAlign w:val="center"/>
            <w:hideMark/>
          </w:tcPr>
          <w:p w14:paraId="23A311FF" w14:textId="19222C9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79,649</w:t>
            </w:r>
          </w:p>
        </w:tc>
        <w:tc>
          <w:tcPr>
            <w:tcW w:w="747" w:type="dxa"/>
            <w:tcBorders>
              <w:top w:val="nil"/>
              <w:left w:val="nil"/>
              <w:bottom w:val="single" w:sz="8" w:space="0" w:color="auto"/>
              <w:right w:val="single" w:sz="8" w:space="0" w:color="auto"/>
            </w:tcBorders>
            <w:shd w:val="clear" w:color="auto" w:fill="auto"/>
            <w:vAlign w:val="center"/>
            <w:hideMark/>
          </w:tcPr>
          <w:p w14:paraId="41F637C8" w14:textId="2C87BA6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80,618</w:t>
            </w:r>
          </w:p>
        </w:tc>
        <w:tc>
          <w:tcPr>
            <w:tcW w:w="747" w:type="dxa"/>
            <w:tcBorders>
              <w:top w:val="nil"/>
              <w:left w:val="nil"/>
              <w:bottom w:val="single" w:sz="8" w:space="0" w:color="auto"/>
              <w:right w:val="single" w:sz="8" w:space="0" w:color="auto"/>
            </w:tcBorders>
            <w:shd w:val="clear" w:color="auto" w:fill="auto"/>
            <w:vAlign w:val="center"/>
            <w:hideMark/>
          </w:tcPr>
          <w:p w14:paraId="1DC6CCD3" w14:textId="251F8E8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76,290</w:t>
            </w:r>
          </w:p>
        </w:tc>
        <w:tc>
          <w:tcPr>
            <w:tcW w:w="747" w:type="dxa"/>
            <w:tcBorders>
              <w:top w:val="nil"/>
              <w:left w:val="nil"/>
              <w:bottom w:val="single" w:sz="8" w:space="0" w:color="auto"/>
              <w:right w:val="single" w:sz="8" w:space="0" w:color="auto"/>
            </w:tcBorders>
            <w:shd w:val="clear" w:color="auto" w:fill="auto"/>
            <w:vAlign w:val="center"/>
            <w:hideMark/>
          </w:tcPr>
          <w:p w14:paraId="6EAC73F8" w14:textId="1C1BAF2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79,645</w:t>
            </w:r>
          </w:p>
        </w:tc>
      </w:tr>
      <w:tr w:rsidR="00B859CB" w:rsidRPr="00C734C2" w14:paraId="24A6BD87"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7198A541" w14:textId="4DC40B61" w:rsidR="00B859CB" w:rsidRPr="00C734C2" w:rsidRDefault="003B67B3"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F</w:t>
            </w:r>
            <w:r w:rsidR="00B859CB" w:rsidRPr="00C734C2">
              <w:rPr>
                <w:rFonts w:ascii="Arial Narrow" w:eastAsia="Times New Roman" w:hAnsi="Arial Narrow" w:cs="Arial"/>
                <w:sz w:val="18"/>
                <w:szCs w:val="18"/>
                <w:lang w:eastAsia="en-AU"/>
              </w:rPr>
              <w:t>luticasone</w:t>
            </w:r>
            <w:r>
              <w:rPr>
                <w:rFonts w:ascii="Arial Narrow" w:eastAsia="Times New Roman" w:hAnsi="Arial Narrow" w:cs="Arial"/>
                <w:sz w:val="18"/>
                <w:szCs w:val="18"/>
                <w:lang w:eastAsia="en-AU"/>
              </w:rPr>
              <w:t xml:space="preserve"> propionate</w:t>
            </w:r>
            <w:r w:rsidR="00B859CB" w:rsidRPr="00C734C2">
              <w:rPr>
                <w:rFonts w:ascii="Arial Narrow" w:eastAsia="Times New Roman" w:hAnsi="Arial Narrow" w:cs="Arial"/>
                <w:sz w:val="18"/>
                <w:szCs w:val="18"/>
                <w:lang w:eastAsia="en-AU"/>
              </w:rPr>
              <w:t xml:space="preserve"> / salmeterol 250/25</w:t>
            </w:r>
          </w:p>
        </w:tc>
        <w:tc>
          <w:tcPr>
            <w:tcW w:w="748" w:type="dxa"/>
            <w:tcBorders>
              <w:top w:val="nil"/>
              <w:left w:val="nil"/>
              <w:bottom w:val="single" w:sz="8" w:space="0" w:color="auto"/>
              <w:right w:val="single" w:sz="8" w:space="0" w:color="auto"/>
            </w:tcBorders>
            <w:shd w:val="clear" w:color="auto" w:fill="auto"/>
            <w:vAlign w:val="center"/>
            <w:hideMark/>
          </w:tcPr>
          <w:p w14:paraId="08089A10" w14:textId="66A727A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30,610</w:t>
            </w:r>
          </w:p>
        </w:tc>
        <w:tc>
          <w:tcPr>
            <w:tcW w:w="748" w:type="dxa"/>
            <w:tcBorders>
              <w:top w:val="nil"/>
              <w:left w:val="nil"/>
              <w:bottom w:val="single" w:sz="8" w:space="0" w:color="auto"/>
              <w:right w:val="single" w:sz="8" w:space="0" w:color="auto"/>
            </w:tcBorders>
            <w:shd w:val="clear" w:color="auto" w:fill="auto"/>
            <w:vAlign w:val="center"/>
            <w:hideMark/>
          </w:tcPr>
          <w:p w14:paraId="4D0B1D92" w14:textId="63A7067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18,133</w:t>
            </w:r>
          </w:p>
        </w:tc>
        <w:tc>
          <w:tcPr>
            <w:tcW w:w="747" w:type="dxa"/>
            <w:tcBorders>
              <w:top w:val="nil"/>
              <w:left w:val="nil"/>
              <w:bottom w:val="single" w:sz="8" w:space="0" w:color="auto"/>
              <w:right w:val="single" w:sz="8" w:space="0" w:color="auto"/>
            </w:tcBorders>
            <w:shd w:val="clear" w:color="auto" w:fill="auto"/>
            <w:vAlign w:val="center"/>
            <w:hideMark/>
          </w:tcPr>
          <w:p w14:paraId="3E7A4800" w14:textId="73DE94C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21,022</w:t>
            </w:r>
          </w:p>
        </w:tc>
        <w:tc>
          <w:tcPr>
            <w:tcW w:w="747" w:type="dxa"/>
            <w:tcBorders>
              <w:top w:val="nil"/>
              <w:left w:val="nil"/>
              <w:bottom w:val="single" w:sz="8" w:space="0" w:color="auto"/>
              <w:right w:val="single" w:sz="8" w:space="0" w:color="auto"/>
            </w:tcBorders>
            <w:shd w:val="clear" w:color="auto" w:fill="auto"/>
            <w:vAlign w:val="center"/>
            <w:hideMark/>
          </w:tcPr>
          <w:p w14:paraId="7428F94B" w14:textId="07A21FC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22,717</w:t>
            </w:r>
          </w:p>
        </w:tc>
        <w:tc>
          <w:tcPr>
            <w:tcW w:w="747" w:type="dxa"/>
            <w:tcBorders>
              <w:top w:val="nil"/>
              <w:left w:val="nil"/>
              <w:bottom w:val="single" w:sz="8" w:space="0" w:color="auto"/>
              <w:right w:val="single" w:sz="8" w:space="0" w:color="auto"/>
            </w:tcBorders>
            <w:shd w:val="clear" w:color="auto" w:fill="auto"/>
            <w:vAlign w:val="center"/>
            <w:hideMark/>
          </w:tcPr>
          <w:p w14:paraId="62F0B585" w14:textId="2FEE9D3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26,123</w:t>
            </w:r>
          </w:p>
        </w:tc>
        <w:tc>
          <w:tcPr>
            <w:tcW w:w="747" w:type="dxa"/>
            <w:tcBorders>
              <w:top w:val="nil"/>
              <w:left w:val="nil"/>
              <w:bottom w:val="single" w:sz="8" w:space="0" w:color="auto"/>
              <w:right w:val="single" w:sz="8" w:space="0" w:color="auto"/>
            </w:tcBorders>
            <w:shd w:val="clear" w:color="auto" w:fill="auto"/>
            <w:vAlign w:val="center"/>
            <w:hideMark/>
          </w:tcPr>
          <w:p w14:paraId="47709226" w14:textId="1D6EF3D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18,853</w:t>
            </w:r>
          </w:p>
        </w:tc>
        <w:tc>
          <w:tcPr>
            <w:tcW w:w="747" w:type="dxa"/>
            <w:tcBorders>
              <w:top w:val="nil"/>
              <w:left w:val="nil"/>
              <w:bottom w:val="single" w:sz="8" w:space="0" w:color="auto"/>
              <w:right w:val="single" w:sz="8" w:space="0" w:color="auto"/>
            </w:tcBorders>
            <w:shd w:val="clear" w:color="auto" w:fill="auto"/>
            <w:vAlign w:val="center"/>
            <w:hideMark/>
          </w:tcPr>
          <w:p w14:paraId="44A385AF" w14:textId="7A1935E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21,704</w:t>
            </w:r>
          </w:p>
        </w:tc>
        <w:tc>
          <w:tcPr>
            <w:tcW w:w="747" w:type="dxa"/>
            <w:tcBorders>
              <w:top w:val="nil"/>
              <w:left w:val="nil"/>
              <w:bottom w:val="single" w:sz="8" w:space="0" w:color="auto"/>
              <w:right w:val="single" w:sz="8" w:space="0" w:color="auto"/>
            </w:tcBorders>
            <w:shd w:val="clear" w:color="auto" w:fill="auto"/>
            <w:vAlign w:val="center"/>
            <w:hideMark/>
          </w:tcPr>
          <w:p w14:paraId="504C6829" w14:textId="3CE1492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23,245</w:t>
            </w:r>
          </w:p>
        </w:tc>
        <w:tc>
          <w:tcPr>
            <w:tcW w:w="747" w:type="dxa"/>
            <w:tcBorders>
              <w:top w:val="nil"/>
              <w:left w:val="nil"/>
              <w:bottom w:val="single" w:sz="8" w:space="0" w:color="auto"/>
              <w:right w:val="single" w:sz="8" w:space="0" w:color="auto"/>
            </w:tcBorders>
            <w:shd w:val="clear" w:color="auto" w:fill="auto"/>
            <w:vAlign w:val="center"/>
            <w:hideMark/>
          </w:tcPr>
          <w:p w14:paraId="1E44C1B7" w14:textId="39A9E42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26,255</w:t>
            </w:r>
          </w:p>
        </w:tc>
        <w:tc>
          <w:tcPr>
            <w:tcW w:w="747" w:type="dxa"/>
            <w:tcBorders>
              <w:top w:val="nil"/>
              <w:left w:val="nil"/>
              <w:bottom w:val="single" w:sz="8" w:space="0" w:color="auto"/>
              <w:right w:val="single" w:sz="8" w:space="0" w:color="auto"/>
            </w:tcBorders>
            <w:shd w:val="clear" w:color="auto" w:fill="auto"/>
            <w:vAlign w:val="center"/>
            <w:hideMark/>
          </w:tcPr>
          <w:p w14:paraId="4EC854A2" w14:textId="5E813E9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18,245</w:t>
            </w:r>
          </w:p>
        </w:tc>
        <w:tc>
          <w:tcPr>
            <w:tcW w:w="747" w:type="dxa"/>
            <w:tcBorders>
              <w:top w:val="nil"/>
              <w:left w:val="nil"/>
              <w:bottom w:val="single" w:sz="8" w:space="0" w:color="auto"/>
              <w:right w:val="single" w:sz="8" w:space="0" w:color="auto"/>
            </w:tcBorders>
            <w:shd w:val="clear" w:color="auto" w:fill="auto"/>
            <w:vAlign w:val="center"/>
            <w:hideMark/>
          </w:tcPr>
          <w:p w14:paraId="7663ABCE" w14:textId="450BFEA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20,809</w:t>
            </w:r>
          </w:p>
        </w:tc>
        <w:tc>
          <w:tcPr>
            <w:tcW w:w="747" w:type="dxa"/>
            <w:tcBorders>
              <w:top w:val="nil"/>
              <w:left w:val="nil"/>
              <w:bottom w:val="single" w:sz="8" w:space="0" w:color="auto"/>
              <w:right w:val="single" w:sz="8" w:space="0" w:color="auto"/>
            </w:tcBorders>
            <w:shd w:val="clear" w:color="auto" w:fill="auto"/>
            <w:vAlign w:val="center"/>
            <w:hideMark/>
          </w:tcPr>
          <w:p w14:paraId="68C2FFAF" w14:textId="3E8B4F2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21,702</w:t>
            </w:r>
          </w:p>
        </w:tc>
        <w:tc>
          <w:tcPr>
            <w:tcW w:w="747" w:type="dxa"/>
            <w:tcBorders>
              <w:top w:val="nil"/>
              <w:left w:val="nil"/>
              <w:bottom w:val="single" w:sz="8" w:space="0" w:color="auto"/>
              <w:right w:val="single" w:sz="8" w:space="0" w:color="auto"/>
            </w:tcBorders>
            <w:shd w:val="clear" w:color="auto" w:fill="auto"/>
            <w:vAlign w:val="center"/>
            <w:hideMark/>
          </w:tcPr>
          <w:p w14:paraId="1BD7D489" w14:textId="06E48DA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24,402</w:t>
            </w:r>
          </w:p>
        </w:tc>
        <w:tc>
          <w:tcPr>
            <w:tcW w:w="747" w:type="dxa"/>
            <w:tcBorders>
              <w:top w:val="nil"/>
              <w:left w:val="nil"/>
              <w:bottom w:val="single" w:sz="8" w:space="0" w:color="auto"/>
              <w:right w:val="single" w:sz="8" w:space="0" w:color="auto"/>
            </w:tcBorders>
            <w:shd w:val="clear" w:color="auto" w:fill="auto"/>
            <w:vAlign w:val="center"/>
            <w:hideMark/>
          </w:tcPr>
          <w:p w14:paraId="42015E31" w14:textId="32F5D80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16,872</w:t>
            </w:r>
          </w:p>
        </w:tc>
        <w:tc>
          <w:tcPr>
            <w:tcW w:w="747" w:type="dxa"/>
            <w:tcBorders>
              <w:top w:val="nil"/>
              <w:left w:val="nil"/>
              <w:bottom w:val="single" w:sz="8" w:space="0" w:color="auto"/>
              <w:right w:val="single" w:sz="8" w:space="0" w:color="auto"/>
            </w:tcBorders>
            <w:shd w:val="clear" w:color="auto" w:fill="auto"/>
            <w:vAlign w:val="center"/>
            <w:hideMark/>
          </w:tcPr>
          <w:p w14:paraId="49875026" w14:textId="340B3CB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18,278</w:t>
            </w:r>
          </w:p>
        </w:tc>
        <w:tc>
          <w:tcPr>
            <w:tcW w:w="747" w:type="dxa"/>
            <w:tcBorders>
              <w:top w:val="nil"/>
              <w:left w:val="nil"/>
              <w:bottom w:val="single" w:sz="8" w:space="0" w:color="auto"/>
              <w:right w:val="single" w:sz="8" w:space="0" w:color="auto"/>
            </w:tcBorders>
            <w:shd w:val="clear" w:color="auto" w:fill="auto"/>
            <w:vAlign w:val="center"/>
            <w:hideMark/>
          </w:tcPr>
          <w:p w14:paraId="671A8D2E" w14:textId="5674CA9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18,586</w:t>
            </w:r>
          </w:p>
        </w:tc>
        <w:tc>
          <w:tcPr>
            <w:tcW w:w="747" w:type="dxa"/>
            <w:tcBorders>
              <w:top w:val="nil"/>
              <w:left w:val="nil"/>
              <w:bottom w:val="single" w:sz="8" w:space="0" w:color="auto"/>
              <w:right w:val="single" w:sz="8" w:space="0" w:color="auto"/>
            </w:tcBorders>
            <w:shd w:val="clear" w:color="auto" w:fill="auto"/>
            <w:vAlign w:val="center"/>
            <w:hideMark/>
          </w:tcPr>
          <w:p w14:paraId="00A71394" w14:textId="11AFA8A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22,508</w:t>
            </w:r>
          </w:p>
        </w:tc>
      </w:tr>
      <w:tr w:rsidR="00B859CB" w:rsidRPr="00C734C2" w14:paraId="593D7890"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2BC1B6B1" w14:textId="77777777" w:rsidR="00B859CB" w:rsidRPr="00C734C2" w:rsidRDefault="00B859CB" w:rsidP="00B859CB">
            <w:pPr>
              <w:rPr>
                <w:rFonts w:ascii="Arial Narrow" w:eastAsia="Times New Roman" w:hAnsi="Arial Narrow" w:cs="Arial"/>
                <w:sz w:val="18"/>
                <w:szCs w:val="18"/>
                <w:lang w:eastAsia="en-AU"/>
              </w:rPr>
            </w:pPr>
            <w:proofErr w:type="spellStart"/>
            <w:r w:rsidRPr="00C734C2">
              <w:rPr>
                <w:rFonts w:ascii="Arial Narrow" w:eastAsia="Times New Roman" w:hAnsi="Arial Narrow" w:cs="Arial"/>
                <w:sz w:val="18"/>
                <w:szCs w:val="18"/>
                <w:lang w:eastAsia="en-AU"/>
              </w:rPr>
              <w:t>indacaterol</w:t>
            </w:r>
            <w:proofErr w:type="spellEnd"/>
            <w:r w:rsidRPr="00C734C2">
              <w:rPr>
                <w:rFonts w:ascii="Arial Narrow" w:eastAsia="Times New Roman" w:hAnsi="Arial Narrow" w:cs="Arial"/>
                <w:sz w:val="18"/>
                <w:szCs w:val="18"/>
                <w:lang w:eastAsia="en-AU"/>
              </w:rPr>
              <w:t xml:space="preserve"> 150</w:t>
            </w:r>
          </w:p>
        </w:tc>
        <w:tc>
          <w:tcPr>
            <w:tcW w:w="748" w:type="dxa"/>
            <w:tcBorders>
              <w:top w:val="nil"/>
              <w:left w:val="nil"/>
              <w:bottom w:val="single" w:sz="8" w:space="0" w:color="auto"/>
              <w:right w:val="single" w:sz="8" w:space="0" w:color="auto"/>
            </w:tcBorders>
            <w:shd w:val="clear" w:color="auto" w:fill="auto"/>
            <w:vAlign w:val="center"/>
            <w:hideMark/>
          </w:tcPr>
          <w:p w14:paraId="418A70B1" w14:textId="6C7DC21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10,219</w:t>
            </w:r>
          </w:p>
        </w:tc>
        <w:tc>
          <w:tcPr>
            <w:tcW w:w="748" w:type="dxa"/>
            <w:tcBorders>
              <w:top w:val="nil"/>
              <w:left w:val="nil"/>
              <w:bottom w:val="single" w:sz="8" w:space="0" w:color="auto"/>
              <w:right w:val="single" w:sz="8" w:space="0" w:color="auto"/>
            </w:tcBorders>
            <w:shd w:val="clear" w:color="auto" w:fill="auto"/>
            <w:vAlign w:val="center"/>
            <w:hideMark/>
          </w:tcPr>
          <w:p w14:paraId="771203F6" w14:textId="14BFC25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7,490</w:t>
            </w:r>
          </w:p>
        </w:tc>
        <w:tc>
          <w:tcPr>
            <w:tcW w:w="747" w:type="dxa"/>
            <w:tcBorders>
              <w:top w:val="nil"/>
              <w:left w:val="nil"/>
              <w:bottom w:val="single" w:sz="8" w:space="0" w:color="auto"/>
              <w:right w:val="single" w:sz="8" w:space="0" w:color="auto"/>
            </w:tcBorders>
            <w:shd w:val="clear" w:color="auto" w:fill="auto"/>
            <w:vAlign w:val="center"/>
            <w:hideMark/>
          </w:tcPr>
          <w:p w14:paraId="092EEBCE" w14:textId="66FAC4D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8,500</w:t>
            </w:r>
          </w:p>
        </w:tc>
        <w:tc>
          <w:tcPr>
            <w:tcW w:w="747" w:type="dxa"/>
            <w:tcBorders>
              <w:top w:val="nil"/>
              <w:left w:val="nil"/>
              <w:bottom w:val="single" w:sz="8" w:space="0" w:color="auto"/>
              <w:right w:val="single" w:sz="8" w:space="0" w:color="auto"/>
            </w:tcBorders>
            <w:shd w:val="clear" w:color="auto" w:fill="auto"/>
            <w:vAlign w:val="center"/>
            <w:hideMark/>
          </w:tcPr>
          <w:p w14:paraId="681905FD" w14:textId="5CE0607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9,238</w:t>
            </w:r>
          </w:p>
        </w:tc>
        <w:tc>
          <w:tcPr>
            <w:tcW w:w="747" w:type="dxa"/>
            <w:tcBorders>
              <w:top w:val="nil"/>
              <w:left w:val="nil"/>
              <w:bottom w:val="single" w:sz="8" w:space="0" w:color="auto"/>
              <w:right w:val="single" w:sz="8" w:space="0" w:color="auto"/>
            </w:tcBorders>
            <w:shd w:val="clear" w:color="auto" w:fill="auto"/>
            <w:vAlign w:val="center"/>
            <w:hideMark/>
          </w:tcPr>
          <w:p w14:paraId="2307B80B" w14:textId="39F1EC6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10,145</w:t>
            </w:r>
          </w:p>
        </w:tc>
        <w:tc>
          <w:tcPr>
            <w:tcW w:w="747" w:type="dxa"/>
            <w:tcBorders>
              <w:top w:val="nil"/>
              <w:left w:val="nil"/>
              <w:bottom w:val="single" w:sz="8" w:space="0" w:color="auto"/>
              <w:right w:val="single" w:sz="8" w:space="0" w:color="auto"/>
            </w:tcBorders>
            <w:shd w:val="clear" w:color="auto" w:fill="auto"/>
            <w:vAlign w:val="center"/>
            <w:hideMark/>
          </w:tcPr>
          <w:p w14:paraId="7A2C3E82" w14:textId="57DCCA1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8,399</w:t>
            </w:r>
          </w:p>
        </w:tc>
        <w:tc>
          <w:tcPr>
            <w:tcW w:w="747" w:type="dxa"/>
            <w:tcBorders>
              <w:top w:val="nil"/>
              <w:left w:val="nil"/>
              <w:bottom w:val="single" w:sz="8" w:space="0" w:color="auto"/>
              <w:right w:val="single" w:sz="8" w:space="0" w:color="auto"/>
            </w:tcBorders>
            <w:shd w:val="clear" w:color="auto" w:fill="auto"/>
            <w:vAlign w:val="center"/>
            <w:hideMark/>
          </w:tcPr>
          <w:p w14:paraId="0E66EA21" w14:textId="6DB322B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9,306</w:t>
            </w:r>
          </w:p>
        </w:tc>
        <w:tc>
          <w:tcPr>
            <w:tcW w:w="747" w:type="dxa"/>
            <w:tcBorders>
              <w:top w:val="nil"/>
              <w:left w:val="nil"/>
              <w:bottom w:val="single" w:sz="8" w:space="0" w:color="auto"/>
              <w:right w:val="single" w:sz="8" w:space="0" w:color="auto"/>
            </w:tcBorders>
            <w:shd w:val="clear" w:color="auto" w:fill="auto"/>
            <w:vAlign w:val="center"/>
            <w:hideMark/>
          </w:tcPr>
          <w:p w14:paraId="1D30B2DB" w14:textId="1DDC0D6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9,665</w:t>
            </w:r>
          </w:p>
        </w:tc>
        <w:tc>
          <w:tcPr>
            <w:tcW w:w="747" w:type="dxa"/>
            <w:tcBorders>
              <w:top w:val="nil"/>
              <w:left w:val="nil"/>
              <w:bottom w:val="single" w:sz="8" w:space="0" w:color="auto"/>
              <w:right w:val="single" w:sz="8" w:space="0" w:color="auto"/>
            </w:tcBorders>
            <w:shd w:val="clear" w:color="auto" w:fill="auto"/>
            <w:vAlign w:val="center"/>
            <w:hideMark/>
          </w:tcPr>
          <w:p w14:paraId="704A3E3E" w14:textId="69AB41D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10,211</w:t>
            </w:r>
          </w:p>
        </w:tc>
        <w:tc>
          <w:tcPr>
            <w:tcW w:w="747" w:type="dxa"/>
            <w:tcBorders>
              <w:top w:val="nil"/>
              <w:left w:val="nil"/>
              <w:bottom w:val="single" w:sz="8" w:space="0" w:color="auto"/>
              <w:right w:val="single" w:sz="8" w:space="0" w:color="auto"/>
            </w:tcBorders>
            <w:shd w:val="clear" w:color="auto" w:fill="auto"/>
            <w:vAlign w:val="center"/>
            <w:hideMark/>
          </w:tcPr>
          <w:p w14:paraId="6B42C3B0" w14:textId="7BC09AF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7,525</w:t>
            </w:r>
          </w:p>
        </w:tc>
        <w:tc>
          <w:tcPr>
            <w:tcW w:w="747" w:type="dxa"/>
            <w:tcBorders>
              <w:top w:val="nil"/>
              <w:left w:val="nil"/>
              <w:bottom w:val="single" w:sz="8" w:space="0" w:color="auto"/>
              <w:right w:val="single" w:sz="8" w:space="0" w:color="auto"/>
            </w:tcBorders>
            <w:shd w:val="clear" w:color="auto" w:fill="auto"/>
            <w:vAlign w:val="center"/>
            <w:hideMark/>
          </w:tcPr>
          <w:p w14:paraId="7B5A17D1" w14:textId="29B8CF2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7,557</w:t>
            </w:r>
          </w:p>
        </w:tc>
        <w:tc>
          <w:tcPr>
            <w:tcW w:w="747" w:type="dxa"/>
            <w:tcBorders>
              <w:top w:val="nil"/>
              <w:left w:val="nil"/>
              <w:bottom w:val="single" w:sz="8" w:space="0" w:color="auto"/>
              <w:right w:val="single" w:sz="8" w:space="0" w:color="auto"/>
            </w:tcBorders>
            <w:shd w:val="clear" w:color="auto" w:fill="auto"/>
            <w:vAlign w:val="center"/>
            <w:hideMark/>
          </w:tcPr>
          <w:p w14:paraId="4A50A7E2" w14:textId="606FB30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7,109</w:t>
            </w:r>
          </w:p>
        </w:tc>
        <w:tc>
          <w:tcPr>
            <w:tcW w:w="747" w:type="dxa"/>
            <w:tcBorders>
              <w:top w:val="nil"/>
              <w:left w:val="nil"/>
              <w:bottom w:val="single" w:sz="8" w:space="0" w:color="auto"/>
              <w:right w:val="single" w:sz="8" w:space="0" w:color="auto"/>
            </w:tcBorders>
            <w:shd w:val="clear" w:color="auto" w:fill="auto"/>
            <w:vAlign w:val="center"/>
            <w:hideMark/>
          </w:tcPr>
          <w:p w14:paraId="134565CA" w14:textId="17A2935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6,932</w:t>
            </w:r>
          </w:p>
        </w:tc>
        <w:tc>
          <w:tcPr>
            <w:tcW w:w="747" w:type="dxa"/>
            <w:tcBorders>
              <w:top w:val="nil"/>
              <w:left w:val="nil"/>
              <w:bottom w:val="single" w:sz="8" w:space="0" w:color="auto"/>
              <w:right w:val="single" w:sz="8" w:space="0" w:color="auto"/>
            </w:tcBorders>
            <w:shd w:val="clear" w:color="auto" w:fill="auto"/>
            <w:vAlign w:val="center"/>
            <w:hideMark/>
          </w:tcPr>
          <w:p w14:paraId="685EC44E" w14:textId="00887D2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5,283</w:t>
            </w:r>
          </w:p>
        </w:tc>
        <w:tc>
          <w:tcPr>
            <w:tcW w:w="747" w:type="dxa"/>
            <w:tcBorders>
              <w:top w:val="nil"/>
              <w:left w:val="nil"/>
              <w:bottom w:val="single" w:sz="8" w:space="0" w:color="auto"/>
              <w:right w:val="single" w:sz="8" w:space="0" w:color="auto"/>
            </w:tcBorders>
            <w:shd w:val="clear" w:color="auto" w:fill="auto"/>
            <w:vAlign w:val="center"/>
            <w:hideMark/>
          </w:tcPr>
          <w:p w14:paraId="169DE0F2" w14:textId="3AE207A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5,222</w:t>
            </w:r>
          </w:p>
        </w:tc>
        <w:tc>
          <w:tcPr>
            <w:tcW w:w="747" w:type="dxa"/>
            <w:tcBorders>
              <w:top w:val="nil"/>
              <w:left w:val="nil"/>
              <w:bottom w:val="single" w:sz="8" w:space="0" w:color="auto"/>
              <w:right w:val="single" w:sz="8" w:space="0" w:color="auto"/>
            </w:tcBorders>
            <w:shd w:val="clear" w:color="auto" w:fill="auto"/>
            <w:vAlign w:val="center"/>
            <w:hideMark/>
          </w:tcPr>
          <w:p w14:paraId="41CB5A03" w14:textId="767F94C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4,852</w:t>
            </w:r>
          </w:p>
        </w:tc>
        <w:tc>
          <w:tcPr>
            <w:tcW w:w="747" w:type="dxa"/>
            <w:tcBorders>
              <w:top w:val="nil"/>
              <w:left w:val="nil"/>
              <w:bottom w:val="single" w:sz="8" w:space="0" w:color="auto"/>
              <w:right w:val="single" w:sz="8" w:space="0" w:color="auto"/>
            </w:tcBorders>
            <w:shd w:val="clear" w:color="auto" w:fill="auto"/>
            <w:vAlign w:val="center"/>
            <w:hideMark/>
          </w:tcPr>
          <w:p w14:paraId="3149047A" w14:textId="7988EC0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4,778</w:t>
            </w:r>
          </w:p>
        </w:tc>
      </w:tr>
      <w:tr w:rsidR="00B859CB" w:rsidRPr="00C734C2" w14:paraId="5792C4C2"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264707A7" w14:textId="77777777" w:rsidR="00B859CB" w:rsidRPr="00C734C2" w:rsidRDefault="00B859CB"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 xml:space="preserve">budesonide / </w:t>
            </w:r>
            <w:proofErr w:type="spellStart"/>
            <w:r w:rsidRPr="00C734C2">
              <w:rPr>
                <w:rFonts w:ascii="Arial Narrow" w:eastAsia="Times New Roman" w:hAnsi="Arial Narrow" w:cs="Arial"/>
                <w:sz w:val="18"/>
                <w:szCs w:val="18"/>
                <w:lang w:eastAsia="en-AU"/>
              </w:rPr>
              <w:t>eformoterol</w:t>
            </w:r>
            <w:proofErr w:type="spellEnd"/>
            <w:r w:rsidRPr="00C734C2">
              <w:rPr>
                <w:rFonts w:ascii="Arial Narrow" w:eastAsia="Times New Roman" w:hAnsi="Arial Narrow" w:cs="Arial"/>
                <w:sz w:val="18"/>
                <w:szCs w:val="18"/>
                <w:lang w:eastAsia="en-AU"/>
              </w:rPr>
              <w:t xml:space="preserve"> 400/12</w:t>
            </w:r>
          </w:p>
        </w:tc>
        <w:tc>
          <w:tcPr>
            <w:tcW w:w="748" w:type="dxa"/>
            <w:tcBorders>
              <w:top w:val="nil"/>
              <w:left w:val="nil"/>
              <w:bottom w:val="single" w:sz="8" w:space="0" w:color="auto"/>
              <w:right w:val="single" w:sz="8" w:space="0" w:color="auto"/>
            </w:tcBorders>
            <w:shd w:val="clear" w:color="auto" w:fill="auto"/>
            <w:vAlign w:val="center"/>
            <w:hideMark/>
          </w:tcPr>
          <w:p w14:paraId="0DFD5542" w14:textId="439CEE7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9,323</w:t>
            </w:r>
          </w:p>
        </w:tc>
        <w:tc>
          <w:tcPr>
            <w:tcW w:w="748" w:type="dxa"/>
            <w:tcBorders>
              <w:top w:val="nil"/>
              <w:left w:val="nil"/>
              <w:bottom w:val="single" w:sz="8" w:space="0" w:color="auto"/>
              <w:right w:val="single" w:sz="8" w:space="0" w:color="auto"/>
            </w:tcBorders>
            <w:shd w:val="clear" w:color="auto" w:fill="auto"/>
            <w:vAlign w:val="center"/>
            <w:hideMark/>
          </w:tcPr>
          <w:p w14:paraId="4ABC724F" w14:textId="2B7A725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5,060</w:t>
            </w:r>
          </w:p>
        </w:tc>
        <w:tc>
          <w:tcPr>
            <w:tcW w:w="747" w:type="dxa"/>
            <w:tcBorders>
              <w:top w:val="nil"/>
              <w:left w:val="nil"/>
              <w:bottom w:val="single" w:sz="8" w:space="0" w:color="auto"/>
              <w:right w:val="single" w:sz="8" w:space="0" w:color="auto"/>
            </w:tcBorders>
            <w:shd w:val="clear" w:color="auto" w:fill="auto"/>
            <w:vAlign w:val="center"/>
            <w:hideMark/>
          </w:tcPr>
          <w:p w14:paraId="3A7A166B" w14:textId="4BD0A59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6,001</w:t>
            </w:r>
          </w:p>
        </w:tc>
        <w:tc>
          <w:tcPr>
            <w:tcW w:w="747" w:type="dxa"/>
            <w:tcBorders>
              <w:top w:val="nil"/>
              <w:left w:val="nil"/>
              <w:bottom w:val="single" w:sz="8" w:space="0" w:color="auto"/>
              <w:right w:val="single" w:sz="8" w:space="0" w:color="auto"/>
            </w:tcBorders>
            <w:shd w:val="clear" w:color="auto" w:fill="auto"/>
            <w:vAlign w:val="center"/>
            <w:hideMark/>
          </w:tcPr>
          <w:p w14:paraId="78BAD8EA" w14:textId="5C6954D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6,886</w:t>
            </w:r>
          </w:p>
        </w:tc>
        <w:tc>
          <w:tcPr>
            <w:tcW w:w="747" w:type="dxa"/>
            <w:tcBorders>
              <w:top w:val="nil"/>
              <w:left w:val="nil"/>
              <w:bottom w:val="single" w:sz="8" w:space="0" w:color="auto"/>
              <w:right w:val="single" w:sz="8" w:space="0" w:color="auto"/>
            </w:tcBorders>
            <w:shd w:val="clear" w:color="auto" w:fill="auto"/>
            <w:vAlign w:val="center"/>
            <w:hideMark/>
          </w:tcPr>
          <w:p w14:paraId="3320853D" w14:textId="1EB7EAB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8,214</w:t>
            </w:r>
          </w:p>
        </w:tc>
        <w:tc>
          <w:tcPr>
            <w:tcW w:w="747" w:type="dxa"/>
            <w:tcBorders>
              <w:top w:val="nil"/>
              <w:left w:val="nil"/>
              <w:bottom w:val="single" w:sz="8" w:space="0" w:color="auto"/>
              <w:right w:val="single" w:sz="8" w:space="0" w:color="auto"/>
            </w:tcBorders>
            <w:shd w:val="clear" w:color="auto" w:fill="auto"/>
            <w:vAlign w:val="center"/>
            <w:hideMark/>
          </w:tcPr>
          <w:p w14:paraId="01A4554C" w14:textId="77A1E33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5,636</w:t>
            </w:r>
          </w:p>
        </w:tc>
        <w:tc>
          <w:tcPr>
            <w:tcW w:w="747" w:type="dxa"/>
            <w:tcBorders>
              <w:top w:val="nil"/>
              <w:left w:val="nil"/>
              <w:bottom w:val="single" w:sz="8" w:space="0" w:color="auto"/>
              <w:right w:val="single" w:sz="8" w:space="0" w:color="auto"/>
            </w:tcBorders>
            <w:shd w:val="clear" w:color="auto" w:fill="auto"/>
            <w:vAlign w:val="center"/>
            <w:hideMark/>
          </w:tcPr>
          <w:p w14:paraId="1868F9D0" w14:textId="0B91CC2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6,690</w:t>
            </w:r>
          </w:p>
        </w:tc>
        <w:tc>
          <w:tcPr>
            <w:tcW w:w="747" w:type="dxa"/>
            <w:tcBorders>
              <w:top w:val="nil"/>
              <w:left w:val="nil"/>
              <w:bottom w:val="single" w:sz="8" w:space="0" w:color="auto"/>
              <w:right w:val="single" w:sz="8" w:space="0" w:color="auto"/>
            </w:tcBorders>
            <w:shd w:val="clear" w:color="auto" w:fill="auto"/>
            <w:vAlign w:val="center"/>
            <w:hideMark/>
          </w:tcPr>
          <w:p w14:paraId="0E4452B2" w14:textId="0A93FD3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7,291</w:t>
            </w:r>
          </w:p>
        </w:tc>
        <w:tc>
          <w:tcPr>
            <w:tcW w:w="747" w:type="dxa"/>
            <w:tcBorders>
              <w:top w:val="nil"/>
              <w:left w:val="nil"/>
              <w:bottom w:val="single" w:sz="8" w:space="0" w:color="auto"/>
              <w:right w:val="single" w:sz="8" w:space="0" w:color="auto"/>
            </w:tcBorders>
            <w:shd w:val="clear" w:color="auto" w:fill="auto"/>
            <w:vAlign w:val="center"/>
            <w:hideMark/>
          </w:tcPr>
          <w:p w14:paraId="6E252322" w14:textId="523DB02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8,625</w:t>
            </w:r>
          </w:p>
        </w:tc>
        <w:tc>
          <w:tcPr>
            <w:tcW w:w="747" w:type="dxa"/>
            <w:tcBorders>
              <w:top w:val="nil"/>
              <w:left w:val="nil"/>
              <w:bottom w:val="single" w:sz="8" w:space="0" w:color="auto"/>
              <w:right w:val="single" w:sz="8" w:space="0" w:color="auto"/>
            </w:tcBorders>
            <w:shd w:val="clear" w:color="auto" w:fill="auto"/>
            <w:vAlign w:val="center"/>
            <w:hideMark/>
          </w:tcPr>
          <w:p w14:paraId="21C1B4D8" w14:textId="3147A6C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5,596</w:t>
            </w:r>
          </w:p>
        </w:tc>
        <w:tc>
          <w:tcPr>
            <w:tcW w:w="747" w:type="dxa"/>
            <w:tcBorders>
              <w:top w:val="nil"/>
              <w:left w:val="nil"/>
              <w:bottom w:val="single" w:sz="8" w:space="0" w:color="auto"/>
              <w:right w:val="single" w:sz="8" w:space="0" w:color="auto"/>
            </w:tcBorders>
            <w:shd w:val="clear" w:color="auto" w:fill="auto"/>
            <w:vAlign w:val="center"/>
            <w:hideMark/>
          </w:tcPr>
          <w:p w14:paraId="1F438A7A" w14:textId="4017B9F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6,504</w:t>
            </w:r>
          </w:p>
        </w:tc>
        <w:tc>
          <w:tcPr>
            <w:tcW w:w="747" w:type="dxa"/>
            <w:tcBorders>
              <w:top w:val="nil"/>
              <w:left w:val="nil"/>
              <w:bottom w:val="single" w:sz="8" w:space="0" w:color="auto"/>
              <w:right w:val="single" w:sz="8" w:space="0" w:color="auto"/>
            </w:tcBorders>
            <w:shd w:val="clear" w:color="auto" w:fill="auto"/>
            <w:vAlign w:val="center"/>
            <w:hideMark/>
          </w:tcPr>
          <w:p w14:paraId="7D243326" w14:textId="3090B18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7,086</w:t>
            </w:r>
          </w:p>
        </w:tc>
        <w:tc>
          <w:tcPr>
            <w:tcW w:w="747" w:type="dxa"/>
            <w:tcBorders>
              <w:top w:val="nil"/>
              <w:left w:val="nil"/>
              <w:bottom w:val="single" w:sz="8" w:space="0" w:color="auto"/>
              <w:right w:val="single" w:sz="8" w:space="0" w:color="auto"/>
            </w:tcBorders>
            <w:shd w:val="clear" w:color="auto" w:fill="auto"/>
            <w:vAlign w:val="center"/>
            <w:hideMark/>
          </w:tcPr>
          <w:p w14:paraId="70CB27EC" w14:textId="5CEA180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8,310</w:t>
            </w:r>
          </w:p>
        </w:tc>
        <w:tc>
          <w:tcPr>
            <w:tcW w:w="747" w:type="dxa"/>
            <w:tcBorders>
              <w:top w:val="nil"/>
              <w:left w:val="nil"/>
              <w:bottom w:val="single" w:sz="8" w:space="0" w:color="auto"/>
              <w:right w:val="single" w:sz="8" w:space="0" w:color="auto"/>
            </w:tcBorders>
            <w:shd w:val="clear" w:color="auto" w:fill="auto"/>
            <w:vAlign w:val="center"/>
            <w:hideMark/>
          </w:tcPr>
          <w:p w14:paraId="3CC770F6" w14:textId="3D4A209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5,489</w:t>
            </w:r>
          </w:p>
        </w:tc>
        <w:tc>
          <w:tcPr>
            <w:tcW w:w="747" w:type="dxa"/>
            <w:tcBorders>
              <w:top w:val="nil"/>
              <w:left w:val="nil"/>
              <w:bottom w:val="single" w:sz="8" w:space="0" w:color="auto"/>
              <w:right w:val="single" w:sz="8" w:space="0" w:color="auto"/>
            </w:tcBorders>
            <w:shd w:val="clear" w:color="auto" w:fill="auto"/>
            <w:vAlign w:val="center"/>
            <w:hideMark/>
          </w:tcPr>
          <w:p w14:paraId="4A455A51" w14:textId="5A3AB8E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6,099</w:t>
            </w:r>
          </w:p>
        </w:tc>
        <w:tc>
          <w:tcPr>
            <w:tcW w:w="747" w:type="dxa"/>
            <w:tcBorders>
              <w:top w:val="nil"/>
              <w:left w:val="nil"/>
              <w:bottom w:val="single" w:sz="8" w:space="0" w:color="auto"/>
              <w:right w:val="single" w:sz="8" w:space="0" w:color="auto"/>
            </w:tcBorders>
            <w:shd w:val="clear" w:color="auto" w:fill="auto"/>
            <w:vAlign w:val="center"/>
            <w:hideMark/>
          </w:tcPr>
          <w:p w14:paraId="61A6C42B" w14:textId="6049702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6,222</w:t>
            </w:r>
          </w:p>
        </w:tc>
        <w:tc>
          <w:tcPr>
            <w:tcW w:w="747" w:type="dxa"/>
            <w:tcBorders>
              <w:top w:val="nil"/>
              <w:left w:val="nil"/>
              <w:bottom w:val="single" w:sz="8" w:space="0" w:color="auto"/>
              <w:right w:val="single" w:sz="8" w:space="0" w:color="auto"/>
            </w:tcBorders>
            <w:shd w:val="clear" w:color="auto" w:fill="auto"/>
            <w:vAlign w:val="center"/>
            <w:hideMark/>
          </w:tcPr>
          <w:p w14:paraId="55C0914B" w14:textId="7C931B5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7,805</w:t>
            </w:r>
          </w:p>
        </w:tc>
      </w:tr>
      <w:tr w:rsidR="00B859CB" w:rsidRPr="00C734C2" w14:paraId="2FFDCF1E"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34933080" w14:textId="063DE5B5" w:rsidR="00B859CB" w:rsidRPr="00C734C2" w:rsidRDefault="003B67B3"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F</w:t>
            </w:r>
            <w:r w:rsidR="00B859CB" w:rsidRPr="00C734C2">
              <w:rPr>
                <w:rFonts w:ascii="Arial Narrow" w:eastAsia="Times New Roman" w:hAnsi="Arial Narrow" w:cs="Arial"/>
                <w:sz w:val="18"/>
                <w:szCs w:val="18"/>
                <w:lang w:eastAsia="en-AU"/>
              </w:rPr>
              <w:t>luticasone</w:t>
            </w:r>
            <w:r>
              <w:rPr>
                <w:rFonts w:ascii="Arial Narrow" w:eastAsia="Times New Roman" w:hAnsi="Arial Narrow" w:cs="Arial"/>
                <w:sz w:val="18"/>
                <w:szCs w:val="18"/>
                <w:lang w:eastAsia="en-AU"/>
              </w:rPr>
              <w:t xml:space="preserve"> propionate</w:t>
            </w:r>
            <w:r w:rsidR="00B859CB" w:rsidRPr="00C734C2">
              <w:rPr>
                <w:rFonts w:ascii="Arial Narrow" w:eastAsia="Times New Roman" w:hAnsi="Arial Narrow" w:cs="Arial"/>
                <w:sz w:val="18"/>
                <w:szCs w:val="18"/>
                <w:lang w:eastAsia="en-AU"/>
              </w:rPr>
              <w:t xml:space="preserve"> / salmeterol 500/50</w:t>
            </w:r>
          </w:p>
        </w:tc>
        <w:tc>
          <w:tcPr>
            <w:tcW w:w="748" w:type="dxa"/>
            <w:tcBorders>
              <w:top w:val="nil"/>
              <w:left w:val="nil"/>
              <w:bottom w:val="single" w:sz="8" w:space="0" w:color="auto"/>
              <w:right w:val="single" w:sz="8" w:space="0" w:color="auto"/>
            </w:tcBorders>
            <w:shd w:val="clear" w:color="auto" w:fill="auto"/>
            <w:vAlign w:val="center"/>
            <w:hideMark/>
          </w:tcPr>
          <w:p w14:paraId="0DB8792B" w14:textId="44EF4B4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9,289</w:t>
            </w:r>
          </w:p>
        </w:tc>
        <w:tc>
          <w:tcPr>
            <w:tcW w:w="748" w:type="dxa"/>
            <w:tcBorders>
              <w:top w:val="nil"/>
              <w:left w:val="nil"/>
              <w:bottom w:val="single" w:sz="8" w:space="0" w:color="auto"/>
              <w:right w:val="single" w:sz="8" w:space="0" w:color="auto"/>
            </w:tcBorders>
            <w:shd w:val="clear" w:color="auto" w:fill="auto"/>
            <w:vAlign w:val="center"/>
            <w:hideMark/>
          </w:tcPr>
          <w:p w14:paraId="790D11DA" w14:textId="2E0C499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5,977</w:t>
            </w:r>
          </w:p>
        </w:tc>
        <w:tc>
          <w:tcPr>
            <w:tcW w:w="747" w:type="dxa"/>
            <w:tcBorders>
              <w:top w:val="nil"/>
              <w:left w:val="nil"/>
              <w:bottom w:val="single" w:sz="8" w:space="0" w:color="auto"/>
              <w:right w:val="single" w:sz="8" w:space="0" w:color="auto"/>
            </w:tcBorders>
            <w:shd w:val="clear" w:color="auto" w:fill="auto"/>
            <w:vAlign w:val="center"/>
            <w:hideMark/>
          </w:tcPr>
          <w:p w14:paraId="0572D0FC" w14:textId="4A3842D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6,754</w:t>
            </w:r>
          </w:p>
        </w:tc>
        <w:tc>
          <w:tcPr>
            <w:tcW w:w="747" w:type="dxa"/>
            <w:tcBorders>
              <w:top w:val="nil"/>
              <w:left w:val="nil"/>
              <w:bottom w:val="single" w:sz="8" w:space="0" w:color="auto"/>
              <w:right w:val="single" w:sz="8" w:space="0" w:color="auto"/>
            </w:tcBorders>
            <w:shd w:val="clear" w:color="auto" w:fill="auto"/>
            <w:vAlign w:val="center"/>
            <w:hideMark/>
          </w:tcPr>
          <w:p w14:paraId="20C7FF88" w14:textId="50345DA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7,225</w:t>
            </w:r>
          </w:p>
        </w:tc>
        <w:tc>
          <w:tcPr>
            <w:tcW w:w="747" w:type="dxa"/>
            <w:tcBorders>
              <w:top w:val="nil"/>
              <w:left w:val="nil"/>
              <w:bottom w:val="single" w:sz="8" w:space="0" w:color="auto"/>
              <w:right w:val="single" w:sz="8" w:space="0" w:color="auto"/>
            </w:tcBorders>
            <w:shd w:val="clear" w:color="auto" w:fill="auto"/>
            <w:vAlign w:val="center"/>
            <w:hideMark/>
          </w:tcPr>
          <w:p w14:paraId="33A2CFC9" w14:textId="7B082C9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8,125</w:t>
            </w:r>
          </w:p>
        </w:tc>
        <w:tc>
          <w:tcPr>
            <w:tcW w:w="747" w:type="dxa"/>
            <w:tcBorders>
              <w:top w:val="nil"/>
              <w:left w:val="nil"/>
              <w:bottom w:val="single" w:sz="8" w:space="0" w:color="auto"/>
              <w:right w:val="single" w:sz="8" w:space="0" w:color="auto"/>
            </w:tcBorders>
            <w:shd w:val="clear" w:color="auto" w:fill="auto"/>
            <w:vAlign w:val="center"/>
            <w:hideMark/>
          </w:tcPr>
          <w:p w14:paraId="080A2186" w14:textId="0BCBC98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5,932</w:t>
            </w:r>
          </w:p>
        </w:tc>
        <w:tc>
          <w:tcPr>
            <w:tcW w:w="747" w:type="dxa"/>
            <w:tcBorders>
              <w:top w:val="nil"/>
              <w:left w:val="nil"/>
              <w:bottom w:val="single" w:sz="8" w:space="0" w:color="auto"/>
              <w:right w:val="single" w:sz="8" w:space="0" w:color="auto"/>
            </w:tcBorders>
            <w:shd w:val="clear" w:color="auto" w:fill="auto"/>
            <w:vAlign w:val="center"/>
            <w:hideMark/>
          </w:tcPr>
          <w:p w14:paraId="07B4BA72" w14:textId="78FE862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6,755</w:t>
            </w:r>
          </w:p>
        </w:tc>
        <w:tc>
          <w:tcPr>
            <w:tcW w:w="747" w:type="dxa"/>
            <w:tcBorders>
              <w:top w:val="nil"/>
              <w:left w:val="nil"/>
              <w:bottom w:val="single" w:sz="8" w:space="0" w:color="auto"/>
              <w:right w:val="single" w:sz="8" w:space="0" w:color="auto"/>
            </w:tcBorders>
            <w:shd w:val="clear" w:color="auto" w:fill="auto"/>
            <w:vAlign w:val="center"/>
            <w:hideMark/>
          </w:tcPr>
          <w:p w14:paraId="3B6153B3" w14:textId="4F113BB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7,149</w:t>
            </w:r>
          </w:p>
        </w:tc>
        <w:tc>
          <w:tcPr>
            <w:tcW w:w="747" w:type="dxa"/>
            <w:tcBorders>
              <w:top w:val="nil"/>
              <w:left w:val="nil"/>
              <w:bottom w:val="single" w:sz="8" w:space="0" w:color="auto"/>
              <w:right w:val="single" w:sz="8" w:space="0" w:color="auto"/>
            </w:tcBorders>
            <w:shd w:val="clear" w:color="auto" w:fill="auto"/>
            <w:vAlign w:val="center"/>
            <w:hideMark/>
          </w:tcPr>
          <w:p w14:paraId="1FD4BAEB" w14:textId="6D702D1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7,963</w:t>
            </w:r>
          </w:p>
        </w:tc>
        <w:tc>
          <w:tcPr>
            <w:tcW w:w="747" w:type="dxa"/>
            <w:tcBorders>
              <w:top w:val="nil"/>
              <w:left w:val="nil"/>
              <w:bottom w:val="single" w:sz="8" w:space="0" w:color="auto"/>
              <w:right w:val="single" w:sz="8" w:space="0" w:color="auto"/>
            </w:tcBorders>
            <w:shd w:val="clear" w:color="auto" w:fill="auto"/>
            <w:vAlign w:val="center"/>
            <w:hideMark/>
          </w:tcPr>
          <w:p w14:paraId="3F138863" w14:textId="27615CB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5,612</w:t>
            </w:r>
          </w:p>
        </w:tc>
        <w:tc>
          <w:tcPr>
            <w:tcW w:w="747" w:type="dxa"/>
            <w:tcBorders>
              <w:top w:val="nil"/>
              <w:left w:val="nil"/>
              <w:bottom w:val="single" w:sz="8" w:space="0" w:color="auto"/>
              <w:right w:val="single" w:sz="8" w:space="0" w:color="auto"/>
            </w:tcBorders>
            <w:shd w:val="clear" w:color="auto" w:fill="auto"/>
            <w:vAlign w:val="center"/>
            <w:hideMark/>
          </w:tcPr>
          <w:p w14:paraId="6B640E96" w14:textId="61E677B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6,119</w:t>
            </w:r>
          </w:p>
        </w:tc>
        <w:tc>
          <w:tcPr>
            <w:tcW w:w="747" w:type="dxa"/>
            <w:tcBorders>
              <w:top w:val="nil"/>
              <w:left w:val="nil"/>
              <w:bottom w:val="single" w:sz="8" w:space="0" w:color="auto"/>
              <w:right w:val="single" w:sz="8" w:space="0" w:color="auto"/>
            </w:tcBorders>
            <w:shd w:val="clear" w:color="auto" w:fill="auto"/>
            <w:vAlign w:val="center"/>
            <w:hideMark/>
          </w:tcPr>
          <w:p w14:paraId="78907B69" w14:textId="23F49A9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6,428</w:t>
            </w:r>
          </w:p>
        </w:tc>
        <w:tc>
          <w:tcPr>
            <w:tcW w:w="747" w:type="dxa"/>
            <w:tcBorders>
              <w:top w:val="nil"/>
              <w:left w:val="nil"/>
              <w:bottom w:val="single" w:sz="8" w:space="0" w:color="auto"/>
              <w:right w:val="single" w:sz="8" w:space="0" w:color="auto"/>
            </w:tcBorders>
            <w:shd w:val="clear" w:color="auto" w:fill="auto"/>
            <w:vAlign w:val="center"/>
            <w:hideMark/>
          </w:tcPr>
          <w:p w14:paraId="59DB7323" w14:textId="11F4691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6,976</w:t>
            </w:r>
          </w:p>
        </w:tc>
        <w:tc>
          <w:tcPr>
            <w:tcW w:w="747" w:type="dxa"/>
            <w:tcBorders>
              <w:top w:val="nil"/>
              <w:left w:val="nil"/>
              <w:bottom w:val="single" w:sz="8" w:space="0" w:color="auto"/>
              <w:right w:val="single" w:sz="8" w:space="0" w:color="auto"/>
            </w:tcBorders>
            <w:shd w:val="clear" w:color="auto" w:fill="auto"/>
            <w:vAlign w:val="center"/>
            <w:hideMark/>
          </w:tcPr>
          <w:p w14:paraId="52DCF9A1" w14:textId="5B2CBDD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4,840</w:t>
            </w:r>
          </w:p>
        </w:tc>
        <w:tc>
          <w:tcPr>
            <w:tcW w:w="747" w:type="dxa"/>
            <w:tcBorders>
              <w:top w:val="nil"/>
              <w:left w:val="nil"/>
              <w:bottom w:val="single" w:sz="8" w:space="0" w:color="auto"/>
              <w:right w:val="single" w:sz="8" w:space="0" w:color="auto"/>
            </w:tcBorders>
            <w:shd w:val="clear" w:color="auto" w:fill="auto"/>
            <w:vAlign w:val="center"/>
            <w:hideMark/>
          </w:tcPr>
          <w:p w14:paraId="02616F42" w14:textId="540EC7E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5,270</w:t>
            </w:r>
          </w:p>
        </w:tc>
        <w:tc>
          <w:tcPr>
            <w:tcW w:w="747" w:type="dxa"/>
            <w:tcBorders>
              <w:top w:val="nil"/>
              <w:left w:val="nil"/>
              <w:bottom w:val="single" w:sz="8" w:space="0" w:color="auto"/>
              <w:right w:val="single" w:sz="8" w:space="0" w:color="auto"/>
            </w:tcBorders>
            <w:shd w:val="clear" w:color="auto" w:fill="auto"/>
            <w:vAlign w:val="center"/>
            <w:hideMark/>
          </w:tcPr>
          <w:p w14:paraId="6EF5DB50" w14:textId="4EB2C86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5,284</w:t>
            </w:r>
          </w:p>
        </w:tc>
        <w:tc>
          <w:tcPr>
            <w:tcW w:w="747" w:type="dxa"/>
            <w:tcBorders>
              <w:top w:val="nil"/>
              <w:left w:val="nil"/>
              <w:bottom w:val="single" w:sz="8" w:space="0" w:color="auto"/>
              <w:right w:val="single" w:sz="8" w:space="0" w:color="auto"/>
            </w:tcBorders>
            <w:shd w:val="clear" w:color="auto" w:fill="auto"/>
            <w:vAlign w:val="center"/>
            <w:hideMark/>
          </w:tcPr>
          <w:p w14:paraId="68EB8FF0" w14:textId="7D4725C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5,995</w:t>
            </w:r>
          </w:p>
        </w:tc>
      </w:tr>
      <w:tr w:rsidR="00B859CB" w:rsidRPr="00C734C2" w14:paraId="032C9871"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36FF7F13" w14:textId="77777777" w:rsidR="00B859CB" w:rsidRPr="00C734C2" w:rsidRDefault="00B859CB" w:rsidP="00B859CB">
            <w:pPr>
              <w:rPr>
                <w:rFonts w:ascii="Arial Narrow" w:eastAsia="Times New Roman" w:hAnsi="Arial Narrow" w:cs="Arial"/>
                <w:sz w:val="18"/>
                <w:szCs w:val="18"/>
                <w:lang w:eastAsia="en-AU"/>
              </w:rPr>
            </w:pPr>
            <w:proofErr w:type="spellStart"/>
            <w:r w:rsidRPr="00C734C2">
              <w:rPr>
                <w:rFonts w:ascii="Arial Narrow" w:eastAsia="Times New Roman" w:hAnsi="Arial Narrow" w:cs="Arial"/>
                <w:sz w:val="18"/>
                <w:szCs w:val="18"/>
                <w:lang w:eastAsia="en-AU"/>
              </w:rPr>
              <w:t>indacaterol</w:t>
            </w:r>
            <w:proofErr w:type="spellEnd"/>
            <w:r w:rsidRPr="00C734C2">
              <w:rPr>
                <w:rFonts w:ascii="Arial Narrow" w:eastAsia="Times New Roman" w:hAnsi="Arial Narrow" w:cs="Arial"/>
                <w:sz w:val="18"/>
                <w:szCs w:val="18"/>
                <w:lang w:eastAsia="en-AU"/>
              </w:rPr>
              <w:t xml:space="preserve"> / </w:t>
            </w:r>
            <w:proofErr w:type="spellStart"/>
            <w:r w:rsidRPr="00C734C2">
              <w:rPr>
                <w:rFonts w:ascii="Arial Narrow" w:eastAsia="Times New Roman" w:hAnsi="Arial Narrow" w:cs="Arial"/>
                <w:sz w:val="18"/>
                <w:szCs w:val="18"/>
                <w:lang w:eastAsia="en-AU"/>
              </w:rPr>
              <w:t>glycopyrronium</w:t>
            </w:r>
            <w:proofErr w:type="spellEnd"/>
          </w:p>
        </w:tc>
        <w:tc>
          <w:tcPr>
            <w:tcW w:w="748" w:type="dxa"/>
            <w:tcBorders>
              <w:top w:val="nil"/>
              <w:left w:val="nil"/>
              <w:bottom w:val="single" w:sz="8" w:space="0" w:color="auto"/>
              <w:right w:val="single" w:sz="8" w:space="0" w:color="auto"/>
            </w:tcBorders>
            <w:shd w:val="clear" w:color="auto" w:fill="auto"/>
            <w:vAlign w:val="center"/>
            <w:hideMark/>
          </w:tcPr>
          <w:p w14:paraId="02BAD931" w14:textId="7D170C6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552AE5BF" w14:textId="7D0FC68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9BCAC06" w14:textId="79ED746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62058A5" w14:textId="57E6BC2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21F56C17" w14:textId="6D3B926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5F406008" w14:textId="7C03ED0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43B0FD28" w14:textId="056B92F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77ECB0BC" w14:textId="7141487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4E4507E5" w14:textId="6C4AA7E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909</w:t>
            </w:r>
          </w:p>
        </w:tc>
        <w:tc>
          <w:tcPr>
            <w:tcW w:w="747" w:type="dxa"/>
            <w:tcBorders>
              <w:top w:val="nil"/>
              <w:left w:val="nil"/>
              <w:bottom w:val="single" w:sz="8" w:space="0" w:color="auto"/>
              <w:right w:val="single" w:sz="8" w:space="0" w:color="auto"/>
            </w:tcBorders>
            <w:shd w:val="clear" w:color="auto" w:fill="auto"/>
            <w:vAlign w:val="center"/>
            <w:hideMark/>
          </w:tcPr>
          <w:p w14:paraId="494CAFBC" w14:textId="27FF008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2,600</w:t>
            </w:r>
          </w:p>
        </w:tc>
        <w:tc>
          <w:tcPr>
            <w:tcW w:w="747" w:type="dxa"/>
            <w:tcBorders>
              <w:top w:val="nil"/>
              <w:left w:val="nil"/>
              <w:bottom w:val="single" w:sz="8" w:space="0" w:color="auto"/>
              <w:right w:val="single" w:sz="8" w:space="0" w:color="auto"/>
            </w:tcBorders>
            <w:shd w:val="clear" w:color="auto" w:fill="auto"/>
            <w:vAlign w:val="center"/>
            <w:hideMark/>
          </w:tcPr>
          <w:p w14:paraId="1DFEAD72" w14:textId="661D29F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4,667</w:t>
            </w:r>
          </w:p>
        </w:tc>
        <w:tc>
          <w:tcPr>
            <w:tcW w:w="747" w:type="dxa"/>
            <w:tcBorders>
              <w:top w:val="nil"/>
              <w:left w:val="nil"/>
              <w:bottom w:val="single" w:sz="8" w:space="0" w:color="auto"/>
              <w:right w:val="single" w:sz="8" w:space="0" w:color="auto"/>
            </w:tcBorders>
            <w:shd w:val="clear" w:color="auto" w:fill="auto"/>
            <w:vAlign w:val="center"/>
            <w:hideMark/>
          </w:tcPr>
          <w:p w14:paraId="4E50A257" w14:textId="4D4706F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6,310</w:t>
            </w:r>
          </w:p>
        </w:tc>
        <w:tc>
          <w:tcPr>
            <w:tcW w:w="747" w:type="dxa"/>
            <w:tcBorders>
              <w:top w:val="nil"/>
              <w:left w:val="nil"/>
              <w:bottom w:val="single" w:sz="8" w:space="0" w:color="auto"/>
              <w:right w:val="single" w:sz="8" w:space="0" w:color="auto"/>
            </w:tcBorders>
            <w:shd w:val="clear" w:color="auto" w:fill="auto"/>
            <w:vAlign w:val="center"/>
            <w:hideMark/>
          </w:tcPr>
          <w:p w14:paraId="0670B8BA" w14:textId="266EA94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7,840</w:t>
            </w:r>
          </w:p>
        </w:tc>
        <w:tc>
          <w:tcPr>
            <w:tcW w:w="747" w:type="dxa"/>
            <w:tcBorders>
              <w:top w:val="nil"/>
              <w:left w:val="nil"/>
              <w:bottom w:val="single" w:sz="8" w:space="0" w:color="auto"/>
              <w:right w:val="single" w:sz="8" w:space="0" w:color="auto"/>
            </w:tcBorders>
            <w:shd w:val="clear" w:color="auto" w:fill="auto"/>
            <w:vAlign w:val="center"/>
            <w:hideMark/>
          </w:tcPr>
          <w:p w14:paraId="2D6B783C" w14:textId="0C89356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7,023</w:t>
            </w:r>
          </w:p>
        </w:tc>
        <w:tc>
          <w:tcPr>
            <w:tcW w:w="747" w:type="dxa"/>
            <w:tcBorders>
              <w:top w:val="nil"/>
              <w:left w:val="nil"/>
              <w:bottom w:val="single" w:sz="8" w:space="0" w:color="auto"/>
              <w:right w:val="single" w:sz="8" w:space="0" w:color="auto"/>
            </w:tcBorders>
            <w:shd w:val="clear" w:color="auto" w:fill="auto"/>
            <w:vAlign w:val="center"/>
            <w:hideMark/>
          </w:tcPr>
          <w:p w14:paraId="0EF06646" w14:textId="3AB492B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8,111</w:t>
            </w:r>
          </w:p>
        </w:tc>
        <w:tc>
          <w:tcPr>
            <w:tcW w:w="747" w:type="dxa"/>
            <w:tcBorders>
              <w:top w:val="nil"/>
              <w:left w:val="nil"/>
              <w:bottom w:val="single" w:sz="8" w:space="0" w:color="auto"/>
              <w:right w:val="single" w:sz="8" w:space="0" w:color="auto"/>
            </w:tcBorders>
            <w:shd w:val="clear" w:color="auto" w:fill="auto"/>
            <w:vAlign w:val="center"/>
            <w:hideMark/>
          </w:tcPr>
          <w:p w14:paraId="3790420E" w14:textId="1E8850F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8,610</w:t>
            </w:r>
          </w:p>
        </w:tc>
        <w:tc>
          <w:tcPr>
            <w:tcW w:w="747" w:type="dxa"/>
            <w:tcBorders>
              <w:top w:val="nil"/>
              <w:left w:val="nil"/>
              <w:bottom w:val="single" w:sz="8" w:space="0" w:color="auto"/>
              <w:right w:val="single" w:sz="8" w:space="0" w:color="auto"/>
            </w:tcBorders>
            <w:shd w:val="clear" w:color="auto" w:fill="auto"/>
            <w:vAlign w:val="center"/>
            <w:hideMark/>
          </w:tcPr>
          <w:p w14:paraId="3442D686" w14:textId="218DB09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10,279</w:t>
            </w:r>
          </w:p>
        </w:tc>
      </w:tr>
      <w:tr w:rsidR="00B859CB" w:rsidRPr="00C734C2" w14:paraId="1F887B8F"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60E0DEA5" w14:textId="77777777" w:rsidR="00B859CB" w:rsidRPr="00C734C2" w:rsidRDefault="00B859CB" w:rsidP="00B859CB">
            <w:pPr>
              <w:rPr>
                <w:rFonts w:ascii="Arial Narrow" w:eastAsia="Times New Roman" w:hAnsi="Arial Narrow" w:cs="Arial"/>
                <w:sz w:val="18"/>
                <w:szCs w:val="18"/>
                <w:lang w:eastAsia="en-AU"/>
              </w:rPr>
            </w:pPr>
            <w:proofErr w:type="spellStart"/>
            <w:r w:rsidRPr="00C734C2">
              <w:rPr>
                <w:rFonts w:ascii="Arial Narrow" w:eastAsia="Times New Roman" w:hAnsi="Arial Narrow" w:cs="Arial"/>
                <w:sz w:val="18"/>
                <w:szCs w:val="18"/>
                <w:lang w:eastAsia="en-AU"/>
              </w:rPr>
              <w:t>indacaterol</w:t>
            </w:r>
            <w:proofErr w:type="spellEnd"/>
            <w:r w:rsidRPr="00C734C2">
              <w:rPr>
                <w:rFonts w:ascii="Arial Narrow" w:eastAsia="Times New Roman" w:hAnsi="Arial Narrow" w:cs="Arial"/>
                <w:sz w:val="18"/>
                <w:szCs w:val="18"/>
                <w:lang w:eastAsia="en-AU"/>
              </w:rPr>
              <w:t xml:space="preserve"> 300</w:t>
            </w:r>
          </w:p>
        </w:tc>
        <w:tc>
          <w:tcPr>
            <w:tcW w:w="748" w:type="dxa"/>
            <w:tcBorders>
              <w:top w:val="nil"/>
              <w:left w:val="nil"/>
              <w:bottom w:val="single" w:sz="8" w:space="0" w:color="auto"/>
              <w:right w:val="single" w:sz="8" w:space="0" w:color="auto"/>
            </w:tcBorders>
            <w:shd w:val="clear" w:color="auto" w:fill="auto"/>
            <w:vAlign w:val="center"/>
            <w:hideMark/>
          </w:tcPr>
          <w:p w14:paraId="2DCA579B" w14:textId="749F903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2,672</w:t>
            </w:r>
          </w:p>
        </w:tc>
        <w:tc>
          <w:tcPr>
            <w:tcW w:w="748" w:type="dxa"/>
            <w:tcBorders>
              <w:top w:val="nil"/>
              <w:left w:val="nil"/>
              <w:bottom w:val="single" w:sz="8" w:space="0" w:color="auto"/>
              <w:right w:val="single" w:sz="8" w:space="0" w:color="auto"/>
            </w:tcBorders>
            <w:shd w:val="clear" w:color="auto" w:fill="auto"/>
            <w:vAlign w:val="center"/>
            <w:hideMark/>
          </w:tcPr>
          <w:p w14:paraId="468FA2DC" w14:textId="501161A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1,956</w:t>
            </w:r>
          </w:p>
        </w:tc>
        <w:tc>
          <w:tcPr>
            <w:tcW w:w="747" w:type="dxa"/>
            <w:tcBorders>
              <w:top w:val="nil"/>
              <w:left w:val="nil"/>
              <w:bottom w:val="single" w:sz="8" w:space="0" w:color="auto"/>
              <w:right w:val="single" w:sz="8" w:space="0" w:color="auto"/>
            </w:tcBorders>
            <w:shd w:val="clear" w:color="auto" w:fill="auto"/>
            <w:vAlign w:val="center"/>
            <w:hideMark/>
          </w:tcPr>
          <w:p w14:paraId="0F67ABB0" w14:textId="569961B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2,433</w:t>
            </w:r>
          </w:p>
        </w:tc>
        <w:tc>
          <w:tcPr>
            <w:tcW w:w="747" w:type="dxa"/>
            <w:tcBorders>
              <w:top w:val="nil"/>
              <w:left w:val="nil"/>
              <w:bottom w:val="single" w:sz="8" w:space="0" w:color="auto"/>
              <w:right w:val="single" w:sz="8" w:space="0" w:color="auto"/>
            </w:tcBorders>
            <w:shd w:val="clear" w:color="auto" w:fill="auto"/>
            <w:vAlign w:val="center"/>
            <w:hideMark/>
          </w:tcPr>
          <w:p w14:paraId="173249A5" w14:textId="185A918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2,753</w:t>
            </w:r>
          </w:p>
        </w:tc>
        <w:tc>
          <w:tcPr>
            <w:tcW w:w="747" w:type="dxa"/>
            <w:tcBorders>
              <w:top w:val="nil"/>
              <w:left w:val="nil"/>
              <w:bottom w:val="single" w:sz="8" w:space="0" w:color="auto"/>
              <w:right w:val="single" w:sz="8" w:space="0" w:color="auto"/>
            </w:tcBorders>
            <w:shd w:val="clear" w:color="auto" w:fill="auto"/>
            <w:vAlign w:val="center"/>
            <w:hideMark/>
          </w:tcPr>
          <w:p w14:paraId="7F3FF616" w14:textId="03F0365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3,182</w:t>
            </w:r>
          </w:p>
        </w:tc>
        <w:tc>
          <w:tcPr>
            <w:tcW w:w="747" w:type="dxa"/>
            <w:tcBorders>
              <w:top w:val="nil"/>
              <w:left w:val="nil"/>
              <w:bottom w:val="single" w:sz="8" w:space="0" w:color="auto"/>
              <w:right w:val="single" w:sz="8" w:space="0" w:color="auto"/>
            </w:tcBorders>
            <w:shd w:val="clear" w:color="auto" w:fill="auto"/>
            <w:vAlign w:val="center"/>
            <w:hideMark/>
          </w:tcPr>
          <w:p w14:paraId="53D09E35" w14:textId="221251A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2,641</w:t>
            </w:r>
          </w:p>
        </w:tc>
        <w:tc>
          <w:tcPr>
            <w:tcW w:w="747" w:type="dxa"/>
            <w:tcBorders>
              <w:top w:val="nil"/>
              <w:left w:val="nil"/>
              <w:bottom w:val="single" w:sz="8" w:space="0" w:color="auto"/>
              <w:right w:val="single" w:sz="8" w:space="0" w:color="auto"/>
            </w:tcBorders>
            <w:shd w:val="clear" w:color="auto" w:fill="auto"/>
            <w:vAlign w:val="center"/>
            <w:hideMark/>
          </w:tcPr>
          <w:p w14:paraId="0552269B" w14:textId="3A4BB57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3,115</w:t>
            </w:r>
          </w:p>
        </w:tc>
        <w:tc>
          <w:tcPr>
            <w:tcW w:w="747" w:type="dxa"/>
            <w:tcBorders>
              <w:top w:val="nil"/>
              <w:left w:val="nil"/>
              <w:bottom w:val="single" w:sz="8" w:space="0" w:color="auto"/>
              <w:right w:val="single" w:sz="8" w:space="0" w:color="auto"/>
            </w:tcBorders>
            <w:shd w:val="clear" w:color="auto" w:fill="auto"/>
            <w:vAlign w:val="center"/>
            <w:hideMark/>
          </w:tcPr>
          <w:p w14:paraId="3B9FC97F" w14:textId="3A8E79B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3,272</w:t>
            </w:r>
          </w:p>
        </w:tc>
        <w:tc>
          <w:tcPr>
            <w:tcW w:w="747" w:type="dxa"/>
            <w:tcBorders>
              <w:top w:val="nil"/>
              <w:left w:val="nil"/>
              <w:bottom w:val="single" w:sz="8" w:space="0" w:color="auto"/>
              <w:right w:val="single" w:sz="8" w:space="0" w:color="auto"/>
            </w:tcBorders>
            <w:shd w:val="clear" w:color="auto" w:fill="auto"/>
            <w:vAlign w:val="center"/>
            <w:hideMark/>
          </w:tcPr>
          <w:p w14:paraId="7C01E805" w14:textId="4C20B58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3,657</w:t>
            </w:r>
          </w:p>
        </w:tc>
        <w:tc>
          <w:tcPr>
            <w:tcW w:w="747" w:type="dxa"/>
            <w:tcBorders>
              <w:top w:val="nil"/>
              <w:left w:val="nil"/>
              <w:bottom w:val="single" w:sz="8" w:space="0" w:color="auto"/>
              <w:right w:val="single" w:sz="8" w:space="0" w:color="auto"/>
            </w:tcBorders>
            <w:shd w:val="clear" w:color="auto" w:fill="auto"/>
            <w:vAlign w:val="center"/>
            <w:hideMark/>
          </w:tcPr>
          <w:p w14:paraId="702F14AE" w14:textId="48E9817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2,733</w:t>
            </w:r>
          </w:p>
        </w:tc>
        <w:tc>
          <w:tcPr>
            <w:tcW w:w="747" w:type="dxa"/>
            <w:tcBorders>
              <w:top w:val="nil"/>
              <w:left w:val="nil"/>
              <w:bottom w:val="single" w:sz="8" w:space="0" w:color="auto"/>
              <w:right w:val="single" w:sz="8" w:space="0" w:color="auto"/>
            </w:tcBorders>
            <w:shd w:val="clear" w:color="auto" w:fill="auto"/>
            <w:vAlign w:val="center"/>
            <w:hideMark/>
          </w:tcPr>
          <w:p w14:paraId="593943A2" w14:textId="095D661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2,764</w:t>
            </w:r>
          </w:p>
        </w:tc>
        <w:tc>
          <w:tcPr>
            <w:tcW w:w="747" w:type="dxa"/>
            <w:tcBorders>
              <w:top w:val="nil"/>
              <w:left w:val="nil"/>
              <w:bottom w:val="single" w:sz="8" w:space="0" w:color="auto"/>
              <w:right w:val="single" w:sz="8" w:space="0" w:color="auto"/>
            </w:tcBorders>
            <w:shd w:val="clear" w:color="auto" w:fill="auto"/>
            <w:vAlign w:val="center"/>
            <w:hideMark/>
          </w:tcPr>
          <w:p w14:paraId="04E47167" w14:textId="6E317AE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2,669</w:t>
            </w:r>
          </w:p>
        </w:tc>
        <w:tc>
          <w:tcPr>
            <w:tcW w:w="747" w:type="dxa"/>
            <w:tcBorders>
              <w:top w:val="nil"/>
              <w:left w:val="nil"/>
              <w:bottom w:val="single" w:sz="8" w:space="0" w:color="auto"/>
              <w:right w:val="single" w:sz="8" w:space="0" w:color="auto"/>
            </w:tcBorders>
            <w:shd w:val="clear" w:color="auto" w:fill="auto"/>
            <w:vAlign w:val="center"/>
            <w:hideMark/>
          </w:tcPr>
          <w:p w14:paraId="4ADF1DD6" w14:textId="38DD9A2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2,751</w:t>
            </w:r>
          </w:p>
        </w:tc>
        <w:tc>
          <w:tcPr>
            <w:tcW w:w="747" w:type="dxa"/>
            <w:tcBorders>
              <w:top w:val="nil"/>
              <w:left w:val="nil"/>
              <w:bottom w:val="single" w:sz="8" w:space="0" w:color="auto"/>
              <w:right w:val="single" w:sz="8" w:space="0" w:color="auto"/>
            </w:tcBorders>
            <w:shd w:val="clear" w:color="auto" w:fill="auto"/>
            <w:vAlign w:val="center"/>
            <w:hideMark/>
          </w:tcPr>
          <w:p w14:paraId="6C887507" w14:textId="4EE7DFB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2,063</w:t>
            </w:r>
          </w:p>
        </w:tc>
        <w:tc>
          <w:tcPr>
            <w:tcW w:w="747" w:type="dxa"/>
            <w:tcBorders>
              <w:top w:val="nil"/>
              <w:left w:val="nil"/>
              <w:bottom w:val="single" w:sz="8" w:space="0" w:color="auto"/>
              <w:right w:val="single" w:sz="8" w:space="0" w:color="auto"/>
            </w:tcBorders>
            <w:shd w:val="clear" w:color="auto" w:fill="auto"/>
            <w:vAlign w:val="center"/>
            <w:hideMark/>
          </w:tcPr>
          <w:p w14:paraId="49FE8906" w14:textId="5AAF2FE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2,169</w:t>
            </w:r>
          </w:p>
        </w:tc>
        <w:tc>
          <w:tcPr>
            <w:tcW w:w="747" w:type="dxa"/>
            <w:tcBorders>
              <w:top w:val="nil"/>
              <w:left w:val="nil"/>
              <w:bottom w:val="single" w:sz="8" w:space="0" w:color="auto"/>
              <w:right w:val="single" w:sz="8" w:space="0" w:color="auto"/>
            </w:tcBorders>
            <w:shd w:val="clear" w:color="auto" w:fill="auto"/>
            <w:vAlign w:val="center"/>
            <w:hideMark/>
          </w:tcPr>
          <w:p w14:paraId="44DB9235" w14:textId="4D3E0C3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2,022</w:t>
            </w:r>
          </w:p>
        </w:tc>
        <w:tc>
          <w:tcPr>
            <w:tcW w:w="747" w:type="dxa"/>
            <w:tcBorders>
              <w:top w:val="nil"/>
              <w:left w:val="nil"/>
              <w:bottom w:val="single" w:sz="8" w:space="0" w:color="auto"/>
              <w:right w:val="single" w:sz="8" w:space="0" w:color="auto"/>
            </w:tcBorders>
            <w:shd w:val="clear" w:color="auto" w:fill="auto"/>
            <w:vAlign w:val="center"/>
            <w:hideMark/>
          </w:tcPr>
          <w:p w14:paraId="3684CBBA" w14:textId="0BA81A9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2,163</w:t>
            </w:r>
          </w:p>
        </w:tc>
      </w:tr>
      <w:tr w:rsidR="00B859CB" w:rsidRPr="00C734C2" w14:paraId="1790469C"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51F8E062" w14:textId="26F584B6" w:rsidR="00B859CB" w:rsidRPr="00C734C2" w:rsidRDefault="0041494E"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G</w:t>
            </w:r>
            <w:r w:rsidR="00B859CB" w:rsidRPr="00C734C2">
              <w:rPr>
                <w:rFonts w:ascii="Arial Narrow" w:eastAsia="Times New Roman" w:hAnsi="Arial Narrow" w:cs="Arial"/>
                <w:sz w:val="18"/>
                <w:szCs w:val="18"/>
                <w:lang w:eastAsia="en-AU"/>
              </w:rPr>
              <w:t>lycopyrronium</w:t>
            </w:r>
          </w:p>
        </w:tc>
        <w:tc>
          <w:tcPr>
            <w:tcW w:w="748" w:type="dxa"/>
            <w:tcBorders>
              <w:top w:val="nil"/>
              <w:left w:val="nil"/>
              <w:bottom w:val="single" w:sz="8" w:space="0" w:color="auto"/>
              <w:right w:val="single" w:sz="8" w:space="0" w:color="auto"/>
            </w:tcBorders>
            <w:shd w:val="clear" w:color="auto" w:fill="auto"/>
            <w:vAlign w:val="center"/>
            <w:hideMark/>
          </w:tcPr>
          <w:p w14:paraId="53C4FBB9" w14:textId="03164C9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46F9C62B" w14:textId="6428E88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773430EA" w14:textId="29F3057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28458449" w14:textId="4249050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DF0A0FD" w14:textId="5C446B1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35CD3CA" w14:textId="0AA75E3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7B35C9F7" w14:textId="3FCD27E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1,368</w:t>
            </w:r>
          </w:p>
        </w:tc>
        <w:tc>
          <w:tcPr>
            <w:tcW w:w="747" w:type="dxa"/>
            <w:tcBorders>
              <w:top w:val="nil"/>
              <w:left w:val="nil"/>
              <w:bottom w:val="single" w:sz="8" w:space="0" w:color="auto"/>
              <w:right w:val="single" w:sz="8" w:space="0" w:color="auto"/>
            </w:tcBorders>
            <w:shd w:val="clear" w:color="auto" w:fill="auto"/>
            <w:vAlign w:val="center"/>
            <w:hideMark/>
          </w:tcPr>
          <w:p w14:paraId="599203E9" w14:textId="16E087C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2,738</w:t>
            </w:r>
          </w:p>
        </w:tc>
        <w:tc>
          <w:tcPr>
            <w:tcW w:w="747" w:type="dxa"/>
            <w:tcBorders>
              <w:top w:val="nil"/>
              <w:left w:val="nil"/>
              <w:bottom w:val="single" w:sz="8" w:space="0" w:color="auto"/>
              <w:right w:val="single" w:sz="8" w:space="0" w:color="auto"/>
            </w:tcBorders>
            <w:shd w:val="clear" w:color="auto" w:fill="auto"/>
            <w:vAlign w:val="center"/>
            <w:hideMark/>
          </w:tcPr>
          <w:p w14:paraId="51ACF329" w14:textId="4B7278E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3,875</w:t>
            </w:r>
          </w:p>
        </w:tc>
        <w:tc>
          <w:tcPr>
            <w:tcW w:w="747" w:type="dxa"/>
            <w:tcBorders>
              <w:top w:val="nil"/>
              <w:left w:val="nil"/>
              <w:bottom w:val="single" w:sz="8" w:space="0" w:color="auto"/>
              <w:right w:val="single" w:sz="8" w:space="0" w:color="auto"/>
            </w:tcBorders>
            <w:shd w:val="clear" w:color="auto" w:fill="auto"/>
            <w:vAlign w:val="center"/>
            <w:hideMark/>
          </w:tcPr>
          <w:p w14:paraId="72F94CD9" w14:textId="555848C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3,229</w:t>
            </w:r>
          </w:p>
        </w:tc>
        <w:tc>
          <w:tcPr>
            <w:tcW w:w="747" w:type="dxa"/>
            <w:tcBorders>
              <w:top w:val="nil"/>
              <w:left w:val="nil"/>
              <w:bottom w:val="single" w:sz="8" w:space="0" w:color="auto"/>
              <w:right w:val="single" w:sz="8" w:space="0" w:color="auto"/>
            </w:tcBorders>
            <w:shd w:val="clear" w:color="auto" w:fill="auto"/>
            <w:vAlign w:val="center"/>
            <w:hideMark/>
          </w:tcPr>
          <w:p w14:paraId="610622AE" w14:textId="35F200B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3,486</w:t>
            </w:r>
          </w:p>
        </w:tc>
        <w:tc>
          <w:tcPr>
            <w:tcW w:w="747" w:type="dxa"/>
            <w:tcBorders>
              <w:top w:val="nil"/>
              <w:left w:val="nil"/>
              <w:bottom w:val="single" w:sz="8" w:space="0" w:color="auto"/>
              <w:right w:val="single" w:sz="8" w:space="0" w:color="auto"/>
            </w:tcBorders>
            <w:shd w:val="clear" w:color="auto" w:fill="auto"/>
            <w:vAlign w:val="center"/>
            <w:hideMark/>
          </w:tcPr>
          <w:p w14:paraId="436D652C" w14:textId="0DF1AE2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3,780</w:t>
            </w:r>
          </w:p>
        </w:tc>
        <w:tc>
          <w:tcPr>
            <w:tcW w:w="747" w:type="dxa"/>
            <w:tcBorders>
              <w:top w:val="nil"/>
              <w:left w:val="nil"/>
              <w:bottom w:val="single" w:sz="8" w:space="0" w:color="auto"/>
              <w:right w:val="single" w:sz="8" w:space="0" w:color="auto"/>
            </w:tcBorders>
            <w:shd w:val="clear" w:color="auto" w:fill="auto"/>
            <w:vAlign w:val="center"/>
            <w:hideMark/>
          </w:tcPr>
          <w:p w14:paraId="56CF1B68" w14:textId="1343652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4,051</w:t>
            </w:r>
          </w:p>
        </w:tc>
        <w:tc>
          <w:tcPr>
            <w:tcW w:w="747" w:type="dxa"/>
            <w:tcBorders>
              <w:top w:val="nil"/>
              <w:left w:val="nil"/>
              <w:bottom w:val="single" w:sz="8" w:space="0" w:color="auto"/>
              <w:right w:val="single" w:sz="8" w:space="0" w:color="auto"/>
            </w:tcBorders>
            <w:shd w:val="clear" w:color="auto" w:fill="auto"/>
            <w:vAlign w:val="center"/>
            <w:hideMark/>
          </w:tcPr>
          <w:p w14:paraId="625B3720" w14:textId="17CD162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3,165</w:t>
            </w:r>
          </w:p>
        </w:tc>
        <w:tc>
          <w:tcPr>
            <w:tcW w:w="747" w:type="dxa"/>
            <w:tcBorders>
              <w:top w:val="nil"/>
              <w:left w:val="nil"/>
              <w:bottom w:val="single" w:sz="8" w:space="0" w:color="auto"/>
              <w:right w:val="single" w:sz="8" w:space="0" w:color="auto"/>
            </w:tcBorders>
            <w:shd w:val="clear" w:color="auto" w:fill="auto"/>
            <w:vAlign w:val="center"/>
            <w:hideMark/>
          </w:tcPr>
          <w:p w14:paraId="605EB85D" w14:textId="1E1CB5B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3,354</w:t>
            </w:r>
          </w:p>
        </w:tc>
        <w:tc>
          <w:tcPr>
            <w:tcW w:w="747" w:type="dxa"/>
            <w:tcBorders>
              <w:top w:val="nil"/>
              <w:left w:val="nil"/>
              <w:bottom w:val="single" w:sz="8" w:space="0" w:color="auto"/>
              <w:right w:val="single" w:sz="8" w:space="0" w:color="auto"/>
            </w:tcBorders>
            <w:shd w:val="clear" w:color="auto" w:fill="auto"/>
            <w:vAlign w:val="center"/>
            <w:hideMark/>
          </w:tcPr>
          <w:p w14:paraId="2CD3BDA6" w14:textId="5F0E4A7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3,271</w:t>
            </w:r>
          </w:p>
        </w:tc>
        <w:tc>
          <w:tcPr>
            <w:tcW w:w="747" w:type="dxa"/>
            <w:tcBorders>
              <w:top w:val="nil"/>
              <w:left w:val="nil"/>
              <w:bottom w:val="single" w:sz="8" w:space="0" w:color="auto"/>
              <w:right w:val="single" w:sz="8" w:space="0" w:color="auto"/>
            </w:tcBorders>
            <w:shd w:val="clear" w:color="auto" w:fill="auto"/>
            <w:vAlign w:val="center"/>
            <w:hideMark/>
          </w:tcPr>
          <w:p w14:paraId="521F586E" w14:textId="3F9FE2A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3,847</w:t>
            </w:r>
          </w:p>
        </w:tc>
      </w:tr>
      <w:tr w:rsidR="00B859CB" w:rsidRPr="00C734C2" w14:paraId="0C52A884"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14F18F90" w14:textId="77777777" w:rsidR="00B859CB" w:rsidRPr="00C734C2" w:rsidRDefault="00B859CB"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tiotropium 2.5</w:t>
            </w:r>
          </w:p>
        </w:tc>
        <w:tc>
          <w:tcPr>
            <w:tcW w:w="748" w:type="dxa"/>
            <w:tcBorders>
              <w:top w:val="nil"/>
              <w:left w:val="nil"/>
              <w:bottom w:val="single" w:sz="8" w:space="0" w:color="auto"/>
              <w:right w:val="single" w:sz="8" w:space="0" w:color="auto"/>
            </w:tcBorders>
            <w:shd w:val="clear" w:color="auto" w:fill="auto"/>
            <w:vAlign w:val="center"/>
            <w:hideMark/>
          </w:tcPr>
          <w:p w14:paraId="121D4655" w14:textId="36F7973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081FD524" w14:textId="1272BE4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48408AA3" w14:textId="48D3E3D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F1370C5" w14:textId="1FC37A5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57DA2270" w14:textId="3DBFB90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667F9AD" w14:textId="0C219F0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DE25DA1" w14:textId="692E9D6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02EC607" w14:textId="448586D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D6FBA89" w14:textId="24F1F27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253D1E5" w14:textId="4CE58CC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4A7F38B" w14:textId="29C5EFD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2A36DB90" w14:textId="770F528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591E268" w14:textId="6078B13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3,071</w:t>
            </w:r>
          </w:p>
        </w:tc>
        <w:tc>
          <w:tcPr>
            <w:tcW w:w="747" w:type="dxa"/>
            <w:tcBorders>
              <w:top w:val="nil"/>
              <w:left w:val="nil"/>
              <w:bottom w:val="single" w:sz="8" w:space="0" w:color="auto"/>
              <w:right w:val="single" w:sz="8" w:space="0" w:color="auto"/>
            </w:tcBorders>
            <w:shd w:val="clear" w:color="auto" w:fill="auto"/>
            <w:vAlign w:val="center"/>
            <w:hideMark/>
          </w:tcPr>
          <w:p w14:paraId="18A76103" w14:textId="161B4DA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5,360</w:t>
            </w:r>
          </w:p>
        </w:tc>
        <w:tc>
          <w:tcPr>
            <w:tcW w:w="747" w:type="dxa"/>
            <w:tcBorders>
              <w:top w:val="nil"/>
              <w:left w:val="nil"/>
              <w:bottom w:val="single" w:sz="8" w:space="0" w:color="auto"/>
              <w:right w:val="single" w:sz="8" w:space="0" w:color="auto"/>
            </w:tcBorders>
            <w:shd w:val="clear" w:color="auto" w:fill="auto"/>
            <w:vAlign w:val="center"/>
            <w:hideMark/>
          </w:tcPr>
          <w:p w14:paraId="68417087" w14:textId="147570D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8,350</w:t>
            </w:r>
          </w:p>
        </w:tc>
        <w:tc>
          <w:tcPr>
            <w:tcW w:w="747" w:type="dxa"/>
            <w:tcBorders>
              <w:top w:val="nil"/>
              <w:left w:val="nil"/>
              <w:bottom w:val="single" w:sz="8" w:space="0" w:color="auto"/>
              <w:right w:val="single" w:sz="8" w:space="0" w:color="auto"/>
            </w:tcBorders>
            <w:shd w:val="clear" w:color="auto" w:fill="auto"/>
            <w:vAlign w:val="center"/>
            <w:hideMark/>
          </w:tcPr>
          <w:p w14:paraId="3186CCFA" w14:textId="54A37A4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10,103</w:t>
            </w:r>
          </w:p>
        </w:tc>
        <w:tc>
          <w:tcPr>
            <w:tcW w:w="747" w:type="dxa"/>
            <w:tcBorders>
              <w:top w:val="nil"/>
              <w:left w:val="nil"/>
              <w:bottom w:val="single" w:sz="8" w:space="0" w:color="auto"/>
              <w:right w:val="single" w:sz="8" w:space="0" w:color="auto"/>
            </w:tcBorders>
            <w:shd w:val="clear" w:color="auto" w:fill="auto"/>
            <w:vAlign w:val="center"/>
            <w:hideMark/>
          </w:tcPr>
          <w:p w14:paraId="1B7255CF" w14:textId="155B889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36,328</w:t>
            </w:r>
          </w:p>
        </w:tc>
      </w:tr>
      <w:tr w:rsidR="00B859CB" w:rsidRPr="00C734C2" w14:paraId="1EDAD98A"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5A1779E9" w14:textId="18BBF8B7" w:rsidR="00B859CB" w:rsidRPr="00C734C2" w:rsidRDefault="0041494E" w:rsidP="00B859CB">
            <w:pPr>
              <w:rPr>
                <w:rFonts w:ascii="Arial Narrow" w:eastAsia="Times New Roman" w:hAnsi="Arial Narrow" w:cs="Arial"/>
                <w:sz w:val="18"/>
                <w:szCs w:val="18"/>
                <w:lang w:eastAsia="en-AU"/>
              </w:rPr>
            </w:pPr>
            <w:proofErr w:type="spellStart"/>
            <w:r w:rsidRPr="00C734C2">
              <w:rPr>
                <w:rFonts w:ascii="Arial Narrow" w:eastAsia="Times New Roman" w:hAnsi="Arial Narrow" w:cs="Arial"/>
                <w:sz w:val="18"/>
                <w:szCs w:val="18"/>
                <w:lang w:eastAsia="en-AU"/>
              </w:rPr>
              <w:t>A</w:t>
            </w:r>
            <w:r w:rsidR="00B859CB" w:rsidRPr="00C734C2">
              <w:rPr>
                <w:rFonts w:ascii="Arial Narrow" w:eastAsia="Times New Roman" w:hAnsi="Arial Narrow" w:cs="Arial"/>
                <w:sz w:val="18"/>
                <w:szCs w:val="18"/>
                <w:lang w:eastAsia="en-AU"/>
              </w:rPr>
              <w:t>clidinium</w:t>
            </w:r>
            <w:proofErr w:type="spellEnd"/>
          </w:p>
        </w:tc>
        <w:tc>
          <w:tcPr>
            <w:tcW w:w="748" w:type="dxa"/>
            <w:tcBorders>
              <w:top w:val="nil"/>
              <w:left w:val="nil"/>
              <w:bottom w:val="single" w:sz="8" w:space="0" w:color="auto"/>
              <w:right w:val="single" w:sz="8" w:space="0" w:color="auto"/>
            </w:tcBorders>
            <w:shd w:val="clear" w:color="auto" w:fill="auto"/>
            <w:vAlign w:val="center"/>
            <w:hideMark/>
          </w:tcPr>
          <w:p w14:paraId="51ACD50E" w14:textId="6727FA0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6E766C20" w14:textId="3505CA2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501EF2FF" w14:textId="447B5FF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4E5D05B7" w14:textId="433EE66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1B11897" w14:textId="61D5CE0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2095443" w14:textId="47B72E4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AF26E67" w14:textId="6EF358B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18213A6" w14:textId="4B38929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473</w:t>
            </w:r>
          </w:p>
        </w:tc>
        <w:tc>
          <w:tcPr>
            <w:tcW w:w="747" w:type="dxa"/>
            <w:tcBorders>
              <w:top w:val="nil"/>
              <w:left w:val="nil"/>
              <w:bottom w:val="single" w:sz="8" w:space="0" w:color="auto"/>
              <w:right w:val="single" w:sz="8" w:space="0" w:color="auto"/>
            </w:tcBorders>
            <w:shd w:val="clear" w:color="auto" w:fill="auto"/>
            <w:vAlign w:val="center"/>
            <w:hideMark/>
          </w:tcPr>
          <w:p w14:paraId="5638A3EA" w14:textId="0A2DF32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1,743</w:t>
            </w:r>
          </w:p>
        </w:tc>
        <w:tc>
          <w:tcPr>
            <w:tcW w:w="747" w:type="dxa"/>
            <w:tcBorders>
              <w:top w:val="nil"/>
              <w:left w:val="nil"/>
              <w:bottom w:val="single" w:sz="8" w:space="0" w:color="auto"/>
              <w:right w:val="single" w:sz="8" w:space="0" w:color="auto"/>
            </w:tcBorders>
            <w:shd w:val="clear" w:color="auto" w:fill="auto"/>
            <w:vAlign w:val="center"/>
            <w:hideMark/>
          </w:tcPr>
          <w:p w14:paraId="55F53554" w14:textId="56528CA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1,815</w:t>
            </w:r>
          </w:p>
        </w:tc>
        <w:tc>
          <w:tcPr>
            <w:tcW w:w="747" w:type="dxa"/>
            <w:tcBorders>
              <w:top w:val="nil"/>
              <w:left w:val="nil"/>
              <w:bottom w:val="single" w:sz="8" w:space="0" w:color="auto"/>
              <w:right w:val="single" w:sz="8" w:space="0" w:color="auto"/>
            </w:tcBorders>
            <w:shd w:val="clear" w:color="auto" w:fill="auto"/>
            <w:vAlign w:val="center"/>
            <w:hideMark/>
          </w:tcPr>
          <w:p w14:paraId="3B0BB1E1" w14:textId="6F2D3F9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2,442</w:t>
            </w:r>
          </w:p>
        </w:tc>
        <w:tc>
          <w:tcPr>
            <w:tcW w:w="747" w:type="dxa"/>
            <w:tcBorders>
              <w:top w:val="nil"/>
              <w:left w:val="nil"/>
              <w:bottom w:val="single" w:sz="8" w:space="0" w:color="auto"/>
              <w:right w:val="single" w:sz="8" w:space="0" w:color="auto"/>
            </w:tcBorders>
            <w:shd w:val="clear" w:color="auto" w:fill="auto"/>
            <w:vAlign w:val="center"/>
            <w:hideMark/>
          </w:tcPr>
          <w:p w14:paraId="4AB3E0D3" w14:textId="1DDA825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3,114</w:t>
            </w:r>
          </w:p>
        </w:tc>
        <w:tc>
          <w:tcPr>
            <w:tcW w:w="747" w:type="dxa"/>
            <w:tcBorders>
              <w:top w:val="nil"/>
              <w:left w:val="nil"/>
              <w:bottom w:val="single" w:sz="8" w:space="0" w:color="auto"/>
              <w:right w:val="single" w:sz="8" w:space="0" w:color="auto"/>
            </w:tcBorders>
            <w:shd w:val="clear" w:color="auto" w:fill="auto"/>
            <w:vAlign w:val="center"/>
            <w:hideMark/>
          </w:tcPr>
          <w:p w14:paraId="71C4E18E" w14:textId="17270CD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3,535</w:t>
            </w:r>
          </w:p>
        </w:tc>
        <w:tc>
          <w:tcPr>
            <w:tcW w:w="747" w:type="dxa"/>
            <w:tcBorders>
              <w:top w:val="nil"/>
              <w:left w:val="nil"/>
              <w:bottom w:val="single" w:sz="8" w:space="0" w:color="auto"/>
              <w:right w:val="single" w:sz="8" w:space="0" w:color="auto"/>
            </w:tcBorders>
            <w:shd w:val="clear" w:color="auto" w:fill="auto"/>
            <w:vAlign w:val="center"/>
            <w:hideMark/>
          </w:tcPr>
          <w:p w14:paraId="290DFBCC" w14:textId="0399DCA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2,699</w:t>
            </w:r>
          </w:p>
        </w:tc>
        <w:tc>
          <w:tcPr>
            <w:tcW w:w="747" w:type="dxa"/>
            <w:tcBorders>
              <w:top w:val="nil"/>
              <w:left w:val="nil"/>
              <w:bottom w:val="single" w:sz="8" w:space="0" w:color="auto"/>
              <w:right w:val="single" w:sz="8" w:space="0" w:color="auto"/>
            </w:tcBorders>
            <w:shd w:val="clear" w:color="auto" w:fill="auto"/>
            <w:vAlign w:val="center"/>
            <w:hideMark/>
          </w:tcPr>
          <w:p w14:paraId="18819AA7" w14:textId="0C41359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3,071</w:t>
            </w:r>
          </w:p>
        </w:tc>
        <w:tc>
          <w:tcPr>
            <w:tcW w:w="747" w:type="dxa"/>
            <w:tcBorders>
              <w:top w:val="nil"/>
              <w:left w:val="nil"/>
              <w:bottom w:val="single" w:sz="8" w:space="0" w:color="auto"/>
              <w:right w:val="single" w:sz="8" w:space="0" w:color="auto"/>
            </w:tcBorders>
            <w:shd w:val="clear" w:color="auto" w:fill="auto"/>
            <w:vAlign w:val="center"/>
            <w:hideMark/>
          </w:tcPr>
          <w:p w14:paraId="3F16AE78" w14:textId="7C8262B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3,111</w:t>
            </w:r>
          </w:p>
        </w:tc>
        <w:tc>
          <w:tcPr>
            <w:tcW w:w="747" w:type="dxa"/>
            <w:tcBorders>
              <w:top w:val="nil"/>
              <w:left w:val="nil"/>
              <w:bottom w:val="single" w:sz="8" w:space="0" w:color="auto"/>
              <w:right w:val="single" w:sz="8" w:space="0" w:color="auto"/>
            </w:tcBorders>
            <w:shd w:val="clear" w:color="auto" w:fill="auto"/>
            <w:vAlign w:val="center"/>
            <w:hideMark/>
          </w:tcPr>
          <w:p w14:paraId="642FF51A" w14:textId="0AB11C0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3,594</w:t>
            </w:r>
          </w:p>
        </w:tc>
      </w:tr>
      <w:tr w:rsidR="00B859CB" w:rsidRPr="00C734C2" w14:paraId="0B246032"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4CD8369C" w14:textId="77777777" w:rsidR="00B859CB" w:rsidRPr="00C734C2" w:rsidRDefault="00B859CB"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 xml:space="preserve">budesonide / </w:t>
            </w:r>
            <w:proofErr w:type="spellStart"/>
            <w:r w:rsidRPr="00C734C2">
              <w:rPr>
                <w:rFonts w:ascii="Arial Narrow" w:eastAsia="Times New Roman" w:hAnsi="Arial Narrow" w:cs="Arial"/>
                <w:sz w:val="18"/>
                <w:szCs w:val="18"/>
                <w:lang w:eastAsia="en-AU"/>
              </w:rPr>
              <w:t>eformoterol</w:t>
            </w:r>
            <w:proofErr w:type="spellEnd"/>
            <w:r w:rsidRPr="00C734C2">
              <w:rPr>
                <w:rFonts w:ascii="Arial Narrow" w:eastAsia="Times New Roman" w:hAnsi="Arial Narrow" w:cs="Arial"/>
                <w:sz w:val="18"/>
                <w:szCs w:val="18"/>
                <w:lang w:eastAsia="en-AU"/>
              </w:rPr>
              <w:t xml:space="preserve"> 200/6</w:t>
            </w:r>
          </w:p>
        </w:tc>
        <w:tc>
          <w:tcPr>
            <w:tcW w:w="748" w:type="dxa"/>
            <w:tcBorders>
              <w:top w:val="nil"/>
              <w:left w:val="nil"/>
              <w:bottom w:val="single" w:sz="8" w:space="0" w:color="auto"/>
              <w:right w:val="single" w:sz="8" w:space="0" w:color="auto"/>
            </w:tcBorders>
            <w:shd w:val="clear" w:color="auto" w:fill="auto"/>
            <w:vAlign w:val="center"/>
            <w:hideMark/>
          </w:tcPr>
          <w:p w14:paraId="1DB3D059" w14:textId="0FE667A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164C995C" w14:textId="6DF9018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3A42CA6" w14:textId="7DFCA1F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C51A80F" w14:textId="59C2082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3A9136E" w14:textId="7279BDA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85B1D7C" w14:textId="0E4CB17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327</w:t>
            </w:r>
          </w:p>
        </w:tc>
        <w:tc>
          <w:tcPr>
            <w:tcW w:w="747" w:type="dxa"/>
            <w:tcBorders>
              <w:top w:val="nil"/>
              <w:left w:val="nil"/>
              <w:bottom w:val="single" w:sz="8" w:space="0" w:color="auto"/>
              <w:right w:val="single" w:sz="8" w:space="0" w:color="auto"/>
            </w:tcBorders>
            <w:shd w:val="clear" w:color="auto" w:fill="auto"/>
            <w:vAlign w:val="center"/>
            <w:hideMark/>
          </w:tcPr>
          <w:p w14:paraId="2A86CC34" w14:textId="1484D2D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623</w:t>
            </w:r>
          </w:p>
        </w:tc>
        <w:tc>
          <w:tcPr>
            <w:tcW w:w="747" w:type="dxa"/>
            <w:tcBorders>
              <w:top w:val="nil"/>
              <w:left w:val="nil"/>
              <w:bottom w:val="single" w:sz="8" w:space="0" w:color="auto"/>
              <w:right w:val="single" w:sz="8" w:space="0" w:color="auto"/>
            </w:tcBorders>
            <w:shd w:val="clear" w:color="auto" w:fill="auto"/>
            <w:vAlign w:val="center"/>
            <w:hideMark/>
          </w:tcPr>
          <w:p w14:paraId="1054BC89" w14:textId="2F7E945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1,011</w:t>
            </w:r>
          </w:p>
        </w:tc>
        <w:tc>
          <w:tcPr>
            <w:tcW w:w="747" w:type="dxa"/>
            <w:tcBorders>
              <w:top w:val="nil"/>
              <w:left w:val="nil"/>
              <w:bottom w:val="single" w:sz="8" w:space="0" w:color="auto"/>
              <w:right w:val="single" w:sz="8" w:space="0" w:color="auto"/>
            </w:tcBorders>
            <w:shd w:val="clear" w:color="auto" w:fill="auto"/>
            <w:vAlign w:val="center"/>
            <w:hideMark/>
          </w:tcPr>
          <w:p w14:paraId="1DD19EDA" w14:textId="1645315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1,452</w:t>
            </w:r>
          </w:p>
        </w:tc>
        <w:tc>
          <w:tcPr>
            <w:tcW w:w="747" w:type="dxa"/>
            <w:tcBorders>
              <w:top w:val="nil"/>
              <w:left w:val="nil"/>
              <w:bottom w:val="single" w:sz="8" w:space="0" w:color="auto"/>
              <w:right w:val="single" w:sz="8" w:space="0" w:color="auto"/>
            </w:tcBorders>
            <w:shd w:val="clear" w:color="auto" w:fill="auto"/>
            <w:vAlign w:val="center"/>
            <w:hideMark/>
          </w:tcPr>
          <w:p w14:paraId="0DC7C4D3" w14:textId="6E109C0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1,096</w:t>
            </w:r>
          </w:p>
        </w:tc>
        <w:tc>
          <w:tcPr>
            <w:tcW w:w="747" w:type="dxa"/>
            <w:tcBorders>
              <w:top w:val="nil"/>
              <w:left w:val="nil"/>
              <w:bottom w:val="single" w:sz="8" w:space="0" w:color="auto"/>
              <w:right w:val="single" w:sz="8" w:space="0" w:color="auto"/>
            </w:tcBorders>
            <w:shd w:val="clear" w:color="auto" w:fill="auto"/>
            <w:vAlign w:val="center"/>
            <w:hideMark/>
          </w:tcPr>
          <w:p w14:paraId="43D68BE6" w14:textId="3CDA182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1,448</w:t>
            </w:r>
          </w:p>
        </w:tc>
        <w:tc>
          <w:tcPr>
            <w:tcW w:w="747" w:type="dxa"/>
            <w:tcBorders>
              <w:top w:val="nil"/>
              <w:left w:val="nil"/>
              <w:bottom w:val="single" w:sz="8" w:space="0" w:color="auto"/>
              <w:right w:val="single" w:sz="8" w:space="0" w:color="auto"/>
            </w:tcBorders>
            <w:shd w:val="clear" w:color="auto" w:fill="auto"/>
            <w:vAlign w:val="center"/>
            <w:hideMark/>
          </w:tcPr>
          <w:p w14:paraId="18C1C7B4" w14:textId="6778601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1,818</w:t>
            </w:r>
          </w:p>
        </w:tc>
        <w:tc>
          <w:tcPr>
            <w:tcW w:w="747" w:type="dxa"/>
            <w:tcBorders>
              <w:top w:val="nil"/>
              <w:left w:val="nil"/>
              <w:bottom w:val="single" w:sz="8" w:space="0" w:color="auto"/>
              <w:right w:val="single" w:sz="8" w:space="0" w:color="auto"/>
            </w:tcBorders>
            <w:shd w:val="clear" w:color="auto" w:fill="auto"/>
            <w:vAlign w:val="center"/>
            <w:hideMark/>
          </w:tcPr>
          <w:p w14:paraId="5D17135D" w14:textId="0DEF1BF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2,444</w:t>
            </w:r>
          </w:p>
        </w:tc>
        <w:tc>
          <w:tcPr>
            <w:tcW w:w="747" w:type="dxa"/>
            <w:tcBorders>
              <w:top w:val="nil"/>
              <w:left w:val="nil"/>
              <w:bottom w:val="single" w:sz="8" w:space="0" w:color="auto"/>
              <w:right w:val="single" w:sz="8" w:space="0" w:color="auto"/>
            </w:tcBorders>
            <w:shd w:val="clear" w:color="auto" w:fill="auto"/>
            <w:vAlign w:val="center"/>
            <w:hideMark/>
          </w:tcPr>
          <w:p w14:paraId="594EC1DB" w14:textId="7AAE88C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1,811</w:t>
            </w:r>
          </w:p>
        </w:tc>
        <w:tc>
          <w:tcPr>
            <w:tcW w:w="747" w:type="dxa"/>
            <w:tcBorders>
              <w:top w:val="nil"/>
              <w:left w:val="nil"/>
              <w:bottom w:val="single" w:sz="8" w:space="0" w:color="auto"/>
              <w:right w:val="single" w:sz="8" w:space="0" w:color="auto"/>
            </w:tcBorders>
            <w:shd w:val="clear" w:color="auto" w:fill="auto"/>
            <w:vAlign w:val="center"/>
            <w:hideMark/>
          </w:tcPr>
          <w:p w14:paraId="3D6FDE0D" w14:textId="75CFFF6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2,293</w:t>
            </w:r>
          </w:p>
        </w:tc>
        <w:tc>
          <w:tcPr>
            <w:tcW w:w="747" w:type="dxa"/>
            <w:tcBorders>
              <w:top w:val="nil"/>
              <w:left w:val="nil"/>
              <w:bottom w:val="single" w:sz="8" w:space="0" w:color="auto"/>
              <w:right w:val="single" w:sz="8" w:space="0" w:color="auto"/>
            </w:tcBorders>
            <w:shd w:val="clear" w:color="auto" w:fill="auto"/>
            <w:vAlign w:val="center"/>
            <w:hideMark/>
          </w:tcPr>
          <w:p w14:paraId="07A67D5B" w14:textId="0267975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2,733</w:t>
            </w:r>
          </w:p>
        </w:tc>
        <w:tc>
          <w:tcPr>
            <w:tcW w:w="747" w:type="dxa"/>
            <w:tcBorders>
              <w:top w:val="nil"/>
              <w:left w:val="nil"/>
              <w:bottom w:val="single" w:sz="8" w:space="0" w:color="auto"/>
              <w:right w:val="single" w:sz="8" w:space="0" w:color="auto"/>
            </w:tcBorders>
            <w:shd w:val="clear" w:color="auto" w:fill="auto"/>
            <w:vAlign w:val="center"/>
            <w:hideMark/>
          </w:tcPr>
          <w:p w14:paraId="1923BD5D" w14:textId="3E9DECB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3,767</w:t>
            </w:r>
          </w:p>
        </w:tc>
      </w:tr>
      <w:tr w:rsidR="00B859CB" w:rsidRPr="00C734C2" w14:paraId="38E606A7"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0D8B159D" w14:textId="77777777" w:rsidR="00B859CB" w:rsidRPr="00C734C2" w:rsidRDefault="00B859CB" w:rsidP="00B859CB">
            <w:pPr>
              <w:rPr>
                <w:rFonts w:ascii="Arial Narrow" w:eastAsia="Times New Roman" w:hAnsi="Arial Narrow" w:cs="Arial"/>
                <w:sz w:val="18"/>
                <w:szCs w:val="18"/>
                <w:lang w:eastAsia="en-AU"/>
              </w:rPr>
            </w:pPr>
            <w:proofErr w:type="spellStart"/>
            <w:r w:rsidRPr="00C734C2">
              <w:rPr>
                <w:rFonts w:ascii="Arial Narrow" w:eastAsia="Times New Roman" w:hAnsi="Arial Narrow" w:cs="Arial"/>
                <w:sz w:val="18"/>
                <w:szCs w:val="18"/>
                <w:lang w:eastAsia="en-AU"/>
              </w:rPr>
              <w:t>umeclidinium</w:t>
            </w:r>
            <w:proofErr w:type="spellEnd"/>
            <w:r w:rsidRPr="00C734C2">
              <w:rPr>
                <w:rFonts w:ascii="Arial Narrow" w:eastAsia="Times New Roman" w:hAnsi="Arial Narrow" w:cs="Arial"/>
                <w:sz w:val="18"/>
                <w:szCs w:val="18"/>
                <w:lang w:eastAsia="en-AU"/>
              </w:rPr>
              <w:t xml:space="preserve"> / </w:t>
            </w:r>
            <w:proofErr w:type="spellStart"/>
            <w:r w:rsidRPr="00C734C2">
              <w:rPr>
                <w:rFonts w:ascii="Arial Narrow" w:eastAsia="Times New Roman" w:hAnsi="Arial Narrow" w:cs="Arial"/>
                <w:sz w:val="18"/>
                <w:szCs w:val="18"/>
                <w:lang w:eastAsia="en-AU"/>
              </w:rPr>
              <w:t>vilanterol</w:t>
            </w:r>
            <w:proofErr w:type="spellEnd"/>
          </w:p>
        </w:tc>
        <w:tc>
          <w:tcPr>
            <w:tcW w:w="748" w:type="dxa"/>
            <w:tcBorders>
              <w:top w:val="nil"/>
              <w:left w:val="nil"/>
              <w:bottom w:val="single" w:sz="8" w:space="0" w:color="auto"/>
              <w:right w:val="single" w:sz="8" w:space="0" w:color="auto"/>
            </w:tcBorders>
            <w:shd w:val="clear" w:color="auto" w:fill="auto"/>
            <w:vAlign w:val="center"/>
            <w:hideMark/>
          </w:tcPr>
          <w:p w14:paraId="2BC8EB66" w14:textId="27B1CD8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55FB66D8" w14:textId="547F498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28A54E8D" w14:textId="52914EF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8C34825" w14:textId="53525FB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26B393E0" w14:textId="4092703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523CC972" w14:textId="7C52689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10908CA" w14:textId="40B4BCB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52A2CFD9" w14:textId="566FA35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4B0CA6F4" w14:textId="5EA94D9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46</w:t>
            </w:r>
          </w:p>
        </w:tc>
        <w:tc>
          <w:tcPr>
            <w:tcW w:w="747" w:type="dxa"/>
            <w:tcBorders>
              <w:top w:val="nil"/>
              <w:left w:val="nil"/>
              <w:bottom w:val="single" w:sz="8" w:space="0" w:color="auto"/>
              <w:right w:val="single" w:sz="8" w:space="0" w:color="auto"/>
            </w:tcBorders>
            <w:shd w:val="clear" w:color="auto" w:fill="auto"/>
            <w:vAlign w:val="center"/>
            <w:hideMark/>
          </w:tcPr>
          <w:p w14:paraId="3F6DABE4" w14:textId="68C3049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354</w:t>
            </w:r>
          </w:p>
        </w:tc>
        <w:tc>
          <w:tcPr>
            <w:tcW w:w="747" w:type="dxa"/>
            <w:tcBorders>
              <w:top w:val="nil"/>
              <w:left w:val="nil"/>
              <w:bottom w:val="single" w:sz="8" w:space="0" w:color="auto"/>
              <w:right w:val="single" w:sz="8" w:space="0" w:color="auto"/>
            </w:tcBorders>
            <w:shd w:val="clear" w:color="auto" w:fill="auto"/>
            <w:vAlign w:val="center"/>
            <w:hideMark/>
          </w:tcPr>
          <w:p w14:paraId="6D682E14" w14:textId="26301DD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819</w:t>
            </w:r>
          </w:p>
        </w:tc>
        <w:tc>
          <w:tcPr>
            <w:tcW w:w="747" w:type="dxa"/>
            <w:tcBorders>
              <w:top w:val="nil"/>
              <w:left w:val="nil"/>
              <w:bottom w:val="single" w:sz="8" w:space="0" w:color="auto"/>
              <w:right w:val="single" w:sz="8" w:space="0" w:color="auto"/>
            </w:tcBorders>
            <w:shd w:val="clear" w:color="auto" w:fill="auto"/>
            <w:vAlign w:val="center"/>
            <w:hideMark/>
          </w:tcPr>
          <w:p w14:paraId="50BCB6D1" w14:textId="2BDBDF7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1,304</w:t>
            </w:r>
          </w:p>
        </w:tc>
        <w:tc>
          <w:tcPr>
            <w:tcW w:w="747" w:type="dxa"/>
            <w:tcBorders>
              <w:top w:val="nil"/>
              <w:left w:val="nil"/>
              <w:bottom w:val="single" w:sz="8" w:space="0" w:color="auto"/>
              <w:right w:val="single" w:sz="8" w:space="0" w:color="auto"/>
            </w:tcBorders>
            <w:shd w:val="clear" w:color="auto" w:fill="auto"/>
            <w:vAlign w:val="center"/>
            <w:hideMark/>
          </w:tcPr>
          <w:p w14:paraId="72BE4C03" w14:textId="3D4832C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2,012</w:t>
            </w:r>
          </w:p>
        </w:tc>
        <w:tc>
          <w:tcPr>
            <w:tcW w:w="747" w:type="dxa"/>
            <w:tcBorders>
              <w:top w:val="nil"/>
              <w:left w:val="nil"/>
              <w:bottom w:val="single" w:sz="8" w:space="0" w:color="auto"/>
              <w:right w:val="single" w:sz="8" w:space="0" w:color="auto"/>
            </w:tcBorders>
            <w:shd w:val="clear" w:color="auto" w:fill="auto"/>
            <w:vAlign w:val="center"/>
            <w:hideMark/>
          </w:tcPr>
          <w:p w14:paraId="0976F200" w14:textId="2B1DD02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1,954</w:t>
            </w:r>
          </w:p>
        </w:tc>
        <w:tc>
          <w:tcPr>
            <w:tcW w:w="747" w:type="dxa"/>
            <w:tcBorders>
              <w:top w:val="nil"/>
              <w:left w:val="nil"/>
              <w:bottom w:val="single" w:sz="8" w:space="0" w:color="auto"/>
              <w:right w:val="single" w:sz="8" w:space="0" w:color="auto"/>
            </w:tcBorders>
            <w:shd w:val="clear" w:color="auto" w:fill="auto"/>
            <w:vAlign w:val="center"/>
            <w:hideMark/>
          </w:tcPr>
          <w:p w14:paraId="332E947C" w14:textId="22C619C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2,227</w:t>
            </w:r>
          </w:p>
        </w:tc>
        <w:tc>
          <w:tcPr>
            <w:tcW w:w="747" w:type="dxa"/>
            <w:tcBorders>
              <w:top w:val="nil"/>
              <w:left w:val="nil"/>
              <w:bottom w:val="single" w:sz="8" w:space="0" w:color="auto"/>
              <w:right w:val="single" w:sz="8" w:space="0" w:color="auto"/>
            </w:tcBorders>
            <w:shd w:val="clear" w:color="auto" w:fill="auto"/>
            <w:vAlign w:val="center"/>
            <w:hideMark/>
          </w:tcPr>
          <w:p w14:paraId="1D033284" w14:textId="15F3796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2,559</w:t>
            </w:r>
          </w:p>
        </w:tc>
        <w:tc>
          <w:tcPr>
            <w:tcW w:w="747" w:type="dxa"/>
            <w:tcBorders>
              <w:top w:val="nil"/>
              <w:left w:val="nil"/>
              <w:bottom w:val="single" w:sz="8" w:space="0" w:color="auto"/>
              <w:right w:val="single" w:sz="8" w:space="0" w:color="auto"/>
            </w:tcBorders>
            <w:shd w:val="clear" w:color="auto" w:fill="auto"/>
            <w:vAlign w:val="center"/>
            <w:hideMark/>
          </w:tcPr>
          <w:p w14:paraId="1EB5A0C9" w14:textId="6046B3A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3,377</w:t>
            </w:r>
          </w:p>
        </w:tc>
      </w:tr>
      <w:tr w:rsidR="00B859CB" w:rsidRPr="00C734C2" w14:paraId="6D0DFF22"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6B9A0104" w14:textId="79908313" w:rsidR="00B859CB" w:rsidRPr="00C734C2" w:rsidRDefault="003B67B3"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F</w:t>
            </w:r>
            <w:r w:rsidR="00B859CB" w:rsidRPr="00C734C2">
              <w:rPr>
                <w:rFonts w:ascii="Arial Narrow" w:eastAsia="Times New Roman" w:hAnsi="Arial Narrow" w:cs="Arial"/>
                <w:sz w:val="18"/>
                <w:szCs w:val="18"/>
                <w:lang w:eastAsia="en-AU"/>
              </w:rPr>
              <w:t>luticasone</w:t>
            </w:r>
            <w:r>
              <w:rPr>
                <w:rFonts w:ascii="Arial Narrow" w:eastAsia="Times New Roman" w:hAnsi="Arial Narrow" w:cs="Arial"/>
                <w:sz w:val="18"/>
                <w:szCs w:val="18"/>
                <w:lang w:eastAsia="en-AU"/>
              </w:rPr>
              <w:t xml:space="preserve"> </w:t>
            </w:r>
            <w:proofErr w:type="spellStart"/>
            <w:r>
              <w:rPr>
                <w:rFonts w:ascii="Arial Narrow" w:eastAsia="Times New Roman" w:hAnsi="Arial Narrow" w:cs="Arial"/>
                <w:sz w:val="18"/>
                <w:szCs w:val="18"/>
                <w:lang w:eastAsia="en-AU"/>
              </w:rPr>
              <w:t>furoate</w:t>
            </w:r>
            <w:proofErr w:type="spellEnd"/>
            <w:r w:rsidR="00B859CB" w:rsidRPr="00C734C2">
              <w:rPr>
                <w:rFonts w:ascii="Arial Narrow" w:eastAsia="Times New Roman" w:hAnsi="Arial Narrow" w:cs="Arial"/>
                <w:sz w:val="18"/>
                <w:szCs w:val="18"/>
                <w:lang w:eastAsia="en-AU"/>
              </w:rPr>
              <w:t xml:space="preserve"> / </w:t>
            </w:r>
            <w:proofErr w:type="spellStart"/>
            <w:r w:rsidR="00B859CB" w:rsidRPr="00C734C2">
              <w:rPr>
                <w:rFonts w:ascii="Arial Narrow" w:eastAsia="Times New Roman" w:hAnsi="Arial Narrow" w:cs="Arial"/>
                <w:sz w:val="18"/>
                <w:szCs w:val="18"/>
                <w:lang w:eastAsia="en-AU"/>
              </w:rPr>
              <w:t>vilanterol</w:t>
            </w:r>
            <w:proofErr w:type="spellEnd"/>
          </w:p>
        </w:tc>
        <w:tc>
          <w:tcPr>
            <w:tcW w:w="748" w:type="dxa"/>
            <w:tcBorders>
              <w:top w:val="nil"/>
              <w:left w:val="nil"/>
              <w:bottom w:val="single" w:sz="8" w:space="0" w:color="auto"/>
              <w:right w:val="single" w:sz="8" w:space="0" w:color="auto"/>
            </w:tcBorders>
            <w:shd w:val="clear" w:color="auto" w:fill="auto"/>
            <w:vAlign w:val="center"/>
            <w:hideMark/>
          </w:tcPr>
          <w:p w14:paraId="0E25FA2E" w14:textId="7D2E46B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61FB76C6" w14:textId="2A98870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7086F63" w14:textId="238B17F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9A5DA31" w14:textId="01A2D94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AB0709B" w14:textId="70A7D58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7DDCA5E0" w14:textId="2554DAE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4D46BBA" w14:textId="02BCAD0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4358108" w14:textId="2A2DEE6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3A3EE2C" w14:textId="1CA8CF6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47</w:t>
            </w:r>
          </w:p>
        </w:tc>
        <w:tc>
          <w:tcPr>
            <w:tcW w:w="747" w:type="dxa"/>
            <w:tcBorders>
              <w:top w:val="nil"/>
              <w:left w:val="nil"/>
              <w:bottom w:val="single" w:sz="8" w:space="0" w:color="auto"/>
              <w:right w:val="single" w:sz="8" w:space="0" w:color="auto"/>
            </w:tcBorders>
            <w:shd w:val="clear" w:color="auto" w:fill="auto"/>
            <w:vAlign w:val="center"/>
            <w:hideMark/>
          </w:tcPr>
          <w:p w14:paraId="42F4AE6E" w14:textId="16183A3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293</w:t>
            </w:r>
          </w:p>
        </w:tc>
        <w:tc>
          <w:tcPr>
            <w:tcW w:w="747" w:type="dxa"/>
            <w:tcBorders>
              <w:top w:val="nil"/>
              <w:left w:val="nil"/>
              <w:bottom w:val="single" w:sz="8" w:space="0" w:color="auto"/>
              <w:right w:val="single" w:sz="8" w:space="0" w:color="auto"/>
            </w:tcBorders>
            <w:shd w:val="clear" w:color="auto" w:fill="auto"/>
            <w:vAlign w:val="center"/>
            <w:hideMark/>
          </w:tcPr>
          <w:p w14:paraId="3FD47E63" w14:textId="6EC4885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670</w:t>
            </w:r>
          </w:p>
        </w:tc>
        <w:tc>
          <w:tcPr>
            <w:tcW w:w="747" w:type="dxa"/>
            <w:tcBorders>
              <w:top w:val="nil"/>
              <w:left w:val="nil"/>
              <w:bottom w:val="single" w:sz="8" w:space="0" w:color="auto"/>
              <w:right w:val="single" w:sz="8" w:space="0" w:color="auto"/>
            </w:tcBorders>
            <w:shd w:val="clear" w:color="auto" w:fill="auto"/>
            <w:vAlign w:val="center"/>
            <w:hideMark/>
          </w:tcPr>
          <w:p w14:paraId="5601804B" w14:textId="62FCD8A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1,174</w:t>
            </w:r>
          </w:p>
        </w:tc>
        <w:tc>
          <w:tcPr>
            <w:tcW w:w="747" w:type="dxa"/>
            <w:tcBorders>
              <w:top w:val="nil"/>
              <w:left w:val="nil"/>
              <w:bottom w:val="single" w:sz="8" w:space="0" w:color="auto"/>
              <w:right w:val="single" w:sz="8" w:space="0" w:color="auto"/>
            </w:tcBorders>
            <w:shd w:val="clear" w:color="auto" w:fill="auto"/>
            <w:vAlign w:val="center"/>
            <w:hideMark/>
          </w:tcPr>
          <w:p w14:paraId="12A39F68" w14:textId="2E40E4B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1,781</w:t>
            </w:r>
          </w:p>
        </w:tc>
        <w:tc>
          <w:tcPr>
            <w:tcW w:w="747" w:type="dxa"/>
            <w:tcBorders>
              <w:top w:val="nil"/>
              <w:left w:val="nil"/>
              <w:bottom w:val="single" w:sz="8" w:space="0" w:color="auto"/>
              <w:right w:val="single" w:sz="8" w:space="0" w:color="auto"/>
            </w:tcBorders>
            <w:shd w:val="clear" w:color="auto" w:fill="auto"/>
            <w:vAlign w:val="center"/>
            <w:hideMark/>
          </w:tcPr>
          <w:p w14:paraId="2A270A4F" w14:textId="6834FF1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1,714</w:t>
            </w:r>
          </w:p>
        </w:tc>
        <w:tc>
          <w:tcPr>
            <w:tcW w:w="747" w:type="dxa"/>
            <w:tcBorders>
              <w:top w:val="nil"/>
              <w:left w:val="nil"/>
              <w:bottom w:val="single" w:sz="8" w:space="0" w:color="auto"/>
              <w:right w:val="single" w:sz="8" w:space="0" w:color="auto"/>
            </w:tcBorders>
            <w:shd w:val="clear" w:color="auto" w:fill="auto"/>
            <w:vAlign w:val="center"/>
            <w:hideMark/>
          </w:tcPr>
          <w:p w14:paraId="36C35503" w14:textId="00B65DA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2,138</w:t>
            </w:r>
          </w:p>
        </w:tc>
        <w:tc>
          <w:tcPr>
            <w:tcW w:w="747" w:type="dxa"/>
            <w:tcBorders>
              <w:top w:val="nil"/>
              <w:left w:val="nil"/>
              <w:bottom w:val="single" w:sz="8" w:space="0" w:color="auto"/>
              <w:right w:val="single" w:sz="8" w:space="0" w:color="auto"/>
            </w:tcBorders>
            <w:shd w:val="clear" w:color="auto" w:fill="auto"/>
            <w:vAlign w:val="center"/>
            <w:hideMark/>
          </w:tcPr>
          <w:p w14:paraId="7EA12589" w14:textId="1845F4D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2,363</w:t>
            </w:r>
          </w:p>
        </w:tc>
        <w:tc>
          <w:tcPr>
            <w:tcW w:w="747" w:type="dxa"/>
            <w:tcBorders>
              <w:top w:val="nil"/>
              <w:left w:val="nil"/>
              <w:bottom w:val="single" w:sz="8" w:space="0" w:color="auto"/>
              <w:right w:val="single" w:sz="8" w:space="0" w:color="auto"/>
            </w:tcBorders>
            <w:shd w:val="clear" w:color="auto" w:fill="auto"/>
            <w:vAlign w:val="center"/>
            <w:hideMark/>
          </w:tcPr>
          <w:p w14:paraId="0729E39F" w14:textId="1256D33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3,042</w:t>
            </w:r>
          </w:p>
        </w:tc>
      </w:tr>
      <w:tr w:rsidR="00B859CB" w:rsidRPr="00C734C2" w14:paraId="0106DBB8"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4D01BA48" w14:textId="14EA601F" w:rsidR="00B859CB" w:rsidRPr="00C734C2" w:rsidRDefault="0041494E" w:rsidP="00B859CB">
            <w:pPr>
              <w:rPr>
                <w:rFonts w:ascii="Arial Narrow" w:eastAsia="Times New Roman" w:hAnsi="Arial Narrow" w:cs="Arial"/>
                <w:sz w:val="18"/>
                <w:szCs w:val="18"/>
                <w:lang w:eastAsia="en-AU"/>
              </w:rPr>
            </w:pPr>
            <w:proofErr w:type="spellStart"/>
            <w:r w:rsidRPr="00C734C2">
              <w:rPr>
                <w:rFonts w:ascii="Arial Narrow" w:eastAsia="Times New Roman" w:hAnsi="Arial Narrow" w:cs="Arial"/>
                <w:sz w:val="18"/>
                <w:szCs w:val="18"/>
                <w:lang w:eastAsia="en-AU"/>
              </w:rPr>
              <w:t>U</w:t>
            </w:r>
            <w:r w:rsidR="00B859CB" w:rsidRPr="00C734C2">
              <w:rPr>
                <w:rFonts w:ascii="Arial Narrow" w:eastAsia="Times New Roman" w:hAnsi="Arial Narrow" w:cs="Arial"/>
                <w:sz w:val="18"/>
                <w:szCs w:val="18"/>
                <w:lang w:eastAsia="en-AU"/>
              </w:rPr>
              <w:t>meclidinium</w:t>
            </w:r>
            <w:proofErr w:type="spellEnd"/>
          </w:p>
        </w:tc>
        <w:tc>
          <w:tcPr>
            <w:tcW w:w="748" w:type="dxa"/>
            <w:tcBorders>
              <w:top w:val="nil"/>
              <w:left w:val="nil"/>
              <w:bottom w:val="single" w:sz="8" w:space="0" w:color="auto"/>
              <w:right w:val="single" w:sz="8" w:space="0" w:color="auto"/>
            </w:tcBorders>
            <w:shd w:val="clear" w:color="auto" w:fill="auto"/>
            <w:vAlign w:val="center"/>
            <w:hideMark/>
          </w:tcPr>
          <w:p w14:paraId="56542A9B" w14:textId="232F3CF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75F35CF7" w14:textId="3EF03D8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44255B6" w14:textId="21BE35E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4FDEE2D6" w14:textId="68746F0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4B0FCAA" w14:textId="42580A9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4D9E632" w14:textId="4D90A64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660B6E0" w14:textId="2B22A5B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7547762" w14:textId="1921B69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E74B36F" w14:textId="17B9C39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12</w:t>
            </w:r>
          </w:p>
        </w:tc>
        <w:tc>
          <w:tcPr>
            <w:tcW w:w="747" w:type="dxa"/>
            <w:tcBorders>
              <w:top w:val="nil"/>
              <w:left w:val="nil"/>
              <w:bottom w:val="single" w:sz="8" w:space="0" w:color="auto"/>
              <w:right w:val="single" w:sz="8" w:space="0" w:color="auto"/>
            </w:tcBorders>
            <w:shd w:val="clear" w:color="auto" w:fill="auto"/>
            <w:vAlign w:val="center"/>
            <w:hideMark/>
          </w:tcPr>
          <w:p w14:paraId="1E147215" w14:textId="51A929A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183</w:t>
            </w:r>
          </w:p>
        </w:tc>
        <w:tc>
          <w:tcPr>
            <w:tcW w:w="747" w:type="dxa"/>
            <w:tcBorders>
              <w:top w:val="nil"/>
              <w:left w:val="nil"/>
              <w:bottom w:val="single" w:sz="8" w:space="0" w:color="auto"/>
              <w:right w:val="single" w:sz="8" w:space="0" w:color="auto"/>
            </w:tcBorders>
            <w:shd w:val="clear" w:color="auto" w:fill="auto"/>
            <w:vAlign w:val="center"/>
            <w:hideMark/>
          </w:tcPr>
          <w:p w14:paraId="1169516B" w14:textId="3440A3F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525</w:t>
            </w:r>
          </w:p>
        </w:tc>
        <w:tc>
          <w:tcPr>
            <w:tcW w:w="747" w:type="dxa"/>
            <w:tcBorders>
              <w:top w:val="nil"/>
              <w:left w:val="nil"/>
              <w:bottom w:val="single" w:sz="8" w:space="0" w:color="auto"/>
              <w:right w:val="single" w:sz="8" w:space="0" w:color="auto"/>
            </w:tcBorders>
            <w:shd w:val="clear" w:color="auto" w:fill="auto"/>
            <w:vAlign w:val="center"/>
            <w:hideMark/>
          </w:tcPr>
          <w:p w14:paraId="10653BC8" w14:textId="389C01F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878</w:t>
            </w:r>
          </w:p>
        </w:tc>
        <w:tc>
          <w:tcPr>
            <w:tcW w:w="747" w:type="dxa"/>
            <w:tcBorders>
              <w:top w:val="nil"/>
              <w:left w:val="nil"/>
              <w:bottom w:val="single" w:sz="8" w:space="0" w:color="auto"/>
              <w:right w:val="single" w:sz="8" w:space="0" w:color="auto"/>
            </w:tcBorders>
            <w:shd w:val="clear" w:color="auto" w:fill="auto"/>
            <w:vAlign w:val="center"/>
            <w:hideMark/>
          </w:tcPr>
          <w:p w14:paraId="16B32D31" w14:textId="55725C7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1,422</w:t>
            </w:r>
          </w:p>
        </w:tc>
        <w:tc>
          <w:tcPr>
            <w:tcW w:w="747" w:type="dxa"/>
            <w:tcBorders>
              <w:top w:val="nil"/>
              <w:left w:val="nil"/>
              <w:bottom w:val="single" w:sz="8" w:space="0" w:color="auto"/>
              <w:right w:val="single" w:sz="8" w:space="0" w:color="auto"/>
            </w:tcBorders>
            <w:shd w:val="clear" w:color="auto" w:fill="auto"/>
            <w:vAlign w:val="center"/>
            <w:hideMark/>
          </w:tcPr>
          <w:p w14:paraId="72D979DA" w14:textId="09BD1CA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1,448</w:t>
            </w:r>
          </w:p>
        </w:tc>
        <w:tc>
          <w:tcPr>
            <w:tcW w:w="747" w:type="dxa"/>
            <w:tcBorders>
              <w:top w:val="nil"/>
              <w:left w:val="nil"/>
              <w:bottom w:val="single" w:sz="8" w:space="0" w:color="auto"/>
              <w:right w:val="single" w:sz="8" w:space="0" w:color="auto"/>
            </w:tcBorders>
            <w:shd w:val="clear" w:color="auto" w:fill="auto"/>
            <w:vAlign w:val="center"/>
            <w:hideMark/>
          </w:tcPr>
          <w:p w14:paraId="1C24A439" w14:textId="0EF2CA2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1,758</w:t>
            </w:r>
          </w:p>
        </w:tc>
        <w:tc>
          <w:tcPr>
            <w:tcW w:w="747" w:type="dxa"/>
            <w:tcBorders>
              <w:top w:val="nil"/>
              <w:left w:val="nil"/>
              <w:bottom w:val="single" w:sz="8" w:space="0" w:color="auto"/>
              <w:right w:val="single" w:sz="8" w:space="0" w:color="auto"/>
            </w:tcBorders>
            <w:shd w:val="clear" w:color="auto" w:fill="auto"/>
            <w:vAlign w:val="center"/>
            <w:hideMark/>
          </w:tcPr>
          <w:p w14:paraId="44BCD448" w14:textId="5155334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1,960</w:t>
            </w:r>
          </w:p>
        </w:tc>
        <w:tc>
          <w:tcPr>
            <w:tcW w:w="747" w:type="dxa"/>
            <w:tcBorders>
              <w:top w:val="nil"/>
              <w:left w:val="nil"/>
              <w:bottom w:val="single" w:sz="8" w:space="0" w:color="auto"/>
              <w:right w:val="single" w:sz="8" w:space="0" w:color="auto"/>
            </w:tcBorders>
            <w:shd w:val="clear" w:color="auto" w:fill="auto"/>
            <w:vAlign w:val="center"/>
            <w:hideMark/>
          </w:tcPr>
          <w:p w14:paraId="1B28A321" w14:textId="3CC223C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2,446</w:t>
            </w:r>
          </w:p>
        </w:tc>
      </w:tr>
      <w:tr w:rsidR="00B859CB" w:rsidRPr="00C734C2" w14:paraId="459C6E06"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7F27D431" w14:textId="77777777" w:rsidR="00B859CB" w:rsidRPr="00C734C2" w:rsidRDefault="00B859CB"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 xml:space="preserve">tiotropium / </w:t>
            </w:r>
            <w:proofErr w:type="spellStart"/>
            <w:r w:rsidRPr="00C734C2">
              <w:rPr>
                <w:rFonts w:ascii="Arial Narrow" w:eastAsia="Times New Roman" w:hAnsi="Arial Narrow" w:cs="Arial"/>
                <w:sz w:val="18"/>
                <w:szCs w:val="18"/>
                <w:lang w:eastAsia="en-AU"/>
              </w:rPr>
              <w:t>olodaterol</w:t>
            </w:r>
            <w:proofErr w:type="spellEnd"/>
          </w:p>
        </w:tc>
        <w:tc>
          <w:tcPr>
            <w:tcW w:w="748" w:type="dxa"/>
            <w:tcBorders>
              <w:top w:val="nil"/>
              <w:left w:val="nil"/>
              <w:bottom w:val="single" w:sz="8" w:space="0" w:color="auto"/>
              <w:right w:val="single" w:sz="8" w:space="0" w:color="auto"/>
            </w:tcBorders>
            <w:shd w:val="clear" w:color="auto" w:fill="auto"/>
            <w:vAlign w:val="center"/>
            <w:hideMark/>
          </w:tcPr>
          <w:p w14:paraId="36045E67" w14:textId="18BA7E4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60A66B82" w14:textId="7A552BD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B774F1D" w14:textId="1339F69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5B22F329" w14:textId="47BA6C1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6D74DD3" w14:textId="68B50F0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CD18100" w14:textId="0FB656B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C4EC5AD" w14:textId="2D3CE79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5024E3F" w14:textId="3BA1133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4809CE8" w14:textId="7C5434B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451037D6" w14:textId="3566AE3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A3AF87E" w14:textId="0A8069E2"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35BB4E4" w14:textId="4A15E47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503774BB" w14:textId="066DC38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25</w:t>
            </w:r>
          </w:p>
        </w:tc>
        <w:tc>
          <w:tcPr>
            <w:tcW w:w="747" w:type="dxa"/>
            <w:tcBorders>
              <w:top w:val="nil"/>
              <w:left w:val="nil"/>
              <w:bottom w:val="single" w:sz="8" w:space="0" w:color="auto"/>
              <w:right w:val="single" w:sz="8" w:space="0" w:color="auto"/>
            </w:tcBorders>
            <w:shd w:val="clear" w:color="auto" w:fill="auto"/>
            <w:vAlign w:val="center"/>
            <w:hideMark/>
          </w:tcPr>
          <w:p w14:paraId="7A8604F8" w14:textId="42386D2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378</w:t>
            </w:r>
          </w:p>
        </w:tc>
        <w:tc>
          <w:tcPr>
            <w:tcW w:w="747" w:type="dxa"/>
            <w:tcBorders>
              <w:top w:val="nil"/>
              <w:left w:val="nil"/>
              <w:bottom w:val="single" w:sz="8" w:space="0" w:color="auto"/>
              <w:right w:val="single" w:sz="8" w:space="0" w:color="auto"/>
            </w:tcBorders>
            <w:shd w:val="clear" w:color="auto" w:fill="auto"/>
            <w:vAlign w:val="center"/>
            <w:hideMark/>
          </w:tcPr>
          <w:p w14:paraId="02799289" w14:textId="4540749D"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1,370</w:t>
            </w:r>
          </w:p>
        </w:tc>
        <w:tc>
          <w:tcPr>
            <w:tcW w:w="747" w:type="dxa"/>
            <w:tcBorders>
              <w:top w:val="nil"/>
              <w:left w:val="nil"/>
              <w:bottom w:val="single" w:sz="8" w:space="0" w:color="auto"/>
              <w:right w:val="single" w:sz="8" w:space="0" w:color="auto"/>
            </w:tcBorders>
            <w:shd w:val="clear" w:color="auto" w:fill="auto"/>
            <w:vAlign w:val="center"/>
            <w:hideMark/>
          </w:tcPr>
          <w:p w14:paraId="0CF74FBD" w14:textId="5CC22F9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2,325</w:t>
            </w:r>
          </w:p>
        </w:tc>
        <w:tc>
          <w:tcPr>
            <w:tcW w:w="747" w:type="dxa"/>
            <w:tcBorders>
              <w:top w:val="nil"/>
              <w:left w:val="nil"/>
              <w:bottom w:val="single" w:sz="8" w:space="0" w:color="auto"/>
              <w:right w:val="single" w:sz="8" w:space="0" w:color="auto"/>
            </w:tcBorders>
            <w:shd w:val="clear" w:color="auto" w:fill="auto"/>
            <w:vAlign w:val="center"/>
            <w:hideMark/>
          </w:tcPr>
          <w:p w14:paraId="06BAC176" w14:textId="27D94D7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3,434</w:t>
            </w:r>
          </w:p>
        </w:tc>
      </w:tr>
      <w:tr w:rsidR="00B859CB" w:rsidRPr="00C734C2" w14:paraId="5A780534"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1D35C689" w14:textId="77777777" w:rsidR="00B859CB" w:rsidRPr="00C734C2" w:rsidRDefault="00B859CB" w:rsidP="00B859CB">
            <w:pPr>
              <w:rPr>
                <w:rFonts w:ascii="Arial Narrow" w:eastAsia="Times New Roman" w:hAnsi="Arial Narrow" w:cs="Arial"/>
                <w:sz w:val="18"/>
                <w:szCs w:val="18"/>
                <w:lang w:eastAsia="en-AU"/>
              </w:rPr>
            </w:pPr>
            <w:proofErr w:type="spellStart"/>
            <w:r w:rsidRPr="00C734C2">
              <w:rPr>
                <w:rFonts w:ascii="Arial Narrow" w:eastAsia="Times New Roman" w:hAnsi="Arial Narrow" w:cs="Arial"/>
                <w:sz w:val="18"/>
                <w:szCs w:val="18"/>
                <w:lang w:eastAsia="en-AU"/>
              </w:rPr>
              <w:t>aclidinium</w:t>
            </w:r>
            <w:proofErr w:type="spellEnd"/>
            <w:r w:rsidRPr="00C734C2">
              <w:rPr>
                <w:rFonts w:ascii="Arial Narrow" w:eastAsia="Times New Roman" w:hAnsi="Arial Narrow" w:cs="Arial"/>
                <w:sz w:val="18"/>
                <w:szCs w:val="18"/>
                <w:lang w:eastAsia="en-AU"/>
              </w:rPr>
              <w:t xml:space="preserve"> / </w:t>
            </w:r>
            <w:proofErr w:type="spellStart"/>
            <w:r w:rsidRPr="00C734C2">
              <w:rPr>
                <w:rFonts w:ascii="Arial Narrow" w:eastAsia="Times New Roman" w:hAnsi="Arial Narrow" w:cs="Arial"/>
                <w:sz w:val="18"/>
                <w:szCs w:val="18"/>
                <w:lang w:eastAsia="en-AU"/>
              </w:rPr>
              <w:t>eformoterol</w:t>
            </w:r>
            <w:proofErr w:type="spellEnd"/>
          </w:p>
        </w:tc>
        <w:tc>
          <w:tcPr>
            <w:tcW w:w="748" w:type="dxa"/>
            <w:tcBorders>
              <w:top w:val="nil"/>
              <w:left w:val="nil"/>
              <w:bottom w:val="single" w:sz="8" w:space="0" w:color="auto"/>
              <w:right w:val="single" w:sz="8" w:space="0" w:color="auto"/>
            </w:tcBorders>
            <w:shd w:val="clear" w:color="auto" w:fill="auto"/>
            <w:vAlign w:val="center"/>
            <w:hideMark/>
          </w:tcPr>
          <w:p w14:paraId="330E2700" w14:textId="1713D02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40FAEB70" w14:textId="2B97DC6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7527099E" w14:textId="1276337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75A8DBBF" w14:textId="51A72D9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A031736" w14:textId="592BC81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139E50F4" w14:textId="04653BE8"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3B946E6B" w14:textId="3B7B796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485CC72D" w14:textId="3940C20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2A51EE0E" w14:textId="0A906BD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2426475C" w14:textId="72CE25A0"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6B8C57B5" w14:textId="60AE76D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20D98F1" w14:textId="0076138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5EB11577" w14:textId="0057AB93"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52</w:t>
            </w:r>
          </w:p>
        </w:tc>
        <w:tc>
          <w:tcPr>
            <w:tcW w:w="747" w:type="dxa"/>
            <w:tcBorders>
              <w:top w:val="nil"/>
              <w:left w:val="nil"/>
              <w:bottom w:val="single" w:sz="8" w:space="0" w:color="auto"/>
              <w:right w:val="single" w:sz="8" w:space="0" w:color="auto"/>
            </w:tcBorders>
            <w:shd w:val="clear" w:color="auto" w:fill="auto"/>
            <w:vAlign w:val="center"/>
            <w:hideMark/>
          </w:tcPr>
          <w:p w14:paraId="4A914DC0" w14:textId="3159DFF7"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303</w:t>
            </w:r>
          </w:p>
        </w:tc>
        <w:tc>
          <w:tcPr>
            <w:tcW w:w="747" w:type="dxa"/>
            <w:tcBorders>
              <w:top w:val="nil"/>
              <w:left w:val="nil"/>
              <w:bottom w:val="single" w:sz="8" w:space="0" w:color="auto"/>
              <w:right w:val="single" w:sz="8" w:space="0" w:color="auto"/>
            </w:tcBorders>
            <w:shd w:val="clear" w:color="auto" w:fill="auto"/>
            <w:vAlign w:val="center"/>
            <w:hideMark/>
          </w:tcPr>
          <w:p w14:paraId="43608F39" w14:textId="5B4169B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619</w:t>
            </w:r>
          </w:p>
        </w:tc>
        <w:tc>
          <w:tcPr>
            <w:tcW w:w="747" w:type="dxa"/>
            <w:tcBorders>
              <w:top w:val="nil"/>
              <w:left w:val="nil"/>
              <w:bottom w:val="single" w:sz="8" w:space="0" w:color="auto"/>
              <w:right w:val="single" w:sz="8" w:space="0" w:color="auto"/>
            </w:tcBorders>
            <w:shd w:val="clear" w:color="auto" w:fill="auto"/>
            <w:vAlign w:val="center"/>
            <w:hideMark/>
          </w:tcPr>
          <w:p w14:paraId="6A635AB1" w14:textId="529EEA5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948</w:t>
            </w:r>
          </w:p>
        </w:tc>
        <w:tc>
          <w:tcPr>
            <w:tcW w:w="747" w:type="dxa"/>
            <w:tcBorders>
              <w:top w:val="nil"/>
              <w:left w:val="nil"/>
              <w:bottom w:val="single" w:sz="8" w:space="0" w:color="auto"/>
              <w:right w:val="single" w:sz="8" w:space="0" w:color="auto"/>
            </w:tcBorders>
            <w:shd w:val="clear" w:color="auto" w:fill="auto"/>
            <w:vAlign w:val="center"/>
            <w:hideMark/>
          </w:tcPr>
          <w:p w14:paraId="009B221B" w14:textId="2F5B4E91"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1,237</w:t>
            </w:r>
          </w:p>
        </w:tc>
      </w:tr>
      <w:tr w:rsidR="00B859CB" w:rsidRPr="00C734C2" w14:paraId="286B4284" w14:textId="77777777" w:rsidTr="00B859CB">
        <w:trPr>
          <w:trHeight w:val="270"/>
        </w:trPr>
        <w:tc>
          <w:tcPr>
            <w:tcW w:w="1849" w:type="dxa"/>
            <w:tcBorders>
              <w:top w:val="nil"/>
              <w:left w:val="single" w:sz="8" w:space="0" w:color="auto"/>
              <w:bottom w:val="single" w:sz="8" w:space="0" w:color="auto"/>
              <w:right w:val="single" w:sz="8" w:space="0" w:color="auto"/>
            </w:tcBorders>
            <w:shd w:val="clear" w:color="000000" w:fill="D9D9D9"/>
            <w:vAlign w:val="center"/>
            <w:hideMark/>
          </w:tcPr>
          <w:p w14:paraId="496C79DA" w14:textId="77777777" w:rsidR="00B859CB" w:rsidRPr="00C734C2" w:rsidRDefault="00B859CB" w:rsidP="00B859CB">
            <w:pPr>
              <w:rPr>
                <w:rFonts w:ascii="Arial Narrow" w:eastAsia="Times New Roman" w:hAnsi="Arial Narrow" w:cs="Arial"/>
                <w:b/>
                <w:bCs/>
                <w:i/>
                <w:iCs/>
                <w:sz w:val="18"/>
                <w:szCs w:val="18"/>
                <w:lang w:eastAsia="en-AU"/>
              </w:rPr>
            </w:pPr>
            <w:r w:rsidRPr="00C734C2">
              <w:rPr>
                <w:rFonts w:ascii="Arial Narrow" w:eastAsia="Times New Roman" w:hAnsi="Arial Narrow" w:cs="Arial"/>
                <w:b/>
                <w:bCs/>
                <w:i/>
                <w:iCs/>
                <w:sz w:val="18"/>
                <w:szCs w:val="18"/>
                <w:lang w:eastAsia="en-AU"/>
              </w:rPr>
              <w:t>Total</w:t>
            </w:r>
          </w:p>
        </w:tc>
        <w:tc>
          <w:tcPr>
            <w:tcW w:w="748" w:type="dxa"/>
            <w:tcBorders>
              <w:top w:val="nil"/>
              <w:left w:val="nil"/>
              <w:bottom w:val="single" w:sz="8" w:space="0" w:color="auto"/>
              <w:right w:val="single" w:sz="8" w:space="0" w:color="auto"/>
            </w:tcBorders>
            <w:shd w:val="clear" w:color="000000" w:fill="D9D9D9"/>
            <w:vAlign w:val="center"/>
            <w:hideMark/>
          </w:tcPr>
          <w:p w14:paraId="618B7CF4" w14:textId="5DC70B79"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232,546</w:t>
            </w:r>
          </w:p>
        </w:tc>
        <w:tc>
          <w:tcPr>
            <w:tcW w:w="748" w:type="dxa"/>
            <w:tcBorders>
              <w:top w:val="nil"/>
              <w:left w:val="nil"/>
              <w:bottom w:val="single" w:sz="8" w:space="0" w:color="auto"/>
              <w:right w:val="single" w:sz="8" w:space="0" w:color="auto"/>
            </w:tcBorders>
            <w:shd w:val="clear" w:color="000000" w:fill="D9D9D9"/>
            <w:vAlign w:val="center"/>
            <w:hideMark/>
          </w:tcPr>
          <w:p w14:paraId="3F4597E6" w14:textId="5C4E0527"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159,310</w:t>
            </w:r>
          </w:p>
        </w:tc>
        <w:tc>
          <w:tcPr>
            <w:tcW w:w="747" w:type="dxa"/>
            <w:tcBorders>
              <w:top w:val="nil"/>
              <w:left w:val="nil"/>
              <w:bottom w:val="single" w:sz="8" w:space="0" w:color="auto"/>
              <w:right w:val="single" w:sz="8" w:space="0" w:color="auto"/>
            </w:tcBorders>
            <w:shd w:val="clear" w:color="000000" w:fill="D9D9D9"/>
            <w:vAlign w:val="center"/>
            <w:hideMark/>
          </w:tcPr>
          <w:p w14:paraId="6BE124AC" w14:textId="08A64DD4"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174,217</w:t>
            </w:r>
          </w:p>
        </w:tc>
        <w:tc>
          <w:tcPr>
            <w:tcW w:w="747" w:type="dxa"/>
            <w:tcBorders>
              <w:top w:val="nil"/>
              <w:left w:val="nil"/>
              <w:bottom w:val="single" w:sz="8" w:space="0" w:color="auto"/>
              <w:right w:val="single" w:sz="8" w:space="0" w:color="auto"/>
            </w:tcBorders>
            <w:shd w:val="clear" w:color="000000" w:fill="D9D9D9"/>
            <w:vAlign w:val="center"/>
            <w:hideMark/>
          </w:tcPr>
          <w:p w14:paraId="3748DDAF" w14:textId="192F38B0"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178,607</w:t>
            </w:r>
          </w:p>
        </w:tc>
        <w:tc>
          <w:tcPr>
            <w:tcW w:w="747" w:type="dxa"/>
            <w:tcBorders>
              <w:top w:val="nil"/>
              <w:left w:val="nil"/>
              <w:bottom w:val="single" w:sz="8" w:space="0" w:color="auto"/>
              <w:right w:val="single" w:sz="8" w:space="0" w:color="auto"/>
            </w:tcBorders>
            <w:shd w:val="clear" w:color="000000" w:fill="D9D9D9"/>
            <w:vAlign w:val="center"/>
            <w:hideMark/>
          </w:tcPr>
          <w:p w14:paraId="016D5E84" w14:textId="32B06EF8"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192,622</w:t>
            </w:r>
          </w:p>
        </w:tc>
        <w:tc>
          <w:tcPr>
            <w:tcW w:w="747" w:type="dxa"/>
            <w:tcBorders>
              <w:top w:val="nil"/>
              <w:left w:val="nil"/>
              <w:bottom w:val="single" w:sz="8" w:space="0" w:color="auto"/>
              <w:right w:val="single" w:sz="8" w:space="0" w:color="auto"/>
            </w:tcBorders>
            <w:shd w:val="clear" w:color="000000" w:fill="D9D9D9"/>
            <w:vAlign w:val="center"/>
            <w:hideMark/>
          </w:tcPr>
          <w:p w14:paraId="5BCF9C8F" w14:textId="0805DD73"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151,819</w:t>
            </w:r>
          </w:p>
        </w:tc>
        <w:tc>
          <w:tcPr>
            <w:tcW w:w="747" w:type="dxa"/>
            <w:tcBorders>
              <w:top w:val="nil"/>
              <w:left w:val="nil"/>
              <w:bottom w:val="single" w:sz="8" w:space="0" w:color="auto"/>
              <w:right w:val="single" w:sz="8" w:space="0" w:color="auto"/>
            </w:tcBorders>
            <w:shd w:val="clear" w:color="000000" w:fill="D9D9D9"/>
            <w:vAlign w:val="center"/>
            <w:hideMark/>
          </w:tcPr>
          <w:p w14:paraId="46B5F30A" w14:textId="69CC6BF0"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167,904</w:t>
            </w:r>
          </w:p>
        </w:tc>
        <w:tc>
          <w:tcPr>
            <w:tcW w:w="747" w:type="dxa"/>
            <w:tcBorders>
              <w:top w:val="nil"/>
              <w:left w:val="nil"/>
              <w:bottom w:val="single" w:sz="8" w:space="0" w:color="auto"/>
              <w:right w:val="single" w:sz="8" w:space="0" w:color="auto"/>
            </w:tcBorders>
            <w:shd w:val="clear" w:color="000000" w:fill="D9D9D9"/>
            <w:vAlign w:val="center"/>
            <w:hideMark/>
          </w:tcPr>
          <w:p w14:paraId="4D39AAD0" w14:textId="1139D593"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172,721</w:t>
            </w:r>
          </w:p>
        </w:tc>
        <w:tc>
          <w:tcPr>
            <w:tcW w:w="747" w:type="dxa"/>
            <w:tcBorders>
              <w:top w:val="nil"/>
              <w:left w:val="nil"/>
              <w:bottom w:val="single" w:sz="8" w:space="0" w:color="auto"/>
              <w:right w:val="single" w:sz="8" w:space="0" w:color="auto"/>
            </w:tcBorders>
            <w:shd w:val="clear" w:color="000000" w:fill="D9D9D9"/>
            <w:vAlign w:val="center"/>
            <w:hideMark/>
          </w:tcPr>
          <w:p w14:paraId="385AC1C8" w14:textId="41B55C8C"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187,800</w:t>
            </w:r>
          </w:p>
        </w:tc>
        <w:tc>
          <w:tcPr>
            <w:tcW w:w="747" w:type="dxa"/>
            <w:tcBorders>
              <w:top w:val="nil"/>
              <w:left w:val="nil"/>
              <w:bottom w:val="single" w:sz="8" w:space="0" w:color="auto"/>
              <w:right w:val="single" w:sz="8" w:space="0" w:color="auto"/>
            </w:tcBorders>
            <w:shd w:val="clear" w:color="000000" w:fill="D9D9D9"/>
            <w:vAlign w:val="center"/>
            <w:hideMark/>
          </w:tcPr>
          <w:p w14:paraId="0CC8F5CB" w14:textId="1EB34840"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146,126</w:t>
            </w:r>
          </w:p>
        </w:tc>
        <w:tc>
          <w:tcPr>
            <w:tcW w:w="747" w:type="dxa"/>
            <w:tcBorders>
              <w:top w:val="nil"/>
              <w:left w:val="nil"/>
              <w:bottom w:val="single" w:sz="8" w:space="0" w:color="auto"/>
              <w:right w:val="single" w:sz="8" w:space="0" w:color="auto"/>
            </w:tcBorders>
            <w:shd w:val="clear" w:color="000000" w:fill="D9D9D9"/>
            <w:vAlign w:val="center"/>
            <w:hideMark/>
          </w:tcPr>
          <w:p w14:paraId="148A21F3" w14:textId="723443B4"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159,848</w:t>
            </w:r>
          </w:p>
        </w:tc>
        <w:tc>
          <w:tcPr>
            <w:tcW w:w="747" w:type="dxa"/>
            <w:tcBorders>
              <w:top w:val="nil"/>
              <w:left w:val="nil"/>
              <w:bottom w:val="single" w:sz="8" w:space="0" w:color="auto"/>
              <w:right w:val="single" w:sz="8" w:space="0" w:color="auto"/>
            </w:tcBorders>
            <w:shd w:val="clear" w:color="000000" w:fill="D9D9D9"/>
            <w:vAlign w:val="center"/>
            <w:hideMark/>
          </w:tcPr>
          <w:p w14:paraId="12451968" w14:textId="21E2CE37"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165,296</w:t>
            </w:r>
          </w:p>
        </w:tc>
        <w:tc>
          <w:tcPr>
            <w:tcW w:w="747" w:type="dxa"/>
            <w:tcBorders>
              <w:top w:val="nil"/>
              <w:left w:val="nil"/>
              <w:bottom w:val="single" w:sz="8" w:space="0" w:color="auto"/>
              <w:right w:val="single" w:sz="8" w:space="0" w:color="auto"/>
            </w:tcBorders>
            <w:shd w:val="clear" w:color="000000" w:fill="D9D9D9"/>
            <w:vAlign w:val="center"/>
            <w:hideMark/>
          </w:tcPr>
          <w:p w14:paraId="7FEC721C" w14:textId="4D47BE10"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179,299</w:t>
            </w:r>
          </w:p>
        </w:tc>
        <w:tc>
          <w:tcPr>
            <w:tcW w:w="747" w:type="dxa"/>
            <w:tcBorders>
              <w:top w:val="nil"/>
              <w:left w:val="nil"/>
              <w:bottom w:val="single" w:sz="8" w:space="0" w:color="auto"/>
              <w:right w:val="single" w:sz="8" w:space="0" w:color="auto"/>
            </w:tcBorders>
            <w:shd w:val="clear" w:color="000000" w:fill="D9D9D9"/>
            <w:vAlign w:val="center"/>
            <w:hideMark/>
          </w:tcPr>
          <w:p w14:paraId="2CE29961" w14:textId="1A19C40A"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140,051</w:t>
            </w:r>
          </w:p>
        </w:tc>
        <w:tc>
          <w:tcPr>
            <w:tcW w:w="747" w:type="dxa"/>
            <w:tcBorders>
              <w:top w:val="nil"/>
              <w:left w:val="nil"/>
              <w:bottom w:val="single" w:sz="8" w:space="0" w:color="auto"/>
              <w:right w:val="single" w:sz="8" w:space="0" w:color="auto"/>
            </w:tcBorders>
            <w:shd w:val="clear" w:color="000000" w:fill="D9D9D9"/>
            <w:vAlign w:val="center"/>
            <w:hideMark/>
          </w:tcPr>
          <w:p w14:paraId="0C22E5CC" w14:textId="4E15E82D"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150,947</w:t>
            </w:r>
          </w:p>
        </w:tc>
        <w:tc>
          <w:tcPr>
            <w:tcW w:w="747" w:type="dxa"/>
            <w:tcBorders>
              <w:top w:val="nil"/>
              <w:left w:val="nil"/>
              <w:bottom w:val="single" w:sz="8" w:space="0" w:color="auto"/>
              <w:right w:val="single" w:sz="8" w:space="0" w:color="auto"/>
            </w:tcBorders>
            <w:shd w:val="clear" w:color="000000" w:fill="D9D9D9"/>
            <w:vAlign w:val="center"/>
            <w:hideMark/>
          </w:tcPr>
          <w:p w14:paraId="31D6887F" w14:textId="6C7CCBC6"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151,239</w:t>
            </w:r>
          </w:p>
        </w:tc>
        <w:tc>
          <w:tcPr>
            <w:tcW w:w="747" w:type="dxa"/>
            <w:tcBorders>
              <w:top w:val="nil"/>
              <w:left w:val="nil"/>
              <w:bottom w:val="single" w:sz="8" w:space="0" w:color="auto"/>
              <w:right w:val="single" w:sz="8" w:space="0" w:color="auto"/>
            </w:tcBorders>
            <w:shd w:val="clear" w:color="000000" w:fill="D9D9D9"/>
            <w:vAlign w:val="center"/>
            <w:hideMark/>
          </w:tcPr>
          <w:p w14:paraId="0E3F2B42" w14:textId="102407E8" w:rsidR="00B859CB" w:rsidRPr="00C734C2" w:rsidRDefault="00B859CB" w:rsidP="00B859CB">
            <w:pPr>
              <w:jc w:val="right"/>
              <w:rPr>
                <w:rFonts w:ascii="Arial Narrow" w:eastAsia="Times New Roman" w:hAnsi="Arial Narrow" w:cs="Arial"/>
                <w:b/>
                <w:bCs/>
                <w:i/>
                <w:iCs/>
                <w:sz w:val="18"/>
                <w:szCs w:val="18"/>
                <w:lang w:eastAsia="en-AU"/>
              </w:rPr>
            </w:pPr>
            <w:r w:rsidRPr="00C734C2">
              <w:rPr>
                <w:rFonts w:ascii="Arial Narrow" w:hAnsi="Arial Narrow" w:cs="Arial"/>
                <w:b/>
                <w:bCs/>
                <w:i/>
                <w:iCs/>
                <w:sz w:val="18"/>
                <w:szCs w:val="18"/>
              </w:rPr>
              <w:t>194,245</w:t>
            </w:r>
          </w:p>
        </w:tc>
      </w:tr>
      <w:tr w:rsidR="00B859CB" w:rsidRPr="00C734C2" w14:paraId="5958B4DD" w14:textId="77777777" w:rsidTr="00975CB4">
        <w:trPr>
          <w:trHeight w:val="270"/>
        </w:trPr>
        <w:tc>
          <w:tcPr>
            <w:tcW w:w="1849" w:type="dxa"/>
            <w:tcBorders>
              <w:top w:val="nil"/>
              <w:left w:val="single" w:sz="8" w:space="0" w:color="auto"/>
              <w:bottom w:val="single" w:sz="8" w:space="0" w:color="auto"/>
              <w:right w:val="single" w:sz="8" w:space="0" w:color="auto"/>
            </w:tcBorders>
            <w:shd w:val="clear" w:color="auto" w:fill="auto"/>
            <w:vAlign w:val="center"/>
            <w:hideMark/>
          </w:tcPr>
          <w:p w14:paraId="35E39CFE" w14:textId="77777777" w:rsidR="00B859CB" w:rsidRPr="00C734C2" w:rsidRDefault="00B859CB" w:rsidP="00B859CB">
            <w:pPr>
              <w:rPr>
                <w:rFonts w:ascii="Arial Narrow" w:eastAsia="Times New Roman" w:hAnsi="Arial Narrow" w:cs="Arial"/>
                <w:sz w:val="18"/>
                <w:szCs w:val="18"/>
                <w:lang w:eastAsia="en-AU"/>
              </w:rPr>
            </w:pPr>
            <w:r w:rsidRPr="00C734C2">
              <w:rPr>
                <w:rFonts w:ascii="Arial Narrow" w:eastAsia="Times New Roman" w:hAnsi="Arial Narrow" w:cs="Arial"/>
                <w:sz w:val="18"/>
                <w:szCs w:val="18"/>
                <w:lang w:eastAsia="en-AU"/>
              </w:rPr>
              <w:t>Year on year movement (same quarter)</w:t>
            </w:r>
          </w:p>
        </w:tc>
        <w:tc>
          <w:tcPr>
            <w:tcW w:w="748" w:type="dxa"/>
            <w:tcBorders>
              <w:top w:val="nil"/>
              <w:left w:val="nil"/>
              <w:bottom w:val="single" w:sz="8" w:space="0" w:color="auto"/>
              <w:right w:val="single" w:sz="8" w:space="0" w:color="auto"/>
            </w:tcBorders>
            <w:shd w:val="clear" w:color="auto" w:fill="auto"/>
            <w:vAlign w:val="center"/>
            <w:hideMark/>
          </w:tcPr>
          <w:p w14:paraId="780A8A58" w14:textId="07E242FE"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8" w:type="dxa"/>
            <w:tcBorders>
              <w:top w:val="nil"/>
              <w:left w:val="nil"/>
              <w:bottom w:val="single" w:sz="8" w:space="0" w:color="auto"/>
              <w:right w:val="single" w:sz="8" w:space="0" w:color="auto"/>
            </w:tcBorders>
            <w:shd w:val="clear" w:color="auto" w:fill="auto"/>
            <w:vAlign w:val="center"/>
            <w:hideMark/>
          </w:tcPr>
          <w:p w14:paraId="476A5C83" w14:textId="0164A3F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566BE1E2" w14:textId="6C33DCF5"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03C58235" w14:textId="3DEF5B6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 </w:t>
            </w:r>
          </w:p>
        </w:tc>
        <w:tc>
          <w:tcPr>
            <w:tcW w:w="747" w:type="dxa"/>
            <w:tcBorders>
              <w:top w:val="nil"/>
              <w:left w:val="nil"/>
              <w:bottom w:val="single" w:sz="8" w:space="0" w:color="auto"/>
              <w:right w:val="single" w:sz="8" w:space="0" w:color="auto"/>
            </w:tcBorders>
            <w:shd w:val="clear" w:color="auto" w:fill="auto"/>
            <w:vAlign w:val="center"/>
            <w:hideMark/>
          </w:tcPr>
          <w:p w14:paraId="4B20DC55" w14:textId="0FA24F3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-17.2%</w:t>
            </w:r>
          </w:p>
        </w:tc>
        <w:tc>
          <w:tcPr>
            <w:tcW w:w="747" w:type="dxa"/>
            <w:tcBorders>
              <w:top w:val="nil"/>
              <w:left w:val="nil"/>
              <w:bottom w:val="single" w:sz="8" w:space="0" w:color="auto"/>
              <w:right w:val="single" w:sz="8" w:space="0" w:color="auto"/>
            </w:tcBorders>
            <w:shd w:val="clear" w:color="auto" w:fill="auto"/>
            <w:vAlign w:val="center"/>
            <w:hideMark/>
          </w:tcPr>
          <w:p w14:paraId="46B181BE" w14:textId="07FB153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-4.7%</w:t>
            </w:r>
          </w:p>
        </w:tc>
        <w:tc>
          <w:tcPr>
            <w:tcW w:w="747" w:type="dxa"/>
            <w:tcBorders>
              <w:top w:val="nil"/>
              <w:left w:val="nil"/>
              <w:bottom w:val="single" w:sz="8" w:space="0" w:color="auto"/>
              <w:right w:val="single" w:sz="8" w:space="0" w:color="auto"/>
            </w:tcBorders>
            <w:shd w:val="clear" w:color="auto" w:fill="auto"/>
            <w:vAlign w:val="center"/>
            <w:hideMark/>
          </w:tcPr>
          <w:p w14:paraId="22CB4033" w14:textId="572DB1D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-3.6%</w:t>
            </w:r>
          </w:p>
        </w:tc>
        <w:tc>
          <w:tcPr>
            <w:tcW w:w="747" w:type="dxa"/>
            <w:tcBorders>
              <w:top w:val="nil"/>
              <w:left w:val="nil"/>
              <w:bottom w:val="single" w:sz="8" w:space="0" w:color="auto"/>
              <w:right w:val="single" w:sz="8" w:space="0" w:color="auto"/>
            </w:tcBorders>
            <w:shd w:val="clear" w:color="auto" w:fill="auto"/>
            <w:vAlign w:val="center"/>
            <w:hideMark/>
          </w:tcPr>
          <w:p w14:paraId="6A6AA6C3" w14:textId="56DCE84F"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-3.3%</w:t>
            </w:r>
          </w:p>
        </w:tc>
        <w:tc>
          <w:tcPr>
            <w:tcW w:w="747" w:type="dxa"/>
            <w:tcBorders>
              <w:top w:val="nil"/>
              <w:left w:val="nil"/>
              <w:bottom w:val="single" w:sz="8" w:space="0" w:color="auto"/>
              <w:right w:val="single" w:sz="8" w:space="0" w:color="auto"/>
            </w:tcBorders>
            <w:shd w:val="clear" w:color="auto" w:fill="auto"/>
            <w:vAlign w:val="center"/>
            <w:hideMark/>
          </w:tcPr>
          <w:p w14:paraId="188C7690" w14:textId="002A355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-2.5%</w:t>
            </w:r>
          </w:p>
        </w:tc>
        <w:tc>
          <w:tcPr>
            <w:tcW w:w="747" w:type="dxa"/>
            <w:tcBorders>
              <w:top w:val="nil"/>
              <w:left w:val="nil"/>
              <w:bottom w:val="single" w:sz="8" w:space="0" w:color="auto"/>
              <w:right w:val="single" w:sz="8" w:space="0" w:color="auto"/>
            </w:tcBorders>
            <w:shd w:val="clear" w:color="auto" w:fill="auto"/>
            <w:vAlign w:val="center"/>
            <w:hideMark/>
          </w:tcPr>
          <w:p w14:paraId="5FAD1F1E" w14:textId="2BB0BA06"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-3.7%</w:t>
            </w:r>
          </w:p>
        </w:tc>
        <w:tc>
          <w:tcPr>
            <w:tcW w:w="747" w:type="dxa"/>
            <w:tcBorders>
              <w:top w:val="nil"/>
              <w:left w:val="nil"/>
              <w:bottom w:val="single" w:sz="8" w:space="0" w:color="auto"/>
              <w:right w:val="single" w:sz="8" w:space="0" w:color="auto"/>
            </w:tcBorders>
            <w:shd w:val="clear" w:color="auto" w:fill="auto"/>
            <w:vAlign w:val="center"/>
            <w:hideMark/>
          </w:tcPr>
          <w:p w14:paraId="0F8FB391" w14:textId="01C6935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-4.8%</w:t>
            </w:r>
          </w:p>
        </w:tc>
        <w:tc>
          <w:tcPr>
            <w:tcW w:w="747" w:type="dxa"/>
            <w:tcBorders>
              <w:top w:val="nil"/>
              <w:left w:val="nil"/>
              <w:bottom w:val="single" w:sz="8" w:space="0" w:color="auto"/>
              <w:right w:val="single" w:sz="8" w:space="0" w:color="auto"/>
            </w:tcBorders>
            <w:shd w:val="clear" w:color="auto" w:fill="auto"/>
            <w:vAlign w:val="center"/>
            <w:hideMark/>
          </w:tcPr>
          <w:p w14:paraId="16E88A36" w14:textId="10EB661C"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-4.3%</w:t>
            </w:r>
          </w:p>
        </w:tc>
        <w:tc>
          <w:tcPr>
            <w:tcW w:w="747" w:type="dxa"/>
            <w:tcBorders>
              <w:top w:val="nil"/>
              <w:left w:val="nil"/>
              <w:bottom w:val="single" w:sz="8" w:space="0" w:color="auto"/>
              <w:right w:val="single" w:sz="8" w:space="0" w:color="auto"/>
            </w:tcBorders>
            <w:shd w:val="clear" w:color="auto" w:fill="auto"/>
            <w:vAlign w:val="center"/>
            <w:hideMark/>
          </w:tcPr>
          <w:p w14:paraId="720AE67F" w14:textId="1EC4205A"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-4.5%</w:t>
            </w:r>
          </w:p>
        </w:tc>
        <w:tc>
          <w:tcPr>
            <w:tcW w:w="747" w:type="dxa"/>
            <w:tcBorders>
              <w:top w:val="nil"/>
              <w:left w:val="nil"/>
              <w:bottom w:val="single" w:sz="8" w:space="0" w:color="auto"/>
              <w:right w:val="single" w:sz="8" w:space="0" w:color="auto"/>
            </w:tcBorders>
            <w:shd w:val="clear" w:color="auto" w:fill="auto"/>
            <w:vAlign w:val="center"/>
            <w:hideMark/>
          </w:tcPr>
          <w:p w14:paraId="27398EC6" w14:textId="2AF7D249"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-4.2%</w:t>
            </w:r>
          </w:p>
        </w:tc>
        <w:tc>
          <w:tcPr>
            <w:tcW w:w="747" w:type="dxa"/>
            <w:tcBorders>
              <w:top w:val="nil"/>
              <w:left w:val="nil"/>
              <w:bottom w:val="single" w:sz="8" w:space="0" w:color="auto"/>
              <w:right w:val="single" w:sz="8" w:space="0" w:color="auto"/>
            </w:tcBorders>
            <w:shd w:val="clear" w:color="auto" w:fill="auto"/>
            <w:vAlign w:val="center"/>
            <w:hideMark/>
          </w:tcPr>
          <w:p w14:paraId="6627067D" w14:textId="5A92880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-5.6%</w:t>
            </w:r>
          </w:p>
        </w:tc>
        <w:tc>
          <w:tcPr>
            <w:tcW w:w="747" w:type="dxa"/>
            <w:tcBorders>
              <w:top w:val="nil"/>
              <w:left w:val="nil"/>
              <w:bottom w:val="single" w:sz="8" w:space="0" w:color="auto"/>
              <w:right w:val="single" w:sz="8" w:space="0" w:color="auto"/>
            </w:tcBorders>
            <w:shd w:val="clear" w:color="auto" w:fill="auto"/>
            <w:vAlign w:val="center"/>
            <w:hideMark/>
          </w:tcPr>
          <w:p w14:paraId="0230CAF9" w14:textId="33CEF1CB"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-8.5%</w:t>
            </w:r>
          </w:p>
        </w:tc>
        <w:tc>
          <w:tcPr>
            <w:tcW w:w="747" w:type="dxa"/>
            <w:tcBorders>
              <w:top w:val="nil"/>
              <w:left w:val="nil"/>
              <w:bottom w:val="single" w:sz="8" w:space="0" w:color="auto"/>
              <w:right w:val="single" w:sz="8" w:space="0" w:color="auto"/>
            </w:tcBorders>
            <w:shd w:val="clear" w:color="auto" w:fill="auto"/>
            <w:vAlign w:val="center"/>
            <w:hideMark/>
          </w:tcPr>
          <w:p w14:paraId="24E7529A" w14:textId="2998C0A4" w:rsidR="00B859CB" w:rsidRPr="00C734C2" w:rsidRDefault="00B859CB" w:rsidP="00B859CB">
            <w:pPr>
              <w:jc w:val="right"/>
              <w:rPr>
                <w:rFonts w:ascii="Arial Narrow" w:eastAsia="Times New Roman" w:hAnsi="Arial Narrow" w:cs="Arial"/>
                <w:sz w:val="18"/>
                <w:szCs w:val="18"/>
                <w:lang w:eastAsia="en-AU"/>
              </w:rPr>
            </w:pPr>
            <w:r w:rsidRPr="00C734C2">
              <w:rPr>
                <w:rFonts w:ascii="Arial Narrow" w:hAnsi="Arial Narrow" w:cs="Arial"/>
                <w:sz w:val="18"/>
                <w:szCs w:val="18"/>
              </w:rPr>
              <w:t>8.3%</w:t>
            </w:r>
          </w:p>
        </w:tc>
      </w:tr>
    </w:tbl>
    <w:p w14:paraId="7BB17FE3" w14:textId="77777777" w:rsidR="00456902" w:rsidRPr="008D66C4" w:rsidRDefault="00456902" w:rsidP="00975CB4">
      <w:pPr>
        <w:pStyle w:val="10TableorFigurefootnote"/>
        <w:rPr>
          <w:sz w:val="18"/>
          <w:szCs w:val="18"/>
        </w:rPr>
      </w:pPr>
      <w:r w:rsidRPr="008D66C4">
        <w:rPr>
          <w:sz w:val="18"/>
          <w:szCs w:val="18"/>
        </w:rPr>
        <w:t>Source: PBS Dispensing records between 1/11/2006 and 31/10/2016 file R2017068_PBS_COPD_DATA.CSV.</w:t>
      </w:r>
    </w:p>
    <w:p w14:paraId="61152606" w14:textId="5864A839" w:rsidR="00993887" w:rsidRPr="008D66C4" w:rsidRDefault="00456902" w:rsidP="00975CB4">
      <w:pPr>
        <w:pStyle w:val="10TableorFigurefootnote"/>
        <w:rPr>
          <w:sz w:val="18"/>
          <w:szCs w:val="18"/>
        </w:rPr>
      </w:pPr>
      <w:r w:rsidRPr="008D66C4">
        <w:rPr>
          <w:sz w:val="18"/>
          <w:szCs w:val="18"/>
        </w:rPr>
        <w:t>IMPORTANT NOTE: Includes only patients who initiated COPD pharmacotherapy with a LABA, LAMA or LABA/LAMA between 1 November 2008 and 31 October 2012</w:t>
      </w:r>
      <w:r w:rsidR="00F90D90">
        <w:rPr>
          <w:sz w:val="18"/>
          <w:szCs w:val="18"/>
        </w:rPr>
        <w:t>.</w:t>
      </w:r>
    </w:p>
    <w:p w14:paraId="77EAE9A4" w14:textId="289676BD" w:rsidR="00456902" w:rsidRPr="008D66C4" w:rsidRDefault="00456902" w:rsidP="00975CB4">
      <w:pPr>
        <w:pStyle w:val="10TableorFigurefootnote"/>
        <w:rPr>
          <w:sz w:val="18"/>
          <w:szCs w:val="18"/>
        </w:rPr>
      </w:pPr>
      <w:r w:rsidRPr="008D66C4">
        <w:rPr>
          <w:sz w:val="18"/>
          <w:szCs w:val="18"/>
        </w:rPr>
        <w:t>Quarter 4, 2012 was extrapolated from November and December 2012 using Quarter 4, 2013 ratios</w:t>
      </w:r>
      <w:r w:rsidR="00F90D90">
        <w:rPr>
          <w:sz w:val="18"/>
          <w:szCs w:val="18"/>
        </w:rPr>
        <w:t>.</w:t>
      </w:r>
    </w:p>
    <w:p w14:paraId="5CF8DF36" w14:textId="2F55F6F2" w:rsidR="00456902" w:rsidRPr="008D66C4" w:rsidRDefault="00456902" w:rsidP="00975CB4">
      <w:pPr>
        <w:pStyle w:val="10TableorFigurefootnote"/>
        <w:rPr>
          <w:sz w:val="18"/>
          <w:szCs w:val="18"/>
        </w:rPr>
      </w:pPr>
      <w:r w:rsidRPr="008D66C4">
        <w:rPr>
          <w:sz w:val="18"/>
          <w:szCs w:val="18"/>
        </w:rPr>
        <w:t>Quarter 4, 2016 was extrapolated from October 2016 using Quarter 4, 2015 ratios</w:t>
      </w:r>
      <w:r w:rsidR="00F90D90">
        <w:rPr>
          <w:sz w:val="18"/>
          <w:szCs w:val="18"/>
        </w:rPr>
        <w:t>.</w:t>
      </w:r>
      <w:r w:rsidRPr="008D66C4">
        <w:rPr>
          <w:sz w:val="18"/>
          <w:szCs w:val="18"/>
        </w:rPr>
        <w:t xml:space="preserve"> </w:t>
      </w:r>
    </w:p>
    <w:p w14:paraId="1FE3FF7F" w14:textId="77777777" w:rsidR="00B85972" w:rsidRDefault="00B85972" w:rsidP="00B85972">
      <w:pPr>
        <w:pStyle w:val="Caption"/>
      </w:pPr>
      <w:bookmarkStart w:id="46" w:name="_Ref462989573"/>
    </w:p>
    <w:p w14:paraId="6AA37E7D" w14:textId="77777777" w:rsidR="00993887" w:rsidRPr="00993887" w:rsidRDefault="00993887" w:rsidP="00993887">
      <w:pPr>
        <w:pStyle w:val="05Tabletext"/>
        <w:sectPr w:rsidR="00993887" w:rsidRPr="00993887" w:rsidSect="00AA3B67">
          <w:footerReference w:type="default" r:id="rId26"/>
          <w:pgSz w:w="16838" w:h="11906" w:orient="landscape"/>
          <w:pgMar w:top="1134" w:right="1134" w:bottom="1134" w:left="1134" w:header="709" w:footer="709" w:gutter="0"/>
          <w:cols w:space="708"/>
          <w:docGrid w:linePitch="360"/>
        </w:sectPr>
      </w:pPr>
    </w:p>
    <w:p w14:paraId="1C2AF398" w14:textId="63367B8D" w:rsidR="00122921" w:rsidRPr="00C21A81" w:rsidRDefault="007C1840" w:rsidP="005D3504">
      <w:pPr>
        <w:pStyle w:val="Heading3"/>
      </w:pPr>
      <w:bookmarkStart w:id="47" w:name="_Toc486231790"/>
      <w:r w:rsidRPr="00C21A81">
        <w:lastRenderedPageBreak/>
        <w:t>5.</w:t>
      </w:r>
      <w:r w:rsidR="00DC080C" w:rsidRPr="00C21A81">
        <w:t>6</w:t>
      </w:r>
      <w:r w:rsidRPr="00C21A81">
        <w:t>.3</w:t>
      </w:r>
      <w:r w:rsidRPr="00C21A81">
        <w:tab/>
      </w:r>
      <w:r w:rsidR="00122921" w:rsidRPr="00C21A81">
        <w:t xml:space="preserve">Analysis of COPD </w:t>
      </w:r>
      <w:r w:rsidR="00993887" w:rsidRPr="00C21A81">
        <w:t xml:space="preserve">prevalent </w:t>
      </w:r>
      <w:r w:rsidR="00122921" w:rsidRPr="00C21A81">
        <w:t>patients</w:t>
      </w:r>
      <w:bookmarkEnd w:id="47"/>
    </w:p>
    <w:p w14:paraId="332CCCF5" w14:textId="77777777" w:rsidR="00F94999" w:rsidRDefault="00972D63" w:rsidP="00993887">
      <w:pPr>
        <w:pStyle w:val="BodyText"/>
      </w:pPr>
      <w:r w:rsidRPr="00222696">
        <w:t>Prevalent p</w:t>
      </w:r>
      <w:r w:rsidR="00B85972" w:rsidRPr="00222696">
        <w:t xml:space="preserve">atient numbers have increased substantially each year with </w:t>
      </w:r>
      <w:r w:rsidR="00AA6A49">
        <w:t>156</w:t>
      </w:r>
      <w:r w:rsidR="00B85972" w:rsidRPr="00222696">
        <w:t>,</w:t>
      </w:r>
      <w:r w:rsidR="00E1257C" w:rsidRPr="00222696">
        <w:t>000 patients represented in 2015</w:t>
      </w:r>
      <w:r w:rsidR="00B85972" w:rsidRPr="00222696">
        <w:t xml:space="preserve">, and </w:t>
      </w:r>
      <w:r w:rsidR="00AA6A49">
        <w:t>165</w:t>
      </w:r>
      <w:r w:rsidR="00B85972" w:rsidRPr="00222696">
        <w:t>,</w:t>
      </w:r>
      <w:r w:rsidR="00AA6A49">
        <w:t>0</w:t>
      </w:r>
      <w:r w:rsidR="00B85972" w:rsidRPr="00222696">
        <w:t>00 patients represented in 2016 (note only 10 months of 2016 represented</w:t>
      </w:r>
      <w:r w:rsidR="0046762F" w:rsidRPr="00222696">
        <w:t xml:space="preserve"> and therefore has been extrapolated by multiplying to 12 months</w:t>
      </w:r>
      <w:r w:rsidR="00B85972" w:rsidRPr="00222696">
        <w:t xml:space="preserve">). Patient deaths do not feature in the analysis, thus it is not possible to paint a complete picture of net COPD patient </w:t>
      </w:r>
      <w:r w:rsidR="00261CF3" w:rsidRPr="00222696">
        <w:t>population</w:t>
      </w:r>
      <w:r w:rsidR="00B85972" w:rsidRPr="00222696">
        <w:t>.</w:t>
      </w:r>
      <w:r w:rsidR="00D72813" w:rsidRPr="00222696">
        <w:t xml:space="preserve"> </w:t>
      </w:r>
    </w:p>
    <w:p w14:paraId="77020735" w14:textId="55C60C9C" w:rsidR="00B85972" w:rsidRDefault="00CB22DE" w:rsidP="00B85972">
      <w:pPr>
        <w:pStyle w:val="BodyText"/>
      </w:pPr>
      <w:r>
        <w:t xml:space="preserve">Dispensed prescriptions for </w:t>
      </w:r>
      <w:r w:rsidR="00B85972" w:rsidRPr="00AA6A49">
        <w:t xml:space="preserve">Tiotropium 18 </w:t>
      </w:r>
      <w:proofErr w:type="spellStart"/>
      <w:r w:rsidR="00B85972" w:rsidRPr="00AA6A49">
        <w:t>μg</w:t>
      </w:r>
      <w:proofErr w:type="spellEnd"/>
      <w:r w:rsidR="00B85972" w:rsidRPr="00AA6A49">
        <w:t xml:space="preserve"> and fluticasone</w:t>
      </w:r>
      <w:r w:rsidR="003B67B3">
        <w:t xml:space="preserve"> propionate</w:t>
      </w:r>
      <w:r w:rsidR="00B85972" w:rsidRPr="00AA6A49">
        <w:t xml:space="preserve">/salmeterol 250/25 </w:t>
      </w:r>
      <w:proofErr w:type="spellStart"/>
      <w:r w:rsidR="00B85972" w:rsidRPr="00AA6A49">
        <w:t>μg</w:t>
      </w:r>
      <w:proofErr w:type="spellEnd"/>
      <w:r w:rsidR="00B85972" w:rsidRPr="00AA6A49">
        <w:t xml:space="preserve"> </w:t>
      </w:r>
      <w:r>
        <w:t>have</w:t>
      </w:r>
      <w:r w:rsidR="00D72813" w:rsidRPr="00AA6A49">
        <w:t xml:space="preserve"> consistently grown </w:t>
      </w:r>
      <w:r w:rsidR="00B85972" w:rsidRPr="00AA6A49">
        <w:t>yea</w:t>
      </w:r>
      <w:r w:rsidR="00261CF3" w:rsidRPr="00AA6A49">
        <w:t>r on year to 2014, and declin</w:t>
      </w:r>
      <w:r w:rsidR="008B3393" w:rsidRPr="00AA6A49">
        <w:t>e</w:t>
      </w:r>
      <w:r w:rsidR="00261CF3" w:rsidRPr="00AA6A49">
        <w:t>d</w:t>
      </w:r>
      <w:r w:rsidR="00B85972" w:rsidRPr="00AA6A49">
        <w:t xml:space="preserve"> from 2015 as patients switch, add and initiate to the newly introduced medicines</w:t>
      </w:r>
      <w:r w:rsidR="00261CF3" w:rsidRPr="00AA6A49">
        <w:t>.</w:t>
      </w:r>
      <w:r w:rsidR="00F94999">
        <w:t xml:space="preserve"> </w:t>
      </w:r>
      <w:r w:rsidR="00B85972" w:rsidRPr="00222696">
        <w:t xml:space="preserve">It is feasible that this may provide some evidence of adherence to the COPD-X guidelines on stepwise management of stable COPD. ICS/LABA is recommended for exacerbation prevention as the patient’s disease progresses. It </w:t>
      </w:r>
      <w:r w:rsidR="00F94999">
        <w:t>is reasonable to expect that the selected</w:t>
      </w:r>
      <w:r w:rsidR="00B85972" w:rsidRPr="00222696">
        <w:t xml:space="preserve"> cohort of patients may have a steadily growing proportion of patients that are moving from initiation to more advanced disease in the first few years, before settling into a more typical profile for COPD exacerbation prevention.</w:t>
      </w:r>
    </w:p>
    <w:p w14:paraId="2CF15A93" w14:textId="31B71FF5" w:rsidR="0065539E" w:rsidRPr="00C21A81" w:rsidRDefault="00E531CD" w:rsidP="005D3504">
      <w:pPr>
        <w:pStyle w:val="Heading3"/>
      </w:pPr>
      <w:bookmarkStart w:id="48" w:name="_Toc486231791"/>
      <w:bookmarkEnd w:id="46"/>
      <w:r w:rsidRPr="00C21A81">
        <w:t>5.</w:t>
      </w:r>
      <w:r w:rsidR="00DC080C" w:rsidRPr="00C21A81">
        <w:t>6</w:t>
      </w:r>
      <w:r w:rsidRPr="00C21A81">
        <w:t>.4</w:t>
      </w:r>
      <w:r w:rsidR="007C1840" w:rsidRPr="00C21A81">
        <w:tab/>
      </w:r>
      <w:r w:rsidR="0065539E" w:rsidRPr="00C21A81">
        <w:t>Utilisation outside COPD-X Guidelines</w:t>
      </w:r>
      <w:r w:rsidRPr="00C21A81">
        <w:t xml:space="preserve"> – Initiations</w:t>
      </w:r>
      <w:bookmarkEnd w:id="48"/>
    </w:p>
    <w:p w14:paraId="4593E894" w14:textId="08F2B1D1" w:rsidR="00360813" w:rsidRPr="00F745CA" w:rsidRDefault="007F29A3" w:rsidP="00975CB4">
      <w:pPr>
        <w:pStyle w:val="BodyTextnospacebefore"/>
        <w:spacing w:before="240"/>
      </w:pPr>
      <w:r w:rsidRPr="00F745CA">
        <w:t xml:space="preserve">Patient initiations are important in understanding typical patient regimens and how medicines are added and switched over time, and they provide a useful gauge for inappropriate prescribing for combination therapies outside clinical practice guidelines. </w:t>
      </w:r>
      <w:r w:rsidR="00013964" w:rsidRPr="00F745CA">
        <w:t>An initiating patient is defined as a patient who has not received</w:t>
      </w:r>
      <w:r w:rsidR="00360813" w:rsidRPr="00F745CA">
        <w:t xml:space="preserve"> an</w:t>
      </w:r>
      <w:r w:rsidR="00013964" w:rsidRPr="00F745CA">
        <w:t xml:space="preserve">y in-scope COPD medicine </w:t>
      </w:r>
      <w:r w:rsidR="00360813" w:rsidRPr="00F745CA">
        <w:t xml:space="preserve">prescription supply in the previous </w:t>
      </w:r>
      <w:r w:rsidR="008B3393" w:rsidRPr="00F745CA">
        <w:t>two</w:t>
      </w:r>
      <w:r w:rsidR="00360813" w:rsidRPr="00F745CA">
        <w:t>-year period</w:t>
      </w:r>
      <w:r w:rsidR="0021626D" w:rsidRPr="00975CB4">
        <w:t xml:space="preserve"> and</w:t>
      </w:r>
      <w:r w:rsidR="00360813" w:rsidRPr="00F745CA">
        <w:t xml:space="preserve"> </w:t>
      </w:r>
      <w:r w:rsidR="00013964" w:rsidRPr="00F745CA">
        <w:t xml:space="preserve">the patient has initiated to a LABA, LAMA or LABA/LAMA medicine </w:t>
      </w:r>
      <w:r w:rsidR="00F94042" w:rsidRPr="00975CB4">
        <w:t xml:space="preserve">or combination therapy incorporating a LABA, LAMA or LABA/LAMA medicine </w:t>
      </w:r>
      <w:r w:rsidR="00360813" w:rsidRPr="00F745CA">
        <w:t xml:space="preserve">and </w:t>
      </w:r>
      <w:r w:rsidR="00013964" w:rsidRPr="00F745CA">
        <w:t>their</w:t>
      </w:r>
      <w:r w:rsidR="00360813" w:rsidRPr="00F745CA">
        <w:t xml:space="preserve"> the mono-therapy or combination therapy scripts have been filled again </w:t>
      </w:r>
      <w:r w:rsidR="00013964" w:rsidRPr="00F745CA">
        <w:t xml:space="preserve">within two </w:t>
      </w:r>
      <w:r w:rsidR="00360813" w:rsidRPr="00F745CA">
        <w:t>subsequent expected refill date</w:t>
      </w:r>
      <w:r w:rsidR="00013964" w:rsidRPr="00F745CA">
        <w:t xml:space="preserve">s based upon </w:t>
      </w:r>
      <w:r w:rsidR="00F94999">
        <w:t xml:space="preserve">SCD </w:t>
      </w:r>
      <w:r w:rsidR="000B4072" w:rsidRPr="00F745CA">
        <w:t xml:space="preserve">(see Appendix </w:t>
      </w:r>
      <w:r w:rsidR="00C43D95">
        <w:t xml:space="preserve">R </w:t>
      </w:r>
      <w:r w:rsidR="000B4072" w:rsidRPr="00F745CA">
        <w:t xml:space="preserve">for additional data). </w:t>
      </w:r>
      <w:r w:rsidR="00967804" w:rsidRPr="00F745CA">
        <w:t>Th</w:t>
      </w:r>
      <w:r w:rsidR="00D34711">
        <w:t>e requirement to have refilled</w:t>
      </w:r>
      <w:r w:rsidR="00967804" w:rsidRPr="00F745CA">
        <w:t xml:space="preserve"> provides increased confidence that the initiating patient has commenced therapy</w:t>
      </w:r>
      <w:r w:rsidR="00113033">
        <w:t xml:space="preserve"> for COPD</w:t>
      </w:r>
      <w:r w:rsidR="00967804" w:rsidRPr="00F745CA">
        <w:t>.</w:t>
      </w:r>
    </w:p>
    <w:p w14:paraId="5960B61C" w14:textId="506CAA1C" w:rsidR="00B85972" w:rsidRDefault="008E65BC" w:rsidP="00B85972">
      <w:pPr>
        <w:pStyle w:val="BodyText"/>
      </w:pPr>
      <w:r w:rsidRPr="00975CB4">
        <w:fldChar w:fldCharType="begin"/>
      </w:r>
      <w:r w:rsidRPr="00F745CA">
        <w:instrText xml:space="preserve"> REF _Ref467963531 \h </w:instrText>
      </w:r>
      <w:r w:rsidR="00F745CA">
        <w:instrText xml:space="preserve"> \* MERGEFORMAT </w:instrText>
      </w:r>
      <w:r w:rsidRPr="00975CB4">
        <w:fldChar w:fldCharType="separate"/>
      </w:r>
      <w:proofErr w:type="gramStart"/>
      <w:r w:rsidR="001F1F1E" w:rsidRPr="005150AC">
        <w:t>Table 5.</w:t>
      </w:r>
      <w:proofErr w:type="gramEnd"/>
      <w:r w:rsidRPr="00975CB4">
        <w:fldChar w:fldCharType="end"/>
      </w:r>
      <w:r w:rsidR="0041494E">
        <w:t>3</w:t>
      </w:r>
      <w:r w:rsidRPr="00F745CA">
        <w:t xml:space="preserve"> </w:t>
      </w:r>
      <w:r w:rsidR="00A60477" w:rsidRPr="00F745CA">
        <w:t>includes</w:t>
      </w:r>
      <w:r w:rsidR="00B85972" w:rsidRPr="00F745CA">
        <w:t xml:space="preserve"> initiating patients by COPD class or combination of COPD class</w:t>
      </w:r>
      <w:r w:rsidRPr="00F745CA">
        <w:t xml:space="preserve"> (note that 2016 is a part year and the data has been extrapolated to 12 months by applying 2015 month on month ratios by class to the corresponding 2016 months for September through December).</w:t>
      </w:r>
      <w:r w:rsidR="00B85972" w:rsidRPr="00F745CA">
        <w:t xml:space="preserve"> It is immediately apparent from the figures that LAMA is the most common class of drug to</w:t>
      </w:r>
      <w:r w:rsidR="00B85972">
        <w:t xml:space="preserve"> initiate to, which as noted earlier, is consistent with, and may be indicative of, adherence to</w:t>
      </w:r>
      <w:r w:rsidR="00F94999">
        <w:t xml:space="preserve"> the COPD-X guidelines</w:t>
      </w:r>
      <w:r w:rsidR="00B85972">
        <w:t xml:space="preserve">. </w:t>
      </w:r>
      <w:r w:rsidR="00C10F0D">
        <w:t>It should be noted that patients initiating therapy with ICS/LABA, which would be inconsistent with guidelines, were removed from the dataset.</w:t>
      </w:r>
    </w:p>
    <w:p w14:paraId="3BD5C7E8" w14:textId="4A15C463" w:rsidR="009242DE" w:rsidRDefault="00C10F0D" w:rsidP="00B85972">
      <w:pPr>
        <w:pStyle w:val="BodyText"/>
      </w:pPr>
      <w:r w:rsidRPr="00FE6342">
        <w:t>Overall, initiations to combination therapy</w:t>
      </w:r>
      <w:r w:rsidR="00F94999">
        <w:t xml:space="preserve"> (</w:t>
      </w:r>
      <w:r w:rsidRPr="00FE6342">
        <w:t>which is inconsistent with t</w:t>
      </w:r>
      <w:r w:rsidR="00F94999">
        <w:t>he PBS restrictions and COPD-X g</w:t>
      </w:r>
      <w:r w:rsidRPr="00FE6342">
        <w:t>uidelines</w:t>
      </w:r>
      <w:r w:rsidR="00F94999">
        <w:t>)</w:t>
      </w:r>
      <w:r w:rsidRPr="00FE6342">
        <w:t xml:space="preserve"> in 2016 was 2</w:t>
      </w:r>
      <w:r w:rsidR="008E65BC" w:rsidRPr="00FE6342">
        <w:t>6</w:t>
      </w:r>
      <w:r w:rsidRPr="00FE6342">
        <w:t>.</w:t>
      </w:r>
      <w:r w:rsidR="008E65BC" w:rsidRPr="00FE6342">
        <w:t>2</w:t>
      </w:r>
      <w:r w:rsidRPr="00FE6342">
        <w:t>%</w:t>
      </w:r>
      <w:r w:rsidR="00F0261C" w:rsidRPr="00FE6342">
        <w:t>, and has increased over the study period</w:t>
      </w:r>
      <w:r w:rsidRPr="00FE6342">
        <w:t xml:space="preserve">. </w:t>
      </w:r>
      <w:r w:rsidR="00FE6342" w:rsidRPr="00975CB4">
        <w:fldChar w:fldCharType="begin"/>
      </w:r>
      <w:r w:rsidR="00FE6342" w:rsidRPr="00FE6342">
        <w:instrText xml:space="preserve"> REF _Ref467963531 \h  \* MERGEFORMAT </w:instrText>
      </w:r>
      <w:r w:rsidR="00FE6342" w:rsidRPr="00975CB4">
        <w:fldChar w:fldCharType="separate"/>
      </w:r>
      <w:r w:rsidR="00F94999">
        <w:t>Table </w:t>
      </w:r>
      <w:r w:rsidR="001F1F1E" w:rsidRPr="005150AC">
        <w:t>5</w:t>
      </w:r>
      <w:r w:rsidR="002C351B">
        <w:t>.</w:t>
      </w:r>
      <w:r w:rsidR="0041494E">
        <w:t>3</w:t>
      </w:r>
      <w:r w:rsidR="00FE6342" w:rsidRPr="00975CB4">
        <w:fldChar w:fldCharType="end"/>
      </w:r>
      <w:r w:rsidR="00FE6342" w:rsidRPr="00FE6342">
        <w:t xml:space="preserve"> </w:t>
      </w:r>
      <w:r w:rsidR="00B85972" w:rsidRPr="00FE6342">
        <w:t xml:space="preserve">shows a growing </w:t>
      </w:r>
      <w:r w:rsidR="00E22F5C" w:rsidRPr="00FE6342">
        <w:t>number</w:t>
      </w:r>
      <w:r w:rsidR="00B85972" w:rsidRPr="00FE6342">
        <w:t xml:space="preserve"> of patients initiating to LABA/LAMA medicines; 8.</w:t>
      </w:r>
      <w:r w:rsidR="00FE6342">
        <w:t>2</w:t>
      </w:r>
      <w:r w:rsidR="00B85972" w:rsidRPr="00FE6342">
        <w:t>% of initiating patients in 2015</w:t>
      </w:r>
      <w:r w:rsidR="00054730">
        <w:t>,</w:t>
      </w:r>
      <w:r w:rsidR="00B85972" w:rsidRPr="00FE6342">
        <w:t xml:space="preserve"> and 1</w:t>
      </w:r>
      <w:r w:rsidR="0090782E" w:rsidRPr="00FE6342">
        <w:t>5</w:t>
      </w:r>
      <w:r w:rsidR="00B85972" w:rsidRPr="00FE6342">
        <w:t>.</w:t>
      </w:r>
      <w:r w:rsidR="0090782E" w:rsidRPr="00FE6342">
        <w:t>2</w:t>
      </w:r>
      <w:r w:rsidR="00B85972" w:rsidRPr="00FE6342">
        <w:t>% in 2016 (</w:t>
      </w:r>
      <w:r w:rsidR="0090782E" w:rsidRPr="00975CB4">
        <w:t xml:space="preserve">note that 2016 is a part year and the data has been extrapolated to 12 months by applying 2015 month on month ratios by class to the </w:t>
      </w:r>
      <w:r w:rsidR="0090782E" w:rsidRPr="00975CB4">
        <w:lastRenderedPageBreak/>
        <w:t>corresponding 2016 months for September through December</w:t>
      </w:r>
      <w:r w:rsidR="0090782E" w:rsidRPr="00FE6342" w:rsidDel="0090782E">
        <w:t xml:space="preserve"> </w:t>
      </w:r>
      <w:r w:rsidR="00B85972" w:rsidRPr="00FE6342">
        <w:t>and</w:t>
      </w:r>
      <w:r w:rsidR="00FC4EED" w:rsidRPr="00FE6342">
        <w:t xml:space="preserve"> may there</w:t>
      </w:r>
      <w:r w:rsidR="00FC4EED">
        <w:t>fore be an underestimate</w:t>
      </w:r>
      <w:r w:rsidR="00B85972">
        <w:t>)</w:t>
      </w:r>
      <w:r w:rsidR="00B85972" w:rsidRPr="00A16377">
        <w:t>.</w:t>
      </w:r>
    </w:p>
    <w:p w14:paraId="6E3732A0" w14:textId="1BCAFC14" w:rsidR="00B85972" w:rsidRDefault="00B85972" w:rsidP="00975CB4">
      <w:pPr>
        <w:pStyle w:val="BodyText"/>
        <w:spacing w:after="240"/>
      </w:pPr>
      <w:r w:rsidRPr="00A16377">
        <w:t>PBS restrictions specify the need for a stabilisation period on</w:t>
      </w:r>
      <w:r w:rsidR="00C10F0D">
        <w:t xml:space="preserve"> a LAMA and a LABA product separately, prior to switching to a</w:t>
      </w:r>
      <w:r w:rsidRPr="00A16377">
        <w:t xml:space="preserve"> FDC. Thus initiations to LABA/LAMA are inconsistent with PBS </w:t>
      </w:r>
      <w:proofErr w:type="gramStart"/>
      <w:r w:rsidRPr="00A16377">
        <w:t>restrictions</w:t>
      </w:r>
      <w:r w:rsidR="00C10F0D">
        <w:t>,</w:t>
      </w:r>
      <w:proofErr w:type="gramEnd"/>
      <w:r w:rsidR="00C10F0D">
        <w:t xml:space="preserve"> and with stepwise management of COP</w:t>
      </w:r>
      <w:r w:rsidR="00054730">
        <w:t>D as recommended in the COPD-X g</w:t>
      </w:r>
      <w:r w:rsidR="00C10F0D">
        <w:t>uidelines</w:t>
      </w:r>
      <w:r w:rsidRPr="00A16377">
        <w:t>.</w:t>
      </w:r>
      <w:r>
        <w:t xml:space="preserve"> </w:t>
      </w:r>
    </w:p>
    <w:p w14:paraId="0A0751BC" w14:textId="6D88DFC6" w:rsidR="00B85972" w:rsidRPr="004B2276" w:rsidRDefault="00B85972" w:rsidP="0084308F">
      <w:pPr>
        <w:pStyle w:val="TR5TableHeader"/>
      </w:pPr>
      <w:bookmarkStart w:id="49" w:name="_Ref467963531"/>
      <w:bookmarkStart w:id="50" w:name="_Toc468034581"/>
      <w:bookmarkStart w:id="51" w:name="_Toc473291294"/>
      <w:bookmarkStart w:id="52" w:name="_Toc486232645"/>
      <w:r w:rsidRPr="0065511F">
        <w:t xml:space="preserve">Table </w:t>
      </w:r>
      <w:r w:rsidR="00360813" w:rsidRPr="0065511F">
        <w:t>5</w:t>
      </w:r>
      <w:r w:rsidRPr="0065511F">
        <w:t>.</w:t>
      </w:r>
      <w:bookmarkEnd w:id="49"/>
      <w:r w:rsidR="0084308F">
        <w:t>3</w:t>
      </w:r>
      <w:r w:rsidR="004F1518">
        <w:tab/>
      </w:r>
      <w:r w:rsidRPr="004B2276">
        <w:t>Patients initiating by LABA, LAMA and LAMA/LABA classes by year</w:t>
      </w:r>
      <w:bookmarkEnd w:id="50"/>
      <w:bookmarkEnd w:id="51"/>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Patients initiating by LABA, LAMA and LAMA/LABA classes by yea"/>
      </w:tblPr>
      <w:tblGrid>
        <w:gridCol w:w="1722"/>
        <w:gridCol w:w="1130"/>
        <w:gridCol w:w="1133"/>
        <w:gridCol w:w="1133"/>
        <w:gridCol w:w="1133"/>
        <w:gridCol w:w="1133"/>
        <w:gridCol w:w="1133"/>
        <w:gridCol w:w="1131"/>
      </w:tblGrid>
      <w:tr w:rsidR="00B85972" w:rsidRPr="00C734C2" w14:paraId="566C02BF" w14:textId="77777777" w:rsidTr="00975CB4">
        <w:trPr>
          <w:cantSplit/>
          <w:trHeight w:val="113"/>
          <w:tblHeader/>
        </w:trPr>
        <w:tc>
          <w:tcPr>
            <w:tcW w:w="893" w:type="pct"/>
            <w:shd w:val="clear" w:color="auto" w:fill="BFBFBF"/>
          </w:tcPr>
          <w:p w14:paraId="55D74CD9" w14:textId="77777777" w:rsidR="00B85972" w:rsidRPr="008D66C4" w:rsidRDefault="00B85972" w:rsidP="00AA3B67">
            <w:pPr>
              <w:pStyle w:val="01TableHEADINGleftaligned"/>
              <w:spacing w:before="0"/>
              <w:rPr>
                <w:sz w:val="21"/>
                <w:szCs w:val="21"/>
              </w:rPr>
            </w:pPr>
            <w:r w:rsidRPr="008D66C4">
              <w:rPr>
                <w:sz w:val="21"/>
                <w:szCs w:val="21"/>
              </w:rPr>
              <w:t>Starting Class</w:t>
            </w:r>
          </w:p>
        </w:tc>
        <w:tc>
          <w:tcPr>
            <w:tcW w:w="586" w:type="pct"/>
            <w:shd w:val="clear" w:color="auto" w:fill="BFBFBF"/>
            <w:vAlign w:val="bottom"/>
          </w:tcPr>
          <w:p w14:paraId="3FABF979" w14:textId="77777777" w:rsidR="00B85972" w:rsidRPr="008D66C4" w:rsidRDefault="00B85972" w:rsidP="00AA3B67">
            <w:pPr>
              <w:pStyle w:val="02TableHEADINGcentred"/>
              <w:spacing w:before="0"/>
              <w:rPr>
                <w:sz w:val="21"/>
                <w:szCs w:val="21"/>
              </w:rPr>
            </w:pPr>
            <w:r w:rsidRPr="008D66C4">
              <w:rPr>
                <w:rFonts w:cs="Tahoma"/>
                <w:color w:val="333333"/>
                <w:sz w:val="21"/>
                <w:szCs w:val="21"/>
              </w:rPr>
              <w:t>2010</w:t>
            </w:r>
          </w:p>
        </w:tc>
        <w:tc>
          <w:tcPr>
            <w:tcW w:w="587" w:type="pct"/>
            <w:shd w:val="clear" w:color="auto" w:fill="BFBFBF"/>
            <w:vAlign w:val="bottom"/>
          </w:tcPr>
          <w:p w14:paraId="438E6C3A" w14:textId="77777777" w:rsidR="00B85972" w:rsidRPr="008D66C4" w:rsidRDefault="00B85972" w:rsidP="00AA3B67">
            <w:pPr>
              <w:pStyle w:val="02TableHEADINGcentred"/>
              <w:spacing w:before="0"/>
              <w:rPr>
                <w:sz w:val="21"/>
                <w:szCs w:val="21"/>
              </w:rPr>
            </w:pPr>
            <w:r w:rsidRPr="008D66C4">
              <w:rPr>
                <w:rFonts w:cs="Tahoma"/>
                <w:color w:val="333333"/>
                <w:sz w:val="21"/>
                <w:szCs w:val="21"/>
              </w:rPr>
              <w:t>2011</w:t>
            </w:r>
          </w:p>
        </w:tc>
        <w:tc>
          <w:tcPr>
            <w:tcW w:w="587" w:type="pct"/>
            <w:shd w:val="clear" w:color="auto" w:fill="BFBFBF"/>
            <w:vAlign w:val="bottom"/>
          </w:tcPr>
          <w:p w14:paraId="49DABBAB" w14:textId="77777777" w:rsidR="00B85972" w:rsidRPr="008D66C4" w:rsidRDefault="00B85972" w:rsidP="00AA3B67">
            <w:pPr>
              <w:pStyle w:val="02TableHEADINGcentred"/>
              <w:spacing w:before="0"/>
              <w:rPr>
                <w:sz w:val="21"/>
                <w:szCs w:val="21"/>
              </w:rPr>
            </w:pPr>
            <w:r w:rsidRPr="008D66C4">
              <w:rPr>
                <w:rFonts w:cs="Tahoma"/>
                <w:color w:val="333333"/>
                <w:sz w:val="21"/>
                <w:szCs w:val="21"/>
              </w:rPr>
              <w:t>2012</w:t>
            </w:r>
          </w:p>
        </w:tc>
        <w:tc>
          <w:tcPr>
            <w:tcW w:w="587" w:type="pct"/>
            <w:shd w:val="clear" w:color="auto" w:fill="BFBFBF"/>
            <w:vAlign w:val="bottom"/>
          </w:tcPr>
          <w:p w14:paraId="675E7DB7" w14:textId="77777777" w:rsidR="00B85972" w:rsidRPr="008D66C4" w:rsidRDefault="00B85972" w:rsidP="00AA3B67">
            <w:pPr>
              <w:pStyle w:val="02TableHEADINGcentred"/>
              <w:spacing w:before="0"/>
              <w:rPr>
                <w:sz w:val="21"/>
                <w:szCs w:val="21"/>
              </w:rPr>
            </w:pPr>
            <w:r w:rsidRPr="008D66C4">
              <w:rPr>
                <w:rFonts w:cs="Tahoma"/>
                <w:color w:val="333333"/>
                <w:sz w:val="21"/>
                <w:szCs w:val="21"/>
              </w:rPr>
              <w:t>2013</w:t>
            </w:r>
          </w:p>
        </w:tc>
        <w:tc>
          <w:tcPr>
            <w:tcW w:w="587" w:type="pct"/>
            <w:shd w:val="clear" w:color="auto" w:fill="BFBFBF"/>
            <w:vAlign w:val="bottom"/>
          </w:tcPr>
          <w:p w14:paraId="2F09B338" w14:textId="77777777" w:rsidR="00B85972" w:rsidRPr="008D66C4" w:rsidRDefault="00B85972" w:rsidP="00AA3B67">
            <w:pPr>
              <w:pStyle w:val="02TableHEADINGcentred"/>
              <w:spacing w:before="0"/>
              <w:rPr>
                <w:sz w:val="21"/>
                <w:szCs w:val="21"/>
              </w:rPr>
            </w:pPr>
            <w:r w:rsidRPr="008D66C4">
              <w:rPr>
                <w:rFonts w:cs="Tahoma"/>
                <w:color w:val="333333"/>
                <w:sz w:val="21"/>
                <w:szCs w:val="21"/>
              </w:rPr>
              <w:t>2014</w:t>
            </w:r>
          </w:p>
        </w:tc>
        <w:tc>
          <w:tcPr>
            <w:tcW w:w="587" w:type="pct"/>
            <w:shd w:val="clear" w:color="auto" w:fill="BFBFBF"/>
            <w:vAlign w:val="bottom"/>
          </w:tcPr>
          <w:p w14:paraId="222D27BD" w14:textId="77777777" w:rsidR="00B85972" w:rsidRPr="008D66C4" w:rsidRDefault="00B85972" w:rsidP="00AA3B67">
            <w:pPr>
              <w:pStyle w:val="02TableHEADINGcentred"/>
              <w:spacing w:before="0"/>
              <w:rPr>
                <w:sz w:val="21"/>
                <w:szCs w:val="21"/>
              </w:rPr>
            </w:pPr>
            <w:r w:rsidRPr="008D66C4">
              <w:rPr>
                <w:rFonts w:cs="Tahoma"/>
                <w:color w:val="333333"/>
                <w:sz w:val="21"/>
                <w:szCs w:val="21"/>
              </w:rPr>
              <w:t>2015</w:t>
            </w:r>
          </w:p>
        </w:tc>
        <w:tc>
          <w:tcPr>
            <w:tcW w:w="586" w:type="pct"/>
            <w:shd w:val="clear" w:color="auto" w:fill="BFBFBF"/>
            <w:vAlign w:val="bottom"/>
          </w:tcPr>
          <w:p w14:paraId="395A4092" w14:textId="77777777" w:rsidR="00B85972" w:rsidRPr="008D66C4" w:rsidRDefault="00B85972" w:rsidP="00AA3B67">
            <w:pPr>
              <w:pStyle w:val="02TableHEADINGcentred"/>
              <w:spacing w:before="0"/>
              <w:rPr>
                <w:sz w:val="21"/>
                <w:szCs w:val="21"/>
              </w:rPr>
            </w:pPr>
            <w:r w:rsidRPr="008D66C4">
              <w:rPr>
                <w:rFonts w:cs="Tahoma"/>
                <w:color w:val="333333"/>
                <w:sz w:val="21"/>
                <w:szCs w:val="21"/>
              </w:rPr>
              <w:t>2016</w:t>
            </w:r>
          </w:p>
        </w:tc>
      </w:tr>
      <w:tr w:rsidR="000B4072" w:rsidRPr="00C734C2" w14:paraId="3C622A54" w14:textId="77777777" w:rsidTr="00975CB4">
        <w:trPr>
          <w:cantSplit/>
          <w:trHeight w:val="113"/>
        </w:trPr>
        <w:tc>
          <w:tcPr>
            <w:tcW w:w="893" w:type="pct"/>
            <w:shd w:val="clear" w:color="auto" w:fill="auto"/>
            <w:vAlign w:val="bottom"/>
          </w:tcPr>
          <w:p w14:paraId="08B22DD6" w14:textId="77777777" w:rsidR="000B4072" w:rsidRPr="008D66C4" w:rsidRDefault="000B4072" w:rsidP="000B4072">
            <w:pPr>
              <w:pStyle w:val="05Tabletext"/>
              <w:keepNext/>
              <w:spacing w:before="0"/>
              <w:rPr>
                <w:sz w:val="21"/>
                <w:szCs w:val="21"/>
              </w:rPr>
            </w:pPr>
            <w:r w:rsidRPr="008D66C4">
              <w:rPr>
                <w:rFonts w:cs="Tahoma"/>
                <w:color w:val="333333"/>
                <w:sz w:val="21"/>
                <w:szCs w:val="21"/>
              </w:rPr>
              <w:t>LABA</w:t>
            </w:r>
          </w:p>
        </w:tc>
        <w:tc>
          <w:tcPr>
            <w:tcW w:w="586" w:type="pct"/>
            <w:shd w:val="clear" w:color="auto" w:fill="auto"/>
            <w:vAlign w:val="bottom"/>
          </w:tcPr>
          <w:p w14:paraId="3695130E" w14:textId="7BD3CB97" w:rsidR="000B4072" w:rsidRPr="008D66C4" w:rsidRDefault="000B4072" w:rsidP="000B4072">
            <w:pPr>
              <w:jc w:val="center"/>
              <w:rPr>
                <w:rFonts w:ascii="Arial Narrow" w:eastAsia="Times New Roman" w:hAnsi="Arial Narrow" w:cs="Tahoma"/>
                <w:color w:val="333333"/>
                <w:sz w:val="21"/>
                <w:szCs w:val="21"/>
              </w:rPr>
            </w:pPr>
            <w:r w:rsidRPr="008D66C4">
              <w:rPr>
                <w:rFonts w:ascii="Arial Narrow" w:hAnsi="Arial Narrow" w:cs="Tahoma"/>
                <w:color w:val="333333"/>
                <w:sz w:val="21"/>
                <w:szCs w:val="21"/>
              </w:rPr>
              <w:t>39</w:t>
            </w:r>
          </w:p>
        </w:tc>
        <w:tc>
          <w:tcPr>
            <w:tcW w:w="587" w:type="pct"/>
            <w:shd w:val="clear" w:color="auto" w:fill="auto"/>
            <w:vAlign w:val="bottom"/>
          </w:tcPr>
          <w:p w14:paraId="1008CF4A" w14:textId="07366ADA"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234</w:t>
            </w:r>
          </w:p>
        </w:tc>
        <w:tc>
          <w:tcPr>
            <w:tcW w:w="587" w:type="pct"/>
            <w:shd w:val="clear" w:color="auto" w:fill="auto"/>
            <w:vAlign w:val="bottom"/>
          </w:tcPr>
          <w:p w14:paraId="3D04FD22" w14:textId="4DADDE93"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3,374</w:t>
            </w:r>
          </w:p>
        </w:tc>
        <w:tc>
          <w:tcPr>
            <w:tcW w:w="587" w:type="pct"/>
            <w:shd w:val="clear" w:color="auto" w:fill="auto"/>
            <w:vAlign w:val="bottom"/>
          </w:tcPr>
          <w:p w14:paraId="036FE47C" w14:textId="22407BC8"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3,327</w:t>
            </w:r>
          </w:p>
        </w:tc>
        <w:tc>
          <w:tcPr>
            <w:tcW w:w="587" w:type="pct"/>
            <w:shd w:val="clear" w:color="auto" w:fill="auto"/>
            <w:vAlign w:val="bottom"/>
          </w:tcPr>
          <w:p w14:paraId="769D286F" w14:textId="1ED95AFC"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2,463</w:t>
            </w:r>
          </w:p>
        </w:tc>
        <w:tc>
          <w:tcPr>
            <w:tcW w:w="587" w:type="pct"/>
            <w:shd w:val="clear" w:color="auto" w:fill="auto"/>
            <w:vAlign w:val="bottom"/>
          </w:tcPr>
          <w:p w14:paraId="06251DCB" w14:textId="13843949"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1,914</w:t>
            </w:r>
          </w:p>
        </w:tc>
        <w:tc>
          <w:tcPr>
            <w:tcW w:w="586" w:type="pct"/>
            <w:shd w:val="clear" w:color="auto" w:fill="auto"/>
            <w:vAlign w:val="bottom"/>
          </w:tcPr>
          <w:p w14:paraId="58F4A4C6" w14:textId="529660C9" w:rsidR="000B4072" w:rsidRPr="008D66C4" w:rsidRDefault="000B4072" w:rsidP="000B4072">
            <w:pPr>
              <w:jc w:val="center"/>
              <w:rPr>
                <w:rFonts w:ascii="Arial Narrow" w:hAnsi="Arial Narrow" w:cs="Tahoma"/>
                <w:color w:val="333333"/>
                <w:sz w:val="21"/>
                <w:szCs w:val="21"/>
                <w:highlight w:val="cyan"/>
              </w:rPr>
            </w:pPr>
            <w:r w:rsidRPr="008D66C4">
              <w:rPr>
                <w:rFonts w:ascii="Arial Narrow" w:hAnsi="Arial Narrow" w:cs="Tahoma"/>
                <w:color w:val="333333"/>
                <w:sz w:val="21"/>
                <w:szCs w:val="21"/>
              </w:rPr>
              <w:t>1,376</w:t>
            </w:r>
          </w:p>
        </w:tc>
      </w:tr>
      <w:tr w:rsidR="000B4072" w:rsidRPr="00C734C2" w14:paraId="794F8135" w14:textId="77777777" w:rsidTr="00975CB4">
        <w:trPr>
          <w:cantSplit/>
          <w:trHeight w:val="113"/>
        </w:trPr>
        <w:tc>
          <w:tcPr>
            <w:tcW w:w="893" w:type="pct"/>
            <w:shd w:val="clear" w:color="auto" w:fill="auto"/>
            <w:vAlign w:val="bottom"/>
          </w:tcPr>
          <w:p w14:paraId="1CFEAFA9" w14:textId="77777777" w:rsidR="000B4072" w:rsidRPr="008D66C4" w:rsidRDefault="000B4072" w:rsidP="000B4072">
            <w:pPr>
              <w:pStyle w:val="05Tabletext"/>
              <w:keepNext/>
              <w:spacing w:before="0"/>
              <w:rPr>
                <w:sz w:val="21"/>
                <w:szCs w:val="21"/>
              </w:rPr>
            </w:pPr>
            <w:r w:rsidRPr="008D66C4">
              <w:rPr>
                <w:rFonts w:cs="Tahoma"/>
                <w:color w:val="333333"/>
                <w:sz w:val="21"/>
                <w:szCs w:val="21"/>
              </w:rPr>
              <w:t>LABA/LAMA</w:t>
            </w:r>
          </w:p>
        </w:tc>
        <w:tc>
          <w:tcPr>
            <w:tcW w:w="586" w:type="pct"/>
            <w:shd w:val="clear" w:color="auto" w:fill="auto"/>
            <w:vAlign w:val="bottom"/>
          </w:tcPr>
          <w:p w14:paraId="71A5A362" w14:textId="5906496A"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20</w:t>
            </w:r>
          </w:p>
        </w:tc>
        <w:tc>
          <w:tcPr>
            <w:tcW w:w="587" w:type="pct"/>
            <w:shd w:val="clear" w:color="auto" w:fill="auto"/>
            <w:vAlign w:val="bottom"/>
          </w:tcPr>
          <w:p w14:paraId="7A79E142" w14:textId="613B42B2"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27</w:t>
            </w:r>
          </w:p>
        </w:tc>
        <w:tc>
          <w:tcPr>
            <w:tcW w:w="587" w:type="pct"/>
            <w:shd w:val="clear" w:color="auto" w:fill="auto"/>
            <w:vAlign w:val="bottom"/>
          </w:tcPr>
          <w:p w14:paraId="30C38827" w14:textId="397A82AD"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42</w:t>
            </w:r>
          </w:p>
        </w:tc>
        <w:tc>
          <w:tcPr>
            <w:tcW w:w="587" w:type="pct"/>
            <w:shd w:val="clear" w:color="auto" w:fill="auto"/>
            <w:vAlign w:val="bottom"/>
          </w:tcPr>
          <w:p w14:paraId="584B1EA7" w14:textId="2BF402C9"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47</w:t>
            </w:r>
          </w:p>
        </w:tc>
        <w:tc>
          <w:tcPr>
            <w:tcW w:w="587" w:type="pct"/>
            <w:shd w:val="clear" w:color="auto" w:fill="auto"/>
            <w:vAlign w:val="bottom"/>
          </w:tcPr>
          <w:p w14:paraId="54E3C861" w14:textId="4B1BADFD"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398</w:t>
            </w:r>
          </w:p>
        </w:tc>
        <w:tc>
          <w:tcPr>
            <w:tcW w:w="587" w:type="pct"/>
            <w:shd w:val="clear" w:color="auto" w:fill="auto"/>
            <w:vAlign w:val="bottom"/>
          </w:tcPr>
          <w:p w14:paraId="418B17AA" w14:textId="7FEE9BFF"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3,518</w:t>
            </w:r>
          </w:p>
        </w:tc>
        <w:tc>
          <w:tcPr>
            <w:tcW w:w="586" w:type="pct"/>
            <w:shd w:val="clear" w:color="auto" w:fill="auto"/>
            <w:vAlign w:val="bottom"/>
          </w:tcPr>
          <w:p w14:paraId="1017BA37" w14:textId="6121B985" w:rsidR="000B4072" w:rsidRPr="008D66C4" w:rsidRDefault="006762CD" w:rsidP="000B4072">
            <w:pPr>
              <w:jc w:val="center"/>
              <w:rPr>
                <w:rFonts w:ascii="Arial Narrow" w:hAnsi="Arial Narrow" w:cs="Tahoma"/>
                <w:color w:val="333333"/>
                <w:sz w:val="21"/>
                <w:szCs w:val="21"/>
                <w:highlight w:val="cyan"/>
              </w:rPr>
            </w:pPr>
            <w:r w:rsidRPr="008D66C4">
              <w:rPr>
                <w:rFonts w:ascii="Arial Narrow" w:hAnsi="Arial Narrow" w:cs="Tahoma"/>
                <w:color w:val="333333"/>
                <w:sz w:val="21"/>
                <w:szCs w:val="21"/>
              </w:rPr>
              <w:t>5,6</w:t>
            </w:r>
            <w:r w:rsidR="000B4072" w:rsidRPr="008D66C4">
              <w:rPr>
                <w:rFonts w:ascii="Arial Narrow" w:hAnsi="Arial Narrow" w:cs="Tahoma"/>
                <w:color w:val="333333"/>
                <w:sz w:val="21"/>
                <w:szCs w:val="21"/>
              </w:rPr>
              <w:t>82</w:t>
            </w:r>
          </w:p>
        </w:tc>
      </w:tr>
      <w:tr w:rsidR="000B4072" w:rsidRPr="00C734C2" w14:paraId="7089C321" w14:textId="77777777" w:rsidTr="00975CB4">
        <w:trPr>
          <w:cantSplit/>
          <w:trHeight w:val="113"/>
        </w:trPr>
        <w:tc>
          <w:tcPr>
            <w:tcW w:w="893" w:type="pct"/>
            <w:shd w:val="clear" w:color="auto" w:fill="auto"/>
            <w:vAlign w:val="bottom"/>
          </w:tcPr>
          <w:p w14:paraId="7A1CB50D" w14:textId="77777777" w:rsidR="000B4072" w:rsidRPr="008D66C4" w:rsidRDefault="000B4072" w:rsidP="000B4072">
            <w:pPr>
              <w:pStyle w:val="05Tabletext"/>
              <w:keepNext/>
              <w:spacing w:before="0"/>
              <w:rPr>
                <w:sz w:val="21"/>
                <w:szCs w:val="21"/>
              </w:rPr>
            </w:pPr>
            <w:r w:rsidRPr="008D66C4">
              <w:rPr>
                <w:rFonts w:cs="Tahoma"/>
                <w:color w:val="333333"/>
                <w:sz w:val="21"/>
                <w:szCs w:val="21"/>
              </w:rPr>
              <w:t>LAMA</w:t>
            </w:r>
          </w:p>
        </w:tc>
        <w:tc>
          <w:tcPr>
            <w:tcW w:w="586" w:type="pct"/>
            <w:shd w:val="clear" w:color="auto" w:fill="auto"/>
            <w:vAlign w:val="bottom"/>
          </w:tcPr>
          <w:p w14:paraId="3A5ABC05" w14:textId="32E65F4B"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33,562</w:t>
            </w:r>
          </w:p>
        </w:tc>
        <w:tc>
          <w:tcPr>
            <w:tcW w:w="587" w:type="pct"/>
            <w:shd w:val="clear" w:color="auto" w:fill="auto"/>
            <w:vAlign w:val="bottom"/>
          </w:tcPr>
          <w:p w14:paraId="45EBCEE1" w14:textId="4AE2A21A"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32,488</w:t>
            </w:r>
          </w:p>
        </w:tc>
        <w:tc>
          <w:tcPr>
            <w:tcW w:w="587" w:type="pct"/>
            <w:shd w:val="clear" w:color="auto" w:fill="auto"/>
            <w:vAlign w:val="bottom"/>
          </w:tcPr>
          <w:p w14:paraId="026C5706" w14:textId="7371A1D3"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29,018</w:t>
            </w:r>
          </w:p>
        </w:tc>
        <w:tc>
          <w:tcPr>
            <w:tcW w:w="587" w:type="pct"/>
            <w:shd w:val="clear" w:color="auto" w:fill="auto"/>
            <w:vAlign w:val="bottom"/>
          </w:tcPr>
          <w:p w14:paraId="11532706" w14:textId="695A0872"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27,065</w:t>
            </w:r>
          </w:p>
        </w:tc>
        <w:tc>
          <w:tcPr>
            <w:tcW w:w="587" w:type="pct"/>
            <w:shd w:val="clear" w:color="auto" w:fill="auto"/>
            <w:vAlign w:val="bottom"/>
          </w:tcPr>
          <w:p w14:paraId="3E0CBA3E" w14:textId="3E02F3BA"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28,849</w:t>
            </w:r>
          </w:p>
        </w:tc>
        <w:tc>
          <w:tcPr>
            <w:tcW w:w="587" w:type="pct"/>
            <w:shd w:val="clear" w:color="auto" w:fill="auto"/>
            <w:vAlign w:val="bottom"/>
          </w:tcPr>
          <w:p w14:paraId="0951BBB0" w14:textId="124CF925"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28,874</w:t>
            </w:r>
          </w:p>
        </w:tc>
        <w:tc>
          <w:tcPr>
            <w:tcW w:w="586" w:type="pct"/>
            <w:shd w:val="clear" w:color="auto" w:fill="auto"/>
            <w:vAlign w:val="bottom"/>
          </w:tcPr>
          <w:p w14:paraId="1F99F647" w14:textId="2DFEBA5D" w:rsidR="000B4072" w:rsidRPr="008D66C4" w:rsidRDefault="000B4072" w:rsidP="000B4072">
            <w:pPr>
              <w:jc w:val="center"/>
              <w:rPr>
                <w:rFonts w:ascii="Arial Narrow" w:hAnsi="Arial Narrow" w:cs="Tahoma"/>
                <w:color w:val="333333"/>
                <w:sz w:val="21"/>
                <w:szCs w:val="21"/>
                <w:highlight w:val="cyan"/>
              </w:rPr>
            </w:pPr>
            <w:r w:rsidRPr="008D66C4">
              <w:rPr>
                <w:rFonts w:ascii="Arial Narrow" w:hAnsi="Arial Narrow" w:cs="Tahoma"/>
                <w:color w:val="333333"/>
                <w:sz w:val="21"/>
                <w:szCs w:val="21"/>
              </w:rPr>
              <w:t>26,153</w:t>
            </w:r>
          </w:p>
        </w:tc>
      </w:tr>
      <w:tr w:rsidR="000B4072" w:rsidRPr="00C734C2" w14:paraId="2FAF0066" w14:textId="77777777" w:rsidTr="00975CB4">
        <w:trPr>
          <w:cantSplit/>
          <w:trHeight w:val="113"/>
        </w:trPr>
        <w:tc>
          <w:tcPr>
            <w:tcW w:w="893" w:type="pct"/>
            <w:shd w:val="clear" w:color="auto" w:fill="auto"/>
            <w:vAlign w:val="bottom"/>
          </w:tcPr>
          <w:p w14:paraId="700FB1CF" w14:textId="2AB8E952" w:rsidR="000B4072" w:rsidRPr="008D66C4" w:rsidRDefault="000B4072" w:rsidP="000B4072">
            <w:pPr>
              <w:pStyle w:val="05Tabletext"/>
              <w:keepNext/>
              <w:spacing w:before="0"/>
              <w:rPr>
                <w:sz w:val="21"/>
                <w:szCs w:val="21"/>
              </w:rPr>
            </w:pPr>
            <w:r w:rsidRPr="008D66C4">
              <w:rPr>
                <w:rFonts w:cs="Tahoma"/>
                <w:color w:val="333333"/>
                <w:sz w:val="21"/>
                <w:szCs w:val="21"/>
              </w:rPr>
              <w:t>Other</w:t>
            </w:r>
          </w:p>
        </w:tc>
        <w:tc>
          <w:tcPr>
            <w:tcW w:w="586" w:type="pct"/>
            <w:shd w:val="clear" w:color="auto" w:fill="auto"/>
            <w:vAlign w:val="bottom"/>
          </w:tcPr>
          <w:p w14:paraId="252556E6" w14:textId="31F1177B"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5,088</w:t>
            </w:r>
          </w:p>
        </w:tc>
        <w:tc>
          <w:tcPr>
            <w:tcW w:w="587" w:type="pct"/>
            <w:shd w:val="clear" w:color="auto" w:fill="auto"/>
            <w:vAlign w:val="bottom"/>
          </w:tcPr>
          <w:p w14:paraId="24838368" w14:textId="091E8C13"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5,244</w:t>
            </w:r>
          </w:p>
        </w:tc>
        <w:tc>
          <w:tcPr>
            <w:tcW w:w="587" w:type="pct"/>
            <w:shd w:val="clear" w:color="auto" w:fill="auto"/>
            <w:vAlign w:val="bottom"/>
          </w:tcPr>
          <w:p w14:paraId="6454FC0E" w14:textId="73F065D4"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6,062</w:t>
            </w:r>
          </w:p>
        </w:tc>
        <w:tc>
          <w:tcPr>
            <w:tcW w:w="587" w:type="pct"/>
            <w:shd w:val="clear" w:color="auto" w:fill="auto"/>
            <w:vAlign w:val="bottom"/>
          </w:tcPr>
          <w:p w14:paraId="2B5685AC" w14:textId="687F674E"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5,900</w:t>
            </w:r>
          </w:p>
        </w:tc>
        <w:tc>
          <w:tcPr>
            <w:tcW w:w="587" w:type="pct"/>
            <w:shd w:val="clear" w:color="auto" w:fill="auto"/>
            <w:vAlign w:val="bottom"/>
          </w:tcPr>
          <w:p w14:paraId="3152D022" w14:textId="7AAB0DC0"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5,956</w:t>
            </w:r>
          </w:p>
        </w:tc>
        <w:tc>
          <w:tcPr>
            <w:tcW w:w="587" w:type="pct"/>
            <w:shd w:val="clear" w:color="auto" w:fill="auto"/>
            <w:vAlign w:val="bottom"/>
          </w:tcPr>
          <w:p w14:paraId="5107681D" w14:textId="0F3B669B" w:rsidR="000B4072" w:rsidRPr="008D66C4" w:rsidRDefault="000B4072" w:rsidP="000B4072">
            <w:pPr>
              <w:jc w:val="center"/>
              <w:rPr>
                <w:rFonts w:ascii="Arial Narrow" w:hAnsi="Arial Narrow" w:cs="Tahoma"/>
                <w:color w:val="333333"/>
                <w:sz w:val="21"/>
                <w:szCs w:val="21"/>
              </w:rPr>
            </w:pPr>
            <w:r w:rsidRPr="008D66C4">
              <w:rPr>
                <w:rFonts w:ascii="Arial Narrow" w:hAnsi="Arial Narrow" w:cs="Tahoma"/>
                <w:color w:val="333333"/>
                <w:sz w:val="21"/>
                <w:szCs w:val="21"/>
              </w:rPr>
              <w:t>4,920</w:t>
            </w:r>
          </w:p>
        </w:tc>
        <w:tc>
          <w:tcPr>
            <w:tcW w:w="586" w:type="pct"/>
            <w:shd w:val="clear" w:color="auto" w:fill="auto"/>
            <w:vAlign w:val="bottom"/>
          </w:tcPr>
          <w:p w14:paraId="2432107B" w14:textId="74DBF27E" w:rsidR="000B4072" w:rsidRPr="008D66C4" w:rsidRDefault="000B4072" w:rsidP="000B4072">
            <w:pPr>
              <w:jc w:val="center"/>
              <w:rPr>
                <w:rFonts w:ascii="Arial Narrow" w:hAnsi="Arial Narrow" w:cs="Tahoma"/>
                <w:color w:val="333333"/>
                <w:sz w:val="21"/>
                <w:szCs w:val="21"/>
                <w:highlight w:val="cyan"/>
              </w:rPr>
            </w:pPr>
            <w:r w:rsidRPr="008D66C4">
              <w:rPr>
                <w:rFonts w:ascii="Arial Narrow" w:hAnsi="Arial Narrow" w:cs="Tahoma"/>
                <w:color w:val="333333"/>
                <w:sz w:val="21"/>
                <w:szCs w:val="21"/>
              </w:rPr>
              <w:t>3,791</w:t>
            </w:r>
          </w:p>
        </w:tc>
      </w:tr>
      <w:tr w:rsidR="000B4072" w:rsidRPr="00C734C2" w14:paraId="1AF7AD07" w14:textId="77777777" w:rsidTr="00975CB4">
        <w:trPr>
          <w:cantSplit/>
          <w:trHeight w:val="113"/>
        </w:trPr>
        <w:tc>
          <w:tcPr>
            <w:tcW w:w="893" w:type="pct"/>
            <w:shd w:val="clear" w:color="auto" w:fill="D9D9D9"/>
            <w:vAlign w:val="bottom"/>
          </w:tcPr>
          <w:p w14:paraId="67AF07FE" w14:textId="77777777" w:rsidR="000B4072" w:rsidRPr="008D66C4" w:rsidRDefault="000B4072" w:rsidP="000B4072">
            <w:pPr>
              <w:pStyle w:val="05Tabletext"/>
              <w:keepNext/>
              <w:spacing w:before="0"/>
              <w:rPr>
                <w:i/>
                <w:sz w:val="21"/>
                <w:szCs w:val="21"/>
              </w:rPr>
            </w:pPr>
            <w:r w:rsidRPr="008D66C4">
              <w:rPr>
                <w:rFonts w:cs="Tahoma"/>
                <w:b/>
                <w:bCs/>
                <w:color w:val="000000"/>
                <w:sz w:val="21"/>
                <w:szCs w:val="21"/>
              </w:rPr>
              <w:t>Total</w:t>
            </w:r>
          </w:p>
        </w:tc>
        <w:tc>
          <w:tcPr>
            <w:tcW w:w="586" w:type="pct"/>
            <w:shd w:val="clear" w:color="auto" w:fill="D9D9D9"/>
            <w:vAlign w:val="bottom"/>
          </w:tcPr>
          <w:p w14:paraId="40D28B4B" w14:textId="3C838A76" w:rsidR="000B4072" w:rsidRPr="008D66C4" w:rsidRDefault="000B4072" w:rsidP="000B4072">
            <w:pPr>
              <w:jc w:val="center"/>
              <w:rPr>
                <w:rFonts w:ascii="Arial Narrow" w:hAnsi="Arial Narrow" w:cs="Tahoma"/>
                <w:b/>
                <w:bCs/>
                <w:color w:val="000000"/>
                <w:sz w:val="21"/>
                <w:szCs w:val="21"/>
              </w:rPr>
            </w:pPr>
            <w:r w:rsidRPr="008D66C4">
              <w:rPr>
                <w:rFonts w:ascii="Arial Narrow" w:hAnsi="Arial Narrow" w:cs="Tahoma"/>
                <w:b/>
                <w:bCs/>
                <w:color w:val="000000"/>
                <w:sz w:val="21"/>
                <w:szCs w:val="21"/>
              </w:rPr>
              <w:t>38,709</w:t>
            </w:r>
          </w:p>
        </w:tc>
        <w:tc>
          <w:tcPr>
            <w:tcW w:w="587" w:type="pct"/>
            <w:shd w:val="clear" w:color="auto" w:fill="D9D9D9"/>
            <w:vAlign w:val="bottom"/>
          </w:tcPr>
          <w:p w14:paraId="683684ED" w14:textId="1D639F3F" w:rsidR="000B4072" w:rsidRPr="008D66C4" w:rsidRDefault="000B4072" w:rsidP="000B4072">
            <w:pPr>
              <w:jc w:val="center"/>
              <w:rPr>
                <w:rFonts w:ascii="Arial Narrow" w:hAnsi="Arial Narrow" w:cs="Tahoma"/>
                <w:b/>
                <w:bCs/>
                <w:color w:val="000000"/>
                <w:sz w:val="21"/>
                <w:szCs w:val="21"/>
              </w:rPr>
            </w:pPr>
            <w:r w:rsidRPr="008D66C4">
              <w:rPr>
                <w:rFonts w:ascii="Arial Narrow" w:hAnsi="Arial Narrow" w:cs="Tahoma"/>
                <w:b/>
                <w:bCs/>
                <w:color w:val="000000"/>
                <w:sz w:val="21"/>
                <w:szCs w:val="21"/>
              </w:rPr>
              <w:t>37,993</w:t>
            </w:r>
          </w:p>
        </w:tc>
        <w:tc>
          <w:tcPr>
            <w:tcW w:w="587" w:type="pct"/>
            <w:shd w:val="clear" w:color="auto" w:fill="D9D9D9"/>
            <w:vAlign w:val="bottom"/>
          </w:tcPr>
          <w:p w14:paraId="0E965948" w14:textId="11E0E737" w:rsidR="000B4072" w:rsidRPr="008D66C4" w:rsidRDefault="000B4072" w:rsidP="000B4072">
            <w:pPr>
              <w:jc w:val="center"/>
              <w:rPr>
                <w:rFonts w:ascii="Arial Narrow" w:hAnsi="Arial Narrow" w:cs="Tahoma"/>
                <w:b/>
                <w:bCs/>
                <w:color w:val="000000"/>
                <w:sz w:val="21"/>
                <w:szCs w:val="21"/>
              </w:rPr>
            </w:pPr>
            <w:r w:rsidRPr="008D66C4">
              <w:rPr>
                <w:rFonts w:ascii="Arial Narrow" w:hAnsi="Arial Narrow" w:cs="Tahoma"/>
                <w:b/>
                <w:bCs/>
                <w:color w:val="000000"/>
                <w:sz w:val="21"/>
                <w:szCs w:val="21"/>
              </w:rPr>
              <w:t>38,496</w:t>
            </w:r>
          </w:p>
        </w:tc>
        <w:tc>
          <w:tcPr>
            <w:tcW w:w="587" w:type="pct"/>
            <w:shd w:val="clear" w:color="auto" w:fill="D9D9D9"/>
            <w:vAlign w:val="bottom"/>
          </w:tcPr>
          <w:p w14:paraId="38EBE930" w14:textId="7C12ECB6" w:rsidR="000B4072" w:rsidRPr="008D66C4" w:rsidRDefault="000B4072" w:rsidP="000B4072">
            <w:pPr>
              <w:jc w:val="center"/>
              <w:rPr>
                <w:rFonts w:ascii="Arial Narrow" w:hAnsi="Arial Narrow" w:cs="Tahoma"/>
                <w:b/>
                <w:bCs/>
                <w:color w:val="000000"/>
                <w:sz w:val="21"/>
                <w:szCs w:val="21"/>
              </w:rPr>
            </w:pPr>
            <w:r w:rsidRPr="008D66C4">
              <w:rPr>
                <w:rFonts w:ascii="Arial Narrow" w:hAnsi="Arial Narrow" w:cs="Tahoma"/>
                <w:b/>
                <w:bCs/>
                <w:color w:val="000000"/>
                <w:sz w:val="21"/>
                <w:szCs w:val="21"/>
              </w:rPr>
              <w:t>36,339</w:t>
            </w:r>
          </w:p>
        </w:tc>
        <w:tc>
          <w:tcPr>
            <w:tcW w:w="587" w:type="pct"/>
            <w:shd w:val="clear" w:color="auto" w:fill="D9D9D9"/>
            <w:vAlign w:val="bottom"/>
          </w:tcPr>
          <w:p w14:paraId="4D5D9B99" w14:textId="7D100A1C" w:rsidR="000B4072" w:rsidRPr="008D66C4" w:rsidRDefault="000B4072" w:rsidP="000B4072">
            <w:pPr>
              <w:jc w:val="center"/>
              <w:rPr>
                <w:rFonts w:ascii="Arial Narrow" w:hAnsi="Arial Narrow" w:cs="Tahoma"/>
                <w:b/>
                <w:bCs/>
                <w:color w:val="000000"/>
                <w:sz w:val="21"/>
                <w:szCs w:val="21"/>
              </w:rPr>
            </w:pPr>
            <w:r w:rsidRPr="008D66C4">
              <w:rPr>
                <w:rFonts w:ascii="Arial Narrow" w:hAnsi="Arial Narrow" w:cs="Tahoma"/>
                <w:b/>
                <w:bCs/>
                <w:color w:val="000000"/>
                <w:sz w:val="21"/>
                <w:szCs w:val="21"/>
              </w:rPr>
              <w:t>37,666</w:t>
            </w:r>
          </w:p>
        </w:tc>
        <w:tc>
          <w:tcPr>
            <w:tcW w:w="587" w:type="pct"/>
            <w:shd w:val="clear" w:color="auto" w:fill="D9D9D9"/>
            <w:vAlign w:val="bottom"/>
          </w:tcPr>
          <w:p w14:paraId="1B270929" w14:textId="6B60C815" w:rsidR="000B4072" w:rsidRPr="008D66C4" w:rsidRDefault="000B4072" w:rsidP="000B4072">
            <w:pPr>
              <w:jc w:val="center"/>
              <w:rPr>
                <w:rFonts w:ascii="Arial Narrow" w:hAnsi="Arial Narrow" w:cs="Tahoma"/>
                <w:b/>
                <w:bCs/>
                <w:color w:val="000000"/>
                <w:sz w:val="21"/>
                <w:szCs w:val="21"/>
              </w:rPr>
            </w:pPr>
            <w:r w:rsidRPr="008D66C4">
              <w:rPr>
                <w:rFonts w:ascii="Arial Narrow" w:hAnsi="Arial Narrow" w:cs="Tahoma"/>
                <w:b/>
                <w:bCs/>
                <w:color w:val="000000"/>
                <w:sz w:val="21"/>
                <w:szCs w:val="21"/>
              </w:rPr>
              <w:t>39,226</w:t>
            </w:r>
          </w:p>
        </w:tc>
        <w:tc>
          <w:tcPr>
            <w:tcW w:w="586" w:type="pct"/>
            <w:shd w:val="clear" w:color="auto" w:fill="D9D9D9"/>
            <w:vAlign w:val="bottom"/>
          </w:tcPr>
          <w:p w14:paraId="439735CC" w14:textId="7AE8CDD4" w:rsidR="000B4072" w:rsidRPr="008D66C4" w:rsidRDefault="000B4072" w:rsidP="000B4072">
            <w:pPr>
              <w:jc w:val="center"/>
              <w:rPr>
                <w:rFonts w:ascii="Arial Narrow" w:hAnsi="Arial Narrow" w:cs="Tahoma"/>
                <w:b/>
                <w:bCs/>
                <w:color w:val="000000"/>
                <w:sz w:val="21"/>
                <w:szCs w:val="21"/>
                <w:highlight w:val="cyan"/>
              </w:rPr>
            </w:pPr>
            <w:r w:rsidRPr="008D66C4">
              <w:rPr>
                <w:rFonts w:ascii="Arial Narrow" w:hAnsi="Arial Narrow" w:cs="Tahoma"/>
                <w:b/>
                <w:color w:val="333333"/>
                <w:sz w:val="21"/>
                <w:szCs w:val="21"/>
              </w:rPr>
              <w:t>37,196</w:t>
            </w:r>
          </w:p>
        </w:tc>
      </w:tr>
    </w:tbl>
    <w:p w14:paraId="268BF961" w14:textId="77777777" w:rsidR="00B85972" w:rsidRPr="00F90D90" w:rsidRDefault="00B85972" w:rsidP="00B85972">
      <w:pPr>
        <w:pStyle w:val="10TableorFigurefootnote"/>
        <w:rPr>
          <w:sz w:val="18"/>
          <w:szCs w:val="18"/>
        </w:rPr>
      </w:pPr>
      <w:r w:rsidRPr="00F90D90">
        <w:rPr>
          <w:sz w:val="18"/>
          <w:szCs w:val="18"/>
        </w:rPr>
        <w:t>Source: PBS Dispensing records between 1/11/2006 and 31/10/2016 file R2017068_PBS_COPD_DATA.CSV</w:t>
      </w:r>
    </w:p>
    <w:p w14:paraId="62EABA07" w14:textId="55930B32" w:rsidR="00B85972" w:rsidRPr="0086310F" w:rsidRDefault="00B85972" w:rsidP="00B85972">
      <w:pPr>
        <w:pStyle w:val="10TableorFigurefootnote"/>
        <w:rPr>
          <w:sz w:val="18"/>
          <w:szCs w:val="18"/>
        </w:rPr>
      </w:pPr>
      <w:r w:rsidRPr="0086310F">
        <w:rPr>
          <w:sz w:val="18"/>
          <w:szCs w:val="18"/>
        </w:rPr>
        <w:t>IMPO</w:t>
      </w:r>
      <w:r w:rsidR="00D739EB" w:rsidRPr="0086310F">
        <w:rPr>
          <w:sz w:val="18"/>
          <w:szCs w:val="18"/>
        </w:rPr>
        <w:t xml:space="preserve">RTANT NOTE: </w:t>
      </w:r>
      <w:r w:rsidR="00967804" w:rsidRPr="00AC6B39">
        <w:rPr>
          <w:sz w:val="18"/>
          <w:szCs w:val="18"/>
        </w:rPr>
        <w:t>2016 is a part year and the data has been extrapolated to 12 months by applying 2015 month on month ratios by class to the corresponding 2016 months for September thro</w:t>
      </w:r>
      <w:r w:rsidR="00967804" w:rsidRPr="0086310F">
        <w:rPr>
          <w:sz w:val="18"/>
          <w:szCs w:val="18"/>
        </w:rPr>
        <w:t>ugh December.</w:t>
      </w:r>
    </w:p>
    <w:p w14:paraId="61EF9CCC" w14:textId="77777777" w:rsidR="00B85972" w:rsidRPr="008D66C4" w:rsidRDefault="00B85972" w:rsidP="00B85972">
      <w:pPr>
        <w:pStyle w:val="11TableorFigurefootnotenostick"/>
        <w:rPr>
          <w:sz w:val="18"/>
          <w:szCs w:val="18"/>
        </w:rPr>
      </w:pPr>
      <w:r w:rsidRPr="0086310F">
        <w:rPr>
          <w:sz w:val="18"/>
          <w:szCs w:val="18"/>
        </w:rPr>
        <w:t>Abbreviations: LABA, long-acting beta-2 agonist; LAMA, long-acting muscarinic antagonist</w:t>
      </w:r>
      <w:r w:rsidRPr="008D66C4">
        <w:rPr>
          <w:sz w:val="18"/>
          <w:szCs w:val="18"/>
        </w:rPr>
        <w:t>.</w:t>
      </w:r>
    </w:p>
    <w:p w14:paraId="15DE0C93" w14:textId="1A2C190B" w:rsidR="00470021" w:rsidRPr="00975CB4" w:rsidRDefault="00470021" w:rsidP="00975CB4">
      <w:pPr>
        <w:pStyle w:val="BodyText"/>
        <w:spacing w:after="240"/>
      </w:pPr>
      <w:r w:rsidRPr="00975CB4">
        <w:fldChar w:fldCharType="begin"/>
      </w:r>
      <w:r w:rsidRPr="00975CB4">
        <w:instrText xml:space="preserve"> REF _Ref467963531 \h </w:instrText>
      </w:r>
      <w:r w:rsidR="00C52F71" w:rsidRPr="00975CB4">
        <w:instrText xml:space="preserve"> \* MERGEFORMAT </w:instrText>
      </w:r>
      <w:r w:rsidRPr="00975CB4">
        <w:fldChar w:fldCharType="separate"/>
      </w:r>
      <w:r w:rsidR="001F1F1E" w:rsidRPr="0084308F">
        <w:t>Table 5</w:t>
      </w:r>
      <w:r w:rsidR="0084308F">
        <w:t xml:space="preserve">.4 </w:t>
      </w:r>
      <w:r w:rsidRPr="00975CB4">
        <w:fldChar w:fldCharType="end"/>
      </w:r>
      <w:r w:rsidR="00B52B0B">
        <w:t>shows</w:t>
      </w:r>
      <w:r w:rsidRPr="00975CB4">
        <w:t xml:space="preserve"> patients by COPD class or combination of COPD class that do not refill the starting medicine </w:t>
      </w:r>
      <w:r w:rsidR="00F463E7" w:rsidRPr="00E44668">
        <w:t>or combination therapy</w:t>
      </w:r>
      <w:r w:rsidR="00F463E7">
        <w:t xml:space="preserve"> and receive only a single script in the study period.</w:t>
      </w:r>
      <w:r w:rsidRPr="00975CB4">
        <w:t xml:space="preserve"> </w:t>
      </w:r>
      <w:r w:rsidR="00531771" w:rsidRPr="00975CB4">
        <w:t xml:space="preserve">These patients are predominantly those that receive </w:t>
      </w:r>
      <w:r w:rsidR="001B309C" w:rsidRPr="00975CB4">
        <w:t xml:space="preserve">an original </w:t>
      </w:r>
      <w:r w:rsidR="00531771" w:rsidRPr="00975CB4">
        <w:t>supply of LAMA medic</w:t>
      </w:r>
      <w:r w:rsidR="001B309C" w:rsidRPr="00975CB4">
        <w:t>ines</w:t>
      </w:r>
      <w:r w:rsidR="00054730">
        <w:t>. I</w:t>
      </w:r>
      <w:r w:rsidR="00DB10B5" w:rsidRPr="00751775">
        <w:t>n 2015</w:t>
      </w:r>
      <w:r w:rsidR="00054730">
        <w:t>,</w:t>
      </w:r>
      <w:r w:rsidR="00DB10B5" w:rsidRPr="00751775">
        <w:t xml:space="preserve"> there are 3,765 single script patients of which 2,957 or 78.5% receive a LAMA medicine</w:t>
      </w:r>
      <w:r w:rsidR="00F463E7" w:rsidRPr="00975CB4">
        <w:t xml:space="preserve"> (2016 is a part year</w:t>
      </w:r>
      <w:r w:rsidR="00F463E7">
        <w:t>,</w:t>
      </w:r>
      <w:r w:rsidR="00F463E7" w:rsidRPr="00975CB4">
        <w:t xml:space="preserve"> patients receiving their first COPD medicine in the final month</w:t>
      </w:r>
      <w:r w:rsidR="00B37864">
        <w:t>s</w:t>
      </w:r>
      <w:r w:rsidR="00F463E7" w:rsidRPr="00975CB4">
        <w:t xml:space="preserve"> of the study have not</w:t>
      </w:r>
      <w:r w:rsidR="00B37864">
        <w:t xml:space="preserve"> had the opportunity to</w:t>
      </w:r>
      <w:r w:rsidR="00F463E7" w:rsidRPr="00975CB4">
        <w:t xml:space="preserve"> refill</w:t>
      </w:r>
      <w:r w:rsidR="00B37864">
        <w:t xml:space="preserve"> and are overstated</w:t>
      </w:r>
      <w:r w:rsidR="00F463E7" w:rsidRPr="00975CB4">
        <w:t>).</w:t>
      </w:r>
      <w:r w:rsidR="001638E3" w:rsidRPr="00975CB4">
        <w:t xml:space="preserve"> This may be indicative of patients that are misdiagnosed and cease use of the COPD medicine.</w:t>
      </w:r>
    </w:p>
    <w:p w14:paraId="4ADA3639" w14:textId="3DA1B82F" w:rsidR="00011B80" w:rsidRPr="00751775" w:rsidRDefault="00011B80" w:rsidP="0084308F">
      <w:pPr>
        <w:pStyle w:val="TR5TableHeader"/>
      </w:pPr>
      <w:bookmarkStart w:id="53" w:name="_Toc486232646"/>
      <w:r w:rsidRPr="00751775">
        <w:t>Table 5.</w:t>
      </w:r>
      <w:r w:rsidR="0084308F">
        <w:t>4</w:t>
      </w:r>
      <w:r w:rsidR="004F1518">
        <w:tab/>
      </w:r>
      <w:r w:rsidRPr="00751775">
        <w:t xml:space="preserve">Patients initiating </w:t>
      </w:r>
      <w:r w:rsidR="00535F36" w:rsidRPr="00751775">
        <w:t>to</w:t>
      </w:r>
      <w:r w:rsidR="00470021" w:rsidRPr="00751775">
        <w:t xml:space="preserve"> a</w:t>
      </w:r>
      <w:r w:rsidR="00535F36" w:rsidRPr="00751775">
        <w:t xml:space="preserve"> medicine</w:t>
      </w:r>
      <w:r w:rsidR="00470021" w:rsidRPr="00751775">
        <w:t xml:space="preserve"> or combination</w:t>
      </w:r>
      <w:r w:rsidR="00535F36" w:rsidRPr="00751775">
        <w:t xml:space="preserve"> </w:t>
      </w:r>
      <w:r w:rsidR="00470021" w:rsidRPr="00751775">
        <w:t xml:space="preserve">therapy </w:t>
      </w:r>
      <w:r w:rsidR="00535F36" w:rsidRPr="00751775">
        <w:t xml:space="preserve">that </w:t>
      </w:r>
      <w:r w:rsidR="00470021" w:rsidRPr="00751775">
        <w:t>is</w:t>
      </w:r>
      <w:r w:rsidR="00535F36" w:rsidRPr="00751775">
        <w:t xml:space="preserve"> </w:t>
      </w:r>
      <w:r w:rsidRPr="00751775">
        <w:t>not refilled by LABA, LAMA and LAMA/LABA classes by year</w:t>
      </w:r>
      <w:bookmarkEnd w:id="53"/>
    </w:p>
    <w:tbl>
      <w:tblPr>
        <w:tblW w:w="5000" w:type="pct"/>
        <w:tblInd w:w="-10" w:type="dxa"/>
        <w:tblLook w:val="04A0" w:firstRow="1" w:lastRow="0" w:firstColumn="1" w:lastColumn="0" w:noHBand="0" w:noVBand="1"/>
        <w:tblDescription w:val="Patients initiating by LABA, LAMA and LAMA/LABA classes by yea"/>
      </w:tblPr>
      <w:tblGrid>
        <w:gridCol w:w="1742"/>
        <w:gridCol w:w="1162"/>
        <w:gridCol w:w="1162"/>
        <w:gridCol w:w="1162"/>
        <w:gridCol w:w="1162"/>
        <w:gridCol w:w="1162"/>
        <w:gridCol w:w="1162"/>
        <w:gridCol w:w="1140"/>
      </w:tblGrid>
      <w:tr w:rsidR="00011B80" w:rsidRPr="00C734C2" w14:paraId="36D0D93E" w14:textId="77777777" w:rsidTr="00975CB4">
        <w:trPr>
          <w:cantSplit/>
          <w:trHeight w:val="113"/>
        </w:trPr>
        <w:tc>
          <w:tcPr>
            <w:tcW w:w="1701"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28350DE0" w14:textId="77777777" w:rsidR="00011B80" w:rsidRPr="008D66C4" w:rsidRDefault="00011B80" w:rsidP="00011B80">
            <w:pPr>
              <w:rPr>
                <w:rFonts w:ascii="Arial Narrow" w:eastAsia="Times New Roman" w:hAnsi="Arial Narrow" w:cs="Arial"/>
                <w:b/>
                <w:bCs/>
                <w:sz w:val="21"/>
                <w:szCs w:val="21"/>
                <w:lang w:eastAsia="en-AU"/>
              </w:rPr>
            </w:pPr>
            <w:r w:rsidRPr="008D66C4">
              <w:rPr>
                <w:rFonts w:ascii="Arial Narrow" w:eastAsia="Times New Roman" w:hAnsi="Arial Narrow" w:cs="Arial"/>
                <w:b/>
                <w:bCs/>
                <w:sz w:val="21"/>
                <w:szCs w:val="21"/>
                <w:lang w:eastAsia="en-AU"/>
              </w:rPr>
              <w:t>Starting Class</w:t>
            </w:r>
          </w:p>
        </w:tc>
        <w:tc>
          <w:tcPr>
            <w:tcW w:w="1134" w:type="dxa"/>
            <w:tcBorders>
              <w:top w:val="single" w:sz="8" w:space="0" w:color="auto"/>
              <w:left w:val="nil"/>
              <w:bottom w:val="single" w:sz="8" w:space="0" w:color="auto"/>
              <w:right w:val="single" w:sz="8" w:space="0" w:color="auto"/>
            </w:tcBorders>
            <w:shd w:val="clear" w:color="000000" w:fill="BFBFBF"/>
            <w:vAlign w:val="center"/>
            <w:hideMark/>
          </w:tcPr>
          <w:p w14:paraId="16620978" w14:textId="77777777" w:rsidR="00011B80" w:rsidRPr="008D66C4" w:rsidRDefault="00011B80" w:rsidP="00011B80">
            <w:pPr>
              <w:jc w:val="center"/>
              <w:rPr>
                <w:rFonts w:ascii="Arial Narrow" w:eastAsia="Times New Roman" w:hAnsi="Arial Narrow" w:cs="Tahoma"/>
                <w:b/>
                <w:bCs/>
                <w:color w:val="333333"/>
                <w:sz w:val="21"/>
                <w:szCs w:val="21"/>
                <w:lang w:eastAsia="en-AU"/>
              </w:rPr>
            </w:pPr>
            <w:r w:rsidRPr="008D66C4">
              <w:rPr>
                <w:rFonts w:ascii="Arial Narrow" w:eastAsia="Times New Roman" w:hAnsi="Arial Narrow" w:cs="Tahoma"/>
                <w:b/>
                <w:bCs/>
                <w:color w:val="333333"/>
                <w:sz w:val="21"/>
                <w:szCs w:val="21"/>
                <w:lang w:eastAsia="en-AU"/>
              </w:rPr>
              <w:t>2010</w:t>
            </w:r>
          </w:p>
        </w:tc>
        <w:tc>
          <w:tcPr>
            <w:tcW w:w="1134" w:type="dxa"/>
            <w:tcBorders>
              <w:top w:val="single" w:sz="8" w:space="0" w:color="auto"/>
              <w:left w:val="nil"/>
              <w:bottom w:val="single" w:sz="8" w:space="0" w:color="auto"/>
              <w:right w:val="single" w:sz="8" w:space="0" w:color="auto"/>
            </w:tcBorders>
            <w:shd w:val="clear" w:color="000000" w:fill="BFBFBF"/>
            <w:vAlign w:val="center"/>
            <w:hideMark/>
          </w:tcPr>
          <w:p w14:paraId="4A11F1D2" w14:textId="77777777" w:rsidR="00011B80" w:rsidRPr="008D66C4" w:rsidRDefault="00011B80" w:rsidP="00011B80">
            <w:pPr>
              <w:jc w:val="center"/>
              <w:rPr>
                <w:rFonts w:ascii="Arial Narrow" w:eastAsia="Times New Roman" w:hAnsi="Arial Narrow" w:cs="Tahoma"/>
                <w:b/>
                <w:bCs/>
                <w:color w:val="333333"/>
                <w:sz w:val="21"/>
                <w:szCs w:val="21"/>
                <w:lang w:eastAsia="en-AU"/>
              </w:rPr>
            </w:pPr>
            <w:r w:rsidRPr="008D66C4">
              <w:rPr>
                <w:rFonts w:ascii="Arial Narrow" w:eastAsia="Times New Roman" w:hAnsi="Arial Narrow" w:cs="Tahoma"/>
                <w:b/>
                <w:bCs/>
                <w:color w:val="333333"/>
                <w:sz w:val="21"/>
                <w:szCs w:val="21"/>
                <w:lang w:eastAsia="en-AU"/>
              </w:rPr>
              <w:t>2011</w:t>
            </w:r>
          </w:p>
        </w:tc>
        <w:tc>
          <w:tcPr>
            <w:tcW w:w="1134" w:type="dxa"/>
            <w:tcBorders>
              <w:top w:val="single" w:sz="8" w:space="0" w:color="auto"/>
              <w:left w:val="nil"/>
              <w:bottom w:val="single" w:sz="8" w:space="0" w:color="auto"/>
              <w:right w:val="single" w:sz="8" w:space="0" w:color="auto"/>
            </w:tcBorders>
            <w:shd w:val="clear" w:color="000000" w:fill="BFBFBF"/>
            <w:vAlign w:val="center"/>
            <w:hideMark/>
          </w:tcPr>
          <w:p w14:paraId="2D76EC18" w14:textId="77777777" w:rsidR="00011B80" w:rsidRPr="008D66C4" w:rsidRDefault="00011B80" w:rsidP="00011B80">
            <w:pPr>
              <w:jc w:val="center"/>
              <w:rPr>
                <w:rFonts w:ascii="Arial Narrow" w:eastAsia="Times New Roman" w:hAnsi="Arial Narrow" w:cs="Tahoma"/>
                <w:b/>
                <w:bCs/>
                <w:color w:val="333333"/>
                <w:sz w:val="21"/>
                <w:szCs w:val="21"/>
                <w:lang w:eastAsia="en-AU"/>
              </w:rPr>
            </w:pPr>
            <w:r w:rsidRPr="008D66C4">
              <w:rPr>
                <w:rFonts w:ascii="Arial Narrow" w:eastAsia="Times New Roman" w:hAnsi="Arial Narrow" w:cs="Tahoma"/>
                <w:b/>
                <w:bCs/>
                <w:color w:val="333333"/>
                <w:sz w:val="21"/>
                <w:szCs w:val="21"/>
                <w:lang w:eastAsia="en-AU"/>
              </w:rPr>
              <w:t>2012</w:t>
            </w:r>
          </w:p>
        </w:tc>
        <w:tc>
          <w:tcPr>
            <w:tcW w:w="1134" w:type="dxa"/>
            <w:tcBorders>
              <w:top w:val="single" w:sz="8" w:space="0" w:color="auto"/>
              <w:left w:val="nil"/>
              <w:bottom w:val="single" w:sz="8" w:space="0" w:color="auto"/>
              <w:right w:val="single" w:sz="8" w:space="0" w:color="auto"/>
            </w:tcBorders>
            <w:shd w:val="clear" w:color="000000" w:fill="BFBFBF"/>
            <w:vAlign w:val="center"/>
            <w:hideMark/>
          </w:tcPr>
          <w:p w14:paraId="464C1049" w14:textId="77777777" w:rsidR="00011B80" w:rsidRPr="008D66C4" w:rsidRDefault="00011B80" w:rsidP="00011B80">
            <w:pPr>
              <w:jc w:val="center"/>
              <w:rPr>
                <w:rFonts w:ascii="Arial Narrow" w:eastAsia="Times New Roman" w:hAnsi="Arial Narrow" w:cs="Tahoma"/>
                <w:b/>
                <w:bCs/>
                <w:color w:val="333333"/>
                <w:sz w:val="21"/>
                <w:szCs w:val="21"/>
                <w:lang w:eastAsia="en-AU"/>
              </w:rPr>
            </w:pPr>
            <w:r w:rsidRPr="008D66C4">
              <w:rPr>
                <w:rFonts w:ascii="Arial Narrow" w:eastAsia="Times New Roman" w:hAnsi="Arial Narrow" w:cs="Tahoma"/>
                <w:b/>
                <w:bCs/>
                <w:color w:val="333333"/>
                <w:sz w:val="21"/>
                <w:szCs w:val="21"/>
                <w:lang w:eastAsia="en-AU"/>
              </w:rPr>
              <w:t>2013</w:t>
            </w:r>
          </w:p>
        </w:tc>
        <w:tc>
          <w:tcPr>
            <w:tcW w:w="1134" w:type="dxa"/>
            <w:tcBorders>
              <w:top w:val="single" w:sz="8" w:space="0" w:color="auto"/>
              <w:left w:val="nil"/>
              <w:bottom w:val="single" w:sz="8" w:space="0" w:color="auto"/>
              <w:right w:val="single" w:sz="8" w:space="0" w:color="auto"/>
            </w:tcBorders>
            <w:shd w:val="clear" w:color="000000" w:fill="BFBFBF"/>
            <w:vAlign w:val="center"/>
            <w:hideMark/>
          </w:tcPr>
          <w:p w14:paraId="6F19A9DE" w14:textId="77777777" w:rsidR="00011B80" w:rsidRPr="008D66C4" w:rsidRDefault="00011B80" w:rsidP="00011B80">
            <w:pPr>
              <w:jc w:val="center"/>
              <w:rPr>
                <w:rFonts w:ascii="Arial Narrow" w:eastAsia="Times New Roman" w:hAnsi="Arial Narrow" w:cs="Tahoma"/>
                <w:b/>
                <w:bCs/>
                <w:color w:val="333333"/>
                <w:sz w:val="21"/>
                <w:szCs w:val="21"/>
                <w:lang w:eastAsia="en-AU"/>
              </w:rPr>
            </w:pPr>
            <w:r w:rsidRPr="008D66C4">
              <w:rPr>
                <w:rFonts w:ascii="Arial Narrow" w:eastAsia="Times New Roman" w:hAnsi="Arial Narrow" w:cs="Tahoma"/>
                <w:b/>
                <w:bCs/>
                <w:color w:val="333333"/>
                <w:sz w:val="21"/>
                <w:szCs w:val="21"/>
                <w:lang w:eastAsia="en-AU"/>
              </w:rPr>
              <w:t>2014</w:t>
            </w:r>
          </w:p>
        </w:tc>
        <w:tc>
          <w:tcPr>
            <w:tcW w:w="1134" w:type="dxa"/>
            <w:tcBorders>
              <w:top w:val="single" w:sz="8" w:space="0" w:color="auto"/>
              <w:left w:val="nil"/>
              <w:bottom w:val="single" w:sz="8" w:space="0" w:color="auto"/>
              <w:right w:val="single" w:sz="8" w:space="0" w:color="auto"/>
            </w:tcBorders>
            <w:shd w:val="clear" w:color="000000" w:fill="BFBFBF"/>
            <w:vAlign w:val="center"/>
            <w:hideMark/>
          </w:tcPr>
          <w:p w14:paraId="46969253" w14:textId="77777777" w:rsidR="00011B80" w:rsidRPr="008D66C4" w:rsidRDefault="00011B80" w:rsidP="00011B80">
            <w:pPr>
              <w:jc w:val="center"/>
              <w:rPr>
                <w:rFonts w:ascii="Arial Narrow" w:eastAsia="Times New Roman" w:hAnsi="Arial Narrow" w:cs="Tahoma"/>
                <w:b/>
                <w:bCs/>
                <w:color w:val="333333"/>
                <w:sz w:val="21"/>
                <w:szCs w:val="21"/>
                <w:lang w:eastAsia="en-AU"/>
              </w:rPr>
            </w:pPr>
            <w:r w:rsidRPr="008D66C4">
              <w:rPr>
                <w:rFonts w:ascii="Arial Narrow" w:eastAsia="Times New Roman" w:hAnsi="Arial Narrow" w:cs="Tahoma"/>
                <w:b/>
                <w:bCs/>
                <w:color w:val="333333"/>
                <w:sz w:val="21"/>
                <w:szCs w:val="21"/>
                <w:lang w:eastAsia="en-AU"/>
              </w:rPr>
              <w:t>2015</w:t>
            </w:r>
          </w:p>
        </w:tc>
        <w:tc>
          <w:tcPr>
            <w:tcW w:w="1113" w:type="dxa"/>
            <w:tcBorders>
              <w:top w:val="single" w:sz="8" w:space="0" w:color="auto"/>
              <w:left w:val="nil"/>
              <w:bottom w:val="single" w:sz="8" w:space="0" w:color="auto"/>
              <w:right w:val="single" w:sz="8" w:space="0" w:color="auto"/>
            </w:tcBorders>
            <w:shd w:val="clear" w:color="000000" w:fill="BFBFBF"/>
            <w:vAlign w:val="center"/>
            <w:hideMark/>
          </w:tcPr>
          <w:p w14:paraId="19784A8E" w14:textId="77777777" w:rsidR="00011B80" w:rsidRPr="008D66C4" w:rsidRDefault="00011B80" w:rsidP="00011B80">
            <w:pPr>
              <w:jc w:val="center"/>
              <w:rPr>
                <w:rFonts w:ascii="Arial Narrow" w:eastAsia="Times New Roman" w:hAnsi="Arial Narrow" w:cs="Tahoma"/>
                <w:b/>
                <w:bCs/>
                <w:color w:val="333333"/>
                <w:sz w:val="21"/>
                <w:szCs w:val="21"/>
                <w:lang w:eastAsia="en-AU"/>
              </w:rPr>
            </w:pPr>
            <w:r w:rsidRPr="008D66C4">
              <w:rPr>
                <w:rFonts w:ascii="Arial Narrow" w:eastAsia="Times New Roman" w:hAnsi="Arial Narrow" w:cs="Tahoma"/>
                <w:b/>
                <w:bCs/>
                <w:color w:val="333333"/>
                <w:sz w:val="21"/>
                <w:szCs w:val="21"/>
                <w:lang w:eastAsia="en-AU"/>
              </w:rPr>
              <w:t>2016</w:t>
            </w:r>
          </w:p>
        </w:tc>
      </w:tr>
      <w:tr w:rsidR="00F463E7" w:rsidRPr="00C734C2" w14:paraId="2C42093E" w14:textId="77777777" w:rsidTr="00975CB4">
        <w:trPr>
          <w:cantSplit/>
          <w:trHeight w:val="113"/>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052AE715" w14:textId="77777777" w:rsidR="00F463E7" w:rsidRPr="008D66C4" w:rsidRDefault="00F463E7" w:rsidP="00F463E7">
            <w:pP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LABA</w:t>
            </w:r>
          </w:p>
        </w:tc>
        <w:tc>
          <w:tcPr>
            <w:tcW w:w="1134" w:type="dxa"/>
            <w:tcBorders>
              <w:top w:val="nil"/>
              <w:left w:val="nil"/>
              <w:bottom w:val="single" w:sz="8" w:space="0" w:color="auto"/>
              <w:right w:val="single" w:sz="8" w:space="0" w:color="auto"/>
            </w:tcBorders>
            <w:shd w:val="clear" w:color="auto" w:fill="auto"/>
            <w:vAlign w:val="bottom"/>
            <w:hideMark/>
          </w:tcPr>
          <w:p w14:paraId="59EFD603" w14:textId="1162110F"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60F21292" w14:textId="62DA3B7C"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19</w:t>
            </w:r>
          </w:p>
        </w:tc>
        <w:tc>
          <w:tcPr>
            <w:tcW w:w="1134" w:type="dxa"/>
            <w:tcBorders>
              <w:top w:val="nil"/>
              <w:left w:val="nil"/>
              <w:bottom w:val="single" w:sz="8" w:space="0" w:color="auto"/>
              <w:right w:val="single" w:sz="8" w:space="0" w:color="auto"/>
            </w:tcBorders>
            <w:shd w:val="clear" w:color="auto" w:fill="auto"/>
            <w:vAlign w:val="bottom"/>
            <w:hideMark/>
          </w:tcPr>
          <w:p w14:paraId="41BF50F1" w14:textId="613F4ED7"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432</w:t>
            </w:r>
          </w:p>
        </w:tc>
        <w:tc>
          <w:tcPr>
            <w:tcW w:w="1134" w:type="dxa"/>
            <w:tcBorders>
              <w:top w:val="nil"/>
              <w:left w:val="nil"/>
              <w:bottom w:val="single" w:sz="8" w:space="0" w:color="auto"/>
              <w:right w:val="single" w:sz="8" w:space="0" w:color="auto"/>
            </w:tcBorders>
            <w:shd w:val="clear" w:color="auto" w:fill="auto"/>
            <w:vAlign w:val="bottom"/>
            <w:hideMark/>
          </w:tcPr>
          <w:p w14:paraId="63910896" w14:textId="76FB6294"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444</w:t>
            </w:r>
          </w:p>
        </w:tc>
        <w:tc>
          <w:tcPr>
            <w:tcW w:w="1134" w:type="dxa"/>
            <w:tcBorders>
              <w:top w:val="nil"/>
              <w:left w:val="nil"/>
              <w:bottom w:val="single" w:sz="8" w:space="0" w:color="auto"/>
              <w:right w:val="single" w:sz="8" w:space="0" w:color="auto"/>
            </w:tcBorders>
            <w:shd w:val="clear" w:color="auto" w:fill="auto"/>
            <w:vAlign w:val="bottom"/>
            <w:hideMark/>
          </w:tcPr>
          <w:p w14:paraId="4E0356EE" w14:textId="50C30271"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361</w:t>
            </w:r>
          </w:p>
        </w:tc>
        <w:tc>
          <w:tcPr>
            <w:tcW w:w="1134" w:type="dxa"/>
            <w:tcBorders>
              <w:top w:val="nil"/>
              <w:left w:val="nil"/>
              <w:bottom w:val="single" w:sz="8" w:space="0" w:color="auto"/>
              <w:right w:val="single" w:sz="8" w:space="0" w:color="auto"/>
            </w:tcBorders>
            <w:shd w:val="clear" w:color="auto" w:fill="auto"/>
            <w:vAlign w:val="bottom"/>
            <w:hideMark/>
          </w:tcPr>
          <w:p w14:paraId="712ACCA3" w14:textId="4340F43B"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339</w:t>
            </w:r>
          </w:p>
        </w:tc>
        <w:tc>
          <w:tcPr>
            <w:tcW w:w="1113" w:type="dxa"/>
            <w:tcBorders>
              <w:top w:val="nil"/>
              <w:left w:val="nil"/>
              <w:bottom w:val="single" w:sz="8" w:space="0" w:color="auto"/>
              <w:right w:val="single" w:sz="8" w:space="0" w:color="auto"/>
            </w:tcBorders>
            <w:shd w:val="clear" w:color="auto" w:fill="auto"/>
            <w:vAlign w:val="bottom"/>
            <w:hideMark/>
          </w:tcPr>
          <w:p w14:paraId="11F983CD" w14:textId="75A1EFC9"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369</w:t>
            </w:r>
          </w:p>
        </w:tc>
      </w:tr>
      <w:tr w:rsidR="00F463E7" w:rsidRPr="00C734C2" w14:paraId="75652852" w14:textId="77777777" w:rsidTr="00975CB4">
        <w:trPr>
          <w:cantSplit/>
          <w:trHeight w:val="113"/>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7C696B15" w14:textId="77777777" w:rsidR="00F463E7" w:rsidRPr="008D66C4" w:rsidRDefault="00F463E7" w:rsidP="00F463E7">
            <w:pP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LABA/LAMA</w:t>
            </w:r>
          </w:p>
        </w:tc>
        <w:tc>
          <w:tcPr>
            <w:tcW w:w="1134" w:type="dxa"/>
            <w:tcBorders>
              <w:top w:val="nil"/>
              <w:left w:val="nil"/>
              <w:bottom w:val="single" w:sz="8" w:space="0" w:color="auto"/>
              <w:right w:val="single" w:sz="8" w:space="0" w:color="auto"/>
            </w:tcBorders>
            <w:shd w:val="clear" w:color="auto" w:fill="auto"/>
            <w:vAlign w:val="bottom"/>
            <w:hideMark/>
          </w:tcPr>
          <w:p w14:paraId="733E037B" w14:textId="16F4D44B"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2D187374" w14:textId="73EE46BA"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1E120707" w14:textId="352547FD"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34A461DF" w14:textId="3D5ED761"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214B890C" w14:textId="2367C59C"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30</w:t>
            </w:r>
          </w:p>
        </w:tc>
        <w:tc>
          <w:tcPr>
            <w:tcW w:w="1134" w:type="dxa"/>
            <w:tcBorders>
              <w:top w:val="nil"/>
              <w:left w:val="nil"/>
              <w:bottom w:val="single" w:sz="8" w:space="0" w:color="auto"/>
              <w:right w:val="single" w:sz="8" w:space="0" w:color="auto"/>
            </w:tcBorders>
            <w:shd w:val="clear" w:color="auto" w:fill="auto"/>
            <w:vAlign w:val="bottom"/>
            <w:hideMark/>
          </w:tcPr>
          <w:p w14:paraId="69D54D73" w14:textId="397A4D2A"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469</w:t>
            </w:r>
          </w:p>
        </w:tc>
        <w:tc>
          <w:tcPr>
            <w:tcW w:w="1113" w:type="dxa"/>
            <w:tcBorders>
              <w:top w:val="nil"/>
              <w:left w:val="nil"/>
              <w:bottom w:val="single" w:sz="8" w:space="0" w:color="auto"/>
              <w:right w:val="single" w:sz="8" w:space="0" w:color="auto"/>
            </w:tcBorders>
            <w:shd w:val="clear" w:color="auto" w:fill="auto"/>
            <w:vAlign w:val="bottom"/>
            <w:hideMark/>
          </w:tcPr>
          <w:p w14:paraId="3709288B" w14:textId="238B62FC"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1,293</w:t>
            </w:r>
          </w:p>
        </w:tc>
      </w:tr>
      <w:tr w:rsidR="00F463E7" w:rsidRPr="00C734C2" w14:paraId="6E803CB0" w14:textId="77777777" w:rsidTr="00975CB4">
        <w:trPr>
          <w:cantSplit/>
          <w:trHeight w:val="113"/>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44C8CB19" w14:textId="77777777" w:rsidR="00F463E7" w:rsidRPr="008D66C4" w:rsidRDefault="00F463E7" w:rsidP="00F463E7">
            <w:pP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LAMA</w:t>
            </w:r>
          </w:p>
        </w:tc>
        <w:tc>
          <w:tcPr>
            <w:tcW w:w="1134" w:type="dxa"/>
            <w:tcBorders>
              <w:top w:val="nil"/>
              <w:left w:val="nil"/>
              <w:bottom w:val="single" w:sz="8" w:space="0" w:color="auto"/>
              <w:right w:val="single" w:sz="8" w:space="0" w:color="auto"/>
            </w:tcBorders>
            <w:shd w:val="clear" w:color="auto" w:fill="auto"/>
            <w:vAlign w:val="bottom"/>
            <w:hideMark/>
          </w:tcPr>
          <w:p w14:paraId="66245AEB" w14:textId="6C0434BD"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2,262</w:t>
            </w:r>
          </w:p>
        </w:tc>
        <w:tc>
          <w:tcPr>
            <w:tcW w:w="1134" w:type="dxa"/>
            <w:tcBorders>
              <w:top w:val="nil"/>
              <w:left w:val="nil"/>
              <w:bottom w:val="single" w:sz="8" w:space="0" w:color="auto"/>
              <w:right w:val="single" w:sz="8" w:space="0" w:color="auto"/>
            </w:tcBorders>
            <w:shd w:val="clear" w:color="auto" w:fill="auto"/>
            <w:vAlign w:val="bottom"/>
            <w:hideMark/>
          </w:tcPr>
          <w:p w14:paraId="1BC0C53C" w14:textId="5135CC38"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2,275</w:t>
            </w:r>
          </w:p>
        </w:tc>
        <w:tc>
          <w:tcPr>
            <w:tcW w:w="1134" w:type="dxa"/>
            <w:tcBorders>
              <w:top w:val="nil"/>
              <w:left w:val="nil"/>
              <w:bottom w:val="single" w:sz="8" w:space="0" w:color="auto"/>
              <w:right w:val="single" w:sz="8" w:space="0" w:color="auto"/>
            </w:tcBorders>
            <w:shd w:val="clear" w:color="auto" w:fill="auto"/>
            <w:vAlign w:val="bottom"/>
            <w:hideMark/>
          </w:tcPr>
          <w:p w14:paraId="4D5B5CCC" w14:textId="4BAFA284"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2,101</w:t>
            </w:r>
          </w:p>
        </w:tc>
        <w:tc>
          <w:tcPr>
            <w:tcW w:w="1134" w:type="dxa"/>
            <w:tcBorders>
              <w:top w:val="nil"/>
              <w:left w:val="nil"/>
              <w:bottom w:val="single" w:sz="8" w:space="0" w:color="auto"/>
              <w:right w:val="single" w:sz="8" w:space="0" w:color="auto"/>
            </w:tcBorders>
            <w:shd w:val="clear" w:color="auto" w:fill="auto"/>
            <w:vAlign w:val="bottom"/>
            <w:hideMark/>
          </w:tcPr>
          <w:p w14:paraId="4503DB52" w14:textId="44DBDBDD"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2,111</w:t>
            </w:r>
          </w:p>
        </w:tc>
        <w:tc>
          <w:tcPr>
            <w:tcW w:w="1134" w:type="dxa"/>
            <w:tcBorders>
              <w:top w:val="nil"/>
              <w:left w:val="nil"/>
              <w:bottom w:val="single" w:sz="8" w:space="0" w:color="auto"/>
              <w:right w:val="single" w:sz="8" w:space="0" w:color="auto"/>
            </w:tcBorders>
            <w:shd w:val="clear" w:color="auto" w:fill="auto"/>
            <w:vAlign w:val="bottom"/>
            <w:hideMark/>
          </w:tcPr>
          <w:p w14:paraId="4001B121" w14:textId="15415886"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2,576</w:t>
            </w:r>
          </w:p>
        </w:tc>
        <w:tc>
          <w:tcPr>
            <w:tcW w:w="1134" w:type="dxa"/>
            <w:tcBorders>
              <w:top w:val="nil"/>
              <w:left w:val="nil"/>
              <w:bottom w:val="single" w:sz="8" w:space="0" w:color="auto"/>
              <w:right w:val="single" w:sz="8" w:space="0" w:color="auto"/>
            </w:tcBorders>
            <w:shd w:val="clear" w:color="auto" w:fill="auto"/>
            <w:vAlign w:val="bottom"/>
            <w:hideMark/>
          </w:tcPr>
          <w:p w14:paraId="1BF51EC0" w14:textId="694517F6"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2,957</w:t>
            </w:r>
          </w:p>
        </w:tc>
        <w:tc>
          <w:tcPr>
            <w:tcW w:w="1113" w:type="dxa"/>
            <w:tcBorders>
              <w:top w:val="nil"/>
              <w:left w:val="nil"/>
              <w:bottom w:val="single" w:sz="8" w:space="0" w:color="auto"/>
              <w:right w:val="single" w:sz="8" w:space="0" w:color="auto"/>
            </w:tcBorders>
            <w:shd w:val="clear" w:color="auto" w:fill="auto"/>
            <w:vAlign w:val="bottom"/>
            <w:hideMark/>
          </w:tcPr>
          <w:p w14:paraId="25A96479" w14:textId="32067037"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5,612</w:t>
            </w:r>
          </w:p>
        </w:tc>
      </w:tr>
      <w:tr w:rsidR="00F463E7" w:rsidRPr="00C734C2" w14:paraId="0E2A2271" w14:textId="77777777" w:rsidTr="00975CB4">
        <w:trPr>
          <w:cantSplit/>
          <w:trHeight w:val="113"/>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48A517C2" w14:textId="77777777" w:rsidR="00F463E7" w:rsidRPr="008D66C4" w:rsidRDefault="00F463E7" w:rsidP="00F463E7">
            <w:pP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Other</w:t>
            </w:r>
          </w:p>
        </w:tc>
        <w:tc>
          <w:tcPr>
            <w:tcW w:w="1134" w:type="dxa"/>
            <w:tcBorders>
              <w:top w:val="nil"/>
              <w:left w:val="nil"/>
              <w:bottom w:val="single" w:sz="8" w:space="0" w:color="auto"/>
              <w:right w:val="single" w:sz="8" w:space="0" w:color="auto"/>
            </w:tcBorders>
            <w:shd w:val="clear" w:color="auto" w:fill="auto"/>
            <w:vAlign w:val="bottom"/>
            <w:hideMark/>
          </w:tcPr>
          <w:p w14:paraId="008D5601" w14:textId="2BCC8BA7"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492926C0" w14:textId="2E10C14D"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4AC06B0B" w14:textId="1A80FBAF"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52D75B63" w14:textId="10FA0219"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2AD9CF5D" w14:textId="49DB1872"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34" w:type="dxa"/>
            <w:tcBorders>
              <w:top w:val="nil"/>
              <w:left w:val="nil"/>
              <w:bottom w:val="single" w:sz="8" w:space="0" w:color="auto"/>
              <w:right w:val="single" w:sz="8" w:space="0" w:color="auto"/>
            </w:tcBorders>
            <w:shd w:val="clear" w:color="auto" w:fill="auto"/>
            <w:vAlign w:val="bottom"/>
            <w:hideMark/>
          </w:tcPr>
          <w:p w14:paraId="00F4F9EE" w14:textId="0ADB098D"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w:t>
            </w:r>
          </w:p>
        </w:tc>
        <w:tc>
          <w:tcPr>
            <w:tcW w:w="1113" w:type="dxa"/>
            <w:tcBorders>
              <w:top w:val="nil"/>
              <w:left w:val="nil"/>
              <w:bottom w:val="single" w:sz="8" w:space="0" w:color="auto"/>
              <w:right w:val="single" w:sz="8" w:space="0" w:color="auto"/>
            </w:tcBorders>
            <w:shd w:val="clear" w:color="auto" w:fill="auto"/>
            <w:vAlign w:val="bottom"/>
            <w:hideMark/>
          </w:tcPr>
          <w:p w14:paraId="5124DC74" w14:textId="6C9A4FF1" w:rsidR="00F463E7" w:rsidRPr="008D66C4" w:rsidRDefault="00F463E7" w:rsidP="00F463E7">
            <w:pPr>
              <w:jc w:val="center"/>
              <w:rPr>
                <w:rFonts w:ascii="Arial Narrow" w:eastAsia="Times New Roman" w:hAnsi="Arial Narrow" w:cs="Tahoma"/>
                <w:color w:val="333333"/>
                <w:sz w:val="21"/>
                <w:szCs w:val="21"/>
                <w:lang w:eastAsia="en-AU"/>
              </w:rPr>
            </w:pPr>
            <w:r w:rsidRPr="008D66C4">
              <w:rPr>
                <w:rFonts w:ascii="Arial Narrow" w:hAnsi="Arial Narrow" w:cs="Tahoma"/>
                <w:color w:val="333333"/>
                <w:sz w:val="21"/>
                <w:szCs w:val="21"/>
              </w:rPr>
              <w:t>707</w:t>
            </w:r>
          </w:p>
        </w:tc>
      </w:tr>
      <w:tr w:rsidR="00F463E7" w:rsidRPr="00C734C2" w14:paraId="3F60A09F" w14:textId="77777777" w:rsidTr="00975CB4">
        <w:trPr>
          <w:cantSplit/>
          <w:trHeight w:val="113"/>
        </w:trPr>
        <w:tc>
          <w:tcPr>
            <w:tcW w:w="1701" w:type="dxa"/>
            <w:tcBorders>
              <w:top w:val="nil"/>
              <w:left w:val="single" w:sz="8" w:space="0" w:color="auto"/>
              <w:bottom w:val="single" w:sz="8" w:space="0" w:color="auto"/>
              <w:right w:val="single" w:sz="8" w:space="0" w:color="auto"/>
            </w:tcBorders>
            <w:shd w:val="clear" w:color="000000" w:fill="D9D9D9"/>
            <w:vAlign w:val="center"/>
            <w:hideMark/>
          </w:tcPr>
          <w:p w14:paraId="0177EEE5" w14:textId="77777777" w:rsidR="00F463E7" w:rsidRPr="008D66C4" w:rsidRDefault="00F463E7" w:rsidP="00F463E7">
            <w:pPr>
              <w:rPr>
                <w:rFonts w:ascii="Arial Narrow" w:eastAsia="Times New Roman" w:hAnsi="Arial Narrow" w:cs="Tahoma"/>
                <w:b/>
                <w:bCs/>
                <w:color w:val="000000"/>
                <w:sz w:val="21"/>
                <w:szCs w:val="21"/>
                <w:lang w:eastAsia="en-AU"/>
              </w:rPr>
            </w:pPr>
            <w:r w:rsidRPr="008D66C4">
              <w:rPr>
                <w:rFonts w:ascii="Arial Narrow" w:eastAsia="Times New Roman" w:hAnsi="Arial Narrow" w:cs="Tahoma"/>
                <w:b/>
                <w:bCs/>
                <w:color w:val="000000"/>
                <w:sz w:val="21"/>
                <w:szCs w:val="21"/>
                <w:lang w:eastAsia="en-AU"/>
              </w:rPr>
              <w:t>Total</w:t>
            </w:r>
          </w:p>
        </w:tc>
        <w:tc>
          <w:tcPr>
            <w:tcW w:w="1134" w:type="dxa"/>
            <w:tcBorders>
              <w:top w:val="nil"/>
              <w:left w:val="nil"/>
              <w:bottom w:val="single" w:sz="8" w:space="0" w:color="auto"/>
              <w:right w:val="single" w:sz="8" w:space="0" w:color="auto"/>
            </w:tcBorders>
            <w:shd w:val="clear" w:color="000000" w:fill="D9D9D9"/>
            <w:vAlign w:val="bottom"/>
            <w:hideMark/>
          </w:tcPr>
          <w:p w14:paraId="71147040" w14:textId="65B6B14B" w:rsidR="00F463E7" w:rsidRPr="008D66C4" w:rsidRDefault="00F463E7" w:rsidP="00F463E7">
            <w:pPr>
              <w:jc w:val="center"/>
              <w:rPr>
                <w:rFonts w:ascii="Arial Narrow" w:eastAsia="Times New Roman" w:hAnsi="Arial Narrow" w:cs="Tahoma"/>
                <w:b/>
                <w:bCs/>
                <w:color w:val="000000"/>
                <w:sz w:val="21"/>
                <w:szCs w:val="21"/>
                <w:lang w:eastAsia="en-AU"/>
              </w:rPr>
            </w:pPr>
            <w:r w:rsidRPr="008D66C4">
              <w:rPr>
                <w:rFonts w:ascii="Arial Narrow" w:hAnsi="Arial Narrow" w:cs="Tahoma"/>
                <w:b/>
                <w:bCs/>
                <w:color w:val="000000"/>
                <w:sz w:val="21"/>
                <w:szCs w:val="21"/>
              </w:rPr>
              <w:t>2,262</w:t>
            </w:r>
          </w:p>
        </w:tc>
        <w:tc>
          <w:tcPr>
            <w:tcW w:w="1134" w:type="dxa"/>
            <w:tcBorders>
              <w:top w:val="nil"/>
              <w:left w:val="nil"/>
              <w:bottom w:val="single" w:sz="8" w:space="0" w:color="auto"/>
              <w:right w:val="single" w:sz="8" w:space="0" w:color="auto"/>
            </w:tcBorders>
            <w:shd w:val="clear" w:color="000000" w:fill="D9D9D9"/>
            <w:vAlign w:val="bottom"/>
            <w:hideMark/>
          </w:tcPr>
          <w:p w14:paraId="382335C5" w14:textId="55D38992" w:rsidR="00F463E7" w:rsidRPr="008D66C4" w:rsidRDefault="00F463E7" w:rsidP="00F463E7">
            <w:pPr>
              <w:jc w:val="center"/>
              <w:rPr>
                <w:rFonts w:ascii="Arial Narrow" w:eastAsia="Times New Roman" w:hAnsi="Arial Narrow" w:cs="Tahoma"/>
                <w:b/>
                <w:bCs/>
                <w:color w:val="000000"/>
                <w:sz w:val="21"/>
                <w:szCs w:val="21"/>
                <w:lang w:eastAsia="en-AU"/>
              </w:rPr>
            </w:pPr>
            <w:r w:rsidRPr="008D66C4">
              <w:rPr>
                <w:rFonts w:ascii="Arial Narrow" w:hAnsi="Arial Narrow" w:cs="Tahoma"/>
                <w:b/>
                <w:bCs/>
                <w:color w:val="000000"/>
                <w:sz w:val="21"/>
                <w:szCs w:val="21"/>
              </w:rPr>
              <w:t>2,294</w:t>
            </w:r>
          </w:p>
        </w:tc>
        <w:tc>
          <w:tcPr>
            <w:tcW w:w="1134" w:type="dxa"/>
            <w:tcBorders>
              <w:top w:val="nil"/>
              <w:left w:val="nil"/>
              <w:bottom w:val="single" w:sz="8" w:space="0" w:color="auto"/>
              <w:right w:val="single" w:sz="8" w:space="0" w:color="auto"/>
            </w:tcBorders>
            <w:shd w:val="clear" w:color="000000" w:fill="D9D9D9"/>
            <w:vAlign w:val="bottom"/>
            <w:hideMark/>
          </w:tcPr>
          <w:p w14:paraId="39D2A8F3" w14:textId="68977EE3" w:rsidR="00F463E7" w:rsidRPr="008D66C4" w:rsidRDefault="00F463E7" w:rsidP="00F463E7">
            <w:pPr>
              <w:jc w:val="center"/>
              <w:rPr>
                <w:rFonts w:ascii="Arial Narrow" w:eastAsia="Times New Roman" w:hAnsi="Arial Narrow" w:cs="Tahoma"/>
                <w:b/>
                <w:bCs/>
                <w:color w:val="000000"/>
                <w:sz w:val="21"/>
                <w:szCs w:val="21"/>
                <w:lang w:eastAsia="en-AU"/>
              </w:rPr>
            </w:pPr>
            <w:r w:rsidRPr="008D66C4">
              <w:rPr>
                <w:rFonts w:ascii="Arial Narrow" w:hAnsi="Arial Narrow" w:cs="Tahoma"/>
                <w:b/>
                <w:bCs/>
                <w:color w:val="000000"/>
                <w:sz w:val="21"/>
                <w:szCs w:val="21"/>
              </w:rPr>
              <w:t>2,533</w:t>
            </w:r>
          </w:p>
        </w:tc>
        <w:tc>
          <w:tcPr>
            <w:tcW w:w="1134" w:type="dxa"/>
            <w:tcBorders>
              <w:top w:val="nil"/>
              <w:left w:val="nil"/>
              <w:bottom w:val="single" w:sz="8" w:space="0" w:color="auto"/>
              <w:right w:val="single" w:sz="8" w:space="0" w:color="auto"/>
            </w:tcBorders>
            <w:shd w:val="clear" w:color="000000" w:fill="D9D9D9"/>
            <w:vAlign w:val="bottom"/>
            <w:hideMark/>
          </w:tcPr>
          <w:p w14:paraId="61A838B5" w14:textId="6A0DCA5E" w:rsidR="00F463E7" w:rsidRPr="008D66C4" w:rsidRDefault="00F463E7" w:rsidP="00F463E7">
            <w:pPr>
              <w:jc w:val="center"/>
              <w:rPr>
                <w:rFonts w:ascii="Arial Narrow" w:eastAsia="Times New Roman" w:hAnsi="Arial Narrow" w:cs="Tahoma"/>
                <w:b/>
                <w:bCs/>
                <w:color w:val="000000"/>
                <w:sz w:val="21"/>
                <w:szCs w:val="21"/>
                <w:lang w:eastAsia="en-AU"/>
              </w:rPr>
            </w:pPr>
            <w:r w:rsidRPr="008D66C4">
              <w:rPr>
                <w:rFonts w:ascii="Arial Narrow" w:hAnsi="Arial Narrow" w:cs="Tahoma"/>
                <w:b/>
                <w:bCs/>
                <w:color w:val="000000"/>
                <w:sz w:val="21"/>
                <w:szCs w:val="21"/>
              </w:rPr>
              <w:t>2,555</w:t>
            </w:r>
          </w:p>
        </w:tc>
        <w:tc>
          <w:tcPr>
            <w:tcW w:w="1134" w:type="dxa"/>
            <w:tcBorders>
              <w:top w:val="nil"/>
              <w:left w:val="nil"/>
              <w:bottom w:val="single" w:sz="8" w:space="0" w:color="auto"/>
              <w:right w:val="single" w:sz="8" w:space="0" w:color="auto"/>
            </w:tcBorders>
            <w:shd w:val="clear" w:color="000000" w:fill="D9D9D9"/>
            <w:vAlign w:val="bottom"/>
            <w:hideMark/>
          </w:tcPr>
          <w:p w14:paraId="0D946E12" w14:textId="1E429360" w:rsidR="00F463E7" w:rsidRPr="008D66C4" w:rsidRDefault="00F463E7" w:rsidP="00F463E7">
            <w:pPr>
              <w:jc w:val="center"/>
              <w:rPr>
                <w:rFonts w:ascii="Arial Narrow" w:eastAsia="Times New Roman" w:hAnsi="Arial Narrow" w:cs="Tahoma"/>
                <w:b/>
                <w:bCs/>
                <w:color w:val="000000"/>
                <w:sz w:val="21"/>
                <w:szCs w:val="21"/>
                <w:lang w:eastAsia="en-AU"/>
              </w:rPr>
            </w:pPr>
            <w:r w:rsidRPr="008D66C4">
              <w:rPr>
                <w:rFonts w:ascii="Arial Narrow" w:hAnsi="Arial Narrow" w:cs="Tahoma"/>
                <w:b/>
                <w:bCs/>
                <w:color w:val="000000"/>
                <w:sz w:val="21"/>
                <w:szCs w:val="21"/>
              </w:rPr>
              <w:t>2,967</w:t>
            </w:r>
          </w:p>
        </w:tc>
        <w:tc>
          <w:tcPr>
            <w:tcW w:w="1134" w:type="dxa"/>
            <w:tcBorders>
              <w:top w:val="nil"/>
              <w:left w:val="nil"/>
              <w:bottom w:val="single" w:sz="8" w:space="0" w:color="auto"/>
              <w:right w:val="single" w:sz="8" w:space="0" w:color="auto"/>
            </w:tcBorders>
            <w:shd w:val="clear" w:color="000000" w:fill="D9D9D9"/>
            <w:vAlign w:val="bottom"/>
            <w:hideMark/>
          </w:tcPr>
          <w:p w14:paraId="124F54C0" w14:textId="1123DECC" w:rsidR="00F463E7" w:rsidRPr="008D66C4" w:rsidRDefault="00F463E7" w:rsidP="00F463E7">
            <w:pPr>
              <w:jc w:val="center"/>
              <w:rPr>
                <w:rFonts w:ascii="Arial Narrow" w:eastAsia="Times New Roman" w:hAnsi="Arial Narrow" w:cs="Tahoma"/>
                <w:b/>
                <w:bCs/>
                <w:color w:val="000000"/>
                <w:sz w:val="21"/>
                <w:szCs w:val="21"/>
                <w:lang w:eastAsia="en-AU"/>
              </w:rPr>
            </w:pPr>
            <w:r w:rsidRPr="008D66C4">
              <w:rPr>
                <w:rFonts w:ascii="Arial Narrow" w:hAnsi="Arial Narrow" w:cs="Tahoma"/>
                <w:b/>
                <w:bCs/>
                <w:color w:val="000000"/>
                <w:sz w:val="21"/>
                <w:szCs w:val="21"/>
              </w:rPr>
              <w:t>3,765</w:t>
            </w:r>
          </w:p>
        </w:tc>
        <w:tc>
          <w:tcPr>
            <w:tcW w:w="1113" w:type="dxa"/>
            <w:tcBorders>
              <w:top w:val="nil"/>
              <w:left w:val="nil"/>
              <w:bottom w:val="single" w:sz="8" w:space="0" w:color="auto"/>
              <w:right w:val="single" w:sz="8" w:space="0" w:color="auto"/>
            </w:tcBorders>
            <w:shd w:val="clear" w:color="000000" w:fill="D9D9D9"/>
            <w:vAlign w:val="bottom"/>
            <w:hideMark/>
          </w:tcPr>
          <w:p w14:paraId="087303AC" w14:textId="7B7B84E1" w:rsidR="00F463E7" w:rsidRPr="008D66C4" w:rsidRDefault="00F463E7" w:rsidP="00F463E7">
            <w:pPr>
              <w:jc w:val="center"/>
              <w:rPr>
                <w:rFonts w:ascii="Arial Narrow" w:eastAsia="Times New Roman" w:hAnsi="Arial Narrow" w:cs="Tahoma"/>
                <w:b/>
                <w:bCs/>
                <w:color w:val="000000"/>
                <w:sz w:val="21"/>
                <w:szCs w:val="21"/>
                <w:lang w:eastAsia="en-AU"/>
              </w:rPr>
            </w:pPr>
            <w:r w:rsidRPr="008D66C4">
              <w:rPr>
                <w:rFonts w:ascii="Arial Narrow" w:hAnsi="Arial Narrow" w:cs="Tahoma"/>
                <w:b/>
                <w:bCs/>
                <w:color w:val="000000"/>
                <w:sz w:val="21"/>
                <w:szCs w:val="21"/>
              </w:rPr>
              <w:t>7,981</w:t>
            </w:r>
          </w:p>
        </w:tc>
      </w:tr>
    </w:tbl>
    <w:p w14:paraId="064E614E" w14:textId="77777777" w:rsidR="00011B80" w:rsidRPr="008D66C4" w:rsidRDefault="00011B80" w:rsidP="00011B80">
      <w:pPr>
        <w:pStyle w:val="10TableorFigurefootnote"/>
        <w:rPr>
          <w:sz w:val="18"/>
          <w:szCs w:val="18"/>
        </w:rPr>
      </w:pPr>
      <w:r w:rsidRPr="008D66C4">
        <w:rPr>
          <w:sz w:val="18"/>
          <w:szCs w:val="18"/>
        </w:rPr>
        <w:t>Source: PBS Dispensing records between 1/11/2006 and 31/10/2016 file R2017068_PBS_COPD_DATA.CSV</w:t>
      </w:r>
    </w:p>
    <w:p w14:paraId="432BAE5D" w14:textId="77777777" w:rsidR="00011B80" w:rsidRPr="008D66C4" w:rsidRDefault="00011B80" w:rsidP="00011B80">
      <w:pPr>
        <w:pStyle w:val="11TableorFigurefootnotenostick"/>
        <w:rPr>
          <w:sz w:val="18"/>
          <w:szCs w:val="18"/>
        </w:rPr>
      </w:pPr>
      <w:r w:rsidRPr="008D66C4">
        <w:rPr>
          <w:sz w:val="18"/>
          <w:szCs w:val="18"/>
        </w:rPr>
        <w:t>Abbreviations: LABA, long-acting beta-2 agonist; LAMA, long-acting muscarinic antagonist.</w:t>
      </w:r>
    </w:p>
    <w:p w14:paraId="41C71F14" w14:textId="4EA5D1BE" w:rsidR="00975CB4" w:rsidRDefault="008E65BC" w:rsidP="00975CB4">
      <w:pPr>
        <w:pStyle w:val="BodyText"/>
        <w:spacing w:after="240"/>
        <w:sectPr w:rsidR="00975CB4" w:rsidSect="00A60477">
          <w:footerReference w:type="default" r:id="rId27"/>
          <w:pgSz w:w="11906" w:h="16838"/>
          <w:pgMar w:top="1134" w:right="1134" w:bottom="1134" w:left="1134" w:header="709" w:footer="709" w:gutter="0"/>
          <w:cols w:space="708"/>
          <w:docGrid w:linePitch="360"/>
        </w:sectPr>
      </w:pPr>
      <w:r w:rsidRPr="003F394D">
        <w:fldChar w:fldCharType="begin"/>
      </w:r>
      <w:r w:rsidRPr="003F394D">
        <w:instrText xml:space="preserve"> REF _Ref467963828 \h  \* MERGEFORMAT </w:instrText>
      </w:r>
      <w:r w:rsidRPr="003F394D">
        <w:fldChar w:fldCharType="separate"/>
      </w:r>
      <w:r w:rsidR="001F1F1E" w:rsidRPr="0084308F">
        <w:t>Table 5.</w:t>
      </w:r>
      <w:r w:rsidR="0084308F">
        <w:t>5</w:t>
      </w:r>
      <w:r w:rsidRPr="003F394D">
        <w:fldChar w:fldCharType="end"/>
      </w:r>
      <w:r w:rsidRPr="003F394D">
        <w:t xml:space="preserve"> </w:t>
      </w:r>
      <w:r w:rsidR="00B85972" w:rsidRPr="003F394D">
        <w:t xml:space="preserve">examines more closely the issue of patients initiating to combinations that are outside COPD-X guidelines. </w:t>
      </w:r>
      <w:bookmarkStart w:id="54" w:name="_Ref462990159"/>
      <w:r w:rsidRPr="003F394D">
        <w:fldChar w:fldCharType="begin"/>
      </w:r>
      <w:r w:rsidRPr="003F394D">
        <w:instrText xml:space="preserve"> REF _Ref467963828 \h  \* MERGEFORMAT </w:instrText>
      </w:r>
      <w:r w:rsidRPr="003F394D">
        <w:fldChar w:fldCharType="separate"/>
      </w:r>
      <w:r w:rsidR="001F1F1E" w:rsidRPr="0084308F">
        <w:t xml:space="preserve">Table </w:t>
      </w:r>
      <w:r w:rsidR="001F1F1E" w:rsidRPr="0084308F">
        <w:rPr>
          <w:noProof/>
        </w:rPr>
        <w:t>5.</w:t>
      </w:r>
      <w:r w:rsidR="0084308F">
        <w:rPr>
          <w:noProof/>
        </w:rPr>
        <w:t>5</w:t>
      </w:r>
      <w:r w:rsidRPr="003F394D">
        <w:fldChar w:fldCharType="end"/>
      </w:r>
      <w:r w:rsidRPr="003F394D">
        <w:t xml:space="preserve"> </w:t>
      </w:r>
      <w:r w:rsidR="00B85972" w:rsidRPr="003F394D">
        <w:t xml:space="preserve">reveals that the percentage of patients initiating to combinations outside COPD-X guidelines is </w:t>
      </w:r>
      <w:r w:rsidR="00B85972">
        <w:t>dominated by LABA/LAMA combinations and ICS/LABA with LAMA combinations</w:t>
      </w:r>
      <w:r w:rsidR="00F0261C">
        <w:t xml:space="preserve">, which </w:t>
      </w:r>
      <w:r w:rsidR="00F0261C" w:rsidRPr="00751775">
        <w:t>together</w:t>
      </w:r>
      <w:r w:rsidR="00B85972" w:rsidRPr="00751775">
        <w:t xml:space="preserve"> represent </w:t>
      </w:r>
      <w:r w:rsidR="00B85972" w:rsidRPr="00054730">
        <w:t>2</w:t>
      </w:r>
      <w:r w:rsidR="00E8328B" w:rsidRPr="00054730">
        <w:t>3</w:t>
      </w:r>
      <w:r w:rsidR="00B85972" w:rsidRPr="00054730">
        <w:t>.</w:t>
      </w:r>
      <w:r w:rsidR="00B16E2A" w:rsidRPr="00054730">
        <w:t>6</w:t>
      </w:r>
      <w:r w:rsidR="005B7F33" w:rsidRPr="00054730">
        <w:t>4</w:t>
      </w:r>
      <w:r w:rsidR="00B85972" w:rsidRPr="00054730">
        <w:t>%</w:t>
      </w:r>
      <w:r w:rsidR="00B85972" w:rsidRPr="00751775">
        <w:t xml:space="preserve"> of initiators in 2016. It is interesting to note that ICS/LABA with LAMA initiations have been declining since 2012 where they represented 13.</w:t>
      </w:r>
      <w:r w:rsidR="00A97363" w:rsidRPr="00751775">
        <w:t>7</w:t>
      </w:r>
      <w:r w:rsidR="00DB10B5" w:rsidRPr="00751775">
        <w:t>4</w:t>
      </w:r>
      <w:r w:rsidR="00B85972" w:rsidRPr="00751775">
        <w:t xml:space="preserve">% of initiations, to </w:t>
      </w:r>
      <w:r w:rsidR="00B85972" w:rsidRPr="00054730">
        <w:t>8.</w:t>
      </w:r>
      <w:r w:rsidR="00B16E2A" w:rsidRPr="00054730">
        <w:t>2</w:t>
      </w:r>
      <w:r w:rsidR="005B7F33" w:rsidRPr="00054730">
        <w:t>9</w:t>
      </w:r>
      <w:r w:rsidR="00B85972" w:rsidRPr="00054730">
        <w:t>%</w:t>
      </w:r>
      <w:r w:rsidR="00B85972" w:rsidRPr="00751775">
        <w:t xml:space="preserve"> of</w:t>
      </w:r>
      <w:r w:rsidR="00B85972" w:rsidRPr="00A97363">
        <w:t xml:space="preserve"> initiations in 2016</w:t>
      </w:r>
      <w:r w:rsidR="00B85972">
        <w:t xml:space="preserve"> (again</w:t>
      </w:r>
      <w:r w:rsidR="00054730">
        <w:t xml:space="preserve"> note extrapolation of data for 2016</w:t>
      </w:r>
      <w:r w:rsidR="00B85972">
        <w:t>).</w:t>
      </w:r>
      <w:r w:rsidR="00312228">
        <w:t xml:space="preserve">  </w:t>
      </w:r>
    </w:p>
    <w:p w14:paraId="2B7D9413" w14:textId="51CA2072" w:rsidR="00B85972" w:rsidRPr="004674D9" w:rsidRDefault="00B85972" w:rsidP="0041494E">
      <w:pPr>
        <w:pStyle w:val="TR5TableHeader"/>
      </w:pPr>
      <w:bookmarkStart w:id="55" w:name="_Ref467963828"/>
      <w:bookmarkStart w:id="56" w:name="_Toc468034583"/>
      <w:bookmarkStart w:id="57" w:name="_Toc473291295"/>
      <w:bookmarkStart w:id="58" w:name="_Toc486232647"/>
      <w:bookmarkStart w:id="59" w:name="OLE_LINK1"/>
      <w:bookmarkEnd w:id="54"/>
      <w:r w:rsidRPr="004674D9">
        <w:lastRenderedPageBreak/>
        <w:t xml:space="preserve">Table </w:t>
      </w:r>
      <w:r w:rsidR="001E6074" w:rsidRPr="004674D9">
        <w:t>5</w:t>
      </w:r>
      <w:r w:rsidRPr="004674D9">
        <w:t>.</w:t>
      </w:r>
      <w:r w:rsidR="0041494E">
        <w:t>5</w:t>
      </w:r>
      <w:bookmarkEnd w:id="55"/>
      <w:r w:rsidRPr="004674D9">
        <w:tab/>
        <w:t>Patients initiating by group and year</w:t>
      </w:r>
      <w:bookmarkEnd w:id="56"/>
      <w:bookmarkEnd w:id="57"/>
      <w:bookmarkEnd w:id="58"/>
    </w:p>
    <w:tbl>
      <w:tblPr>
        <w:tblW w:w="5000" w:type="pct"/>
        <w:tblLayout w:type="fixed"/>
        <w:tblLook w:val="04A0" w:firstRow="1" w:lastRow="0" w:firstColumn="1" w:lastColumn="0" w:noHBand="0" w:noVBand="1"/>
      </w:tblPr>
      <w:tblGrid>
        <w:gridCol w:w="1526"/>
        <w:gridCol w:w="2266"/>
        <w:gridCol w:w="866"/>
        <w:gridCol w:w="866"/>
        <w:gridCol w:w="866"/>
        <w:gridCol w:w="866"/>
        <w:gridCol w:w="866"/>
        <w:gridCol w:w="866"/>
        <w:gridCol w:w="866"/>
      </w:tblGrid>
      <w:tr w:rsidR="001F1F1E" w:rsidRPr="005D7FCE" w14:paraId="2CBD9029" w14:textId="77777777" w:rsidTr="0084308F">
        <w:trPr>
          <w:trHeight w:val="142"/>
        </w:trPr>
        <w:tc>
          <w:tcPr>
            <w:tcW w:w="149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BA66BCE" w14:textId="77777777" w:rsidR="00B85972" w:rsidRPr="008D66C4" w:rsidRDefault="00B85972" w:rsidP="00AA3B67">
            <w:pPr>
              <w:rPr>
                <w:rFonts w:ascii="Arial Narrow" w:eastAsia="Times New Roman" w:hAnsi="Arial Narrow" w:cs="Arial"/>
                <w:b/>
                <w:bCs/>
                <w:color w:val="000000"/>
                <w:sz w:val="21"/>
                <w:szCs w:val="21"/>
                <w:lang w:eastAsia="en-AU"/>
              </w:rPr>
            </w:pPr>
            <w:bookmarkStart w:id="60" w:name="_Toc462992008"/>
            <w:r w:rsidRPr="008D66C4">
              <w:rPr>
                <w:rFonts w:ascii="Arial Narrow" w:eastAsia="Times New Roman" w:hAnsi="Arial Narrow" w:cs="Arial"/>
                <w:b/>
                <w:bCs/>
                <w:color w:val="000000"/>
                <w:sz w:val="21"/>
                <w:szCs w:val="21"/>
                <w:lang w:eastAsia="en-AU"/>
              </w:rPr>
              <w:t>Description</w:t>
            </w:r>
          </w:p>
        </w:tc>
        <w:tc>
          <w:tcPr>
            <w:tcW w:w="2213" w:type="dxa"/>
            <w:tcBorders>
              <w:top w:val="single" w:sz="8" w:space="0" w:color="auto"/>
              <w:left w:val="nil"/>
              <w:bottom w:val="single" w:sz="8" w:space="0" w:color="auto"/>
              <w:right w:val="single" w:sz="8" w:space="0" w:color="auto"/>
            </w:tcBorders>
            <w:shd w:val="clear" w:color="000000" w:fill="BFBFBF"/>
            <w:noWrap/>
            <w:vAlign w:val="center"/>
            <w:hideMark/>
          </w:tcPr>
          <w:p w14:paraId="0A827B95" w14:textId="77777777" w:rsidR="00B85972" w:rsidRPr="008D66C4" w:rsidRDefault="00B85972" w:rsidP="00AA3B67">
            <w:pPr>
              <w:jc w:val="center"/>
              <w:rPr>
                <w:rFonts w:ascii="Arial Narrow" w:eastAsia="Times New Roman" w:hAnsi="Arial Narrow" w:cs="Arial"/>
                <w:b/>
                <w:bCs/>
                <w:color w:val="000000"/>
                <w:sz w:val="21"/>
                <w:szCs w:val="21"/>
                <w:lang w:eastAsia="en-AU"/>
              </w:rPr>
            </w:pPr>
            <w:r w:rsidRPr="008D66C4">
              <w:rPr>
                <w:rFonts w:ascii="Arial Narrow" w:eastAsia="Times New Roman" w:hAnsi="Arial Narrow" w:cs="Arial"/>
                <w:b/>
                <w:bCs/>
                <w:color w:val="000000"/>
                <w:sz w:val="21"/>
                <w:szCs w:val="21"/>
                <w:lang w:eastAsia="en-AU"/>
              </w:rPr>
              <w:t>Starting Group</w:t>
            </w:r>
          </w:p>
        </w:tc>
        <w:tc>
          <w:tcPr>
            <w:tcW w:w="845" w:type="dxa"/>
            <w:tcBorders>
              <w:top w:val="single" w:sz="8" w:space="0" w:color="auto"/>
              <w:left w:val="nil"/>
              <w:bottom w:val="single" w:sz="8" w:space="0" w:color="auto"/>
              <w:right w:val="single" w:sz="8" w:space="0" w:color="auto"/>
            </w:tcBorders>
            <w:shd w:val="clear" w:color="000000" w:fill="BFBFBF"/>
            <w:noWrap/>
            <w:vAlign w:val="center"/>
            <w:hideMark/>
          </w:tcPr>
          <w:p w14:paraId="4ACBAA04" w14:textId="77777777" w:rsidR="00B85972" w:rsidRPr="008D66C4" w:rsidRDefault="00B85972" w:rsidP="00AA3B67">
            <w:pPr>
              <w:jc w:val="center"/>
              <w:rPr>
                <w:rFonts w:ascii="Arial Narrow" w:eastAsia="Times New Roman" w:hAnsi="Arial Narrow" w:cs="Arial"/>
                <w:b/>
                <w:bCs/>
                <w:color w:val="000000"/>
                <w:sz w:val="21"/>
                <w:szCs w:val="21"/>
                <w:lang w:eastAsia="en-AU"/>
              </w:rPr>
            </w:pPr>
            <w:r w:rsidRPr="008D66C4">
              <w:rPr>
                <w:rFonts w:ascii="Arial Narrow" w:eastAsia="Times New Roman" w:hAnsi="Arial Narrow" w:cs="Arial"/>
                <w:b/>
                <w:bCs/>
                <w:color w:val="000000"/>
                <w:sz w:val="21"/>
                <w:szCs w:val="21"/>
                <w:lang w:eastAsia="en-AU"/>
              </w:rPr>
              <w:t>2010</w:t>
            </w:r>
          </w:p>
        </w:tc>
        <w:tc>
          <w:tcPr>
            <w:tcW w:w="845" w:type="dxa"/>
            <w:tcBorders>
              <w:top w:val="single" w:sz="8" w:space="0" w:color="auto"/>
              <w:left w:val="nil"/>
              <w:bottom w:val="single" w:sz="8" w:space="0" w:color="auto"/>
              <w:right w:val="single" w:sz="8" w:space="0" w:color="auto"/>
            </w:tcBorders>
            <w:shd w:val="clear" w:color="000000" w:fill="BFBFBF"/>
            <w:noWrap/>
            <w:vAlign w:val="center"/>
            <w:hideMark/>
          </w:tcPr>
          <w:p w14:paraId="02463FB6" w14:textId="77777777" w:rsidR="00B85972" w:rsidRPr="008D66C4" w:rsidRDefault="00B85972" w:rsidP="00AA3B67">
            <w:pPr>
              <w:jc w:val="center"/>
              <w:rPr>
                <w:rFonts w:ascii="Arial Narrow" w:eastAsia="Times New Roman" w:hAnsi="Arial Narrow" w:cs="Arial"/>
                <w:b/>
                <w:bCs/>
                <w:color w:val="000000"/>
                <w:sz w:val="21"/>
                <w:szCs w:val="21"/>
                <w:lang w:eastAsia="en-AU"/>
              </w:rPr>
            </w:pPr>
            <w:r w:rsidRPr="008D66C4">
              <w:rPr>
                <w:rFonts w:ascii="Arial Narrow" w:eastAsia="Times New Roman" w:hAnsi="Arial Narrow" w:cs="Arial"/>
                <w:b/>
                <w:bCs/>
                <w:color w:val="000000"/>
                <w:sz w:val="21"/>
                <w:szCs w:val="21"/>
                <w:lang w:eastAsia="en-AU"/>
              </w:rPr>
              <w:t>2011</w:t>
            </w:r>
          </w:p>
        </w:tc>
        <w:tc>
          <w:tcPr>
            <w:tcW w:w="845" w:type="dxa"/>
            <w:tcBorders>
              <w:top w:val="single" w:sz="8" w:space="0" w:color="auto"/>
              <w:left w:val="nil"/>
              <w:bottom w:val="single" w:sz="8" w:space="0" w:color="auto"/>
              <w:right w:val="single" w:sz="8" w:space="0" w:color="auto"/>
            </w:tcBorders>
            <w:shd w:val="clear" w:color="000000" w:fill="BFBFBF"/>
            <w:noWrap/>
            <w:vAlign w:val="center"/>
            <w:hideMark/>
          </w:tcPr>
          <w:p w14:paraId="5C06DDF1" w14:textId="77777777" w:rsidR="00B85972" w:rsidRPr="008D66C4" w:rsidRDefault="00B85972" w:rsidP="00AA3B67">
            <w:pPr>
              <w:jc w:val="center"/>
              <w:rPr>
                <w:rFonts w:ascii="Arial Narrow" w:eastAsia="Times New Roman" w:hAnsi="Arial Narrow" w:cs="Arial"/>
                <w:b/>
                <w:bCs/>
                <w:color w:val="000000"/>
                <w:sz w:val="21"/>
                <w:szCs w:val="21"/>
                <w:lang w:eastAsia="en-AU"/>
              </w:rPr>
            </w:pPr>
            <w:r w:rsidRPr="008D66C4">
              <w:rPr>
                <w:rFonts w:ascii="Arial Narrow" w:eastAsia="Times New Roman" w:hAnsi="Arial Narrow" w:cs="Arial"/>
                <w:b/>
                <w:bCs/>
                <w:color w:val="000000"/>
                <w:sz w:val="21"/>
                <w:szCs w:val="21"/>
                <w:lang w:eastAsia="en-AU"/>
              </w:rPr>
              <w:t>2012</w:t>
            </w:r>
          </w:p>
        </w:tc>
        <w:tc>
          <w:tcPr>
            <w:tcW w:w="845" w:type="dxa"/>
            <w:tcBorders>
              <w:top w:val="single" w:sz="8" w:space="0" w:color="auto"/>
              <w:left w:val="nil"/>
              <w:bottom w:val="single" w:sz="8" w:space="0" w:color="auto"/>
              <w:right w:val="single" w:sz="8" w:space="0" w:color="auto"/>
            </w:tcBorders>
            <w:shd w:val="clear" w:color="000000" w:fill="BFBFBF"/>
            <w:noWrap/>
            <w:vAlign w:val="center"/>
            <w:hideMark/>
          </w:tcPr>
          <w:p w14:paraId="0E7D4292" w14:textId="77777777" w:rsidR="00B85972" w:rsidRPr="008D66C4" w:rsidRDefault="00B85972" w:rsidP="00AA3B67">
            <w:pPr>
              <w:jc w:val="center"/>
              <w:rPr>
                <w:rFonts w:ascii="Arial Narrow" w:eastAsia="Times New Roman" w:hAnsi="Arial Narrow" w:cs="Arial"/>
                <w:b/>
                <w:bCs/>
                <w:color w:val="000000"/>
                <w:sz w:val="21"/>
                <w:szCs w:val="21"/>
                <w:lang w:eastAsia="en-AU"/>
              </w:rPr>
            </w:pPr>
            <w:r w:rsidRPr="008D66C4">
              <w:rPr>
                <w:rFonts w:ascii="Arial Narrow" w:eastAsia="Times New Roman" w:hAnsi="Arial Narrow" w:cs="Arial"/>
                <w:b/>
                <w:bCs/>
                <w:color w:val="000000"/>
                <w:sz w:val="21"/>
                <w:szCs w:val="21"/>
                <w:lang w:eastAsia="en-AU"/>
              </w:rPr>
              <w:t>2013</w:t>
            </w:r>
          </w:p>
        </w:tc>
        <w:tc>
          <w:tcPr>
            <w:tcW w:w="845" w:type="dxa"/>
            <w:tcBorders>
              <w:top w:val="single" w:sz="8" w:space="0" w:color="auto"/>
              <w:left w:val="nil"/>
              <w:bottom w:val="single" w:sz="8" w:space="0" w:color="auto"/>
              <w:right w:val="single" w:sz="8" w:space="0" w:color="auto"/>
            </w:tcBorders>
            <w:shd w:val="clear" w:color="000000" w:fill="BFBFBF"/>
            <w:noWrap/>
            <w:vAlign w:val="center"/>
            <w:hideMark/>
          </w:tcPr>
          <w:p w14:paraId="766F8140" w14:textId="77777777" w:rsidR="00B85972" w:rsidRPr="008D66C4" w:rsidRDefault="00B85972" w:rsidP="00AA3B67">
            <w:pPr>
              <w:jc w:val="center"/>
              <w:rPr>
                <w:rFonts w:ascii="Arial Narrow" w:eastAsia="Times New Roman" w:hAnsi="Arial Narrow" w:cs="Arial"/>
                <w:b/>
                <w:bCs/>
                <w:color w:val="000000"/>
                <w:sz w:val="21"/>
                <w:szCs w:val="21"/>
                <w:lang w:eastAsia="en-AU"/>
              </w:rPr>
            </w:pPr>
            <w:r w:rsidRPr="008D66C4">
              <w:rPr>
                <w:rFonts w:ascii="Arial Narrow" w:eastAsia="Times New Roman" w:hAnsi="Arial Narrow" w:cs="Arial"/>
                <w:b/>
                <w:bCs/>
                <w:color w:val="000000"/>
                <w:sz w:val="21"/>
                <w:szCs w:val="21"/>
                <w:lang w:eastAsia="en-AU"/>
              </w:rPr>
              <w:t>2014</w:t>
            </w:r>
          </w:p>
        </w:tc>
        <w:tc>
          <w:tcPr>
            <w:tcW w:w="845" w:type="dxa"/>
            <w:tcBorders>
              <w:top w:val="single" w:sz="8" w:space="0" w:color="auto"/>
              <w:left w:val="nil"/>
              <w:bottom w:val="single" w:sz="8" w:space="0" w:color="auto"/>
              <w:right w:val="single" w:sz="8" w:space="0" w:color="auto"/>
            </w:tcBorders>
            <w:shd w:val="clear" w:color="000000" w:fill="BFBFBF"/>
            <w:noWrap/>
            <w:vAlign w:val="center"/>
            <w:hideMark/>
          </w:tcPr>
          <w:p w14:paraId="2EBE6684" w14:textId="77777777" w:rsidR="00B85972" w:rsidRPr="008D66C4" w:rsidRDefault="00B85972" w:rsidP="00AA3B67">
            <w:pPr>
              <w:jc w:val="center"/>
              <w:rPr>
                <w:rFonts w:ascii="Arial Narrow" w:eastAsia="Times New Roman" w:hAnsi="Arial Narrow" w:cs="Arial"/>
                <w:b/>
                <w:bCs/>
                <w:color w:val="000000"/>
                <w:sz w:val="21"/>
                <w:szCs w:val="21"/>
                <w:lang w:eastAsia="en-AU"/>
              </w:rPr>
            </w:pPr>
            <w:r w:rsidRPr="008D66C4">
              <w:rPr>
                <w:rFonts w:ascii="Arial Narrow" w:eastAsia="Times New Roman" w:hAnsi="Arial Narrow" w:cs="Arial"/>
                <w:b/>
                <w:bCs/>
                <w:color w:val="000000"/>
                <w:sz w:val="21"/>
                <w:szCs w:val="21"/>
                <w:lang w:eastAsia="en-AU"/>
              </w:rPr>
              <w:t>2015</w:t>
            </w:r>
          </w:p>
        </w:tc>
        <w:tc>
          <w:tcPr>
            <w:tcW w:w="845" w:type="dxa"/>
            <w:tcBorders>
              <w:top w:val="single" w:sz="8" w:space="0" w:color="auto"/>
              <w:left w:val="nil"/>
              <w:bottom w:val="single" w:sz="8" w:space="0" w:color="auto"/>
              <w:right w:val="single" w:sz="8" w:space="0" w:color="auto"/>
            </w:tcBorders>
            <w:shd w:val="clear" w:color="000000" w:fill="BFBFBF"/>
            <w:noWrap/>
            <w:vAlign w:val="center"/>
            <w:hideMark/>
          </w:tcPr>
          <w:p w14:paraId="596FAFF1" w14:textId="77777777" w:rsidR="00B85972" w:rsidRPr="008D66C4" w:rsidRDefault="00B85972" w:rsidP="00AA3B67">
            <w:pPr>
              <w:jc w:val="center"/>
              <w:rPr>
                <w:rFonts w:ascii="Arial Narrow" w:eastAsia="Times New Roman" w:hAnsi="Arial Narrow" w:cs="Arial"/>
                <w:b/>
                <w:bCs/>
                <w:color w:val="000000"/>
                <w:sz w:val="21"/>
                <w:szCs w:val="21"/>
                <w:lang w:eastAsia="en-AU"/>
              </w:rPr>
            </w:pPr>
            <w:r w:rsidRPr="008D66C4">
              <w:rPr>
                <w:rFonts w:ascii="Arial Narrow" w:eastAsia="Times New Roman" w:hAnsi="Arial Narrow" w:cs="Arial"/>
                <w:b/>
                <w:bCs/>
                <w:color w:val="000000"/>
                <w:sz w:val="21"/>
                <w:szCs w:val="21"/>
                <w:lang w:eastAsia="en-AU"/>
              </w:rPr>
              <w:t>2016</w:t>
            </w:r>
          </w:p>
        </w:tc>
      </w:tr>
      <w:tr w:rsidR="005B7F33" w:rsidRPr="005D7FCE" w14:paraId="28AF192C" w14:textId="77777777" w:rsidTr="0084308F">
        <w:trPr>
          <w:trHeight w:val="142"/>
        </w:trPr>
        <w:tc>
          <w:tcPr>
            <w:tcW w:w="149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50460A" w14:textId="77777777" w:rsidR="005B7F33" w:rsidRPr="008D66C4" w:rsidRDefault="005B7F33" w:rsidP="005B7F33">
            <w:pPr>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Within COPD-X guidelines</w:t>
            </w:r>
          </w:p>
        </w:tc>
        <w:tc>
          <w:tcPr>
            <w:tcW w:w="2213" w:type="dxa"/>
            <w:tcBorders>
              <w:top w:val="nil"/>
              <w:left w:val="nil"/>
              <w:bottom w:val="single" w:sz="8" w:space="0" w:color="auto"/>
              <w:right w:val="single" w:sz="8" w:space="0" w:color="auto"/>
            </w:tcBorders>
            <w:shd w:val="clear" w:color="auto" w:fill="auto"/>
            <w:noWrap/>
            <w:vAlign w:val="center"/>
            <w:hideMark/>
          </w:tcPr>
          <w:p w14:paraId="459BE2F8" w14:textId="77777777"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LAMA</w:t>
            </w:r>
          </w:p>
        </w:tc>
        <w:tc>
          <w:tcPr>
            <w:tcW w:w="845" w:type="dxa"/>
            <w:tcBorders>
              <w:top w:val="nil"/>
              <w:left w:val="nil"/>
              <w:bottom w:val="single" w:sz="8" w:space="0" w:color="auto"/>
              <w:right w:val="single" w:sz="8" w:space="0" w:color="auto"/>
            </w:tcBorders>
            <w:shd w:val="clear" w:color="auto" w:fill="auto"/>
            <w:noWrap/>
            <w:vAlign w:val="center"/>
            <w:hideMark/>
          </w:tcPr>
          <w:p w14:paraId="085F2F52" w14:textId="6795DA2A"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86.70%</w:t>
            </w:r>
          </w:p>
        </w:tc>
        <w:tc>
          <w:tcPr>
            <w:tcW w:w="845" w:type="dxa"/>
            <w:tcBorders>
              <w:top w:val="nil"/>
              <w:left w:val="nil"/>
              <w:bottom w:val="single" w:sz="8" w:space="0" w:color="auto"/>
              <w:right w:val="single" w:sz="8" w:space="0" w:color="auto"/>
            </w:tcBorders>
            <w:shd w:val="clear" w:color="auto" w:fill="auto"/>
            <w:noWrap/>
            <w:vAlign w:val="center"/>
            <w:hideMark/>
          </w:tcPr>
          <w:p w14:paraId="46A70D7E" w14:textId="6AFC881D"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85.51%</w:t>
            </w:r>
          </w:p>
        </w:tc>
        <w:tc>
          <w:tcPr>
            <w:tcW w:w="845" w:type="dxa"/>
            <w:tcBorders>
              <w:top w:val="nil"/>
              <w:left w:val="nil"/>
              <w:bottom w:val="single" w:sz="8" w:space="0" w:color="auto"/>
              <w:right w:val="single" w:sz="8" w:space="0" w:color="auto"/>
            </w:tcBorders>
            <w:shd w:val="clear" w:color="auto" w:fill="auto"/>
            <w:noWrap/>
            <w:vAlign w:val="center"/>
            <w:hideMark/>
          </w:tcPr>
          <w:p w14:paraId="11BD772A" w14:textId="6B1B3114"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75.38%</w:t>
            </w:r>
          </w:p>
        </w:tc>
        <w:tc>
          <w:tcPr>
            <w:tcW w:w="845" w:type="dxa"/>
            <w:tcBorders>
              <w:top w:val="nil"/>
              <w:left w:val="nil"/>
              <w:bottom w:val="single" w:sz="8" w:space="0" w:color="auto"/>
              <w:right w:val="single" w:sz="8" w:space="0" w:color="auto"/>
            </w:tcBorders>
            <w:shd w:val="clear" w:color="auto" w:fill="auto"/>
            <w:noWrap/>
            <w:vAlign w:val="center"/>
            <w:hideMark/>
          </w:tcPr>
          <w:p w14:paraId="2C913850" w14:textId="08943D43"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74.48%</w:t>
            </w:r>
          </w:p>
        </w:tc>
        <w:tc>
          <w:tcPr>
            <w:tcW w:w="845" w:type="dxa"/>
            <w:tcBorders>
              <w:top w:val="nil"/>
              <w:left w:val="nil"/>
              <w:bottom w:val="single" w:sz="8" w:space="0" w:color="auto"/>
              <w:right w:val="single" w:sz="8" w:space="0" w:color="auto"/>
            </w:tcBorders>
            <w:shd w:val="clear" w:color="auto" w:fill="auto"/>
            <w:noWrap/>
            <w:vAlign w:val="center"/>
            <w:hideMark/>
          </w:tcPr>
          <w:p w14:paraId="5A2A156D" w14:textId="0143249D"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76.59%</w:t>
            </w:r>
          </w:p>
        </w:tc>
        <w:tc>
          <w:tcPr>
            <w:tcW w:w="845" w:type="dxa"/>
            <w:tcBorders>
              <w:top w:val="nil"/>
              <w:left w:val="nil"/>
              <w:bottom w:val="single" w:sz="8" w:space="0" w:color="auto"/>
              <w:right w:val="single" w:sz="8" w:space="0" w:color="auto"/>
            </w:tcBorders>
            <w:shd w:val="clear" w:color="auto" w:fill="auto"/>
            <w:noWrap/>
            <w:vAlign w:val="center"/>
            <w:hideMark/>
          </w:tcPr>
          <w:p w14:paraId="1B84D190" w14:textId="41EBF7E0"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73.61%</w:t>
            </w:r>
          </w:p>
        </w:tc>
        <w:tc>
          <w:tcPr>
            <w:tcW w:w="845" w:type="dxa"/>
            <w:tcBorders>
              <w:top w:val="nil"/>
              <w:left w:val="nil"/>
              <w:bottom w:val="single" w:sz="8" w:space="0" w:color="auto"/>
              <w:right w:val="single" w:sz="8" w:space="0" w:color="auto"/>
            </w:tcBorders>
            <w:shd w:val="clear" w:color="auto" w:fill="auto"/>
            <w:noWrap/>
            <w:vAlign w:val="center"/>
            <w:hideMark/>
          </w:tcPr>
          <w:p w14:paraId="5168486B" w14:textId="21E7F15C"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70.62%</w:t>
            </w:r>
          </w:p>
        </w:tc>
      </w:tr>
      <w:tr w:rsidR="005B7F33" w:rsidRPr="005D7FCE" w14:paraId="375F8BAC" w14:textId="77777777" w:rsidTr="0084308F">
        <w:trPr>
          <w:trHeight w:val="142"/>
        </w:trPr>
        <w:tc>
          <w:tcPr>
            <w:tcW w:w="1490" w:type="dxa"/>
            <w:vMerge/>
            <w:tcBorders>
              <w:top w:val="nil"/>
              <w:left w:val="single" w:sz="8" w:space="0" w:color="auto"/>
              <w:bottom w:val="single" w:sz="8" w:space="0" w:color="000000"/>
              <w:right w:val="single" w:sz="8" w:space="0" w:color="auto"/>
            </w:tcBorders>
            <w:vAlign w:val="center"/>
            <w:hideMark/>
          </w:tcPr>
          <w:p w14:paraId="606580D4"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8" w:space="0" w:color="auto"/>
              <w:right w:val="single" w:sz="8" w:space="0" w:color="auto"/>
            </w:tcBorders>
            <w:shd w:val="clear" w:color="auto" w:fill="auto"/>
            <w:noWrap/>
            <w:vAlign w:val="center"/>
            <w:hideMark/>
          </w:tcPr>
          <w:p w14:paraId="310C28AC" w14:textId="77777777"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LABA</w:t>
            </w:r>
          </w:p>
        </w:tc>
        <w:tc>
          <w:tcPr>
            <w:tcW w:w="845" w:type="dxa"/>
            <w:tcBorders>
              <w:top w:val="nil"/>
              <w:left w:val="nil"/>
              <w:bottom w:val="single" w:sz="8" w:space="0" w:color="auto"/>
              <w:right w:val="single" w:sz="8" w:space="0" w:color="auto"/>
            </w:tcBorders>
            <w:shd w:val="clear" w:color="auto" w:fill="auto"/>
            <w:noWrap/>
            <w:vAlign w:val="center"/>
            <w:hideMark/>
          </w:tcPr>
          <w:p w14:paraId="3A81184A" w14:textId="0FB23209"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0.10%</w:t>
            </w:r>
          </w:p>
        </w:tc>
        <w:tc>
          <w:tcPr>
            <w:tcW w:w="845" w:type="dxa"/>
            <w:tcBorders>
              <w:top w:val="nil"/>
              <w:left w:val="nil"/>
              <w:bottom w:val="single" w:sz="8" w:space="0" w:color="auto"/>
              <w:right w:val="single" w:sz="8" w:space="0" w:color="auto"/>
            </w:tcBorders>
            <w:shd w:val="clear" w:color="auto" w:fill="auto"/>
            <w:noWrap/>
            <w:vAlign w:val="center"/>
            <w:hideMark/>
          </w:tcPr>
          <w:p w14:paraId="058DA581" w14:textId="3826694C"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0.62%</w:t>
            </w:r>
          </w:p>
        </w:tc>
        <w:tc>
          <w:tcPr>
            <w:tcW w:w="845" w:type="dxa"/>
            <w:tcBorders>
              <w:top w:val="nil"/>
              <w:left w:val="nil"/>
              <w:bottom w:val="single" w:sz="8" w:space="0" w:color="auto"/>
              <w:right w:val="single" w:sz="8" w:space="0" w:color="auto"/>
            </w:tcBorders>
            <w:shd w:val="clear" w:color="auto" w:fill="auto"/>
            <w:noWrap/>
            <w:vAlign w:val="center"/>
            <w:hideMark/>
          </w:tcPr>
          <w:p w14:paraId="2612F871" w14:textId="527A008A"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8.76%</w:t>
            </w:r>
          </w:p>
        </w:tc>
        <w:tc>
          <w:tcPr>
            <w:tcW w:w="845" w:type="dxa"/>
            <w:tcBorders>
              <w:top w:val="nil"/>
              <w:left w:val="nil"/>
              <w:bottom w:val="single" w:sz="8" w:space="0" w:color="auto"/>
              <w:right w:val="single" w:sz="8" w:space="0" w:color="auto"/>
            </w:tcBorders>
            <w:shd w:val="clear" w:color="auto" w:fill="auto"/>
            <w:noWrap/>
            <w:vAlign w:val="center"/>
            <w:hideMark/>
          </w:tcPr>
          <w:p w14:paraId="40D1D1D4" w14:textId="43373882"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9.16%</w:t>
            </w:r>
          </w:p>
        </w:tc>
        <w:tc>
          <w:tcPr>
            <w:tcW w:w="845" w:type="dxa"/>
            <w:tcBorders>
              <w:top w:val="nil"/>
              <w:left w:val="nil"/>
              <w:bottom w:val="single" w:sz="8" w:space="0" w:color="auto"/>
              <w:right w:val="single" w:sz="8" w:space="0" w:color="auto"/>
            </w:tcBorders>
            <w:shd w:val="clear" w:color="auto" w:fill="auto"/>
            <w:noWrap/>
            <w:vAlign w:val="center"/>
            <w:hideMark/>
          </w:tcPr>
          <w:p w14:paraId="4C6B967E" w14:textId="17A8D99F"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6.54%</w:t>
            </w:r>
          </w:p>
        </w:tc>
        <w:tc>
          <w:tcPr>
            <w:tcW w:w="845" w:type="dxa"/>
            <w:tcBorders>
              <w:top w:val="nil"/>
              <w:left w:val="nil"/>
              <w:bottom w:val="single" w:sz="8" w:space="0" w:color="auto"/>
              <w:right w:val="single" w:sz="8" w:space="0" w:color="auto"/>
            </w:tcBorders>
            <w:shd w:val="clear" w:color="auto" w:fill="auto"/>
            <w:noWrap/>
            <w:vAlign w:val="center"/>
            <w:hideMark/>
          </w:tcPr>
          <w:p w14:paraId="56794FDD" w14:textId="0A42B2C3"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4.88%</w:t>
            </w:r>
          </w:p>
        </w:tc>
        <w:tc>
          <w:tcPr>
            <w:tcW w:w="845" w:type="dxa"/>
            <w:tcBorders>
              <w:top w:val="nil"/>
              <w:left w:val="nil"/>
              <w:bottom w:val="single" w:sz="8" w:space="0" w:color="auto"/>
              <w:right w:val="single" w:sz="8" w:space="0" w:color="auto"/>
            </w:tcBorders>
            <w:shd w:val="clear" w:color="auto" w:fill="auto"/>
            <w:noWrap/>
            <w:vAlign w:val="center"/>
            <w:hideMark/>
          </w:tcPr>
          <w:p w14:paraId="06F9C74D" w14:textId="4B7CBA99"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3.71%</w:t>
            </w:r>
          </w:p>
        </w:tc>
      </w:tr>
      <w:tr w:rsidR="005B7F33" w:rsidRPr="005D7FCE" w14:paraId="27AF9B53" w14:textId="77777777" w:rsidTr="0084308F">
        <w:trPr>
          <w:trHeight w:val="142"/>
        </w:trPr>
        <w:tc>
          <w:tcPr>
            <w:tcW w:w="1490" w:type="dxa"/>
            <w:vMerge/>
            <w:tcBorders>
              <w:top w:val="nil"/>
              <w:left w:val="single" w:sz="8" w:space="0" w:color="auto"/>
              <w:bottom w:val="single" w:sz="8" w:space="0" w:color="000000"/>
              <w:right w:val="single" w:sz="8" w:space="0" w:color="auto"/>
            </w:tcBorders>
            <w:vAlign w:val="center"/>
            <w:hideMark/>
          </w:tcPr>
          <w:p w14:paraId="677E0FE3"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8" w:space="0" w:color="auto"/>
              <w:right w:val="single" w:sz="8" w:space="0" w:color="auto"/>
            </w:tcBorders>
            <w:shd w:val="clear" w:color="000000" w:fill="D9D9D9"/>
            <w:noWrap/>
            <w:vAlign w:val="center"/>
            <w:hideMark/>
          </w:tcPr>
          <w:p w14:paraId="6A345F77" w14:textId="77777777" w:rsidR="005B7F33" w:rsidRPr="008D66C4" w:rsidRDefault="005B7F33" w:rsidP="005B7F33">
            <w:pPr>
              <w:rPr>
                <w:rFonts w:ascii="Arial Narrow" w:eastAsia="Times New Roman" w:hAnsi="Arial Narrow" w:cs="Arial"/>
                <w:b/>
                <w:bCs/>
                <w:i/>
                <w:iCs/>
                <w:color w:val="000000"/>
                <w:sz w:val="21"/>
                <w:szCs w:val="21"/>
                <w:lang w:eastAsia="en-AU"/>
              </w:rPr>
            </w:pPr>
            <w:r w:rsidRPr="008D66C4">
              <w:rPr>
                <w:rFonts w:ascii="Arial Narrow" w:hAnsi="Arial Narrow" w:cs="Arial"/>
                <w:b/>
                <w:bCs/>
                <w:i/>
                <w:iCs/>
                <w:color w:val="000000"/>
                <w:sz w:val="21"/>
                <w:szCs w:val="21"/>
              </w:rPr>
              <w:t>Total</w:t>
            </w:r>
          </w:p>
        </w:tc>
        <w:tc>
          <w:tcPr>
            <w:tcW w:w="845" w:type="dxa"/>
            <w:tcBorders>
              <w:top w:val="nil"/>
              <w:left w:val="nil"/>
              <w:bottom w:val="single" w:sz="8" w:space="0" w:color="auto"/>
              <w:right w:val="single" w:sz="8" w:space="0" w:color="auto"/>
            </w:tcBorders>
            <w:shd w:val="clear" w:color="000000" w:fill="D9D9D9"/>
            <w:noWrap/>
            <w:vAlign w:val="center"/>
            <w:hideMark/>
          </w:tcPr>
          <w:p w14:paraId="763F3690" w14:textId="6828476B"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86.80%</w:t>
            </w:r>
          </w:p>
        </w:tc>
        <w:tc>
          <w:tcPr>
            <w:tcW w:w="845" w:type="dxa"/>
            <w:tcBorders>
              <w:top w:val="nil"/>
              <w:left w:val="nil"/>
              <w:bottom w:val="single" w:sz="8" w:space="0" w:color="auto"/>
              <w:right w:val="single" w:sz="8" w:space="0" w:color="auto"/>
            </w:tcBorders>
            <w:shd w:val="clear" w:color="000000" w:fill="D9D9D9"/>
            <w:noWrap/>
            <w:vAlign w:val="center"/>
            <w:hideMark/>
          </w:tcPr>
          <w:p w14:paraId="721D2673" w14:textId="40BD716B"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86.13%</w:t>
            </w:r>
          </w:p>
        </w:tc>
        <w:tc>
          <w:tcPr>
            <w:tcW w:w="845" w:type="dxa"/>
            <w:tcBorders>
              <w:top w:val="nil"/>
              <w:left w:val="nil"/>
              <w:bottom w:val="single" w:sz="8" w:space="0" w:color="auto"/>
              <w:right w:val="single" w:sz="8" w:space="0" w:color="auto"/>
            </w:tcBorders>
            <w:shd w:val="clear" w:color="000000" w:fill="D9D9D9"/>
            <w:noWrap/>
            <w:vAlign w:val="center"/>
            <w:hideMark/>
          </w:tcPr>
          <w:p w14:paraId="6358F898" w14:textId="40625383"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84.14%</w:t>
            </w:r>
          </w:p>
        </w:tc>
        <w:tc>
          <w:tcPr>
            <w:tcW w:w="845" w:type="dxa"/>
            <w:tcBorders>
              <w:top w:val="nil"/>
              <w:left w:val="nil"/>
              <w:bottom w:val="single" w:sz="8" w:space="0" w:color="auto"/>
              <w:right w:val="single" w:sz="8" w:space="0" w:color="auto"/>
            </w:tcBorders>
            <w:shd w:val="clear" w:color="000000" w:fill="D9D9D9"/>
            <w:noWrap/>
            <w:vAlign w:val="center"/>
            <w:hideMark/>
          </w:tcPr>
          <w:p w14:paraId="6745D1EF" w14:textId="57A67EA7"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83.63%</w:t>
            </w:r>
          </w:p>
        </w:tc>
        <w:tc>
          <w:tcPr>
            <w:tcW w:w="845" w:type="dxa"/>
            <w:tcBorders>
              <w:top w:val="nil"/>
              <w:left w:val="nil"/>
              <w:bottom w:val="single" w:sz="8" w:space="0" w:color="auto"/>
              <w:right w:val="single" w:sz="8" w:space="0" w:color="auto"/>
            </w:tcBorders>
            <w:shd w:val="clear" w:color="000000" w:fill="D9D9D9"/>
            <w:noWrap/>
            <w:vAlign w:val="center"/>
            <w:hideMark/>
          </w:tcPr>
          <w:p w14:paraId="7C939B2E" w14:textId="568293A8"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83.13%</w:t>
            </w:r>
          </w:p>
        </w:tc>
        <w:tc>
          <w:tcPr>
            <w:tcW w:w="845" w:type="dxa"/>
            <w:tcBorders>
              <w:top w:val="nil"/>
              <w:left w:val="nil"/>
              <w:bottom w:val="single" w:sz="8" w:space="0" w:color="auto"/>
              <w:right w:val="single" w:sz="8" w:space="0" w:color="auto"/>
            </w:tcBorders>
            <w:shd w:val="clear" w:color="000000" w:fill="D9D9D9"/>
            <w:noWrap/>
            <w:vAlign w:val="center"/>
            <w:hideMark/>
          </w:tcPr>
          <w:p w14:paraId="45B5405A" w14:textId="1CC6977F"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78.49%</w:t>
            </w:r>
          </w:p>
        </w:tc>
        <w:tc>
          <w:tcPr>
            <w:tcW w:w="845" w:type="dxa"/>
            <w:tcBorders>
              <w:top w:val="nil"/>
              <w:left w:val="nil"/>
              <w:bottom w:val="single" w:sz="8" w:space="0" w:color="auto"/>
              <w:right w:val="single" w:sz="8" w:space="0" w:color="auto"/>
            </w:tcBorders>
            <w:shd w:val="clear" w:color="000000" w:fill="D9D9D9"/>
            <w:noWrap/>
            <w:vAlign w:val="center"/>
            <w:hideMark/>
          </w:tcPr>
          <w:p w14:paraId="55729449" w14:textId="0CA9361F"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74.33%</w:t>
            </w:r>
          </w:p>
        </w:tc>
      </w:tr>
      <w:tr w:rsidR="005B7F33" w:rsidRPr="005D7FCE" w14:paraId="101928A3" w14:textId="77777777" w:rsidTr="0084308F">
        <w:trPr>
          <w:trHeight w:val="142"/>
        </w:trPr>
        <w:tc>
          <w:tcPr>
            <w:tcW w:w="149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16E67AB9" w14:textId="77777777" w:rsidR="005B7F33" w:rsidRPr="008D66C4" w:rsidRDefault="005B7F33" w:rsidP="005B7F33">
            <w:pPr>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Outside COPD-X guidelines</w:t>
            </w:r>
          </w:p>
        </w:tc>
        <w:tc>
          <w:tcPr>
            <w:tcW w:w="2213" w:type="dxa"/>
            <w:tcBorders>
              <w:top w:val="nil"/>
              <w:left w:val="nil"/>
              <w:bottom w:val="single" w:sz="8" w:space="0" w:color="auto"/>
              <w:right w:val="single" w:sz="8" w:space="0" w:color="auto"/>
            </w:tcBorders>
            <w:shd w:val="clear" w:color="auto" w:fill="auto"/>
            <w:noWrap/>
            <w:vAlign w:val="center"/>
            <w:hideMark/>
          </w:tcPr>
          <w:p w14:paraId="22FECE32" w14:textId="33EA607B"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ICS/LABA with LAMA</w:t>
            </w:r>
          </w:p>
        </w:tc>
        <w:tc>
          <w:tcPr>
            <w:tcW w:w="845" w:type="dxa"/>
            <w:tcBorders>
              <w:top w:val="nil"/>
              <w:left w:val="nil"/>
              <w:bottom w:val="single" w:sz="8" w:space="0" w:color="auto"/>
              <w:right w:val="single" w:sz="8" w:space="0" w:color="auto"/>
            </w:tcBorders>
            <w:shd w:val="clear" w:color="auto" w:fill="auto"/>
            <w:noWrap/>
            <w:vAlign w:val="center"/>
            <w:hideMark/>
          </w:tcPr>
          <w:p w14:paraId="2439167A" w14:textId="2AC6C7C4"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13.06%</w:t>
            </w:r>
          </w:p>
        </w:tc>
        <w:tc>
          <w:tcPr>
            <w:tcW w:w="845" w:type="dxa"/>
            <w:tcBorders>
              <w:top w:val="nil"/>
              <w:left w:val="nil"/>
              <w:bottom w:val="single" w:sz="8" w:space="0" w:color="auto"/>
              <w:right w:val="single" w:sz="8" w:space="0" w:color="auto"/>
            </w:tcBorders>
            <w:shd w:val="clear" w:color="auto" w:fill="auto"/>
            <w:noWrap/>
            <w:vAlign w:val="center"/>
            <w:hideMark/>
          </w:tcPr>
          <w:p w14:paraId="3D2016A5" w14:textId="0AF88CC7"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13.66%</w:t>
            </w:r>
          </w:p>
        </w:tc>
        <w:tc>
          <w:tcPr>
            <w:tcW w:w="845" w:type="dxa"/>
            <w:tcBorders>
              <w:top w:val="nil"/>
              <w:left w:val="nil"/>
              <w:bottom w:val="single" w:sz="8" w:space="0" w:color="auto"/>
              <w:right w:val="single" w:sz="8" w:space="0" w:color="auto"/>
            </w:tcBorders>
            <w:shd w:val="clear" w:color="auto" w:fill="auto"/>
            <w:noWrap/>
            <w:vAlign w:val="center"/>
            <w:hideMark/>
          </w:tcPr>
          <w:p w14:paraId="131186FE" w14:textId="5CAB33E8"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13.74%</w:t>
            </w:r>
          </w:p>
        </w:tc>
        <w:tc>
          <w:tcPr>
            <w:tcW w:w="845" w:type="dxa"/>
            <w:tcBorders>
              <w:top w:val="nil"/>
              <w:left w:val="nil"/>
              <w:bottom w:val="single" w:sz="8" w:space="0" w:color="auto"/>
              <w:right w:val="single" w:sz="8" w:space="0" w:color="auto"/>
            </w:tcBorders>
            <w:shd w:val="clear" w:color="auto" w:fill="auto"/>
            <w:noWrap/>
            <w:vAlign w:val="center"/>
            <w:hideMark/>
          </w:tcPr>
          <w:p w14:paraId="227489F4" w14:textId="41A75F24"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13.34%</w:t>
            </w:r>
          </w:p>
        </w:tc>
        <w:tc>
          <w:tcPr>
            <w:tcW w:w="845" w:type="dxa"/>
            <w:tcBorders>
              <w:top w:val="nil"/>
              <w:left w:val="nil"/>
              <w:bottom w:val="single" w:sz="8" w:space="0" w:color="auto"/>
              <w:right w:val="single" w:sz="8" w:space="0" w:color="auto"/>
            </w:tcBorders>
            <w:shd w:val="clear" w:color="auto" w:fill="auto"/>
            <w:noWrap/>
            <w:vAlign w:val="center"/>
            <w:hideMark/>
          </w:tcPr>
          <w:p w14:paraId="6BDD1AA6" w14:textId="26DE4B1A" w:rsidR="005B7F33" w:rsidRPr="00054730" w:rsidRDefault="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12.3</w:t>
            </w:r>
            <w:r w:rsidR="003153CF" w:rsidRPr="00054730">
              <w:rPr>
                <w:rFonts w:ascii="Arial Narrow" w:hAnsi="Arial Narrow" w:cs="Arial"/>
                <w:color w:val="000000"/>
                <w:sz w:val="21"/>
                <w:szCs w:val="21"/>
              </w:rPr>
              <w:t>7</w:t>
            </w:r>
            <w:r w:rsidRPr="00054730">
              <w:rPr>
                <w:rFonts w:ascii="Arial Narrow" w:hAnsi="Arial Narrow" w:cs="Arial"/>
                <w:color w:val="000000"/>
                <w:sz w:val="21"/>
                <w:szCs w:val="21"/>
              </w:rPr>
              <w:t>%</w:t>
            </w:r>
          </w:p>
        </w:tc>
        <w:tc>
          <w:tcPr>
            <w:tcW w:w="845" w:type="dxa"/>
            <w:tcBorders>
              <w:top w:val="nil"/>
              <w:left w:val="nil"/>
              <w:bottom w:val="single" w:sz="8" w:space="0" w:color="auto"/>
              <w:right w:val="single" w:sz="8" w:space="0" w:color="auto"/>
            </w:tcBorders>
            <w:shd w:val="clear" w:color="auto" w:fill="auto"/>
            <w:noWrap/>
            <w:vAlign w:val="center"/>
            <w:hideMark/>
          </w:tcPr>
          <w:p w14:paraId="1C54374F" w14:textId="7E58E2C6"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10.23%</w:t>
            </w:r>
          </w:p>
        </w:tc>
        <w:tc>
          <w:tcPr>
            <w:tcW w:w="845" w:type="dxa"/>
            <w:tcBorders>
              <w:top w:val="nil"/>
              <w:left w:val="nil"/>
              <w:bottom w:val="single" w:sz="8" w:space="0" w:color="auto"/>
              <w:right w:val="single" w:sz="8" w:space="0" w:color="auto"/>
            </w:tcBorders>
            <w:shd w:val="clear" w:color="auto" w:fill="auto"/>
            <w:noWrap/>
            <w:vAlign w:val="center"/>
            <w:hideMark/>
          </w:tcPr>
          <w:p w14:paraId="65DAA5D7" w14:textId="3DBB4F2C"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8.29%</w:t>
            </w:r>
          </w:p>
        </w:tc>
      </w:tr>
      <w:tr w:rsidR="005B7F33" w:rsidRPr="005D7FCE" w14:paraId="09119E00" w14:textId="77777777" w:rsidTr="0084308F">
        <w:trPr>
          <w:trHeight w:val="142"/>
        </w:trPr>
        <w:tc>
          <w:tcPr>
            <w:tcW w:w="1490" w:type="dxa"/>
            <w:vMerge/>
            <w:tcBorders>
              <w:top w:val="nil"/>
              <w:left w:val="single" w:sz="8" w:space="0" w:color="auto"/>
              <w:bottom w:val="single" w:sz="8" w:space="0" w:color="000000"/>
              <w:right w:val="single" w:sz="8" w:space="0" w:color="auto"/>
            </w:tcBorders>
            <w:vAlign w:val="center"/>
            <w:hideMark/>
          </w:tcPr>
          <w:p w14:paraId="3038AE89"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8" w:space="0" w:color="auto"/>
              <w:right w:val="single" w:sz="8" w:space="0" w:color="auto"/>
            </w:tcBorders>
            <w:shd w:val="clear" w:color="auto" w:fill="auto"/>
            <w:noWrap/>
            <w:vAlign w:val="center"/>
            <w:hideMark/>
          </w:tcPr>
          <w:p w14:paraId="098C95E4" w14:textId="77777777"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LABA/LAMA</w:t>
            </w:r>
          </w:p>
        </w:tc>
        <w:tc>
          <w:tcPr>
            <w:tcW w:w="845" w:type="dxa"/>
            <w:tcBorders>
              <w:top w:val="nil"/>
              <w:left w:val="nil"/>
              <w:bottom w:val="single" w:sz="8" w:space="0" w:color="auto"/>
              <w:right w:val="single" w:sz="8" w:space="0" w:color="auto"/>
            </w:tcBorders>
            <w:shd w:val="clear" w:color="auto" w:fill="auto"/>
            <w:noWrap/>
            <w:vAlign w:val="center"/>
            <w:hideMark/>
          </w:tcPr>
          <w:p w14:paraId="715EF051" w14:textId="07A595F9"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0.05%</w:t>
            </w:r>
          </w:p>
        </w:tc>
        <w:tc>
          <w:tcPr>
            <w:tcW w:w="845" w:type="dxa"/>
            <w:tcBorders>
              <w:top w:val="nil"/>
              <w:left w:val="nil"/>
              <w:bottom w:val="single" w:sz="8" w:space="0" w:color="auto"/>
              <w:right w:val="single" w:sz="8" w:space="0" w:color="auto"/>
            </w:tcBorders>
            <w:shd w:val="clear" w:color="auto" w:fill="auto"/>
            <w:noWrap/>
            <w:vAlign w:val="center"/>
            <w:hideMark/>
          </w:tcPr>
          <w:p w14:paraId="62363EDF" w14:textId="542F923A"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0.07%</w:t>
            </w:r>
          </w:p>
        </w:tc>
        <w:tc>
          <w:tcPr>
            <w:tcW w:w="845" w:type="dxa"/>
            <w:tcBorders>
              <w:top w:val="nil"/>
              <w:left w:val="nil"/>
              <w:bottom w:val="single" w:sz="8" w:space="0" w:color="auto"/>
              <w:right w:val="single" w:sz="8" w:space="0" w:color="auto"/>
            </w:tcBorders>
            <w:shd w:val="clear" w:color="auto" w:fill="auto"/>
            <w:noWrap/>
            <w:vAlign w:val="center"/>
            <w:hideMark/>
          </w:tcPr>
          <w:p w14:paraId="5616DD22" w14:textId="4D31E2D4"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0.11%</w:t>
            </w:r>
          </w:p>
        </w:tc>
        <w:tc>
          <w:tcPr>
            <w:tcW w:w="845" w:type="dxa"/>
            <w:tcBorders>
              <w:top w:val="nil"/>
              <w:left w:val="nil"/>
              <w:bottom w:val="single" w:sz="8" w:space="0" w:color="auto"/>
              <w:right w:val="single" w:sz="8" w:space="0" w:color="auto"/>
            </w:tcBorders>
            <w:shd w:val="clear" w:color="auto" w:fill="auto"/>
            <w:noWrap/>
            <w:vAlign w:val="center"/>
            <w:hideMark/>
          </w:tcPr>
          <w:p w14:paraId="462E3F50" w14:textId="2AB59A62"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0.13%</w:t>
            </w:r>
          </w:p>
        </w:tc>
        <w:tc>
          <w:tcPr>
            <w:tcW w:w="845" w:type="dxa"/>
            <w:tcBorders>
              <w:top w:val="nil"/>
              <w:left w:val="nil"/>
              <w:bottom w:val="single" w:sz="8" w:space="0" w:color="auto"/>
              <w:right w:val="single" w:sz="8" w:space="0" w:color="auto"/>
            </w:tcBorders>
            <w:shd w:val="clear" w:color="auto" w:fill="auto"/>
            <w:noWrap/>
            <w:vAlign w:val="center"/>
            <w:hideMark/>
          </w:tcPr>
          <w:p w14:paraId="773FB15B" w14:textId="0A078362"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1.06%</w:t>
            </w:r>
          </w:p>
        </w:tc>
        <w:tc>
          <w:tcPr>
            <w:tcW w:w="845" w:type="dxa"/>
            <w:tcBorders>
              <w:top w:val="nil"/>
              <w:left w:val="nil"/>
              <w:bottom w:val="single" w:sz="8" w:space="0" w:color="auto"/>
              <w:right w:val="single" w:sz="8" w:space="0" w:color="auto"/>
            </w:tcBorders>
            <w:shd w:val="clear" w:color="auto" w:fill="auto"/>
            <w:noWrap/>
            <w:vAlign w:val="center"/>
            <w:hideMark/>
          </w:tcPr>
          <w:p w14:paraId="6183F355" w14:textId="7873ACDC"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8.97%</w:t>
            </w:r>
          </w:p>
        </w:tc>
        <w:tc>
          <w:tcPr>
            <w:tcW w:w="845" w:type="dxa"/>
            <w:tcBorders>
              <w:top w:val="nil"/>
              <w:left w:val="nil"/>
              <w:bottom w:val="single" w:sz="8" w:space="0" w:color="auto"/>
              <w:right w:val="single" w:sz="8" w:space="0" w:color="auto"/>
            </w:tcBorders>
            <w:shd w:val="clear" w:color="auto" w:fill="auto"/>
            <w:noWrap/>
            <w:vAlign w:val="center"/>
            <w:hideMark/>
          </w:tcPr>
          <w:p w14:paraId="1E1AE6B6" w14:textId="1BFDCEF5"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15.35%</w:t>
            </w:r>
          </w:p>
        </w:tc>
      </w:tr>
      <w:tr w:rsidR="005B7F33" w:rsidRPr="005D7FCE" w14:paraId="43274B4F" w14:textId="77777777" w:rsidTr="0084308F">
        <w:trPr>
          <w:trHeight w:val="142"/>
        </w:trPr>
        <w:tc>
          <w:tcPr>
            <w:tcW w:w="1490" w:type="dxa"/>
            <w:vMerge/>
            <w:tcBorders>
              <w:top w:val="nil"/>
              <w:left w:val="single" w:sz="8" w:space="0" w:color="auto"/>
              <w:bottom w:val="single" w:sz="8" w:space="0" w:color="000000"/>
              <w:right w:val="single" w:sz="8" w:space="0" w:color="auto"/>
            </w:tcBorders>
            <w:vAlign w:val="center"/>
            <w:hideMark/>
          </w:tcPr>
          <w:p w14:paraId="03E71D3A"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8" w:space="0" w:color="auto"/>
              <w:right w:val="single" w:sz="8" w:space="0" w:color="auto"/>
            </w:tcBorders>
            <w:shd w:val="clear" w:color="auto" w:fill="auto"/>
            <w:noWrap/>
            <w:vAlign w:val="center"/>
            <w:hideMark/>
          </w:tcPr>
          <w:p w14:paraId="5458E886" w14:textId="418414AB"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LABA with LAMA</w:t>
            </w:r>
          </w:p>
        </w:tc>
        <w:tc>
          <w:tcPr>
            <w:tcW w:w="845" w:type="dxa"/>
            <w:tcBorders>
              <w:top w:val="nil"/>
              <w:left w:val="nil"/>
              <w:bottom w:val="single" w:sz="8" w:space="0" w:color="auto"/>
              <w:right w:val="single" w:sz="8" w:space="0" w:color="auto"/>
            </w:tcBorders>
            <w:shd w:val="clear" w:color="auto" w:fill="auto"/>
            <w:noWrap/>
            <w:vAlign w:val="center"/>
            <w:hideMark/>
          </w:tcPr>
          <w:p w14:paraId="71DD4E31" w14:textId="5F1D2100"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0.02%</w:t>
            </w:r>
          </w:p>
        </w:tc>
        <w:tc>
          <w:tcPr>
            <w:tcW w:w="845" w:type="dxa"/>
            <w:tcBorders>
              <w:top w:val="nil"/>
              <w:left w:val="nil"/>
              <w:bottom w:val="single" w:sz="8" w:space="0" w:color="auto"/>
              <w:right w:val="single" w:sz="8" w:space="0" w:color="auto"/>
            </w:tcBorders>
            <w:shd w:val="clear" w:color="auto" w:fill="auto"/>
            <w:noWrap/>
            <w:vAlign w:val="center"/>
            <w:hideMark/>
          </w:tcPr>
          <w:p w14:paraId="520DB51F" w14:textId="2851E4DC"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0.08%</w:t>
            </w:r>
          </w:p>
        </w:tc>
        <w:tc>
          <w:tcPr>
            <w:tcW w:w="845" w:type="dxa"/>
            <w:tcBorders>
              <w:top w:val="nil"/>
              <w:left w:val="nil"/>
              <w:bottom w:val="single" w:sz="8" w:space="0" w:color="auto"/>
              <w:right w:val="single" w:sz="8" w:space="0" w:color="auto"/>
            </w:tcBorders>
            <w:shd w:val="clear" w:color="auto" w:fill="auto"/>
            <w:noWrap/>
            <w:vAlign w:val="center"/>
            <w:hideMark/>
          </w:tcPr>
          <w:p w14:paraId="72EA41E5" w14:textId="015DFC8D"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1.56%</w:t>
            </w:r>
          </w:p>
        </w:tc>
        <w:tc>
          <w:tcPr>
            <w:tcW w:w="845" w:type="dxa"/>
            <w:tcBorders>
              <w:top w:val="nil"/>
              <w:left w:val="nil"/>
              <w:bottom w:val="single" w:sz="8" w:space="0" w:color="auto"/>
              <w:right w:val="single" w:sz="8" w:space="0" w:color="auto"/>
            </w:tcBorders>
            <w:shd w:val="clear" w:color="auto" w:fill="auto"/>
            <w:noWrap/>
            <w:vAlign w:val="center"/>
            <w:hideMark/>
          </w:tcPr>
          <w:p w14:paraId="1FEEF404" w14:textId="74E04EC9"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2.47%</w:t>
            </w:r>
          </w:p>
        </w:tc>
        <w:tc>
          <w:tcPr>
            <w:tcW w:w="845" w:type="dxa"/>
            <w:tcBorders>
              <w:top w:val="nil"/>
              <w:left w:val="nil"/>
              <w:bottom w:val="single" w:sz="8" w:space="0" w:color="auto"/>
              <w:right w:val="single" w:sz="8" w:space="0" w:color="auto"/>
            </w:tcBorders>
            <w:shd w:val="clear" w:color="auto" w:fill="auto"/>
            <w:noWrap/>
            <w:vAlign w:val="center"/>
            <w:hideMark/>
          </w:tcPr>
          <w:p w14:paraId="2D1400D1" w14:textId="46B47513" w:rsidR="005B7F33" w:rsidRPr="00054730" w:rsidRDefault="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2.8</w:t>
            </w:r>
            <w:r w:rsidR="003153CF" w:rsidRPr="00054730">
              <w:rPr>
                <w:rFonts w:ascii="Arial Narrow" w:hAnsi="Arial Narrow" w:cs="Arial"/>
                <w:color w:val="000000"/>
                <w:sz w:val="21"/>
                <w:szCs w:val="21"/>
              </w:rPr>
              <w:t>5</w:t>
            </w:r>
            <w:r w:rsidRPr="00054730">
              <w:rPr>
                <w:rFonts w:ascii="Arial Narrow" w:hAnsi="Arial Narrow" w:cs="Arial"/>
                <w:color w:val="000000"/>
                <w:sz w:val="21"/>
                <w:szCs w:val="21"/>
              </w:rPr>
              <w:t>%</w:t>
            </w:r>
          </w:p>
        </w:tc>
        <w:tc>
          <w:tcPr>
            <w:tcW w:w="845" w:type="dxa"/>
            <w:tcBorders>
              <w:top w:val="nil"/>
              <w:left w:val="nil"/>
              <w:bottom w:val="single" w:sz="8" w:space="0" w:color="auto"/>
              <w:right w:val="single" w:sz="8" w:space="0" w:color="auto"/>
            </w:tcBorders>
            <w:shd w:val="clear" w:color="auto" w:fill="auto"/>
            <w:noWrap/>
            <w:vAlign w:val="center"/>
            <w:hideMark/>
          </w:tcPr>
          <w:p w14:paraId="737010B6" w14:textId="4F81B8DD"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1.48%</w:t>
            </w:r>
          </w:p>
        </w:tc>
        <w:tc>
          <w:tcPr>
            <w:tcW w:w="845" w:type="dxa"/>
            <w:tcBorders>
              <w:top w:val="nil"/>
              <w:left w:val="nil"/>
              <w:bottom w:val="single" w:sz="8" w:space="0" w:color="auto"/>
              <w:right w:val="single" w:sz="8" w:space="0" w:color="auto"/>
            </w:tcBorders>
            <w:shd w:val="clear" w:color="auto" w:fill="auto"/>
            <w:noWrap/>
            <w:vAlign w:val="center"/>
            <w:hideMark/>
          </w:tcPr>
          <w:p w14:paraId="2D3E1E90" w14:textId="495CD53E"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0.80%</w:t>
            </w:r>
          </w:p>
        </w:tc>
      </w:tr>
      <w:tr w:rsidR="005B7F33" w:rsidRPr="005D7FCE" w14:paraId="0322CD1D" w14:textId="77777777" w:rsidTr="0084308F">
        <w:trPr>
          <w:trHeight w:val="142"/>
        </w:trPr>
        <w:tc>
          <w:tcPr>
            <w:tcW w:w="1490" w:type="dxa"/>
            <w:vMerge/>
            <w:tcBorders>
              <w:top w:val="nil"/>
              <w:left w:val="single" w:sz="8" w:space="0" w:color="auto"/>
              <w:bottom w:val="single" w:sz="8" w:space="0" w:color="000000"/>
              <w:right w:val="single" w:sz="8" w:space="0" w:color="auto"/>
            </w:tcBorders>
            <w:vAlign w:val="center"/>
            <w:hideMark/>
          </w:tcPr>
          <w:p w14:paraId="5580FD19"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8" w:space="0" w:color="auto"/>
              <w:right w:val="single" w:sz="8" w:space="0" w:color="auto"/>
            </w:tcBorders>
            <w:shd w:val="clear" w:color="auto" w:fill="auto"/>
            <w:noWrap/>
            <w:vAlign w:val="center"/>
            <w:hideMark/>
          </w:tcPr>
          <w:p w14:paraId="507A9B65" w14:textId="0319B0A0"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ICS/LABA with LABA</w:t>
            </w:r>
          </w:p>
        </w:tc>
        <w:tc>
          <w:tcPr>
            <w:tcW w:w="845" w:type="dxa"/>
            <w:tcBorders>
              <w:top w:val="nil"/>
              <w:left w:val="nil"/>
              <w:bottom w:val="single" w:sz="8" w:space="0" w:color="auto"/>
              <w:right w:val="single" w:sz="8" w:space="0" w:color="auto"/>
            </w:tcBorders>
            <w:shd w:val="clear" w:color="auto" w:fill="auto"/>
            <w:noWrap/>
            <w:vAlign w:val="center"/>
            <w:hideMark/>
          </w:tcPr>
          <w:p w14:paraId="0AA86070" w14:textId="49AD91F0"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w:t>
            </w:r>
          </w:p>
        </w:tc>
        <w:tc>
          <w:tcPr>
            <w:tcW w:w="845" w:type="dxa"/>
            <w:tcBorders>
              <w:top w:val="nil"/>
              <w:left w:val="nil"/>
              <w:bottom w:val="single" w:sz="8" w:space="0" w:color="auto"/>
              <w:right w:val="single" w:sz="8" w:space="0" w:color="auto"/>
            </w:tcBorders>
            <w:shd w:val="clear" w:color="auto" w:fill="auto"/>
            <w:noWrap/>
            <w:vAlign w:val="center"/>
            <w:hideMark/>
          </w:tcPr>
          <w:p w14:paraId="78886DFE" w14:textId="6A59BF3A"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w:t>
            </w:r>
          </w:p>
        </w:tc>
        <w:tc>
          <w:tcPr>
            <w:tcW w:w="845" w:type="dxa"/>
            <w:tcBorders>
              <w:top w:val="nil"/>
              <w:left w:val="nil"/>
              <w:bottom w:val="single" w:sz="8" w:space="0" w:color="auto"/>
              <w:right w:val="single" w:sz="8" w:space="0" w:color="auto"/>
            </w:tcBorders>
            <w:shd w:val="clear" w:color="auto" w:fill="auto"/>
            <w:noWrap/>
            <w:vAlign w:val="center"/>
            <w:hideMark/>
          </w:tcPr>
          <w:p w14:paraId="24F0AA27" w14:textId="697FC3BA"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0.00%</w:t>
            </w:r>
          </w:p>
        </w:tc>
        <w:tc>
          <w:tcPr>
            <w:tcW w:w="845" w:type="dxa"/>
            <w:tcBorders>
              <w:top w:val="nil"/>
              <w:left w:val="nil"/>
              <w:bottom w:val="single" w:sz="8" w:space="0" w:color="auto"/>
              <w:right w:val="single" w:sz="8" w:space="0" w:color="auto"/>
            </w:tcBorders>
            <w:shd w:val="clear" w:color="auto" w:fill="auto"/>
            <w:noWrap/>
            <w:vAlign w:val="center"/>
            <w:hideMark/>
          </w:tcPr>
          <w:p w14:paraId="3FBC5DD4" w14:textId="2BD284BB"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0.00%</w:t>
            </w:r>
          </w:p>
        </w:tc>
        <w:tc>
          <w:tcPr>
            <w:tcW w:w="845" w:type="dxa"/>
            <w:tcBorders>
              <w:top w:val="nil"/>
              <w:left w:val="nil"/>
              <w:bottom w:val="single" w:sz="8" w:space="0" w:color="auto"/>
              <w:right w:val="single" w:sz="8" w:space="0" w:color="auto"/>
            </w:tcBorders>
            <w:shd w:val="clear" w:color="auto" w:fill="auto"/>
            <w:noWrap/>
            <w:vAlign w:val="center"/>
            <w:hideMark/>
          </w:tcPr>
          <w:p w14:paraId="386868AE" w14:textId="54F5DCFD"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0.11%</w:t>
            </w:r>
          </w:p>
        </w:tc>
        <w:tc>
          <w:tcPr>
            <w:tcW w:w="845" w:type="dxa"/>
            <w:tcBorders>
              <w:top w:val="nil"/>
              <w:left w:val="nil"/>
              <w:bottom w:val="single" w:sz="8" w:space="0" w:color="auto"/>
              <w:right w:val="single" w:sz="8" w:space="0" w:color="auto"/>
            </w:tcBorders>
            <w:shd w:val="clear" w:color="auto" w:fill="auto"/>
            <w:noWrap/>
            <w:vAlign w:val="center"/>
            <w:hideMark/>
          </w:tcPr>
          <w:p w14:paraId="1884ACD0" w14:textId="60FF760F"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0.24%</w:t>
            </w:r>
          </w:p>
        </w:tc>
        <w:tc>
          <w:tcPr>
            <w:tcW w:w="845" w:type="dxa"/>
            <w:tcBorders>
              <w:top w:val="nil"/>
              <w:left w:val="nil"/>
              <w:bottom w:val="single" w:sz="8" w:space="0" w:color="auto"/>
              <w:right w:val="single" w:sz="8" w:space="0" w:color="auto"/>
            </w:tcBorders>
            <w:shd w:val="clear" w:color="auto" w:fill="auto"/>
            <w:noWrap/>
            <w:vAlign w:val="center"/>
            <w:hideMark/>
          </w:tcPr>
          <w:p w14:paraId="34E6539F" w14:textId="7DC17819"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0.42%</w:t>
            </w:r>
          </w:p>
        </w:tc>
      </w:tr>
      <w:tr w:rsidR="005B7F33" w:rsidRPr="005D7FCE" w14:paraId="418BFE05" w14:textId="77777777" w:rsidTr="0084308F">
        <w:trPr>
          <w:trHeight w:val="142"/>
        </w:trPr>
        <w:tc>
          <w:tcPr>
            <w:tcW w:w="1490" w:type="dxa"/>
            <w:vMerge/>
            <w:tcBorders>
              <w:top w:val="nil"/>
              <w:left w:val="single" w:sz="8" w:space="0" w:color="auto"/>
              <w:bottom w:val="single" w:sz="8" w:space="0" w:color="000000"/>
              <w:right w:val="single" w:sz="8" w:space="0" w:color="auto"/>
            </w:tcBorders>
            <w:vAlign w:val="center"/>
            <w:hideMark/>
          </w:tcPr>
          <w:p w14:paraId="6923768C"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8" w:space="0" w:color="auto"/>
              <w:right w:val="single" w:sz="8" w:space="0" w:color="auto"/>
            </w:tcBorders>
            <w:shd w:val="clear" w:color="auto" w:fill="auto"/>
            <w:noWrap/>
            <w:vAlign w:val="center"/>
            <w:hideMark/>
          </w:tcPr>
          <w:p w14:paraId="1087CEBA" w14:textId="0B99AF10"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LAMA with LAMA</w:t>
            </w:r>
          </w:p>
        </w:tc>
        <w:tc>
          <w:tcPr>
            <w:tcW w:w="845" w:type="dxa"/>
            <w:tcBorders>
              <w:top w:val="nil"/>
              <w:left w:val="nil"/>
              <w:bottom w:val="single" w:sz="8" w:space="0" w:color="auto"/>
              <w:right w:val="single" w:sz="8" w:space="0" w:color="auto"/>
            </w:tcBorders>
            <w:shd w:val="clear" w:color="auto" w:fill="auto"/>
            <w:noWrap/>
            <w:vAlign w:val="center"/>
            <w:hideMark/>
          </w:tcPr>
          <w:p w14:paraId="45127556" w14:textId="066B2441"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0.00%</w:t>
            </w:r>
          </w:p>
        </w:tc>
        <w:tc>
          <w:tcPr>
            <w:tcW w:w="845" w:type="dxa"/>
            <w:tcBorders>
              <w:top w:val="nil"/>
              <w:left w:val="nil"/>
              <w:bottom w:val="single" w:sz="8" w:space="0" w:color="auto"/>
              <w:right w:val="single" w:sz="8" w:space="0" w:color="auto"/>
            </w:tcBorders>
            <w:shd w:val="clear" w:color="auto" w:fill="auto"/>
            <w:noWrap/>
            <w:vAlign w:val="center"/>
            <w:hideMark/>
          </w:tcPr>
          <w:p w14:paraId="702C2DD2" w14:textId="46858DF6"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w:t>
            </w:r>
          </w:p>
        </w:tc>
        <w:tc>
          <w:tcPr>
            <w:tcW w:w="845" w:type="dxa"/>
            <w:tcBorders>
              <w:top w:val="nil"/>
              <w:left w:val="nil"/>
              <w:bottom w:val="single" w:sz="8" w:space="0" w:color="auto"/>
              <w:right w:val="single" w:sz="8" w:space="0" w:color="auto"/>
            </w:tcBorders>
            <w:shd w:val="clear" w:color="auto" w:fill="auto"/>
            <w:noWrap/>
            <w:vAlign w:val="center"/>
            <w:hideMark/>
          </w:tcPr>
          <w:p w14:paraId="69E6B95D" w14:textId="080F3542"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w:t>
            </w:r>
          </w:p>
        </w:tc>
        <w:tc>
          <w:tcPr>
            <w:tcW w:w="845" w:type="dxa"/>
            <w:tcBorders>
              <w:top w:val="nil"/>
              <w:left w:val="nil"/>
              <w:bottom w:val="single" w:sz="8" w:space="0" w:color="auto"/>
              <w:right w:val="single" w:sz="8" w:space="0" w:color="auto"/>
            </w:tcBorders>
            <w:shd w:val="clear" w:color="auto" w:fill="auto"/>
            <w:noWrap/>
            <w:vAlign w:val="center"/>
            <w:hideMark/>
          </w:tcPr>
          <w:p w14:paraId="53620A2A" w14:textId="655BB0FC"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w:t>
            </w:r>
          </w:p>
        </w:tc>
        <w:tc>
          <w:tcPr>
            <w:tcW w:w="845" w:type="dxa"/>
            <w:tcBorders>
              <w:top w:val="nil"/>
              <w:left w:val="nil"/>
              <w:bottom w:val="single" w:sz="8" w:space="0" w:color="auto"/>
              <w:right w:val="single" w:sz="8" w:space="0" w:color="auto"/>
            </w:tcBorders>
            <w:shd w:val="clear" w:color="auto" w:fill="auto"/>
            <w:noWrap/>
            <w:vAlign w:val="center"/>
            <w:hideMark/>
          </w:tcPr>
          <w:p w14:paraId="732CBDE1" w14:textId="175D8DC2"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0.02%</w:t>
            </w:r>
          </w:p>
        </w:tc>
        <w:tc>
          <w:tcPr>
            <w:tcW w:w="845" w:type="dxa"/>
            <w:tcBorders>
              <w:top w:val="nil"/>
              <w:left w:val="nil"/>
              <w:bottom w:val="single" w:sz="8" w:space="0" w:color="auto"/>
              <w:right w:val="single" w:sz="8" w:space="0" w:color="auto"/>
            </w:tcBorders>
            <w:shd w:val="clear" w:color="auto" w:fill="auto"/>
            <w:noWrap/>
            <w:vAlign w:val="center"/>
            <w:hideMark/>
          </w:tcPr>
          <w:p w14:paraId="167D4BAA" w14:textId="4AE91423"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0.18%</w:t>
            </w:r>
          </w:p>
        </w:tc>
        <w:tc>
          <w:tcPr>
            <w:tcW w:w="845" w:type="dxa"/>
            <w:tcBorders>
              <w:top w:val="nil"/>
              <w:left w:val="nil"/>
              <w:bottom w:val="single" w:sz="8" w:space="0" w:color="auto"/>
              <w:right w:val="single" w:sz="8" w:space="0" w:color="auto"/>
            </w:tcBorders>
            <w:shd w:val="clear" w:color="auto" w:fill="auto"/>
            <w:noWrap/>
            <w:vAlign w:val="center"/>
            <w:hideMark/>
          </w:tcPr>
          <w:p w14:paraId="5FCC7406" w14:textId="726275BC"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0.25%</w:t>
            </w:r>
          </w:p>
        </w:tc>
      </w:tr>
      <w:tr w:rsidR="005B7F33" w:rsidRPr="005D7FCE" w14:paraId="210BF4C3" w14:textId="77777777" w:rsidTr="0084308F">
        <w:trPr>
          <w:trHeight w:val="142"/>
        </w:trPr>
        <w:tc>
          <w:tcPr>
            <w:tcW w:w="1490" w:type="dxa"/>
            <w:vMerge/>
            <w:tcBorders>
              <w:top w:val="nil"/>
              <w:left w:val="single" w:sz="8" w:space="0" w:color="auto"/>
              <w:bottom w:val="single" w:sz="8" w:space="0" w:color="000000"/>
              <w:right w:val="single" w:sz="8" w:space="0" w:color="auto"/>
            </w:tcBorders>
            <w:vAlign w:val="center"/>
            <w:hideMark/>
          </w:tcPr>
          <w:p w14:paraId="329CD89D"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8" w:space="0" w:color="auto"/>
              <w:right w:val="single" w:sz="8" w:space="0" w:color="auto"/>
            </w:tcBorders>
            <w:shd w:val="clear" w:color="auto" w:fill="auto"/>
            <w:noWrap/>
            <w:vAlign w:val="center"/>
            <w:hideMark/>
          </w:tcPr>
          <w:p w14:paraId="462ECDDC" w14:textId="21DDB07D"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LABA/LAMA with LAMA</w:t>
            </w:r>
          </w:p>
        </w:tc>
        <w:tc>
          <w:tcPr>
            <w:tcW w:w="845" w:type="dxa"/>
            <w:tcBorders>
              <w:top w:val="nil"/>
              <w:left w:val="nil"/>
              <w:bottom w:val="single" w:sz="8" w:space="0" w:color="auto"/>
              <w:right w:val="single" w:sz="8" w:space="0" w:color="auto"/>
            </w:tcBorders>
            <w:shd w:val="clear" w:color="auto" w:fill="auto"/>
            <w:noWrap/>
            <w:vAlign w:val="center"/>
            <w:hideMark/>
          </w:tcPr>
          <w:p w14:paraId="0C9C4E10" w14:textId="60DB92C7"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0.01%</w:t>
            </w:r>
          </w:p>
        </w:tc>
        <w:tc>
          <w:tcPr>
            <w:tcW w:w="845" w:type="dxa"/>
            <w:tcBorders>
              <w:top w:val="nil"/>
              <w:left w:val="nil"/>
              <w:bottom w:val="single" w:sz="8" w:space="0" w:color="auto"/>
              <w:right w:val="single" w:sz="8" w:space="0" w:color="auto"/>
            </w:tcBorders>
            <w:shd w:val="clear" w:color="auto" w:fill="auto"/>
            <w:noWrap/>
            <w:vAlign w:val="center"/>
            <w:hideMark/>
          </w:tcPr>
          <w:p w14:paraId="636B66D2" w14:textId="68E1B320"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0.01%</w:t>
            </w:r>
          </w:p>
        </w:tc>
        <w:tc>
          <w:tcPr>
            <w:tcW w:w="845" w:type="dxa"/>
            <w:tcBorders>
              <w:top w:val="nil"/>
              <w:left w:val="nil"/>
              <w:bottom w:val="single" w:sz="8" w:space="0" w:color="auto"/>
              <w:right w:val="single" w:sz="8" w:space="0" w:color="auto"/>
            </w:tcBorders>
            <w:shd w:val="clear" w:color="auto" w:fill="auto"/>
            <w:noWrap/>
            <w:vAlign w:val="center"/>
            <w:hideMark/>
          </w:tcPr>
          <w:p w14:paraId="2A546A2C" w14:textId="1C6F7D33"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0.34%</w:t>
            </w:r>
          </w:p>
        </w:tc>
        <w:tc>
          <w:tcPr>
            <w:tcW w:w="845" w:type="dxa"/>
            <w:tcBorders>
              <w:top w:val="nil"/>
              <w:left w:val="nil"/>
              <w:bottom w:val="single" w:sz="8" w:space="0" w:color="auto"/>
              <w:right w:val="single" w:sz="8" w:space="0" w:color="auto"/>
            </w:tcBorders>
            <w:shd w:val="clear" w:color="auto" w:fill="auto"/>
            <w:noWrap/>
            <w:vAlign w:val="center"/>
            <w:hideMark/>
          </w:tcPr>
          <w:p w14:paraId="0379D256" w14:textId="5CD46F37"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0.25%</w:t>
            </w:r>
          </w:p>
        </w:tc>
        <w:tc>
          <w:tcPr>
            <w:tcW w:w="845" w:type="dxa"/>
            <w:tcBorders>
              <w:top w:val="nil"/>
              <w:left w:val="nil"/>
              <w:bottom w:val="single" w:sz="8" w:space="0" w:color="auto"/>
              <w:right w:val="single" w:sz="8" w:space="0" w:color="auto"/>
            </w:tcBorders>
            <w:shd w:val="clear" w:color="auto" w:fill="auto"/>
            <w:noWrap/>
            <w:vAlign w:val="center"/>
            <w:hideMark/>
          </w:tcPr>
          <w:p w14:paraId="7386D121" w14:textId="1DE3C19E"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0.21%</w:t>
            </w:r>
          </w:p>
        </w:tc>
        <w:tc>
          <w:tcPr>
            <w:tcW w:w="845" w:type="dxa"/>
            <w:tcBorders>
              <w:top w:val="nil"/>
              <w:left w:val="nil"/>
              <w:bottom w:val="single" w:sz="8" w:space="0" w:color="auto"/>
              <w:right w:val="single" w:sz="8" w:space="0" w:color="auto"/>
            </w:tcBorders>
            <w:shd w:val="clear" w:color="auto" w:fill="auto"/>
            <w:noWrap/>
            <w:vAlign w:val="center"/>
            <w:hideMark/>
          </w:tcPr>
          <w:p w14:paraId="1611DF6B" w14:textId="7C3971EB"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0.09%</w:t>
            </w:r>
          </w:p>
        </w:tc>
        <w:tc>
          <w:tcPr>
            <w:tcW w:w="845" w:type="dxa"/>
            <w:tcBorders>
              <w:top w:val="nil"/>
              <w:left w:val="nil"/>
              <w:bottom w:val="single" w:sz="8" w:space="0" w:color="auto"/>
              <w:right w:val="single" w:sz="8" w:space="0" w:color="auto"/>
            </w:tcBorders>
            <w:shd w:val="clear" w:color="auto" w:fill="auto"/>
            <w:noWrap/>
            <w:vAlign w:val="center"/>
            <w:hideMark/>
          </w:tcPr>
          <w:p w14:paraId="46B4CC3C" w14:textId="6600FA02"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0.05%</w:t>
            </w:r>
          </w:p>
        </w:tc>
      </w:tr>
      <w:tr w:rsidR="005B7F33" w:rsidRPr="005D7FCE" w14:paraId="54030EBE" w14:textId="77777777" w:rsidTr="0084308F">
        <w:trPr>
          <w:trHeight w:val="142"/>
        </w:trPr>
        <w:tc>
          <w:tcPr>
            <w:tcW w:w="1490" w:type="dxa"/>
            <w:vMerge/>
            <w:tcBorders>
              <w:top w:val="nil"/>
              <w:left w:val="single" w:sz="8" w:space="0" w:color="auto"/>
              <w:bottom w:val="single" w:sz="8" w:space="0" w:color="000000"/>
              <w:right w:val="single" w:sz="8" w:space="0" w:color="auto"/>
            </w:tcBorders>
            <w:vAlign w:val="center"/>
            <w:hideMark/>
          </w:tcPr>
          <w:p w14:paraId="62B9A3F2"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8" w:space="0" w:color="auto"/>
              <w:right w:val="single" w:sz="8" w:space="0" w:color="auto"/>
            </w:tcBorders>
            <w:shd w:val="clear" w:color="auto" w:fill="auto"/>
            <w:noWrap/>
            <w:vAlign w:val="center"/>
            <w:hideMark/>
          </w:tcPr>
          <w:p w14:paraId="06D36338" w14:textId="3522BB2D"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ICS/LABA with ICS/LABA with LAMA</w:t>
            </w:r>
          </w:p>
        </w:tc>
        <w:tc>
          <w:tcPr>
            <w:tcW w:w="845" w:type="dxa"/>
            <w:tcBorders>
              <w:top w:val="nil"/>
              <w:left w:val="nil"/>
              <w:bottom w:val="single" w:sz="8" w:space="0" w:color="auto"/>
              <w:right w:val="single" w:sz="8" w:space="0" w:color="auto"/>
            </w:tcBorders>
            <w:shd w:val="clear" w:color="auto" w:fill="auto"/>
            <w:noWrap/>
            <w:vAlign w:val="center"/>
            <w:hideMark/>
          </w:tcPr>
          <w:p w14:paraId="769208D2" w14:textId="3973325F"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0.05%</w:t>
            </w:r>
          </w:p>
        </w:tc>
        <w:tc>
          <w:tcPr>
            <w:tcW w:w="845" w:type="dxa"/>
            <w:tcBorders>
              <w:top w:val="nil"/>
              <w:left w:val="nil"/>
              <w:bottom w:val="single" w:sz="8" w:space="0" w:color="auto"/>
              <w:right w:val="single" w:sz="8" w:space="0" w:color="auto"/>
            </w:tcBorders>
            <w:shd w:val="clear" w:color="auto" w:fill="auto"/>
            <w:noWrap/>
            <w:vAlign w:val="center"/>
            <w:hideMark/>
          </w:tcPr>
          <w:p w14:paraId="5B696A4E" w14:textId="6EE4EA9D"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0.04%</w:t>
            </w:r>
          </w:p>
        </w:tc>
        <w:tc>
          <w:tcPr>
            <w:tcW w:w="845" w:type="dxa"/>
            <w:tcBorders>
              <w:top w:val="nil"/>
              <w:left w:val="nil"/>
              <w:bottom w:val="single" w:sz="8" w:space="0" w:color="auto"/>
              <w:right w:val="single" w:sz="8" w:space="0" w:color="auto"/>
            </w:tcBorders>
            <w:shd w:val="clear" w:color="auto" w:fill="auto"/>
            <w:noWrap/>
            <w:vAlign w:val="center"/>
            <w:hideMark/>
          </w:tcPr>
          <w:p w14:paraId="762022A7" w14:textId="0B27E364"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0.03%</w:t>
            </w:r>
          </w:p>
        </w:tc>
        <w:tc>
          <w:tcPr>
            <w:tcW w:w="845" w:type="dxa"/>
            <w:tcBorders>
              <w:top w:val="nil"/>
              <w:left w:val="nil"/>
              <w:bottom w:val="single" w:sz="8" w:space="0" w:color="auto"/>
              <w:right w:val="single" w:sz="8" w:space="0" w:color="auto"/>
            </w:tcBorders>
            <w:shd w:val="clear" w:color="auto" w:fill="auto"/>
            <w:noWrap/>
            <w:vAlign w:val="center"/>
            <w:hideMark/>
          </w:tcPr>
          <w:p w14:paraId="49DE4539" w14:textId="24080865"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0.04%</w:t>
            </w:r>
          </w:p>
        </w:tc>
        <w:tc>
          <w:tcPr>
            <w:tcW w:w="845" w:type="dxa"/>
            <w:tcBorders>
              <w:top w:val="nil"/>
              <w:left w:val="nil"/>
              <w:bottom w:val="single" w:sz="8" w:space="0" w:color="auto"/>
              <w:right w:val="single" w:sz="8" w:space="0" w:color="auto"/>
            </w:tcBorders>
            <w:shd w:val="clear" w:color="auto" w:fill="auto"/>
            <w:noWrap/>
            <w:vAlign w:val="center"/>
            <w:hideMark/>
          </w:tcPr>
          <w:p w14:paraId="6F126C8D" w14:textId="49B9804C"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0.05%</w:t>
            </w:r>
          </w:p>
        </w:tc>
        <w:tc>
          <w:tcPr>
            <w:tcW w:w="845" w:type="dxa"/>
            <w:tcBorders>
              <w:top w:val="nil"/>
              <w:left w:val="nil"/>
              <w:bottom w:val="single" w:sz="8" w:space="0" w:color="auto"/>
              <w:right w:val="single" w:sz="8" w:space="0" w:color="auto"/>
            </w:tcBorders>
            <w:shd w:val="clear" w:color="auto" w:fill="auto"/>
            <w:noWrap/>
            <w:vAlign w:val="center"/>
            <w:hideMark/>
          </w:tcPr>
          <w:p w14:paraId="30DB5D0D" w14:textId="61C0DAB7"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0.05%</w:t>
            </w:r>
          </w:p>
        </w:tc>
        <w:tc>
          <w:tcPr>
            <w:tcW w:w="845" w:type="dxa"/>
            <w:tcBorders>
              <w:top w:val="nil"/>
              <w:left w:val="nil"/>
              <w:bottom w:val="single" w:sz="8" w:space="0" w:color="auto"/>
              <w:right w:val="single" w:sz="8" w:space="0" w:color="auto"/>
            </w:tcBorders>
            <w:shd w:val="clear" w:color="auto" w:fill="auto"/>
            <w:noWrap/>
            <w:vAlign w:val="center"/>
            <w:hideMark/>
          </w:tcPr>
          <w:p w14:paraId="6A8D9110" w14:textId="3D8F5007"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0.09%</w:t>
            </w:r>
          </w:p>
        </w:tc>
      </w:tr>
      <w:tr w:rsidR="005B7F33" w:rsidRPr="005D7FCE" w14:paraId="1F04C9BC" w14:textId="77777777" w:rsidTr="0084308F">
        <w:trPr>
          <w:trHeight w:val="142"/>
        </w:trPr>
        <w:tc>
          <w:tcPr>
            <w:tcW w:w="1490" w:type="dxa"/>
            <w:vMerge/>
            <w:tcBorders>
              <w:top w:val="nil"/>
              <w:left w:val="single" w:sz="8" w:space="0" w:color="auto"/>
              <w:bottom w:val="single" w:sz="8" w:space="0" w:color="000000"/>
              <w:right w:val="single" w:sz="8" w:space="0" w:color="auto"/>
            </w:tcBorders>
            <w:vAlign w:val="center"/>
            <w:hideMark/>
          </w:tcPr>
          <w:p w14:paraId="14597980"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8" w:space="0" w:color="auto"/>
              <w:right w:val="single" w:sz="8" w:space="0" w:color="auto"/>
            </w:tcBorders>
            <w:shd w:val="clear" w:color="auto" w:fill="auto"/>
            <w:noWrap/>
            <w:vAlign w:val="center"/>
            <w:hideMark/>
          </w:tcPr>
          <w:p w14:paraId="4796DB3F" w14:textId="77777777" w:rsidR="005B7F33" w:rsidRPr="008D66C4" w:rsidRDefault="005B7F33" w:rsidP="005B7F33">
            <w:pPr>
              <w:rPr>
                <w:rFonts w:ascii="Arial Narrow" w:eastAsia="Times New Roman" w:hAnsi="Arial Narrow" w:cs="Arial"/>
                <w:color w:val="000000"/>
                <w:sz w:val="21"/>
                <w:szCs w:val="21"/>
                <w:lang w:eastAsia="en-AU"/>
              </w:rPr>
            </w:pPr>
            <w:r w:rsidRPr="008D66C4">
              <w:rPr>
                <w:rFonts w:ascii="Arial Narrow" w:hAnsi="Arial Narrow" w:cs="Arial"/>
                <w:color w:val="000000"/>
                <w:sz w:val="21"/>
                <w:szCs w:val="21"/>
              </w:rPr>
              <w:t>others</w:t>
            </w:r>
          </w:p>
        </w:tc>
        <w:tc>
          <w:tcPr>
            <w:tcW w:w="845" w:type="dxa"/>
            <w:tcBorders>
              <w:top w:val="nil"/>
              <w:left w:val="nil"/>
              <w:bottom w:val="single" w:sz="8" w:space="0" w:color="auto"/>
              <w:right w:val="single" w:sz="8" w:space="0" w:color="auto"/>
            </w:tcBorders>
            <w:shd w:val="clear" w:color="auto" w:fill="auto"/>
            <w:noWrap/>
            <w:vAlign w:val="center"/>
            <w:hideMark/>
          </w:tcPr>
          <w:p w14:paraId="0165DF20" w14:textId="50527CC2"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0.01%</w:t>
            </w:r>
          </w:p>
        </w:tc>
        <w:tc>
          <w:tcPr>
            <w:tcW w:w="845" w:type="dxa"/>
            <w:tcBorders>
              <w:top w:val="nil"/>
              <w:left w:val="nil"/>
              <w:bottom w:val="single" w:sz="8" w:space="0" w:color="auto"/>
              <w:right w:val="single" w:sz="8" w:space="0" w:color="auto"/>
            </w:tcBorders>
            <w:shd w:val="clear" w:color="auto" w:fill="auto"/>
            <w:noWrap/>
            <w:vAlign w:val="center"/>
            <w:hideMark/>
          </w:tcPr>
          <w:p w14:paraId="3C2D7CEE" w14:textId="2F6E2D49"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0.01%</w:t>
            </w:r>
          </w:p>
        </w:tc>
        <w:tc>
          <w:tcPr>
            <w:tcW w:w="845" w:type="dxa"/>
            <w:tcBorders>
              <w:top w:val="nil"/>
              <w:left w:val="nil"/>
              <w:bottom w:val="single" w:sz="8" w:space="0" w:color="auto"/>
              <w:right w:val="single" w:sz="8" w:space="0" w:color="auto"/>
            </w:tcBorders>
            <w:shd w:val="clear" w:color="auto" w:fill="auto"/>
            <w:noWrap/>
            <w:vAlign w:val="center"/>
            <w:hideMark/>
          </w:tcPr>
          <w:p w14:paraId="381E9A0B" w14:textId="1FF16F11"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0.08%</w:t>
            </w:r>
          </w:p>
        </w:tc>
        <w:tc>
          <w:tcPr>
            <w:tcW w:w="845" w:type="dxa"/>
            <w:tcBorders>
              <w:top w:val="nil"/>
              <w:left w:val="nil"/>
              <w:bottom w:val="single" w:sz="8" w:space="0" w:color="auto"/>
              <w:right w:val="single" w:sz="8" w:space="0" w:color="auto"/>
            </w:tcBorders>
            <w:shd w:val="clear" w:color="auto" w:fill="auto"/>
            <w:noWrap/>
            <w:vAlign w:val="center"/>
            <w:hideMark/>
          </w:tcPr>
          <w:p w14:paraId="0908664D" w14:textId="57D79EFA"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0.13%</w:t>
            </w:r>
          </w:p>
        </w:tc>
        <w:tc>
          <w:tcPr>
            <w:tcW w:w="845" w:type="dxa"/>
            <w:tcBorders>
              <w:top w:val="nil"/>
              <w:left w:val="nil"/>
              <w:bottom w:val="single" w:sz="8" w:space="0" w:color="auto"/>
              <w:right w:val="single" w:sz="8" w:space="0" w:color="auto"/>
            </w:tcBorders>
            <w:shd w:val="clear" w:color="auto" w:fill="auto"/>
            <w:noWrap/>
            <w:vAlign w:val="center"/>
            <w:hideMark/>
          </w:tcPr>
          <w:p w14:paraId="22494455" w14:textId="7F5DB621"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0.20%</w:t>
            </w:r>
          </w:p>
        </w:tc>
        <w:tc>
          <w:tcPr>
            <w:tcW w:w="845" w:type="dxa"/>
            <w:tcBorders>
              <w:top w:val="nil"/>
              <w:left w:val="nil"/>
              <w:bottom w:val="single" w:sz="8" w:space="0" w:color="auto"/>
              <w:right w:val="single" w:sz="8" w:space="0" w:color="auto"/>
            </w:tcBorders>
            <w:shd w:val="clear" w:color="auto" w:fill="auto"/>
            <w:noWrap/>
            <w:vAlign w:val="center"/>
            <w:hideMark/>
          </w:tcPr>
          <w:p w14:paraId="6FCF38BC" w14:textId="15E12941"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0.27%</w:t>
            </w:r>
          </w:p>
        </w:tc>
        <w:tc>
          <w:tcPr>
            <w:tcW w:w="845" w:type="dxa"/>
            <w:tcBorders>
              <w:top w:val="nil"/>
              <w:left w:val="nil"/>
              <w:bottom w:val="single" w:sz="8" w:space="0" w:color="auto"/>
              <w:right w:val="single" w:sz="8" w:space="0" w:color="auto"/>
            </w:tcBorders>
            <w:shd w:val="clear" w:color="auto" w:fill="auto"/>
            <w:noWrap/>
            <w:vAlign w:val="center"/>
            <w:hideMark/>
          </w:tcPr>
          <w:p w14:paraId="7BC0658D" w14:textId="4AB1B7FF" w:rsidR="005B7F33" w:rsidRPr="00054730" w:rsidRDefault="005B7F33" w:rsidP="005B7F33">
            <w:pPr>
              <w:jc w:val="right"/>
              <w:rPr>
                <w:rFonts w:ascii="Arial Narrow" w:eastAsia="Times New Roman" w:hAnsi="Arial Narrow" w:cs="Arial"/>
                <w:color w:val="000000"/>
                <w:sz w:val="21"/>
                <w:szCs w:val="21"/>
                <w:lang w:eastAsia="en-AU"/>
              </w:rPr>
            </w:pPr>
            <w:r w:rsidRPr="00054730">
              <w:rPr>
                <w:rFonts w:ascii="Arial Narrow" w:hAnsi="Arial Narrow" w:cs="Arial"/>
                <w:color w:val="000000"/>
                <w:sz w:val="21"/>
                <w:szCs w:val="21"/>
              </w:rPr>
              <w:t>0.42%</w:t>
            </w:r>
          </w:p>
        </w:tc>
      </w:tr>
      <w:tr w:rsidR="005B7F33" w:rsidRPr="005D7FCE" w14:paraId="65AA884E" w14:textId="77777777" w:rsidTr="0084308F">
        <w:trPr>
          <w:trHeight w:val="142"/>
        </w:trPr>
        <w:tc>
          <w:tcPr>
            <w:tcW w:w="1490" w:type="dxa"/>
            <w:vMerge/>
            <w:tcBorders>
              <w:top w:val="nil"/>
              <w:left w:val="single" w:sz="8" w:space="0" w:color="auto"/>
              <w:bottom w:val="single" w:sz="4" w:space="0" w:color="auto"/>
              <w:right w:val="single" w:sz="8" w:space="0" w:color="auto"/>
            </w:tcBorders>
            <w:vAlign w:val="center"/>
            <w:hideMark/>
          </w:tcPr>
          <w:p w14:paraId="15BC0059" w14:textId="77777777" w:rsidR="005B7F33" w:rsidRPr="008D66C4" w:rsidRDefault="005B7F33" w:rsidP="005B7F33">
            <w:pPr>
              <w:rPr>
                <w:rFonts w:ascii="Arial Narrow" w:eastAsia="Times New Roman" w:hAnsi="Arial Narrow" w:cs="Tahoma"/>
                <w:color w:val="333333"/>
                <w:sz w:val="21"/>
                <w:szCs w:val="21"/>
                <w:lang w:eastAsia="en-AU"/>
              </w:rPr>
            </w:pPr>
          </w:p>
        </w:tc>
        <w:tc>
          <w:tcPr>
            <w:tcW w:w="2213" w:type="dxa"/>
            <w:tcBorders>
              <w:top w:val="nil"/>
              <w:left w:val="nil"/>
              <w:bottom w:val="single" w:sz="4" w:space="0" w:color="auto"/>
              <w:right w:val="single" w:sz="8" w:space="0" w:color="auto"/>
            </w:tcBorders>
            <w:shd w:val="clear" w:color="000000" w:fill="D9D9D9"/>
            <w:noWrap/>
            <w:vAlign w:val="center"/>
            <w:hideMark/>
          </w:tcPr>
          <w:p w14:paraId="68662202" w14:textId="77777777" w:rsidR="005B7F33" w:rsidRPr="008D66C4" w:rsidRDefault="005B7F33" w:rsidP="005B7F33">
            <w:pPr>
              <w:rPr>
                <w:rFonts w:ascii="Arial Narrow" w:eastAsia="Times New Roman" w:hAnsi="Arial Narrow" w:cs="Arial"/>
                <w:b/>
                <w:bCs/>
                <w:i/>
                <w:iCs/>
                <w:color w:val="000000"/>
                <w:sz w:val="21"/>
                <w:szCs w:val="21"/>
                <w:lang w:eastAsia="en-AU"/>
              </w:rPr>
            </w:pPr>
            <w:r w:rsidRPr="008D66C4">
              <w:rPr>
                <w:rFonts w:ascii="Arial Narrow" w:hAnsi="Arial Narrow" w:cs="Arial"/>
                <w:b/>
                <w:bCs/>
                <w:i/>
                <w:iCs/>
                <w:color w:val="000000"/>
                <w:sz w:val="21"/>
                <w:szCs w:val="21"/>
              </w:rPr>
              <w:t>Total</w:t>
            </w:r>
          </w:p>
        </w:tc>
        <w:tc>
          <w:tcPr>
            <w:tcW w:w="845" w:type="dxa"/>
            <w:tcBorders>
              <w:top w:val="nil"/>
              <w:left w:val="nil"/>
              <w:bottom w:val="single" w:sz="4" w:space="0" w:color="auto"/>
              <w:right w:val="single" w:sz="8" w:space="0" w:color="auto"/>
            </w:tcBorders>
            <w:shd w:val="clear" w:color="000000" w:fill="D9D9D9"/>
            <w:noWrap/>
            <w:vAlign w:val="center"/>
            <w:hideMark/>
          </w:tcPr>
          <w:p w14:paraId="3133921A" w14:textId="742293D1"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13.20%</w:t>
            </w:r>
          </w:p>
        </w:tc>
        <w:tc>
          <w:tcPr>
            <w:tcW w:w="845" w:type="dxa"/>
            <w:tcBorders>
              <w:top w:val="nil"/>
              <w:left w:val="nil"/>
              <w:bottom w:val="single" w:sz="4" w:space="0" w:color="auto"/>
              <w:right w:val="single" w:sz="8" w:space="0" w:color="auto"/>
            </w:tcBorders>
            <w:shd w:val="clear" w:color="000000" w:fill="D9D9D9"/>
            <w:noWrap/>
            <w:vAlign w:val="center"/>
            <w:hideMark/>
          </w:tcPr>
          <w:p w14:paraId="2278AE16" w14:textId="6F3DCD2A"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13.87%</w:t>
            </w:r>
          </w:p>
        </w:tc>
        <w:tc>
          <w:tcPr>
            <w:tcW w:w="845" w:type="dxa"/>
            <w:tcBorders>
              <w:top w:val="nil"/>
              <w:left w:val="nil"/>
              <w:bottom w:val="single" w:sz="4" w:space="0" w:color="auto"/>
              <w:right w:val="single" w:sz="8" w:space="0" w:color="auto"/>
            </w:tcBorders>
            <w:shd w:val="clear" w:color="000000" w:fill="D9D9D9"/>
            <w:noWrap/>
            <w:vAlign w:val="center"/>
            <w:hideMark/>
          </w:tcPr>
          <w:p w14:paraId="0ABB5624" w14:textId="39F66B0B"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15.86%</w:t>
            </w:r>
          </w:p>
        </w:tc>
        <w:tc>
          <w:tcPr>
            <w:tcW w:w="845" w:type="dxa"/>
            <w:tcBorders>
              <w:top w:val="nil"/>
              <w:left w:val="nil"/>
              <w:bottom w:val="single" w:sz="4" w:space="0" w:color="auto"/>
              <w:right w:val="single" w:sz="8" w:space="0" w:color="auto"/>
            </w:tcBorders>
            <w:shd w:val="clear" w:color="000000" w:fill="D9D9D9"/>
            <w:noWrap/>
            <w:vAlign w:val="center"/>
            <w:hideMark/>
          </w:tcPr>
          <w:p w14:paraId="4FE455E1" w14:textId="5C08DACC"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16.37%</w:t>
            </w:r>
          </w:p>
        </w:tc>
        <w:tc>
          <w:tcPr>
            <w:tcW w:w="845" w:type="dxa"/>
            <w:tcBorders>
              <w:top w:val="nil"/>
              <w:left w:val="nil"/>
              <w:bottom w:val="single" w:sz="4" w:space="0" w:color="auto"/>
              <w:right w:val="single" w:sz="8" w:space="0" w:color="auto"/>
            </w:tcBorders>
            <w:shd w:val="clear" w:color="000000" w:fill="D9D9D9"/>
            <w:noWrap/>
            <w:vAlign w:val="center"/>
            <w:hideMark/>
          </w:tcPr>
          <w:p w14:paraId="05BF786D" w14:textId="62A0ACB1"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16.87%</w:t>
            </w:r>
          </w:p>
        </w:tc>
        <w:tc>
          <w:tcPr>
            <w:tcW w:w="845" w:type="dxa"/>
            <w:tcBorders>
              <w:top w:val="nil"/>
              <w:left w:val="nil"/>
              <w:bottom w:val="single" w:sz="4" w:space="0" w:color="auto"/>
              <w:right w:val="single" w:sz="8" w:space="0" w:color="auto"/>
            </w:tcBorders>
            <w:shd w:val="clear" w:color="000000" w:fill="D9D9D9"/>
            <w:noWrap/>
            <w:vAlign w:val="center"/>
            <w:hideMark/>
          </w:tcPr>
          <w:p w14:paraId="1D7B9F5A" w14:textId="3541718D"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21.51%</w:t>
            </w:r>
          </w:p>
        </w:tc>
        <w:tc>
          <w:tcPr>
            <w:tcW w:w="845" w:type="dxa"/>
            <w:tcBorders>
              <w:top w:val="nil"/>
              <w:left w:val="nil"/>
              <w:bottom w:val="single" w:sz="4" w:space="0" w:color="auto"/>
              <w:right w:val="single" w:sz="8" w:space="0" w:color="auto"/>
            </w:tcBorders>
            <w:shd w:val="clear" w:color="000000" w:fill="D9D9D9"/>
            <w:noWrap/>
            <w:vAlign w:val="center"/>
            <w:hideMark/>
          </w:tcPr>
          <w:p w14:paraId="2A9D0A8D" w14:textId="6FC05345" w:rsidR="005B7F33" w:rsidRPr="00054730" w:rsidRDefault="005B7F33" w:rsidP="005B7F33">
            <w:pPr>
              <w:jc w:val="right"/>
              <w:rPr>
                <w:rFonts w:ascii="Arial Narrow" w:eastAsia="Times New Roman" w:hAnsi="Arial Narrow" w:cs="Arial"/>
                <w:b/>
                <w:bCs/>
                <w:i/>
                <w:iCs/>
                <w:color w:val="000000"/>
                <w:sz w:val="21"/>
                <w:szCs w:val="21"/>
                <w:lang w:eastAsia="en-AU"/>
              </w:rPr>
            </w:pPr>
            <w:r w:rsidRPr="00054730">
              <w:rPr>
                <w:rFonts w:ascii="Arial Narrow" w:hAnsi="Arial Narrow" w:cs="Arial"/>
                <w:b/>
                <w:bCs/>
                <w:i/>
                <w:iCs/>
                <w:color w:val="000000"/>
                <w:sz w:val="21"/>
                <w:szCs w:val="21"/>
              </w:rPr>
              <w:t>25.67%</w:t>
            </w:r>
          </w:p>
        </w:tc>
      </w:tr>
      <w:tr w:rsidR="00B2734F" w:rsidRPr="005D7FCE" w14:paraId="45CAE738" w14:textId="77777777" w:rsidTr="0084308F">
        <w:trPr>
          <w:trHeight w:val="142"/>
        </w:trPr>
        <w:tc>
          <w:tcPr>
            <w:tcW w:w="1490" w:type="dxa"/>
            <w:tcBorders>
              <w:top w:val="single" w:sz="4" w:space="0" w:color="auto"/>
              <w:left w:val="single" w:sz="4" w:space="0" w:color="auto"/>
              <w:bottom w:val="single" w:sz="4" w:space="0" w:color="auto"/>
            </w:tcBorders>
            <w:shd w:val="clear" w:color="auto" w:fill="auto"/>
            <w:vAlign w:val="center"/>
          </w:tcPr>
          <w:p w14:paraId="5F27CEC1" w14:textId="580D5017" w:rsidR="00B2734F" w:rsidRPr="008D66C4" w:rsidRDefault="00B2734F" w:rsidP="00B2734F">
            <w:pPr>
              <w:jc w:val="center"/>
              <w:rPr>
                <w:rFonts w:ascii="Arial Narrow" w:eastAsia="Times New Roman" w:hAnsi="Arial Narrow" w:cs="Tahoma"/>
                <w:color w:val="333333"/>
                <w:sz w:val="21"/>
                <w:szCs w:val="21"/>
                <w:lang w:eastAsia="en-AU"/>
              </w:rPr>
            </w:pPr>
            <w:r w:rsidRPr="008D66C4">
              <w:rPr>
                <w:rFonts w:ascii="Arial Narrow" w:eastAsia="Times New Roman" w:hAnsi="Arial Narrow" w:cs="Tahoma"/>
                <w:color w:val="333333"/>
                <w:sz w:val="21"/>
                <w:szCs w:val="21"/>
                <w:lang w:eastAsia="en-AU"/>
              </w:rPr>
              <w:t>Base patients</w:t>
            </w:r>
          </w:p>
        </w:tc>
        <w:tc>
          <w:tcPr>
            <w:tcW w:w="2213" w:type="dxa"/>
            <w:tcBorders>
              <w:top w:val="single" w:sz="4" w:space="0" w:color="auto"/>
              <w:bottom w:val="single" w:sz="4" w:space="0" w:color="auto"/>
              <w:right w:val="single" w:sz="8" w:space="0" w:color="auto"/>
            </w:tcBorders>
            <w:shd w:val="clear" w:color="auto" w:fill="auto"/>
            <w:noWrap/>
            <w:vAlign w:val="center"/>
          </w:tcPr>
          <w:p w14:paraId="1533ABB1" w14:textId="77777777" w:rsidR="00B2734F" w:rsidRPr="008D66C4" w:rsidRDefault="00B2734F" w:rsidP="00B2734F">
            <w:pPr>
              <w:rPr>
                <w:rFonts w:ascii="Arial Narrow" w:hAnsi="Arial Narrow" w:cs="Arial"/>
                <w:bCs/>
                <w:i/>
                <w:iCs/>
                <w:color w:val="000000"/>
                <w:sz w:val="21"/>
                <w:szCs w:val="21"/>
              </w:rPr>
            </w:pPr>
          </w:p>
        </w:tc>
        <w:tc>
          <w:tcPr>
            <w:tcW w:w="845" w:type="dxa"/>
            <w:tcBorders>
              <w:top w:val="single" w:sz="4" w:space="0" w:color="auto"/>
              <w:left w:val="nil"/>
              <w:bottom w:val="single" w:sz="4" w:space="0" w:color="auto"/>
              <w:right w:val="single" w:sz="8" w:space="0" w:color="auto"/>
            </w:tcBorders>
            <w:shd w:val="clear" w:color="auto" w:fill="auto"/>
            <w:noWrap/>
            <w:vAlign w:val="bottom"/>
          </w:tcPr>
          <w:p w14:paraId="7A4E5627" w14:textId="20301FBA" w:rsidR="00B2734F" w:rsidRPr="00054730" w:rsidRDefault="00B2734F" w:rsidP="00B2734F">
            <w:pPr>
              <w:jc w:val="right"/>
              <w:rPr>
                <w:rFonts w:ascii="Arial Narrow" w:hAnsi="Arial Narrow" w:cs="Arial"/>
                <w:bCs/>
                <w:i/>
                <w:iCs/>
                <w:color w:val="000000"/>
                <w:sz w:val="21"/>
                <w:szCs w:val="21"/>
              </w:rPr>
            </w:pPr>
            <w:r w:rsidRPr="00054730">
              <w:rPr>
                <w:rFonts w:ascii="Arial Narrow" w:hAnsi="Arial Narrow" w:cs="Tahoma"/>
                <w:bCs/>
                <w:color w:val="000000"/>
                <w:sz w:val="21"/>
                <w:szCs w:val="21"/>
              </w:rPr>
              <w:t>38,709</w:t>
            </w:r>
          </w:p>
        </w:tc>
        <w:tc>
          <w:tcPr>
            <w:tcW w:w="845" w:type="dxa"/>
            <w:tcBorders>
              <w:top w:val="single" w:sz="4" w:space="0" w:color="auto"/>
              <w:left w:val="nil"/>
              <w:bottom w:val="single" w:sz="4" w:space="0" w:color="auto"/>
              <w:right w:val="single" w:sz="8" w:space="0" w:color="auto"/>
            </w:tcBorders>
            <w:shd w:val="clear" w:color="auto" w:fill="auto"/>
            <w:noWrap/>
            <w:vAlign w:val="bottom"/>
          </w:tcPr>
          <w:p w14:paraId="2A4C007E" w14:textId="713DD8AA" w:rsidR="00B2734F" w:rsidRPr="00054730" w:rsidRDefault="00B2734F" w:rsidP="00B2734F">
            <w:pPr>
              <w:jc w:val="right"/>
              <w:rPr>
                <w:rFonts w:ascii="Arial Narrow" w:hAnsi="Arial Narrow" w:cs="Arial"/>
                <w:bCs/>
                <w:i/>
                <w:iCs/>
                <w:color w:val="000000"/>
                <w:sz w:val="21"/>
                <w:szCs w:val="21"/>
              </w:rPr>
            </w:pPr>
            <w:r w:rsidRPr="00054730">
              <w:rPr>
                <w:rFonts w:ascii="Arial Narrow" w:hAnsi="Arial Narrow" w:cs="Tahoma"/>
                <w:bCs/>
                <w:color w:val="000000"/>
                <w:sz w:val="21"/>
                <w:szCs w:val="21"/>
              </w:rPr>
              <w:t>37,993</w:t>
            </w:r>
          </w:p>
        </w:tc>
        <w:tc>
          <w:tcPr>
            <w:tcW w:w="845" w:type="dxa"/>
            <w:tcBorders>
              <w:top w:val="single" w:sz="4" w:space="0" w:color="auto"/>
              <w:left w:val="nil"/>
              <w:bottom w:val="single" w:sz="4" w:space="0" w:color="auto"/>
              <w:right w:val="single" w:sz="8" w:space="0" w:color="auto"/>
            </w:tcBorders>
            <w:shd w:val="clear" w:color="auto" w:fill="auto"/>
            <w:noWrap/>
            <w:vAlign w:val="bottom"/>
          </w:tcPr>
          <w:p w14:paraId="40BBB206" w14:textId="6CADF781" w:rsidR="00B2734F" w:rsidRPr="00054730" w:rsidRDefault="00B2734F" w:rsidP="00B2734F">
            <w:pPr>
              <w:jc w:val="right"/>
              <w:rPr>
                <w:rFonts w:ascii="Arial Narrow" w:hAnsi="Arial Narrow" w:cs="Arial"/>
                <w:bCs/>
                <w:i/>
                <w:iCs/>
                <w:color w:val="000000"/>
                <w:sz w:val="21"/>
                <w:szCs w:val="21"/>
              </w:rPr>
            </w:pPr>
            <w:r w:rsidRPr="00054730">
              <w:rPr>
                <w:rFonts w:ascii="Arial Narrow" w:hAnsi="Arial Narrow" w:cs="Tahoma"/>
                <w:bCs/>
                <w:color w:val="000000"/>
                <w:sz w:val="21"/>
                <w:szCs w:val="21"/>
              </w:rPr>
              <w:t>38,496</w:t>
            </w:r>
          </w:p>
        </w:tc>
        <w:tc>
          <w:tcPr>
            <w:tcW w:w="845" w:type="dxa"/>
            <w:tcBorders>
              <w:top w:val="single" w:sz="4" w:space="0" w:color="auto"/>
              <w:left w:val="nil"/>
              <w:bottom w:val="single" w:sz="4" w:space="0" w:color="auto"/>
              <w:right w:val="single" w:sz="8" w:space="0" w:color="auto"/>
            </w:tcBorders>
            <w:shd w:val="clear" w:color="auto" w:fill="auto"/>
            <w:noWrap/>
            <w:vAlign w:val="bottom"/>
          </w:tcPr>
          <w:p w14:paraId="7BA95842" w14:textId="68FCF28B" w:rsidR="00B2734F" w:rsidRPr="00054730" w:rsidRDefault="00B2734F" w:rsidP="00B2734F">
            <w:pPr>
              <w:jc w:val="right"/>
              <w:rPr>
                <w:rFonts w:ascii="Arial Narrow" w:hAnsi="Arial Narrow" w:cs="Arial"/>
                <w:bCs/>
                <w:i/>
                <w:iCs/>
                <w:color w:val="000000"/>
                <w:sz w:val="21"/>
                <w:szCs w:val="21"/>
              </w:rPr>
            </w:pPr>
            <w:r w:rsidRPr="00054730">
              <w:rPr>
                <w:rFonts w:ascii="Arial Narrow" w:hAnsi="Arial Narrow" w:cs="Tahoma"/>
                <w:bCs/>
                <w:color w:val="000000"/>
                <w:sz w:val="21"/>
                <w:szCs w:val="21"/>
              </w:rPr>
              <w:t>36,339</w:t>
            </w:r>
          </w:p>
        </w:tc>
        <w:tc>
          <w:tcPr>
            <w:tcW w:w="845" w:type="dxa"/>
            <w:tcBorders>
              <w:top w:val="single" w:sz="4" w:space="0" w:color="auto"/>
              <w:left w:val="nil"/>
              <w:bottom w:val="single" w:sz="4" w:space="0" w:color="auto"/>
              <w:right w:val="single" w:sz="8" w:space="0" w:color="auto"/>
            </w:tcBorders>
            <w:shd w:val="clear" w:color="auto" w:fill="auto"/>
            <w:noWrap/>
            <w:vAlign w:val="bottom"/>
          </w:tcPr>
          <w:p w14:paraId="2AABD224" w14:textId="4AF1A0E0" w:rsidR="00B2734F" w:rsidRPr="00054730" w:rsidRDefault="00B2734F" w:rsidP="00B2734F">
            <w:pPr>
              <w:jc w:val="right"/>
              <w:rPr>
                <w:rFonts w:ascii="Arial Narrow" w:hAnsi="Arial Narrow" w:cs="Arial"/>
                <w:bCs/>
                <w:i/>
                <w:iCs/>
                <w:color w:val="000000"/>
                <w:sz w:val="21"/>
                <w:szCs w:val="21"/>
              </w:rPr>
            </w:pPr>
            <w:r w:rsidRPr="00054730">
              <w:rPr>
                <w:rFonts w:ascii="Arial Narrow" w:hAnsi="Arial Narrow" w:cs="Tahoma"/>
                <w:bCs/>
                <w:color w:val="000000"/>
                <w:sz w:val="21"/>
                <w:szCs w:val="21"/>
              </w:rPr>
              <w:t>37,666</w:t>
            </w:r>
          </w:p>
        </w:tc>
        <w:tc>
          <w:tcPr>
            <w:tcW w:w="845" w:type="dxa"/>
            <w:tcBorders>
              <w:top w:val="single" w:sz="4" w:space="0" w:color="auto"/>
              <w:left w:val="nil"/>
              <w:bottom w:val="single" w:sz="4" w:space="0" w:color="auto"/>
              <w:right w:val="single" w:sz="8" w:space="0" w:color="auto"/>
            </w:tcBorders>
            <w:shd w:val="clear" w:color="auto" w:fill="auto"/>
            <w:noWrap/>
            <w:vAlign w:val="bottom"/>
          </w:tcPr>
          <w:p w14:paraId="1CA973CA" w14:textId="32B59E2C" w:rsidR="00B2734F" w:rsidRPr="00054730" w:rsidRDefault="00B2734F" w:rsidP="00B2734F">
            <w:pPr>
              <w:jc w:val="right"/>
              <w:rPr>
                <w:rFonts w:ascii="Arial Narrow" w:hAnsi="Arial Narrow" w:cs="Arial"/>
                <w:bCs/>
                <w:i/>
                <w:iCs/>
                <w:color w:val="000000"/>
                <w:sz w:val="21"/>
                <w:szCs w:val="21"/>
              </w:rPr>
            </w:pPr>
            <w:r w:rsidRPr="00054730">
              <w:rPr>
                <w:rFonts w:ascii="Arial Narrow" w:hAnsi="Arial Narrow" w:cs="Tahoma"/>
                <w:bCs/>
                <w:color w:val="000000"/>
                <w:sz w:val="21"/>
                <w:szCs w:val="21"/>
              </w:rPr>
              <w:t>39,226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BCBD584" w14:textId="7C81CDEE" w:rsidR="00B2734F" w:rsidRPr="00054730" w:rsidRDefault="00B2734F" w:rsidP="00B2734F">
            <w:pPr>
              <w:jc w:val="right"/>
              <w:rPr>
                <w:rFonts w:ascii="Arial Narrow" w:hAnsi="Arial Narrow" w:cs="Arial"/>
                <w:bCs/>
                <w:i/>
                <w:iCs/>
                <w:color w:val="000000"/>
                <w:sz w:val="21"/>
                <w:szCs w:val="21"/>
              </w:rPr>
            </w:pPr>
            <w:r w:rsidRPr="00054730">
              <w:rPr>
                <w:rFonts w:ascii="Arial Narrow" w:hAnsi="Arial Narrow" w:cs="Tahoma"/>
                <w:color w:val="333333"/>
                <w:sz w:val="21"/>
                <w:szCs w:val="21"/>
              </w:rPr>
              <w:t>37,196</w:t>
            </w:r>
          </w:p>
        </w:tc>
      </w:tr>
    </w:tbl>
    <w:p w14:paraId="5A3C044E" w14:textId="77777777" w:rsidR="00B85972" w:rsidRPr="008D66C4" w:rsidRDefault="00B85972" w:rsidP="00B85972">
      <w:pPr>
        <w:pStyle w:val="10TableorFigurefootnote"/>
        <w:rPr>
          <w:sz w:val="18"/>
          <w:szCs w:val="18"/>
        </w:rPr>
      </w:pPr>
      <w:r w:rsidRPr="008D66C4">
        <w:rPr>
          <w:sz w:val="18"/>
          <w:szCs w:val="18"/>
        </w:rPr>
        <w:t>Source: PBS Dispensing records between 1/11/2006 and 31/10/2016 file R2017068_PBS_COPD_DATA.CSV</w:t>
      </w:r>
    </w:p>
    <w:p w14:paraId="4B7E1AB9" w14:textId="26AC7F15" w:rsidR="00B85972" w:rsidRPr="008D66C4" w:rsidRDefault="00B85972" w:rsidP="00B85972">
      <w:pPr>
        <w:pStyle w:val="10TableorFigurefootnote"/>
        <w:rPr>
          <w:sz w:val="18"/>
          <w:szCs w:val="18"/>
        </w:rPr>
      </w:pPr>
      <w:r w:rsidRPr="008D66C4">
        <w:rPr>
          <w:sz w:val="18"/>
          <w:szCs w:val="18"/>
        </w:rPr>
        <w:t xml:space="preserve">IMPORTANT NOTE: </w:t>
      </w:r>
      <w:r w:rsidR="00967804" w:rsidRPr="008D66C4">
        <w:rPr>
          <w:sz w:val="18"/>
          <w:szCs w:val="18"/>
        </w:rPr>
        <w:t>2016 is a part year and the data has been extrapolated to 12 months by applying 2015 month on month ratios by class to the corresponding 2016 months for September through December.</w:t>
      </w:r>
    </w:p>
    <w:bookmarkEnd w:id="59"/>
    <w:p w14:paraId="0D0D3EFE" w14:textId="1C37528F" w:rsidR="009242DE" w:rsidRPr="008D66C4" w:rsidRDefault="00B85972" w:rsidP="009242DE">
      <w:pPr>
        <w:pStyle w:val="11TableorFigurefootnotenostick"/>
        <w:rPr>
          <w:sz w:val="18"/>
          <w:szCs w:val="18"/>
        </w:rPr>
      </w:pPr>
      <w:r w:rsidRPr="008D66C4">
        <w:rPr>
          <w:sz w:val="18"/>
          <w:szCs w:val="18"/>
        </w:rPr>
        <w:t>Abbreviations: ICS, inhaled corticosteroid; LABA, long-acting beta-2 agonist; LAMA, long-acting muscarinic antagonist</w:t>
      </w:r>
      <w:bookmarkEnd w:id="60"/>
      <w:r w:rsidR="000E6EB2">
        <w:rPr>
          <w:sz w:val="18"/>
          <w:szCs w:val="18"/>
        </w:rPr>
        <w:t>.</w:t>
      </w:r>
    </w:p>
    <w:p w14:paraId="5908EB88" w14:textId="0EB7DBD7" w:rsidR="008B2726" w:rsidRPr="00054730" w:rsidRDefault="008B2726" w:rsidP="00975CB4">
      <w:pPr>
        <w:pStyle w:val="BodyText"/>
        <w:spacing w:after="240"/>
      </w:pPr>
      <w:r w:rsidRPr="00054730">
        <w:fldChar w:fldCharType="begin"/>
      </w:r>
      <w:r w:rsidRPr="00054730">
        <w:instrText xml:space="preserve"> REF _Ref467963828 \h  \* MERGEFORMAT </w:instrText>
      </w:r>
      <w:r w:rsidRPr="00054730">
        <w:fldChar w:fldCharType="separate"/>
      </w:r>
      <w:r w:rsidR="001F1F1E" w:rsidRPr="00054730">
        <w:t>Table 5.</w:t>
      </w:r>
      <w:r w:rsidR="0084308F" w:rsidRPr="00054730">
        <w:t>6</w:t>
      </w:r>
      <w:r w:rsidRPr="00054730">
        <w:fldChar w:fldCharType="end"/>
      </w:r>
      <w:r w:rsidRPr="00054730">
        <w:t xml:space="preserve"> </w:t>
      </w:r>
      <w:r w:rsidR="00A53624" w:rsidRPr="00054730">
        <w:t xml:space="preserve">reviews the most common initiation groups by prescriber type for </w:t>
      </w:r>
      <w:r w:rsidR="006F0FB4" w:rsidRPr="00054730">
        <w:t xml:space="preserve">the whole of </w:t>
      </w:r>
      <w:r w:rsidR="00A53624" w:rsidRPr="00054730">
        <w:t>2015 and the 2016 part year</w:t>
      </w:r>
      <w:r w:rsidRPr="00054730">
        <w:t>.</w:t>
      </w:r>
      <w:r w:rsidR="00A53624" w:rsidRPr="00054730">
        <w:t xml:space="preserve"> The prescriber type is captured at the time of the patient’s original supply to avoid double counting patients in multiple categories (</w:t>
      </w:r>
      <w:r w:rsidR="00F93323" w:rsidRPr="00054730">
        <w:t xml:space="preserve">i.e. </w:t>
      </w:r>
      <w:r w:rsidR="00A53624" w:rsidRPr="00054730">
        <w:t xml:space="preserve">in cases where the patient has changed prescriber). GPs are responsible for </w:t>
      </w:r>
      <w:r w:rsidR="00B27FE4" w:rsidRPr="00054730">
        <w:t>86</w:t>
      </w:r>
      <w:r w:rsidR="00F93323" w:rsidRPr="00054730">
        <w:t>.</w:t>
      </w:r>
      <w:r w:rsidR="00B27FE4" w:rsidRPr="00054730">
        <w:t>5</w:t>
      </w:r>
      <w:r w:rsidR="00A53624" w:rsidRPr="00054730">
        <w:t>% of total</w:t>
      </w:r>
      <w:r w:rsidR="006F0FB4" w:rsidRPr="00054730">
        <w:t xml:space="preserve"> prescribing for initiating patients </w:t>
      </w:r>
      <w:r w:rsidR="00054730">
        <w:t xml:space="preserve">in 2015, and </w:t>
      </w:r>
      <w:r w:rsidR="00F93323" w:rsidRPr="00054730">
        <w:t>8</w:t>
      </w:r>
      <w:r w:rsidR="00B27FE4" w:rsidRPr="00054730">
        <w:t>6.7</w:t>
      </w:r>
      <w:r w:rsidR="00F93323" w:rsidRPr="00054730">
        <w:t>% in 2016</w:t>
      </w:r>
      <w:r w:rsidR="00A53624" w:rsidRPr="00054730">
        <w:t>.</w:t>
      </w:r>
      <w:r w:rsidR="00F93323" w:rsidRPr="00054730">
        <w:t xml:space="preserve"> Specialists are largely responsible for </w:t>
      </w:r>
      <w:r w:rsidR="00975CB4" w:rsidRPr="00054730">
        <w:t>the remainder</w:t>
      </w:r>
      <w:r w:rsidR="00F93323" w:rsidRPr="00054730">
        <w:t xml:space="preserve"> </w:t>
      </w:r>
      <w:r w:rsidR="004674D9" w:rsidRPr="00054730">
        <w:t xml:space="preserve">of prescribing </w:t>
      </w:r>
      <w:r w:rsidR="006F0FB4" w:rsidRPr="00054730">
        <w:t>for initiating patients</w:t>
      </w:r>
      <w:r w:rsidR="00F93323" w:rsidRPr="00054730">
        <w:t>, with the exception of 0.5%-0.6% which is attributable to Nurse Practitioners and un-coded supply in the data.</w:t>
      </w:r>
    </w:p>
    <w:p w14:paraId="0422074D" w14:textId="416028DB" w:rsidR="0002121E" w:rsidRPr="00054730" w:rsidRDefault="0002121E" w:rsidP="0084308F">
      <w:pPr>
        <w:pStyle w:val="TR5TableHeader"/>
      </w:pPr>
      <w:bookmarkStart w:id="61" w:name="_Toc486232648"/>
      <w:r w:rsidRPr="00054730">
        <w:t>Table 5.</w:t>
      </w:r>
      <w:r w:rsidR="0033034B" w:rsidRPr="00054730">
        <w:t>6</w:t>
      </w:r>
      <w:r w:rsidR="00F745CA" w:rsidRPr="00054730">
        <w:t xml:space="preserve"> </w:t>
      </w:r>
      <w:r w:rsidRPr="00054730">
        <w:t>Patients initiating by prescriber type, 2015 and 2016</w:t>
      </w:r>
      <w:r w:rsidR="00A45DFD" w:rsidRPr="00054730">
        <w:t xml:space="preserve"> (Jan-Oct)</w:t>
      </w:r>
      <w:bookmarkEnd w:id="61"/>
    </w:p>
    <w:tbl>
      <w:tblPr>
        <w:tblW w:w="9618" w:type="dxa"/>
        <w:tblLook w:val="04A0" w:firstRow="1" w:lastRow="0" w:firstColumn="1" w:lastColumn="0" w:noHBand="0" w:noVBand="1"/>
      </w:tblPr>
      <w:tblGrid>
        <w:gridCol w:w="1877"/>
        <w:gridCol w:w="796"/>
        <w:gridCol w:w="861"/>
        <w:gridCol w:w="666"/>
        <w:gridCol w:w="748"/>
        <w:gridCol w:w="734"/>
        <w:gridCol w:w="853"/>
        <w:gridCol w:w="853"/>
        <w:gridCol w:w="748"/>
        <w:gridCol w:w="748"/>
        <w:gridCol w:w="734"/>
      </w:tblGrid>
      <w:tr w:rsidR="0002121E" w:rsidRPr="00054730" w14:paraId="590CEC29" w14:textId="77777777" w:rsidTr="0016687F">
        <w:trPr>
          <w:trHeight w:val="285"/>
        </w:trPr>
        <w:tc>
          <w:tcPr>
            <w:tcW w:w="1877"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14:paraId="0C428EFE"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Starting Group</w:t>
            </w:r>
          </w:p>
        </w:tc>
        <w:tc>
          <w:tcPr>
            <w:tcW w:w="3805" w:type="dxa"/>
            <w:gridSpan w:val="5"/>
            <w:tcBorders>
              <w:top w:val="single" w:sz="8" w:space="0" w:color="auto"/>
              <w:left w:val="nil"/>
              <w:bottom w:val="single" w:sz="8" w:space="0" w:color="auto"/>
              <w:right w:val="single" w:sz="8" w:space="0" w:color="000000"/>
            </w:tcBorders>
            <w:shd w:val="clear" w:color="000000" w:fill="BFBFBF"/>
            <w:noWrap/>
            <w:vAlign w:val="center"/>
            <w:hideMark/>
          </w:tcPr>
          <w:p w14:paraId="7074624A"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2015</w:t>
            </w:r>
          </w:p>
        </w:tc>
        <w:tc>
          <w:tcPr>
            <w:tcW w:w="3936" w:type="dxa"/>
            <w:gridSpan w:val="5"/>
            <w:tcBorders>
              <w:top w:val="single" w:sz="8" w:space="0" w:color="auto"/>
              <w:left w:val="nil"/>
              <w:bottom w:val="single" w:sz="8" w:space="0" w:color="auto"/>
              <w:right w:val="single" w:sz="8" w:space="0" w:color="000000"/>
            </w:tcBorders>
            <w:shd w:val="clear" w:color="000000" w:fill="BFBFBF"/>
            <w:noWrap/>
            <w:vAlign w:val="center"/>
            <w:hideMark/>
          </w:tcPr>
          <w:p w14:paraId="3BEB9DAE"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2016</w:t>
            </w:r>
          </w:p>
        </w:tc>
      </w:tr>
      <w:tr w:rsidR="0071143D" w:rsidRPr="00054730" w14:paraId="2992C888" w14:textId="77777777" w:rsidTr="0016687F">
        <w:trPr>
          <w:trHeight w:val="285"/>
        </w:trPr>
        <w:tc>
          <w:tcPr>
            <w:tcW w:w="1877" w:type="dxa"/>
            <w:vMerge/>
            <w:tcBorders>
              <w:top w:val="single" w:sz="8" w:space="0" w:color="auto"/>
              <w:left w:val="single" w:sz="8" w:space="0" w:color="auto"/>
              <w:bottom w:val="single" w:sz="8" w:space="0" w:color="000000"/>
              <w:right w:val="single" w:sz="8" w:space="0" w:color="auto"/>
            </w:tcBorders>
            <w:vAlign w:val="center"/>
            <w:hideMark/>
          </w:tcPr>
          <w:p w14:paraId="5FCCB377" w14:textId="77777777" w:rsidR="0002121E" w:rsidRPr="00054730" w:rsidRDefault="0002121E" w:rsidP="0002121E">
            <w:pPr>
              <w:rPr>
                <w:rFonts w:ascii="Arial Narrow" w:eastAsia="Times New Roman" w:hAnsi="Arial Narrow" w:cs="Arial"/>
                <w:b/>
                <w:bCs/>
                <w:color w:val="000000"/>
                <w:sz w:val="18"/>
                <w:szCs w:val="18"/>
                <w:lang w:eastAsia="en-AU"/>
              </w:rPr>
            </w:pPr>
          </w:p>
        </w:tc>
        <w:tc>
          <w:tcPr>
            <w:tcW w:w="796"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4B0DBC83"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GP</w:t>
            </w:r>
          </w:p>
        </w:tc>
        <w:tc>
          <w:tcPr>
            <w:tcW w:w="861"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6905D716"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Specialist</w:t>
            </w:r>
          </w:p>
        </w:tc>
        <w:tc>
          <w:tcPr>
            <w:tcW w:w="666"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20195D9B" w14:textId="3F4FBD8F" w:rsidR="0002121E" w:rsidRPr="00054730" w:rsidRDefault="00F918DC"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NP</w:t>
            </w:r>
          </w:p>
        </w:tc>
        <w:tc>
          <w:tcPr>
            <w:tcW w:w="748"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0828CB65"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Other</w:t>
            </w:r>
          </w:p>
        </w:tc>
        <w:tc>
          <w:tcPr>
            <w:tcW w:w="734"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200F8B21"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Total</w:t>
            </w:r>
          </w:p>
        </w:tc>
        <w:tc>
          <w:tcPr>
            <w:tcW w:w="853"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0F5935A0"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GP</w:t>
            </w:r>
          </w:p>
        </w:tc>
        <w:tc>
          <w:tcPr>
            <w:tcW w:w="853"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6C6AFD49"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Specialist</w:t>
            </w:r>
          </w:p>
        </w:tc>
        <w:tc>
          <w:tcPr>
            <w:tcW w:w="748"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5F83C245" w14:textId="24A942EB" w:rsidR="0002121E" w:rsidRPr="00054730" w:rsidRDefault="00F918DC"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NP</w:t>
            </w:r>
          </w:p>
        </w:tc>
        <w:tc>
          <w:tcPr>
            <w:tcW w:w="748"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5CC0A882"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Other</w:t>
            </w:r>
          </w:p>
        </w:tc>
        <w:tc>
          <w:tcPr>
            <w:tcW w:w="734" w:type="dxa"/>
            <w:tcBorders>
              <w:top w:val="nil"/>
              <w:left w:val="nil"/>
              <w:bottom w:val="single" w:sz="8" w:space="0" w:color="auto"/>
              <w:right w:val="single" w:sz="8" w:space="0" w:color="auto"/>
            </w:tcBorders>
            <w:shd w:val="clear" w:color="000000" w:fill="BFBFBF"/>
            <w:noWrap/>
            <w:tcMar>
              <w:left w:w="28" w:type="dxa"/>
              <w:right w:w="28" w:type="dxa"/>
            </w:tcMar>
            <w:vAlign w:val="center"/>
            <w:hideMark/>
          </w:tcPr>
          <w:p w14:paraId="660D5C17" w14:textId="77777777" w:rsidR="0002121E" w:rsidRPr="00054730" w:rsidRDefault="0002121E" w:rsidP="0002121E">
            <w:pPr>
              <w:jc w:val="center"/>
              <w:rPr>
                <w:rFonts w:ascii="Arial Narrow" w:eastAsia="Times New Roman" w:hAnsi="Arial Narrow" w:cs="Arial"/>
                <w:b/>
                <w:bCs/>
                <w:color w:val="000000"/>
                <w:sz w:val="18"/>
                <w:szCs w:val="18"/>
                <w:lang w:eastAsia="en-AU"/>
              </w:rPr>
            </w:pPr>
            <w:r w:rsidRPr="00054730">
              <w:rPr>
                <w:rFonts w:ascii="Arial Narrow" w:eastAsia="Times New Roman" w:hAnsi="Arial Narrow" w:cs="Arial"/>
                <w:b/>
                <w:bCs/>
                <w:color w:val="000000"/>
                <w:sz w:val="18"/>
                <w:szCs w:val="18"/>
                <w:lang w:eastAsia="en-AU"/>
              </w:rPr>
              <w:t>Total</w:t>
            </w:r>
          </w:p>
        </w:tc>
      </w:tr>
      <w:tr w:rsidR="0071143D" w:rsidRPr="00054730" w14:paraId="34A2CFE2" w14:textId="77777777" w:rsidTr="0016687F">
        <w:trPr>
          <w:trHeight w:val="285"/>
        </w:trPr>
        <w:tc>
          <w:tcPr>
            <w:tcW w:w="1877" w:type="dxa"/>
            <w:tcBorders>
              <w:top w:val="nil"/>
              <w:left w:val="single" w:sz="8" w:space="0" w:color="auto"/>
              <w:bottom w:val="single" w:sz="8" w:space="0" w:color="auto"/>
              <w:right w:val="single" w:sz="8" w:space="0" w:color="auto"/>
            </w:tcBorders>
            <w:shd w:val="clear" w:color="auto" w:fill="auto"/>
            <w:noWrap/>
            <w:vAlign w:val="center"/>
          </w:tcPr>
          <w:p w14:paraId="7F23CBA4" w14:textId="067F089A" w:rsidR="00394E82" w:rsidRPr="00054730" w:rsidRDefault="00394E82" w:rsidP="00394E82">
            <w:pPr>
              <w:rPr>
                <w:rFonts w:ascii="Arial Narrow" w:eastAsia="Times New Roman" w:hAnsi="Arial Narrow" w:cs="Arial"/>
                <w:color w:val="000000"/>
                <w:sz w:val="18"/>
                <w:szCs w:val="18"/>
                <w:lang w:eastAsia="en-AU"/>
              </w:rPr>
            </w:pPr>
            <w:r w:rsidRPr="00054730">
              <w:rPr>
                <w:rFonts w:ascii="Arial Narrow" w:eastAsia="Times New Roman" w:hAnsi="Arial Narrow" w:cs="Arial"/>
                <w:color w:val="000000"/>
                <w:sz w:val="18"/>
                <w:szCs w:val="18"/>
                <w:lang w:eastAsia="en-AU"/>
              </w:rPr>
              <w:t>LAMA</w:t>
            </w:r>
          </w:p>
        </w:tc>
        <w:tc>
          <w:tcPr>
            <w:tcW w:w="796" w:type="dxa"/>
            <w:tcBorders>
              <w:top w:val="nil"/>
              <w:left w:val="nil"/>
              <w:bottom w:val="single" w:sz="8" w:space="0" w:color="auto"/>
              <w:right w:val="single" w:sz="8" w:space="0" w:color="auto"/>
            </w:tcBorders>
            <w:shd w:val="clear" w:color="auto" w:fill="auto"/>
            <w:noWrap/>
            <w:vAlign w:val="center"/>
          </w:tcPr>
          <w:p w14:paraId="1B48424C" w14:textId="5279C094"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87.42%</w:t>
            </w:r>
          </w:p>
        </w:tc>
        <w:tc>
          <w:tcPr>
            <w:tcW w:w="861" w:type="dxa"/>
            <w:tcBorders>
              <w:top w:val="nil"/>
              <w:left w:val="nil"/>
              <w:bottom w:val="single" w:sz="8" w:space="0" w:color="auto"/>
              <w:right w:val="single" w:sz="8" w:space="0" w:color="auto"/>
            </w:tcBorders>
            <w:shd w:val="clear" w:color="auto" w:fill="auto"/>
            <w:noWrap/>
            <w:vAlign w:val="center"/>
          </w:tcPr>
          <w:p w14:paraId="3E2430DB" w14:textId="23DDD64B"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12.10%</w:t>
            </w:r>
          </w:p>
        </w:tc>
        <w:tc>
          <w:tcPr>
            <w:tcW w:w="666" w:type="dxa"/>
            <w:tcBorders>
              <w:top w:val="nil"/>
              <w:left w:val="nil"/>
              <w:bottom w:val="single" w:sz="8" w:space="0" w:color="auto"/>
              <w:right w:val="single" w:sz="8" w:space="0" w:color="auto"/>
            </w:tcBorders>
            <w:shd w:val="clear" w:color="auto" w:fill="auto"/>
            <w:noWrap/>
            <w:vAlign w:val="center"/>
          </w:tcPr>
          <w:p w14:paraId="0D7313D5" w14:textId="1072BDA3"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0.03%</w:t>
            </w:r>
          </w:p>
        </w:tc>
        <w:tc>
          <w:tcPr>
            <w:tcW w:w="748" w:type="dxa"/>
            <w:tcBorders>
              <w:top w:val="nil"/>
              <w:left w:val="nil"/>
              <w:bottom w:val="single" w:sz="8" w:space="0" w:color="auto"/>
              <w:right w:val="single" w:sz="8" w:space="0" w:color="auto"/>
            </w:tcBorders>
            <w:shd w:val="clear" w:color="auto" w:fill="auto"/>
            <w:noWrap/>
            <w:vAlign w:val="center"/>
          </w:tcPr>
          <w:p w14:paraId="12CC96CB" w14:textId="1CE1C725"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0.44%</w:t>
            </w:r>
          </w:p>
        </w:tc>
        <w:tc>
          <w:tcPr>
            <w:tcW w:w="734" w:type="dxa"/>
            <w:tcBorders>
              <w:top w:val="nil"/>
              <w:left w:val="nil"/>
              <w:bottom w:val="single" w:sz="8" w:space="0" w:color="auto"/>
              <w:right w:val="single" w:sz="8" w:space="0" w:color="auto"/>
            </w:tcBorders>
            <w:shd w:val="clear" w:color="000000" w:fill="D9D9D9"/>
            <w:noWrap/>
            <w:vAlign w:val="center"/>
          </w:tcPr>
          <w:p w14:paraId="4DC19701" w14:textId="1CA1A15F" w:rsidR="00394E82" w:rsidRPr="00054730" w:rsidRDefault="00394E82" w:rsidP="00394E82">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c>
          <w:tcPr>
            <w:tcW w:w="853" w:type="dxa"/>
            <w:tcBorders>
              <w:top w:val="nil"/>
              <w:left w:val="nil"/>
              <w:bottom w:val="single" w:sz="8" w:space="0" w:color="auto"/>
              <w:right w:val="single" w:sz="8" w:space="0" w:color="auto"/>
            </w:tcBorders>
            <w:shd w:val="clear" w:color="auto" w:fill="auto"/>
            <w:noWrap/>
            <w:vAlign w:val="center"/>
          </w:tcPr>
          <w:p w14:paraId="16CAD01E" w14:textId="7FB8858F"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87.32%</w:t>
            </w:r>
          </w:p>
        </w:tc>
        <w:tc>
          <w:tcPr>
            <w:tcW w:w="853" w:type="dxa"/>
            <w:tcBorders>
              <w:top w:val="nil"/>
              <w:left w:val="nil"/>
              <w:bottom w:val="single" w:sz="8" w:space="0" w:color="auto"/>
              <w:right w:val="single" w:sz="8" w:space="0" w:color="auto"/>
            </w:tcBorders>
            <w:shd w:val="clear" w:color="auto" w:fill="auto"/>
            <w:noWrap/>
            <w:vAlign w:val="center"/>
          </w:tcPr>
          <w:p w14:paraId="7D9EBEB3" w14:textId="64E8CD29"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12.02%</w:t>
            </w:r>
          </w:p>
        </w:tc>
        <w:tc>
          <w:tcPr>
            <w:tcW w:w="748" w:type="dxa"/>
            <w:tcBorders>
              <w:top w:val="nil"/>
              <w:left w:val="nil"/>
              <w:bottom w:val="single" w:sz="8" w:space="0" w:color="auto"/>
              <w:right w:val="single" w:sz="8" w:space="0" w:color="auto"/>
            </w:tcBorders>
            <w:shd w:val="clear" w:color="auto" w:fill="auto"/>
            <w:noWrap/>
            <w:vAlign w:val="center"/>
          </w:tcPr>
          <w:p w14:paraId="4E06D4E2" w14:textId="521394CE"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0.11%</w:t>
            </w:r>
          </w:p>
        </w:tc>
        <w:tc>
          <w:tcPr>
            <w:tcW w:w="748" w:type="dxa"/>
            <w:tcBorders>
              <w:top w:val="nil"/>
              <w:left w:val="nil"/>
              <w:bottom w:val="single" w:sz="8" w:space="0" w:color="auto"/>
              <w:right w:val="single" w:sz="8" w:space="0" w:color="auto"/>
            </w:tcBorders>
            <w:shd w:val="clear" w:color="auto" w:fill="auto"/>
            <w:noWrap/>
            <w:vAlign w:val="center"/>
          </w:tcPr>
          <w:p w14:paraId="7721C5AE" w14:textId="544086CA"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0.55%</w:t>
            </w:r>
          </w:p>
        </w:tc>
        <w:tc>
          <w:tcPr>
            <w:tcW w:w="734" w:type="dxa"/>
            <w:tcBorders>
              <w:top w:val="nil"/>
              <w:left w:val="nil"/>
              <w:bottom w:val="single" w:sz="8" w:space="0" w:color="auto"/>
              <w:right w:val="single" w:sz="8" w:space="0" w:color="auto"/>
            </w:tcBorders>
            <w:shd w:val="clear" w:color="000000" w:fill="D9D9D9"/>
            <w:noWrap/>
            <w:vAlign w:val="center"/>
          </w:tcPr>
          <w:p w14:paraId="65A98D69" w14:textId="4A7FD90F" w:rsidR="00394E82" w:rsidRPr="00054730" w:rsidRDefault="00394E82" w:rsidP="00394E82">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r>
      <w:tr w:rsidR="0071143D" w:rsidRPr="00054730" w14:paraId="7B1CD4A8" w14:textId="77777777" w:rsidTr="0016687F">
        <w:trPr>
          <w:trHeight w:val="285"/>
        </w:trPr>
        <w:tc>
          <w:tcPr>
            <w:tcW w:w="1877" w:type="dxa"/>
            <w:tcBorders>
              <w:top w:val="nil"/>
              <w:left w:val="single" w:sz="8" w:space="0" w:color="auto"/>
              <w:bottom w:val="single" w:sz="8" w:space="0" w:color="auto"/>
              <w:right w:val="single" w:sz="8" w:space="0" w:color="auto"/>
            </w:tcBorders>
            <w:shd w:val="clear" w:color="auto" w:fill="auto"/>
            <w:noWrap/>
            <w:vAlign w:val="center"/>
          </w:tcPr>
          <w:p w14:paraId="650DE9AA" w14:textId="25B700F3" w:rsidR="00394E82" w:rsidRPr="00054730" w:rsidRDefault="00394E82" w:rsidP="00394E82">
            <w:pPr>
              <w:rPr>
                <w:rFonts w:ascii="Arial Narrow" w:eastAsia="Times New Roman" w:hAnsi="Arial Narrow" w:cs="Arial"/>
                <w:color w:val="000000"/>
                <w:sz w:val="18"/>
                <w:szCs w:val="18"/>
                <w:lang w:eastAsia="en-AU"/>
              </w:rPr>
            </w:pPr>
            <w:r w:rsidRPr="00054730">
              <w:rPr>
                <w:rFonts w:ascii="Arial Narrow" w:eastAsia="Times New Roman" w:hAnsi="Arial Narrow" w:cs="Arial"/>
                <w:color w:val="000000"/>
                <w:sz w:val="18"/>
                <w:szCs w:val="18"/>
                <w:lang w:eastAsia="en-AU"/>
              </w:rPr>
              <w:t>LABA</w:t>
            </w:r>
          </w:p>
        </w:tc>
        <w:tc>
          <w:tcPr>
            <w:tcW w:w="796" w:type="dxa"/>
            <w:tcBorders>
              <w:top w:val="nil"/>
              <w:left w:val="nil"/>
              <w:bottom w:val="single" w:sz="8" w:space="0" w:color="auto"/>
              <w:right w:val="single" w:sz="8" w:space="0" w:color="auto"/>
            </w:tcBorders>
            <w:shd w:val="clear" w:color="auto" w:fill="auto"/>
            <w:noWrap/>
            <w:vAlign w:val="center"/>
          </w:tcPr>
          <w:p w14:paraId="61CA136B" w14:textId="78AC1E59"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87.46%</w:t>
            </w:r>
          </w:p>
        </w:tc>
        <w:tc>
          <w:tcPr>
            <w:tcW w:w="861" w:type="dxa"/>
            <w:tcBorders>
              <w:top w:val="nil"/>
              <w:left w:val="nil"/>
              <w:bottom w:val="single" w:sz="8" w:space="0" w:color="auto"/>
              <w:right w:val="single" w:sz="8" w:space="0" w:color="auto"/>
            </w:tcBorders>
            <w:shd w:val="clear" w:color="auto" w:fill="auto"/>
            <w:noWrap/>
            <w:vAlign w:val="center"/>
          </w:tcPr>
          <w:p w14:paraId="2057E8F5" w14:textId="7E1545BF"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12.17%</w:t>
            </w:r>
          </w:p>
        </w:tc>
        <w:tc>
          <w:tcPr>
            <w:tcW w:w="666" w:type="dxa"/>
            <w:tcBorders>
              <w:top w:val="nil"/>
              <w:left w:val="nil"/>
              <w:bottom w:val="single" w:sz="8" w:space="0" w:color="auto"/>
              <w:right w:val="single" w:sz="8" w:space="0" w:color="auto"/>
            </w:tcBorders>
            <w:shd w:val="clear" w:color="auto" w:fill="auto"/>
            <w:noWrap/>
            <w:vAlign w:val="center"/>
          </w:tcPr>
          <w:p w14:paraId="6790C6DC" w14:textId="1121B5B0"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0.05%</w:t>
            </w:r>
          </w:p>
        </w:tc>
        <w:tc>
          <w:tcPr>
            <w:tcW w:w="748" w:type="dxa"/>
            <w:tcBorders>
              <w:top w:val="nil"/>
              <w:left w:val="nil"/>
              <w:bottom w:val="single" w:sz="8" w:space="0" w:color="auto"/>
              <w:right w:val="single" w:sz="8" w:space="0" w:color="auto"/>
            </w:tcBorders>
            <w:shd w:val="clear" w:color="auto" w:fill="auto"/>
            <w:noWrap/>
            <w:vAlign w:val="center"/>
          </w:tcPr>
          <w:p w14:paraId="3829C72E" w14:textId="5543D9CF"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0.31%</w:t>
            </w:r>
          </w:p>
        </w:tc>
        <w:tc>
          <w:tcPr>
            <w:tcW w:w="734" w:type="dxa"/>
            <w:tcBorders>
              <w:top w:val="nil"/>
              <w:left w:val="nil"/>
              <w:bottom w:val="single" w:sz="8" w:space="0" w:color="auto"/>
              <w:right w:val="single" w:sz="8" w:space="0" w:color="auto"/>
            </w:tcBorders>
            <w:shd w:val="clear" w:color="000000" w:fill="D9D9D9"/>
            <w:noWrap/>
            <w:vAlign w:val="center"/>
          </w:tcPr>
          <w:p w14:paraId="35CB00B6" w14:textId="2707AEDF" w:rsidR="00394E82" w:rsidRPr="00054730" w:rsidRDefault="00394E82" w:rsidP="00394E82">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c>
          <w:tcPr>
            <w:tcW w:w="853" w:type="dxa"/>
            <w:tcBorders>
              <w:top w:val="nil"/>
              <w:left w:val="nil"/>
              <w:bottom w:val="single" w:sz="8" w:space="0" w:color="auto"/>
              <w:right w:val="single" w:sz="8" w:space="0" w:color="auto"/>
            </w:tcBorders>
            <w:shd w:val="clear" w:color="auto" w:fill="auto"/>
            <w:noWrap/>
            <w:vAlign w:val="center"/>
          </w:tcPr>
          <w:p w14:paraId="47E70728" w14:textId="6CCC5E3A"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86.67%</w:t>
            </w:r>
          </w:p>
        </w:tc>
        <w:tc>
          <w:tcPr>
            <w:tcW w:w="853" w:type="dxa"/>
            <w:tcBorders>
              <w:top w:val="nil"/>
              <w:left w:val="nil"/>
              <w:bottom w:val="single" w:sz="8" w:space="0" w:color="auto"/>
              <w:right w:val="single" w:sz="8" w:space="0" w:color="auto"/>
            </w:tcBorders>
            <w:shd w:val="clear" w:color="auto" w:fill="auto"/>
            <w:noWrap/>
            <w:vAlign w:val="center"/>
          </w:tcPr>
          <w:p w14:paraId="050A567D" w14:textId="7747C044"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13.24%</w:t>
            </w:r>
          </w:p>
        </w:tc>
        <w:tc>
          <w:tcPr>
            <w:tcW w:w="748" w:type="dxa"/>
            <w:tcBorders>
              <w:top w:val="nil"/>
              <w:left w:val="nil"/>
              <w:bottom w:val="single" w:sz="8" w:space="0" w:color="auto"/>
              <w:right w:val="single" w:sz="8" w:space="0" w:color="auto"/>
            </w:tcBorders>
            <w:shd w:val="clear" w:color="auto" w:fill="auto"/>
            <w:noWrap/>
            <w:vAlign w:val="center"/>
          </w:tcPr>
          <w:p w14:paraId="78A49B6D" w14:textId="16A7F1CF"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w:t>
            </w:r>
          </w:p>
        </w:tc>
        <w:tc>
          <w:tcPr>
            <w:tcW w:w="748" w:type="dxa"/>
            <w:tcBorders>
              <w:top w:val="nil"/>
              <w:left w:val="nil"/>
              <w:bottom w:val="single" w:sz="8" w:space="0" w:color="auto"/>
              <w:right w:val="single" w:sz="8" w:space="0" w:color="auto"/>
            </w:tcBorders>
            <w:shd w:val="clear" w:color="auto" w:fill="auto"/>
            <w:noWrap/>
            <w:vAlign w:val="center"/>
          </w:tcPr>
          <w:p w14:paraId="5DEB9045" w14:textId="43F4447A"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0.10%</w:t>
            </w:r>
          </w:p>
        </w:tc>
        <w:tc>
          <w:tcPr>
            <w:tcW w:w="734" w:type="dxa"/>
            <w:tcBorders>
              <w:top w:val="nil"/>
              <w:left w:val="nil"/>
              <w:bottom w:val="single" w:sz="8" w:space="0" w:color="auto"/>
              <w:right w:val="single" w:sz="8" w:space="0" w:color="auto"/>
            </w:tcBorders>
            <w:shd w:val="clear" w:color="000000" w:fill="D9D9D9"/>
            <w:noWrap/>
            <w:vAlign w:val="center"/>
          </w:tcPr>
          <w:p w14:paraId="310A81A8" w14:textId="0CF3D198" w:rsidR="00394E82" w:rsidRPr="00054730" w:rsidRDefault="00394E82" w:rsidP="00394E82">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r>
      <w:tr w:rsidR="0071143D" w:rsidRPr="00054730" w14:paraId="744EB0FD" w14:textId="77777777" w:rsidTr="0016687F">
        <w:trPr>
          <w:trHeight w:val="285"/>
        </w:trPr>
        <w:tc>
          <w:tcPr>
            <w:tcW w:w="1877" w:type="dxa"/>
            <w:tcBorders>
              <w:top w:val="nil"/>
              <w:left w:val="single" w:sz="8" w:space="0" w:color="auto"/>
              <w:bottom w:val="single" w:sz="8" w:space="0" w:color="auto"/>
              <w:right w:val="single" w:sz="8" w:space="0" w:color="auto"/>
            </w:tcBorders>
            <w:shd w:val="clear" w:color="auto" w:fill="auto"/>
            <w:noWrap/>
            <w:vAlign w:val="center"/>
          </w:tcPr>
          <w:p w14:paraId="1C172DF0" w14:textId="00BC5C76" w:rsidR="00394E82" w:rsidRPr="00054730" w:rsidRDefault="00394E82" w:rsidP="00394E82">
            <w:pPr>
              <w:rPr>
                <w:rFonts w:ascii="Arial Narrow" w:eastAsia="Times New Roman" w:hAnsi="Arial Narrow" w:cs="Arial"/>
                <w:color w:val="000000"/>
                <w:sz w:val="18"/>
                <w:szCs w:val="18"/>
                <w:lang w:eastAsia="en-AU"/>
              </w:rPr>
            </w:pPr>
            <w:r w:rsidRPr="00054730">
              <w:rPr>
                <w:rFonts w:ascii="Arial Narrow" w:eastAsia="Times New Roman" w:hAnsi="Arial Narrow" w:cs="Arial"/>
                <w:color w:val="000000"/>
                <w:sz w:val="18"/>
                <w:szCs w:val="18"/>
                <w:lang w:eastAsia="en-AU"/>
              </w:rPr>
              <w:t>LABA/LAMA</w:t>
            </w:r>
          </w:p>
        </w:tc>
        <w:tc>
          <w:tcPr>
            <w:tcW w:w="796" w:type="dxa"/>
            <w:tcBorders>
              <w:top w:val="nil"/>
              <w:left w:val="nil"/>
              <w:bottom w:val="single" w:sz="8" w:space="0" w:color="auto"/>
              <w:right w:val="single" w:sz="8" w:space="0" w:color="auto"/>
            </w:tcBorders>
            <w:shd w:val="clear" w:color="auto" w:fill="auto"/>
            <w:noWrap/>
            <w:vAlign w:val="center"/>
          </w:tcPr>
          <w:p w14:paraId="404A223C" w14:textId="5533BCBC"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87.55%</w:t>
            </w:r>
          </w:p>
        </w:tc>
        <w:tc>
          <w:tcPr>
            <w:tcW w:w="861" w:type="dxa"/>
            <w:tcBorders>
              <w:top w:val="nil"/>
              <w:left w:val="nil"/>
              <w:bottom w:val="single" w:sz="8" w:space="0" w:color="auto"/>
              <w:right w:val="single" w:sz="8" w:space="0" w:color="auto"/>
            </w:tcBorders>
            <w:shd w:val="clear" w:color="auto" w:fill="auto"/>
            <w:noWrap/>
            <w:vAlign w:val="center"/>
          </w:tcPr>
          <w:p w14:paraId="77102DA9" w14:textId="3CDC5609"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12.25%</w:t>
            </w:r>
          </w:p>
        </w:tc>
        <w:tc>
          <w:tcPr>
            <w:tcW w:w="666" w:type="dxa"/>
            <w:tcBorders>
              <w:top w:val="nil"/>
              <w:left w:val="nil"/>
              <w:bottom w:val="single" w:sz="8" w:space="0" w:color="auto"/>
              <w:right w:val="single" w:sz="8" w:space="0" w:color="auto"/>
            </w:tcBorders>
            <w:shd w:val="clear" w:color="auto" w:fill="auto"/>
            <w:noWrap/>
            <w:vAlign w:val="center"/>
          </w:tcPr>
          <w:p w14:paraId="42B4B2BE" w14:textId="6BDD5F20"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0.03%</w:t>
            </w:r>
          </w:p>
        </w:tc>
        <w:tc>
          <w:tcPr>
            <w:tcW w:w="748" w:type="dxa"/>
            <w:tcBorders>
              <w:top w:val="nil"/>
              <w:left w:val="nil"/>
              <w:bottom w:val="single" w:sz="8" w:space="0" w:color="auto"/>
              <w:right w:val="single" w:sz="8" w:space="0" w:color="auto"/>
            </w:tcBorders>
            <w:shd w:val="clear" w:color="auto" w:fill="auto"/>
            <w:noWrap/>
            <w:vAlign w:val="center"/>
          </w:tcPr>
          <w:p w14:paraId="2939F0BA" w14:textId="26972FE2"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0.17%</w:t>
            </w:r>
          </w:p>
        </w:tc>
        <w:tc>
          <w:tcPr>
            <w:tcW w:w="734" w:type="dxa"/>
            <w:tcBorders>
              <w:top w:val="nil"/>
              <w:left w:val="nil"/>
              <w:bottom w:val="single" w:sz="8" w:space="0" w:color="auto"/>
              <w:right w:val="single" w:sz="8" w:space="0" w:color="auto"/>
            </w:tcBorders>
            <w:shd w:val="clear" w:color="000000" w:fill="D9D9D9"/>
            <w:noWrap/>
            <w:vAlign w:val="center"/>
          </w:tcPr>
          <w:p w14:paraId="2ED4D0E9" w14:textId="1114C241" w:rsidR="00394E82" w:rsidRPr="00054730" w:rsidRDefault="00394E82" w:rsidP="00394E82">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c>
          <w:tcPr>
            <w:tcW w:w="853" w:type="dxa"/>
            <w:tcBorders>
              <w:top w:val="nil"/>
              <w:left w:val="nil"/>
              <w:bottom w:val="single" w:sz="8" w:space="0" w:color="auto"/>
              <w:right w:val="single" w:sz="8" w:space="0" w:color="auto"/>
            </w:tcBorders>
            <w:shd w:val="clear" w:color="auto" w:fill="auto"/>
            <w:noWrap/>
            <w:vAlign w:val="center"/>
          </w:tcPr>
          <w:p w14:paraId="355F3D1B" w14:textId="646CE039"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88.18%</w:t>
            </w:r>
          </w:p>
        </w:tc>
        <w:tc>
          <w:tcPr>
            <w:tcW w:w="853" w:type="dxa"/>
            <w:tcBorders>
              <w:top w:val="nil"/>
              <w:left w:val="nil"/>
              <w:bottom w:val="single" w:sz="8" w:space="0" w:color="auto"/>
              <w:right w:val="single" w:sz="8" w:space="0" w:color="auto"/>
            </w:tcBorders>
            <w:shd w:val="clear" w:color="auto" w:fill="auto"/>
            <w:noWrap/>
            <w:vAlign w:val="center"/>
          </w:tcPr>
          <w:p w14:paraId="21B81312" w14:textId="3FE2D5C8"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11.64%</w:t>
            </w:r>
          </w:p>
        </w:tc>
        <w:tc>
          <w:tcPr>
            <w:tcW w:w="748" w:type="dxa"/>
            <w:tcBorders>
              <w:top w:val="nil"/>
              <w:left w:val="nil"/>
              <w:bottom w:val="single" w:sz="8" w:space="0" w:color="auto"/>
              <w:right w:val="single" w:sz="8" w:space="0" w:color="auto"/>
            </w:tcBorders>
            <w:shd w:val="clear" w:color="auto" w:fill="auto"/>
            <w:noWrap/>
            <w:vAlign w:val="center"/>
          </w:tcPr>
          <w:p w14:paraId="2DC06059" w14:textId="7C3022C8"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0.05%</w:t>
            </w:r>
          </w:p>
        </w:tc>
        <w:tc>
          <w:tcPr>
            <w:tcW w:w="748" w:type="dxa"/>
            <w:tcBorders>
              <w:top w:val="nil"/>
              <w:left w:val="nil"/>
              <w:bottom w:val="single" w:sz="8" w:space="0" w:color="auto"/>
              <w:right w:val="single" w:sz="8" w:space="0" w:color="auto"/>
            </w:tcBorders>
            <w:shd w:val="clear" w:color="auto" w:fill="auto"/>
            <w:noWrap/>
            <w:vAlign w:val="center"/>
          </w:tcPr>
          <w:p w14:paraId="483D02C2" w14:textId="5DB35DA6" w:rsidR="00394E82" w:rsidRPr="00054730" w:rsidRDefault="00394E82" w:rsidP="00394E82">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0.13%</w:t>
            </w:r>
          </w:p>
        </w:tc>
        <w:tc>
          <w:tcPr>
            <w:tcW w:w="734" w:type="dxa"/>
            <w:tcBorders>
              <w:top w:val="nil"/>
              <w:left w:val="nil"/>
              <w:bottom w:val="single" w:sz="8" w:space="0" w:color="auto"/>
              <w:right w:val="single" w:sz="8" w:space="0" w:color="auto"/>
            </w:tcBorders>
            <w:shd w:val="clear" w:color="000000" w:fill="D9D9D9"/>
            <w:noWrap/>
            <w:vAlign w:val="center"/>
          </w:tcPr>
          <w:p w14:paraId="679FB0CE" w14:textId="451C810C" w:rsidR="00394E82" w:rsidRPr="00054730" w:rsidRDefault="00394E82" w:rsidP="00394E82">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r>
      <w:tr w:rsidR="00F11D66" w:rsidRPr="00054730" w14:paraId="19F438D7" w14:textId="77777777" w:rsidTr="0016687F">
        <w:trPr>
          <w:trHeight w:val="285"/>
        </w:trPr>
        <w:tc>
          <w:tcPr>
            <w:tcW w:w="1877" w:type="dxa"/>
            <w:tcBorders>
              <w:top w:val="nil"/>
              <w:left w:val="single" w:sz="8" w:space="0" w:color="auto"/>
              <w:bottom w:val="single" w:sz="4" w:space="0" w:color="auto"/>
              <w:right w:val="single" w:sz="8" w:space="0" w:color="auto"/>
            </w:tcBorders>
            <w:shd w:val="clear" w:color="auto" w:fill="auto"/>
            <w:noWrap/>
            <w:vAlign w:val="center"/>
          </w:tcPr>
          <w:p w14:paraId="24B3BCB4" w14:textId="49355005" w:rsidR="00F11D66" w:rsidRPr="00054730" w:rsidRDefault="00F11D66" w:rsidP="00F11D66">
            <w:pPr>
              <w:rPr>
                <w:rFonts w:ascii="Arial Narrow" w:eastAsia="Times New Roman" w:hAnsi="Arial Narrow" w:cs="Arial"/>
                <w:color w:val="000000"/>
                <w:sz w:val="18"/>
                <w:szCs w:val="18"/>
                <w:lang w:eastAsia="en-AU"/>
              </w:rPr>
            </w:pPr>
            <w:r w:rsidRPr="00054730">
              <w:rPr>
                <w:rFonts w:ascii="Arial Narrow" w:eastAsia="Times New Roman" w:hAnsi="Arial Narrow" w:cs="Arial"/>
                <w:color w:val="000000"/>
                <w:sz w:val="18"/>
                <w:szCs w:val="18"/>
                <w:lang w:eastAsia="en-AU"/>
              </w:rPr>
              <w:t>Others</w:t>
            </w:r>
          </w:p>
        </w:tc>
        <w:tc>
          <w:tcPr>
            <w:tcW w:w="796" w:type="dxa"/>
            <w:tcBorders>
              <w:top w:val="nil"/>
              <w:left w:val="nil"/>
              <w:bottom w:val="single" w:sz="4" w:space="0" w:color="auto"/>
              <w:right w:val="single" w:sz="8" w:space="0" w:color="auto"/>
            </w:tcBorders>
            <w:shd w:val="clear" w:color="auto" w:fill="auto"/>
            <w:noWrap/>
            <w:vAlign w:val="center"/>
          </w:tcPr>
          <w:p w14:paraId="1E5B0EE6" w14:textId="27F140FD" w:rsidR="00F11D66" w:rsidRPr="00054730" w:rsidRDefault="00F11D66" w:rsidP="00F11D66">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79.94%</w:t>
            </w:r>
          </w:p>
        </w:tc>
        <w:tc>
          <w:tcPr>
            <w:tcW w:w="861" w:type="dxa"/>
            <w:tcBorders>
              <w:top w:val="nil"/>
              <w:left w:val="nil"/>
              <w:bottom w:val="single" w:sz="4" w:space="0" w:color="auto"/>
              <w:right w:val="single" w:sz="8" w:space="0" w:color="auto"/>
            </w:tcBorders>
            <w:shd w:val="clear" w:color="auto" w:fill="auto"/>
            <w:noWrap/>
            <w:vAlign w:val="center"/>
          </w:tcPr>
          <w:p w14:paraId="2657484D" w14:textId="3AEA9472" w:rsidR="00F11D66" w:rsidRPr="00054730" w:rsidRDefault="00F11D66" w:rsidP="00F11D66">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19.19%</w:t>
            </w:r>
          </w:p>
        </w:tc>
        <w:tc>
          <w:tcPr>
            <w:tcW w:w="666" w:type="dxa"/>
            <w:tcBorders>
              <w:top w:val="nil"/>
              <w:left w:val="nil"/>
              <w:bottom w:val="single" w:sz="4" w:space="0" w:color="auto"/>
              <w:right w:val="single" w:sz="8" w:space="0" w:color="auto"/>
            </w:tcBorders>
            <w:shd w:val="clear" w:color="auto" w:fill="auto"/>
            <w:noWrap/>
            <w:vAlign w:val="center"/>
          </w:tcPr>
          <w:p w14:paraId="7D7D7508" w14:textId="416A32BD" w:rsidR="00F11D66" w:rsidRPr="00054730" w:rsidRDefault="00F11D66" w:rsidP="00F11D66">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0.04%</w:t>
            </w:r>
          </w:p>
        </w:tc>
        <w:tc>
          <w:tcPr>
            <w:tcW w:w="748" w:type="dxa"/>
            <w:tcBorders>
              <w:top w:val="nil"/>
              <w:left w:val="nil"/>
              <w:bottom w:val="single" w:sz="4" w:space="0" w:color="auto"/>
              <w:right w:val="single" w:sz="8" w:space="0" w:color="auto"/>
            </w:tcBorders>
            <w:shd w:val="clear" w:color="auto" w:fill="auto"/>
            <w:noWrap/>
            <w:vAlign w:val="center"/>
          </w:tcPr>
          <w:p w14:paraId="50FFA38C" w14:textId="24BA9743" w:rsidR="00F11D66" w:rsidRPr="00054730" w:rsidRDefault="00F11D66" w:rsidP="00F11D66">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0.83%</w:t>
            </w:r>
          </w:p>
        </w:tc>
        <w:tc>
          <w:tcPr>
            <w:tcW w:w="734" w:type="dxa"/>
            <w:tcBorders>
              <w:top w:val="nil"/>
              <w:left w:val="nil"/>
              <w:bottom w:val="single" w:sz="4" w:space="0" w:color="auto"/>
              <w:right w:val="single" w:sz="8" w:space="0" w:color="auto"/>
            </w:tcBorders>
            <w:shd w:val="clear" w:color="000000" w:fill="D9D9D9"/>
            <w:noWrap/>
            <w:vAlign w:val="center"/>
          </w:tcPr>
          <w:p w14:paraId="7A322492" w14:textId="183B24C4"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c>
          <w:tcPr>
            <w:tcW w:w="853" w:type="dxa"/>
            <w:tcBorders>
              <w:top w:val="nil"/>
              <w:left w:val="nil"/>
              <w:bottom w:val="single" w:sz="4" w:space="0" w:color="auto"/>
              <w:right w:val="single" w:sz="8" w:space="0" w:color="auto"/>
            </w:tcBorders>
            <w:shd w:val="clear" w:color="auto" w:fill="auto"/>
            <w:noWrap/>
            <w:vAlign w:val="center"/>
          </w:tcPr>
          <w:p w14:paraId="70B1F8C3" w14:textId="46A855A8" w:rsidR="00F11D66" w:rsidRPr="00054730" w:rsidRDefault="00F11D66" w:rsidP="00F11D66">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80.47%</w:t>
            </w:r>
          </w:p>
        </w:tc>
        <w:tc>
          <w:tcPr>
            <w:tcW w:w="853" w:type="dxa"/>
            <w:tcBorders>
              <w:top w:val="nil"/>
              <w:left w:val="nil"/>
              <w:bottom w:val="single" w:sz="4" w:space="0" w:color="auto"/>
              <w:right w:val="single" w:sz="8" w:space="0" w:color="auto"/>
            </w:tcBorders>
            <w:shd w:val="clear" w:color="auto" w:fill="auto"/>
            <w:noWrap/>
            <w:vAlign w:val="center"/>
          </w:tcPr>
          <w:p w14:paraId="76A13744" w14:textId="4724BAD3" w:rsidR="00F11D66" w:rsidRPr="00054730" w:rsidRDefault="00F11D66" w:rsidP="00F11D66">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18.52%</w:t>
            </w:r>
          </w:p>
        </w:tc>
        <w:tc>
          <w:tcPr>
            <w:tcW w:w="748" w:type="dxa"/>
            <w:tcBorders>
              <w:top w:val="nil"/>
              <w:left w:val="nil"/>
              <w:bottom w:val="single" w:sz="4" w:space="0" w:color="auto"/>
              <w:right w:val="single" w:sz="8" w:space="0" w:color="auto"/>
            </w:tcBorders>
            <w:shd w:val="clear" w:color="auto" w:fill="auto"/>
            <w:noWrap/>
            <w:vAlign w:val="center"/>
          </w:tcPr>
          <w:p w14:paraId="21D2113C" w14:textId="67200625" w:rsidR="00F11D66" w:rsidRPr="00054730" w:rsidRDefault="00F11D66" w:rsidP="00F11D66">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0.00%</w:t>
            </w:r>
          </w:p>
        </w:tc>
        <w:tc>
          <w:tcPr>
            <w:tcW w:w="748" w:type="dxa"/>
            <w:tcBorders>
              <w:top w:val="nil"/>
              <w:left w:val="nil"/>
              <w:bottom w:val="single" w:sz="4" w:space="0" w:color="auto"/>
              <w:right w:val="single" w:sz="8" w:space="0" w:color="auto"/>
            </w:tcBorders>
            <w:shd w:val="clear" w:color="auto" w:fill="auto"/>
            <w:noWrap/>
            <w:vAlign w:val="center"/>
          </w:tcPr>
          <w:p w14:paraId="12EBE312" w14:textId="43C9D225" w:rsidR="00F11D66" w:rsidRPr="00054730" w:rsidRDefault="00F11D66" w:rsidP="00F11D66">
            <w:pPr>
              <w:jc w:val="right"/>
              <w:rPr>
                <w:rFonts w:ascii="Arial Narrow" w:eastAsia="Times New Roman" w:hAnsi="Arial Narrow" w:cs="Arial"/>
                <w:color w:val="000000"/>
                <w:sz w:val="18"/>
                <w:szCs w:val="18"/>
                <w:lang w:eastAsia="en-AU"/>
              </w:rPr>
            </w:pPr>
            <w:r w:rsidRPr="00054730">
              <w:rPr>
                <w:rFonts w:ascii="Arial Narrow" w:hAnsi="Arial Narrow" w:cs="Arial"/>
                <w:color w:val="000000"/>
                <w:sz w:val="18"/>
                <w:szCs w:val="18"/>
              </w:rPr>
              <w:t>1.01%</w:t>
            </w:r>
          </w:p>
        </w:tc>
        <w:tc>
          <w:tcPr>
            <w:tcW w:w="734" w:type="dxa"/>
            <w:tcBorders>
              <w:top w:val="nil"/>
              <w:left w:val="nil"/>
              <w:bottom w:val="single" w:sz="4" w:space="0" w:color="auto"/>
              <w:right w:val="single" w:sz="8" w:space="0" w:color="auto"/>
            </w:tcBorders>
            <w:shd w:val="clear" w:color="000000" w:fill="D9D9D9"/>
            <w:noWrap/>
            <w:vAlign w:val="center"/>
          </w:tcPr>
          <w:p w14:paraId="7E72ECD2" w14:textId="1404C62B"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r>
      <w:tr w:rsidR="00F11D66" w:rsidRPr="00054730" w14:paraId="5E8C242B" w14:textId="77777777" w:rsidTr="0016687F">
        <w:trPr>
          <w:trHeight w:val="285"/>
        </w:trPr>
        <w:tc>
          <w:tcPr>
            <w:tcW w:w="187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01A35A8" w14:textId="77E81427" w:rsidR="00F11D66" w:rsidRPr="00054730" w:rsidRDefault="00F11D66" w:rsidP="00F11D66">
            <w:pPr>
              <w:rPr>
                <w:rFonts w:ascii="Arial Narrow" w:eastAsia="Times New Roman" w:hAnsi="Arial Narrow" w:cs="Arial"/>
                <w:b/>
                <w:bCs/>
                <w:i/>
                <w:iCs/>
                <w:color w:val="000000"/>
                <w:sz w:val="18"/>
                <w:szCs w:val="18"/>
                <w:lang w:eastAsia="en-AU"/>
              </w:rPr>
            </w:pPr>
            <w:r w:rsidRPr="00054730">
              <w:rPr>
                <w:rFonts w:ascii="Arial Narrow" w:eastAsia="Times New Roman" w:hAnsi="Arial Narrow" w:cs="Arial"/>
                <w:b/>
                <w:bCs/>
                <w:i/>
                <w:iCs/>
                <w:color w:val="000000"/>
                <w:sz w:val="18"/>
                <w:szCs w:val="18"/>
                <w:lang w:eastAsia="en-AU"/>
              </w:rPr>
              <w:t>Total</w:t>
            </w:r>
          </w:p>
        </w:tc>
        <w:tc>
          <w:tcPr>
            <w:tcW w:w="796" w:type="dxa"/>
            <w:tcBorders>
              <w:top w:val="single" w:sz="4" w:space="0" w:color="auto"/>
              <w:left w:val="nil"/>
              <w:bottom w:val="single" w:sz="4" w:space="0" w:color="auto"/>
              <w:right w:val="single" w:sz="8" w:space="0" w:color="auto"/>
            </w:tcBorders>
            <w:shd w:val="clear" w:color="000000" w:fill="D9D9D9"/>
            <w:noWrap/>
            <w:vAlign w:val="center"/>
            <w:hideMark/>
          </w:tcPr>
          <w:p w14:paraId="18895EA7" w14:textId="3F3CE598"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86.50%</w:t>
            </w:r>
          </w:p>
        </w:tc>
        <w:tc>
          <w:tcPr>
            <w:tcW w:w="861" w:type="dxa"/>
            <w:tcBorders>
              <w:top w:val="single" w:sz="4" w:space="0" w:color="auto"/>
              <w:left w:val="nil"/>
              <w:bottom w:val="single" w:sz="4" w:space="0" w:color="auto"/>
              <w:right w:val="single" w:sz="8" w:space="0" w:color="auto"/>
            </w:tcBorders>
            <w:shd w:val="clear" w:color="000000" w:fill="D9D9D9"/>
            <w:noWrap/>
            <w:vAlign w:val="center"/>
            <w:hideMark/>
          </w:tcPr>
          <w:p w14:paraId="6900E05E" w14:textId="34CD9D65"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13.01%</w:t>
            </w:r>
          </w:p>
        </w:tc>
        <w:tc>
          <w:tcPr>
            <w:tcW w:w="666" w:type="dxa"/>
            <w:tcBorders>
              <w:top w:val="single" w:sz="4" w:space="0" w:color="auto"/>
              <w:left w:val="nil"/>
              <w:bottom w:val="single" w:sz="4" w:space="0" w:color="auto"/>
              <w:right w:val="single" w:sz="8" w:space="0" w:color="auto"/>
            </w:tcBorders>
            <w:shd w:val="clear" w:color="000000" w:fill="D9D9D9"/>
            <w:noWrap/>
            <w:vAlign w:val="center"/>
            <w:hideMark/>
          </w:tcPr>
          <w:p w14:paraId="61AC5CB9" w14:textId="7DEB0828"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0.04%</w:t>
            </w:r>
          </w:p>
        </w:tc>
        <w:tc>
          <w:tcPr>
            <w:tcW w:w="748" w:type="dxa"/>
            <w:tcBorders>
              <w:top w:val="single" w:sz="4" w:space="0" w:color="auto"/>
              <w:left w:val="nil"/>
              <w:bottom w:val="single" w:sz="4" w:space="0" w:color="auto"/>
              <w:right w:val="single" w:sz="8" w:space="0" w:color="auto"/>
            </w:tcBorders>
            <w:shd w:val="clear" w:color="000000" w:fill="D9D9D9"/>
            <w:noWrap/>
            <w:vAlign w:val="center"/>
            <w:hideMark/>
          </w:tcPr>
          <w:p w14:paraId="2C6E1899" w14:textId="1CF82ED6"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0.46%</w:t>
            </w:r>
          </w:p>
        </w:tc>
        <w:tc>
          <w:tcPr>
            <w:tcW w:w="734" w:type="dxa"/>
            <w:tcBorders>
              <w:top w:val="single" w:sz="4" w:space="0" w:color="auto"/>
              <w:left w:val="nil"/>
              <w:bottom w:val="single" w:sz="4" w:space="0" w:color="auto"/>
              <w:right w:val="single" w:sz="8" w:space="0" w:color="auto"/>
            </w:tcBorders>
            <w:shd w:val="clear" w:color="000000" w:fill="D9D9D9"/>
            <w:noWrap/>
            <w:vAlign w:val="center"/>
            <w:hideMark/>
          </w:tcPr>
          <w:p w14:paraId="16B274EF" w14:textId="6DE6DCCB"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c>
          <w:tcPr>
            <w:tcW w:w="853" w:type="dxa"/>
            <w:tcBorders>
              <w:top w:val="single" w:sz="4" w:space="0" w:color="auto"/>
              <w:left w:val="nil"/>
              <w:bottom w:val="single" w:sz="4" w:space="0" w:color="auto"/>
              <w:right w:val="single" w:sz="8" w:space="0" w:color="auto"/>
            </w:tcBorders>
            <w:shd w:val="clear" w:color="000000" w:fill="D9D9D9"/>
            <w:noWrap/>
            <w:vAlign w:val="center"/>
            <w:hideMark/>
          </w:tcPr>
          <w:p w14:paraId="573CB603" w14:textId="4820B2B3"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86.70%</w:t>
            </w:r>
          </w:p>
        </w:tc>
        <w:tc>
          <w:tcPr>
            <w:tcW w:w="853" w:type="dxa"/>
            <w:tcBorders>
              <w:top w:val="single" w:sz="4" w:space="0" w:color="auto"/>
              <w:left w:val="nil"/>
              <w:bottom w:val="single" w:sz="4" w:space="0" w:color="auto"/>
              <w:right w:val="single" w:sz="8" w:space="0" w:color="auto"/>
            </w:tcBorders>
            <w:shd w:val="clear" w:color="000000" w:fill="D9D9D9"/>
            <w:noWrap/>
            <w:vAlign w:val="center"/>
            <w:hideMark/>
          </w:tcPr>
          <w:p w14:paraId="4F1F6BFA" w14:textId="701E29D8"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12.69%</w:t>
            </w:r>
          </w:p>
        </w:tc>
        <w:tc>
          <w:tcPr>
            <w:tcW w:w="748" w:type="dxa"/>
            <w:tcBorders>
              <w:top w:val="single" w:sz="4" w:space="0" w:color="auto"/>
              <w:left w:val="nil"/>
              <w:bottom w:val="single" w:sz="4" w:space="0" w:color="auto"/>
              <w:right w:val="single" w:sz="8" w:space="0" w:color="auto"/>
            </w:tcBorders>
            <w:shd w:val="clear" w:color="000000" w:fill="D9D9D9"/>
            <w:noWrap/>
            <w:vAlign w:val="center"/>
            <w:hideMark/>
          </w:tcPr>
          <w:p w14:paraId="037E3C54" w14:textId="156FBE83"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0.09%</w:t>
            </w:r>
          </w:p>
        </w:tc>
        <w:tc>
          <w:tcPr>
            <w:tcW w:w="748" w:type="dxa"/>
            <w:tcBorders>
              <w:top w:val="single" w:sz="4" w:space="0" w:color="auto"/>
              <w:left w:val="nil"/>
              <w:bottom w:val="single" w:sz="4" w:space="0" w:color="auto"/>
              <w:right w:val="single" w:sz="8" w:space="0" w:color="auto"/>
            </w:tcBorders>
            <w:shd w:val="clear" w:color="000000" w:fill="D9D9D9"/>
            <w:noWrap/>
            <w:vAlign w:val="center"/>
            <w:hideMark/>
          </w:tcPr>
          <w:p w14:paraId="1CDD0236" w14:textId="5BA767BB"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0.52%</w:t>
            </w:r>
          </w:p>
        </w:tc>
        <w:tc>
          <w:tcPr>
            <w:tcW w:w="734" w:type="dxa"/>
            <w:tcBorders>
              <w:top w:val="single" w:sz="4" w:space="0" w:color="auto"/>
              <w:left w:val="nil"/>
              <w:bottom w:val="single" w:sz="4" w:space="0" w:color="auto"/>
              <w:right w:val="single" w:sz="4" w:space="0" w:color="auto"/>
            </w:tcBorders>
            <w:shd w:val="clear" w:color="000000" w:fill="D9D9D9"/>
            <w:noWrap/>
            <w:vAlign w:val="center"/>
            <w:hideMark/>
          </w:tcPr>
          <w:p w14:paraId="65AAA516" w14:textId="73265B5E" w:rsidR="00F11D66" w:rsidRPr="00054730" w:rsidRDefault="00F11D66" w:rsidP="00F11D66">
            <w:pPr>
              <w:jc w:val="right"/>
              <w:rPr>
                <w:rFonts w:ascii="Arial Narrow" w:eastAsia="Times New Roman" w:hAnsi="Arial Narrow" w:cs="Arial"/>
                <w:b/>
                <w:bCs/>
                <w:i/>
                <w:iCs/>
                <w:color w:val="000000"/>
                <w:sz w:val="18"/>
                <w:szCs w:val="18"/>
                <w:lang w:eastAsia="en-AU"/>
              </w:rPr>
            </w:pPr>
            <w:r w:rsidRPr="00054730">
              <w:rPr>
                <w:rFonts w:ascii="Arial Narrow" w:hAnsi="Arial Narrow" w:cs="Arial"/>
                <w:b/>
                <w:bCs/>
                <w:i/>
                <w:iCs/>
                <w:color w:val="000000"/>
                <w:sz w:val="18"/>
                <w:szCs w:val="18"/>
              </w:rPr>
              <w:t>100%</w:t>
            </w:r>
          </w:p>
        </w:tc>
      </w:tr>
      <w:tr w:rsidR="00F11D66" w:rsidRPr="00054730" w14:paraId="64225DDF" w14:textId="77777777" w:rsidTr="0016687F">
        <w:trPr>
          <w:trHeight w:val="285"/>
        </w:trPr>
        <w:tc>
          <w:tcPr>
            <w:tcW w:w="1877"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A01B398" w14:textId="26445B69" w:rsidR="00F11D66" w:rsidRPr="00054730" w:rsidRDefault="00F11D66" w:rsidP="00F11D66">
            <w:pPr>
              <w:rPr>
                <w:rFonts w:ascii="Arial Narrow" w:eastAsia="Times New Roman" w:hAnsi="Arial Narrow" w:cs="Arial"/>
                <w:bCs/>
                <w:iCs/>
                <w:color w:val="000000"/>
                <w:sz w:val="18"/>
                <w:szCs w:val="18"/>
                <w:lang w:eastAsia="en-AU"/>
              </w:rPr>
            </w:pPr>
            <w:r w:rsidRPr="00054730">
              <w:rPr>
                <w:rFonts w:ascii="Arial Narrow" w:eastAsia="Times New Roman" w:hAnsi="Arial Narrow" w:cs="Arial"/>
                <w:bCs/>
                <w:iCs/>
                <w:color w:val="000000"/>
                <w:sz w:val="18"/>
                <w:szCs w:val="18"/>
                <w:lang w:eastAsia="en-AU"/>
              </w:rPr>
              <w:t>Base patients</w:t>
            </w:r>
          </w:p>
        </w:tc>
        <w:tc>
          <w:tcPr>
            <w:tcW w:w="796" w:type="dxa"/>
            <w:tcBorders>
              <w:top w:val="single" w:sz="4" w:space="0" w:color="auto"/>
              <w:left w:val="nil"/>
              <w:bottom w:val="single" w:sz="4" w:space="0" w:color="auto"/>
              <w:right w:val="single" w:sz="8" w:space="0" w:color="auto"/>
            </w:tcBorders>
            <w:shd w:val="clear" w:color="auto" w:fill="auto"/>
            <w:noWrap/>
            <w:vAlign w:val="center"/>
          </w:tcPr>
          <w:p w14:paraId="0E53A583" w14:textId="15A1E08D"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33,930</w:t>
            </w:r>
          </w:p>
        </w:tc>
        <w:tc>
          <w:tcPr>
            <w:tcW w:w="861" w:type="dxa"/>
            <w:tcBorders>
              <w:top w:val="single" w:sz="4" w:space="0" w:color="auto"/>
              <w:left w:val="nil"/>
              <w:bottom w:val="single" w:sz="4" w:space="0" w:color="auto"/>
              <w:right w:val="single" w:sz="8" w:space="0" w:color="auto"/>
            </w:tcBorders>
            <w:shd w:val="clear" w:color="auto" w:fill="auto"/>
            <w:noWrap/>
            <w:vAlign w:val="center"/>
          </w:tcPr>
          <w:p w14:paraId="3A015D85" w14:textId="1E3C7C58"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14</w:t>
            </w:r>
          </w:p>
        </w:tc>
        <w:tc>
          <w:tcPr>
            <w:tcW w:w="666" w:type="dxa"/>
            <w:tcBorders>
              <w:top w:val="single" w:sz="4" w:space="0" w:color="auto"/>
              <w:left w:val="nil"/>
              <w:bottom w:val="single" w:sz="4" w:space="0" w:color="auto"/>
              <w:right w:val="single" w:sz="8" w:space="0" w:color="auto"/>
            </w:tcBorders>
            <w:shd w:val="clear" w:color="auto" w:fill="auto"/>
            <w:noWrap/>
            <w:vAlign w:val="center"/>
          </w:tcPr>
          <w:p w14:paraId="616D835E" w14:textId="35157084"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5102</w:t>
            </w:r>
          </w:p>
        </w:tc>
        <w:tc>
          <w:tcPr>
            <w:tcW w:w="748" w:type="dxa"/>
            <w:tcBorders>
              <w:top w:val="single" w:sz="4" w:space="0" w:color="auto"/>
              <w:left w:val="nil"/>
              <w:bottom w:val="single" w:sz="4" w:space="0" w:color="auto"/>
              <w:right w:val="single" w:sz="8" w:space="0" w:color="auto"/>
            </w:tcBorders>
            <w:shd w:val="clear" w:color="auto" w:fill="auto"/>
            <w:noWrap/>
            <w:vAlign w:val="center"/>
          </w:tcPr>
          <w:p w14:paraId="41559500" w14:textId="5FAA27D4"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180</w:t>
            </w:r>
          </w:p>
        </w:tc>
        <w:tc>
          <w:tcPr>
            <w:tcW w:w="734" w:type="dxa"/>
            <w:tcBorders>
              <w:top w:val="single" w:sz="4" w:space="0" w:color="auto"/>
              <w:left w:val="nil"/>
              <w:bottom w:val="single" w:sz="4" w:space="0" w:color="auto"/>
              <w:right w:val="single" w:sz="8" w:space="0" w:color="auto"/>
            </w:tcBorders>
            <w:shd w:val="clear" w:color="auto" w:fill="auto"/>
            <w:noWrap/>
            <w:vAlign w:val="center"/>
          </w:tcPr>
          <w:p w14:paraId="0B41F167" w14:textId="730EB09E"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39,226</w:t>
            </w:r>
          </w:p>
        </w:tc>
        <w:tc>
          <w:tcPr>
            <w:tcW w:w="853" w:type="dxa"/>
            <w:tcBorders>
              <w:top w:val="single" w:sz="4" w:space="0" w:color="auto"/>
              <w:left w:val="nil"/>
              <w:bottom w:val="single" w:sz="4" w:space="0" w:color="auto"/>
              <w:right w:val="single" w:sz="8" w:space="0" w:color="auto"/>
            </w:tcBorders>
            <w:shd w:val="clear" w:color="auto" w:fill="auto"/>
            <w:noWrap/>
            <w:vAlign w:val="center"/>
          </w:tcPr>
          <w:p w14:paraId="7BD6AC12" w14:textId="6671FC24"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23,740</w:t>
            </w:r>
          </w:p>
        </w:tc>
        <w:tc>
          <w:tcPr>
            <w:tcW w:w="853" w:type="dxa"/>
            <w:tcBorders>
              <w:top w:val="single" w:sz="4" w:space="0" w:color="auto"/>
              <w:left w:val="nil"/>
              <w:bottom w:val="single" w:sz="4" w:space="0" w:color="auto"/>
              <w:right w:val="single" w:sz="8" w:space="0" w:color="auto"/>
            </w:tcBorders>
            <w:shd w:val="clear" w:color="auto" w:fill="auto"/>
            <w:noWrap/>
            <w:vAlign w:val="center"/>
          </w:tcPr>
          <w:p w14:paraId="75941C75" w14:textId="42867469"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24</w:t>
            </w:r>
          </w:p>
        </w:tc>
        <w:tc>
          <w:tcPr>
            <w:tcW w:w="748" w:type="dxa"/>
            <w:tcBorders>
              <w:top w:val="single" w:sz="4" w:space="0" w:color="auto"/>
              <w:left w:val="nil"/>
              <w:bottom w:val="single" w:sz="4" w:space="0" w:color="auto"/>
              <w:right w:val="single" w:sz="8" w:space="0" w:color="auto"/>
            </w:tcBorders>
            <w:shd w:val="clear" w:color="auto" w:fill="auto"/>
            <w:noWrap/>
            <w:vAlign w:val="center"/>
          </w:tcPr>
          <w:p w14:paraId="4E14A053" w14:textId="3EFE9DAD"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3476</w:t>
            </w:r>
          </w:p>
        </w:tc>
        <w:tc>
          <w:tcPr>
            <w:tcW w:w="748" w:type="dxa"/>
            <w:tcBorders>
              <w:top w:val="single" w:sz="4" w:space="0" w:color="auto"/>
              <w:left w:val="nil"/>
              <w:bottom w:val="single" w:sz="4" w:space="0" w:color="auto"/>
              <w:right w:val="single" w:sz="8" w:space="0" w:color="auto"/>
            </w:tcBorders>
            <w:shd w:val="clear" w:color="auto" w:fill="auto"/>
            <w:noWrap/>
            <w:vAlign w:val="center"/>
          </w:tcPr>
          <w:p w14:paraId="085778AE" w14:textId="49F82131"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142</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1EBD6D9A" w14:textId="52608D3A" w:rsidR="00F11D66" w:rsidRPr="00054730" w:rsidRDefault="00F11D66" w:rsidP="00F11D66">
            <w:pPr>
              <w:jc w:val="right"/>
              <w:rPr>
                <w:rFonts w:ascii="Arial Narrow" w:eastAsia="Times New Roman" w:hAnsi="Arial Narrow" w:cs="Arial"/>
                <w:bCs/>
                <w:iCs/>
                <w:color w:val="000000"/>
                <w:sz w:val="18"/>
                <w:szCs w:val="18"/>
                <w:lang w:eastAsia="en-AU"/>
              </w:rPr>
            </w:pPr>
            <w:r w:rsidRPr="00054730">
              <w:rPr>
                <w:rFonts w:ascii="Arial Narrow" w:hAnsi="Arial Narrow" w:cs="Arial"/>
                <w:color w:val="000000"/>
                <w:sz w:val="18"/>
                <w:szCs w:val="18"/>
              </w:rPr>
              <w:t>27,382</w:t>
            </w:r>
          </w:p>
        </w:tc>
      </w:tr>
    </w:tbl>
    <w:p w14:paraId="5A3E0127" w14:textId="77777777" w:rsidR="0002121E" w:rsidRPr="008D66C4" w:rsidRDefault="0002121E" w:rsidP="0002121E">
      <w:pPr>
        <w:pStyle w:val="10TableorFigurefootnote"/>
        <w:rPr>
          <w:sz w:val="18"/>
          <w:szCs w:val="18"/>
        </w:rPr>
      </w:pPr>
      <w:r w:rsidRPr="00054730">
        <w:rPr>
          <w:sz w:val="18"/>
          <w:szCs w:val="18"/>
        </w:rPr>
        <w:t>Source: PBS Dispensing records between 1/11/2006 and 31/10/2016 file R2017068_PBS_COPD_DATA.CSV</w:t>
      </w:r>
    </w:p>
    <w:p w14:paraId="040991CE" w14:textId="0FB652C5" w:rsidR="00792C69" w:rsidRPr="008D66C4" w:rsidRDefault="0002121E" w:rsidP="00975CB4">
      <w:pPr>
        <w:pStyle w:val="10TableorFigurefootnote"/>
        <w:rPr>
          <w:sz w:val="18"/>
          <w:szCs w:val="18"/>
        </w:rPr>
      </w:pPr>
      <w:r w:rsidRPr="008D66C4">
        <w:rPr>
          <w:sz w:val="18"/>
          <w:szCs w:val="18"/>
        </w:rPr>
        <w:t>Abbreviations: ICS, inhaled corticosteroid; LABA, long-acting beta-2 agonist; LAMA, long-acting muscarinic antagonist</w:t>
      </w:r>
      <w:r w:rsidR="00F918DC" w:rsidRPr="008D66C4">
        <w:rPr>
          <w:sz w:val="18"/>
          <w:szCs w:val="18"/>
        </w:rPr>
        <w:t>; NP, Nurse Practitioner</w:t>
      </w:r>
    </w:p>
    <w:p w14:paraId="10F791AC" w14:textId="5D16C0D6" w:rsidR="00A60477" w:rsidRPr="004674D9" w:rsidRDefault="00E531CD" w:rsidP="005D3504">
      <w:pPr>
        <w:pStyle w:val="Heading3"/>
      </w:pPr>
      <w:bookmarkStart w:id="62" w:name="_Toc473291145"/>
      <w:bookmarkStart w:id="63" w:name="_Toc486231792"/>
      <w:bookmarkStart w:id="64" w:name="_Toc465702703"/>
      <w:bookmarkStart w:id="65" w:name="_Toc473291146"/>
      <w:r w:rsidRPr="004674D9">
        <w:t>5.</w:t>
      </w:r>
      <w:r w:rsidR="00DC080C" w:rsidRPr="004674D9">
        <w:t>6</w:t>
      </w:r>
      <w:r w:rsidRPr="004674D9">
        <w:t>.5</w:t>
      </w:r>
      <w:r w:rsidR="0062722F">
        <w:tab/>
      </w:r>
      <w:r w:rsidR="00A60477" w:rsidRPr="004674D9">
        <w:t>Utilisation outside COPD-X Guidelines</w:t>
      </w:r>
      <w:bookmarkEnd w:id="62"/>
      <w:r w:rsidR="00A60477" w:rsidRPr="004674D9">
        <w:t xml:space="preserve"> – Co-administration analysis</w:t>
      </w:r>
      <w:bookmarkEnd w:id="63"/>
    </w:p>
    <w:p w14:paraId="049C1FD9" w14:textId="3E4B2F9F" w:rsidR="00A60477" w:rsidRDefault="00A60477" w:rsidP="00A60477">
      <w:pPr>
        <w:pStyle w:val="BodyText"/>
      </w:pPr>
      <w:r w:rsidRPr="0041494E">
        <w:rPr>
          <w:rFonts w:asciiTheme="majorHAnsi" w:hAnsiTheme="majorHAnsi"/>
        </w:rPr>
        <w:fldChar w:fldCharType="begin"/>
      </w:r>
      <w:r w:rsidRPr="0041494E">
        <w:rPr>
          <w:rFonts w:asciiTheme="majorHAnsi" w:hAnsiTheme="majorHAnsi"/>
        </w:rPr>
        <w:instrText xml:space="preserve"> REF _Ref467964460 \h </w:instrText>
      </w:r>
      <w:r w:rsidR="0062722F" w:rsidRPr="0041494E">
        <w:rPr>
          <w:rFonts w:asciiTheme="majorHAnsi" w:hAnsiTheme="majorHAnsi"/>
        </w:rPr>
        <w:instrText xml:space="preserve"> \* MERGEFORMAT </w:instrText>
      </w:r>
      <w:r w:rsidRPr="0041494E">
        <w:rPr>
          <w:rFonts w:asciiTheme="majorHAnsi" w:hAnsiTheme="majorHAnsi"/>
        </w:rPr>
      </w:r>
      <w:r w:rsidRPr="0041494E">
        <w:rPr>
          <w:rFonts w:asciiTheme="majorHAnsi" w:hAnsiTheme="majorHAnsi"/>
        </w:rPr>
        <w:fldChar w:fldCharType="separate"/>
      </w:r>
      <w:r w:rsidR="001F1F1E" w:rsidRPr="0041494E">
        <w:rPr>
          <w:rFonts w:asciiTheme="majorHAnsi" w:hAnsiTheme="majorHAnsi"/>
          <w:iCs/>
        </w:rPr>
        <w:t>Table 5.</w:t>
      </w:r>
      <w:r w:rsidR="0041494E">
        <w:rPr>
          <w:rFonts w:asciiTheme="majorHAnsi" w:hAnsiTheme="majorHAnsi"/>
          <w:iCs/>
        </w:rPr>
        <w:t>7</w:t>
      </w:r>
      <w:r w:rsidRPr="0041494E">
        <w:rPr>
          <w:rFonts w:asciiTheme="majorHAnsi" w:hAnsiTheme="majorHAnsi"/>
        </w:rPr>
        <w:fldChar w:fldCharType="end"/>
      </w:r>
      <w:r w:rsidRPr="0041494E">
        <w:rPr>
          <w:rFonts w:asciiTheme="majorHAnsi" w:hAnsiTheme="majorHAnsi"/>
        </w:rPr>
        <w:t xml:space="preserve"> broadens the analysis to co-administration of COPD inhaled medicines across all years</w:t>
      </w:r>
      <w:r>
        <w:t xml:space="preserve"> from 2008 – 2016 and is not limited to drugs supplied upon initiation. The table shows that the proportion of patients with treatment regimens that are not consistent with the combinations recommended in COPD-X guidelines increased steadily from 3.16% in 2008 up to a peak of 8.61% in 2015</w:t>
      </w:r>
      <w:r w:rsidR="00054730">
        <w:t>, and</w:t>
      </w:r>
      <w:r>
        <w:t xml:space="preserve"> receding slightly to 8.31% in 2016 (note that the 2016 result is for a part year and </w:t>
      </w:r>
      <w:r w:rsidR="0021626D">
        <w:t>is</w:t>
      </w:r>
      <w:r>
        <w:t xml:space="preserve"> extrapolated to full year).</w:t>
      </w:r>
    </w:p>
    <w:p w14:paraId="747E6952" w14:textId="4B154650" w:rsidR="00A60477" w:rsidRDefault="00A60477" w:rsidP="00A60477">
      <w:pPr>
        <w:pStyle w:val="BodyText"/>
      </w:pPr>
      <w:r>
        <w:lastRenderedPageBreak/>
        <w:fldChar w:fldCharType="begin"/>
      </w:r>
      <w:r>
        <w:instrText xml:space="preserve"> REF _Ref467964609 \h </w:instrText>
      </w:r>
      <w:r w:rsidR="0062722F">
        <w:instrText xml:space="preserve"> \* MERGEFORMAT </w:instrText>
      </w:r>
      <w:r>
        <w:fldChar w:fldCharType="separate"/>
      </w:r>
      <w:r w:rsidR="001F1F1E" w:rsidRPr="0041494E">
        <w:rPr>
          <w:rFonts w:asciiTheme="majorHAnsi" w:hAnsiTheme="majorHAnsi"/>
          <w:iCs/>
        </w:rPr>
        <w:t>Figure 5</w:t>
      </w:r>
      <w:r w:rsidR="0041494E">
        <w:rPr>
          <w:rFonts w:asciiTheme="majorHAnsi" w:hAnsiTheme="majorHAnsi"/>
          <w:iCs/>
        </w:rPr>
        <w:t>.7</w:t>
      </w:r>
      <w:r>
        <w:fldChar w:fldCharType="end"/>
      </w:r>
      <w:r>
        <w:t xml:space="preserve"> shows patients with treatment regimens in 2016 (note that the 2016 result is for a part year) that were outside recommendations in COPD-X guidelines</w:t>
      </w:r>
      <w:r w:rsidR="00113033">
        <w:t xml:space="preserve"> as they include potentially unsafe combinations</w:t>
      </w:r>
      <w:r>
        <w:t xml:space="preserve">. The </w:t>
      </w:r>
      <w:r w:rsidR="001048C7">
        <w:t>chart</w:t>
      </w:r>
      <w:r>
        <w:t xml:space="preserve"> categorises the regimens into bands, depending on how much time the patient was undergoing treatment combinations outside COPD-X guidelines, to develop a sense of clinical significance. The </w:t>
      </w:r>
      <w:r w:rsidR="001048C7">
        <w:t>chart</w:t>
      </w:r>
      <w:r>
        <w:t xml:space="preserve"> shows that 68% of the </w:t>
      </w:r>
      <w:r w:rsidRPr="00EC3DBD">
        <w:t>regimens that were outside COPD-X guidelines were of three months’ duration or less. Only 14% of cases concerned regimens that lasted six months</w:t>
      </w:r>
      <w:r>
        <w:t>’</w:t>
      </w:r>
      <w:r w:rsidR="004674D9">
        <w:t xml:space="preserve"> or more.</w:t>
      </w:r>
    </w:p>
    <w:p w14:paraId="2E520E68" w14:textId="77777777" w:rsidR="00A60477" w:rsidRDefault="00A60477" w:rsidP="00A60477">
      <w:pPr>
        <w:pStyle w:val="BodyText"/>
      </w:pPr>
    </w:p>
    <w:p w14:paraId="5624A7C0" w14:textId="77777777" w:rsidR="00A60477" w:rsidRDefault="00A60477" w:rsidP="00A60477">
      <w:pPr>
        <w:pStyle w:val="BodyText"/>
        <w:sectPr w:rsidR="00A60477" w:rsidSect="00A60477">
          <w:pgSz w:w="11906" w:h="16838"/>
          <w:pgMar w:top="1134" w:right="1134" w:bottom="1134" w:left="1134" w:header="709" w:footer="709" w:gutter="0"/>
          <w:cols w:space="708"/>
          <w:docGrid w:linePitch="360"/>
        </w:sectPr>
      </w:pPr>
    </w:p>
    <w:p w14:paraId="32B047AA" w14:textId="110926D6" w:rsidR="00A60477" w:rsidRPr="004674D9" w:rsidRDefault="00A60477" w:rsidP="0041494E">
      <w:pPr>
        <w:pStyle w:val="TR5TableHeader"/>
      </w:pPr>
      <w:bookmarkStart w:id="66" w:name="_Ref467964460"/>
      <w:bookmarkStart w:id="67" w:name="_Toc468034584"/>
      <w:bookmarkStart w:id="68" w:name="_Toc473291296"/>
      <w:bookmarkStart w:id="69" w:name="_Toc486232649"/>
      <w:r w:rsidRPr="004674D9">
        <w:lastRenderedPageBreak/>
        <w:t>Table 5.</w:t>
      </w:r>
      <w:r w:rsidR="0041494E">
        <w:t>7</w:t>
      </w:r>
      <w:bookmarkEnd w:id="66"/>
      <w:r w:rsidR="004674D9">
        <w:tab/>
      </w:r>
      <w:r w:rsidRPr="004674D9">
        <w:t>COPD medicines utilisation by COPD-X guideline indicator, drug class and year</w:t>
      </w:r>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Description w:val="COPD utilisation by COPD-X guideline indicator, drug class and year"/>
      </w:tblPr>
      <w:tblGrid>
        <w:gridCol w:w="2452"/>
        <w:gridCol w:w="3838"/>
        <w:gridCol w:w="922"/>
        <w:gridCol w:w="921"/>
        <w:gridCol w:w="921"/>
        <w:gridCol w:w="921"/>
        <w:gridCol w:w="921"/>
        <w:gridCol w:w="921"/>
        <w:gridCol w:w="921"/>
        <w:gridCol w:w="921"/>
        <w:gridCol w:w="921"/>
      </w:tblGrid>
      <w:tr w:rsidR="00A60477" w:rsidRPr="005D7FCE" w14:paraId="0AF5B4BA" w14:textId="77777777" w:rsidTr="00147763">
        <w:trPr>
          <w:cantSplit/>
          <w:trHeight w:val="113"/>
          <w:tblHeader/>
        </w:trPr>
        <w:tc>
          <w:tcPr>
            <w:tcW w:w="2448" w:type="dxa"/>
            <w:tcBorders>
              <w:bottom w:val="single" w:sz="4" w:space="0" w:color="auto"/>
            </w:tcBorders>
            <w:shd w:val="clear" w:color="auto" w:fill="BFBFBF"/>
            <w:tcMar>
              <w:top w:w="0" w:type="dxa"/>
              <w:bottom w:w="0" w:type="dxa"/>
            </w:tcMar>
          </w:tcPr>
          <w:p w14:paraId="2FBA111C" w14:textId="77777777" w:rsidR="00A60477" w:rsidRPr="008D66C4" w:rsidRDefault="00A60477" w:rsidP="00147763">
            <w:pPr>
              <w:pStyle w:val="01TableHEADINGleftaligned"/>
              <w:spacing w:before="0"/>
              <w:rPr>
                <w:sz w:val="21"/>
                <w:szCs w:val="21"/>
              </w:rPr>
            </w:pPr>
            <w:r w:rsidRPr="008D66C4">
              <w:rPr>
                <w:sz w:val="21"/>
                <w:szCs w:val="21"/>
              </w:rPr>
              <w:t>Description</w:t>
            </w:r>
          </w:p>
        </w:tc>
        <w:tc>
          <w:tcPr>
            <w:tcW w:w="3832" w:type="dxa"/>
            <w:shd w:val="clear" w:color="auto" w:fill="BFBFBF"/>
            <w:tcMar>
              <w:top w:w="0" w:type="dxa"/>
              <w:bottom w:w="0" w:type="dxa"/>
            </w:tcMar>
            <w:vAlign w:val="center"/>
          </w:tcPr>
          <w:p w14:paraId="102F3C89" w14:textId="77777777" w:rsidR="00A60477" w:rsidRPr="008D66C4" w:rsidRDefault="00A60477" w:rsidP="00147763">
            <w:pPr>
              <w:jc w:val="center"/>
              <w:rPr>
                <w:rFonts w:ascii="Arial Narrow" w:eastAsia="Times New Roman" w:hAnsi="Arial Narrow"/>
                <w:b/>
                <w:bCs/>
                <w:color w:val="000000"/>
                <w:sz w:val="21"/>
                <w:szCs w:val="21"/>
              </w:rPr>
            </w:pPr>
            <w:r w:rsidRPr="008D66C4">
              <w:rPr>
                <w:rFonts w:ascii="Arial Narrow" w:hAnsi="Arial Narrow"/>
                <w:b/>
                <w:bCs/>
                <w:color w:val="000000"/>
                <w:sz w:val="21"/>
                <w:szCs w:val="21"/>
              </w:rPr>
              <w:t>Starting Group</w:t>
            </w:r>
          </w:p>
        </w:tc>
        <w:tc>
          <w:tcPr>
            <w:tcW w:w="920" w:type="dxa"/>
            <w:shd w:val="clear" w:color="auto" w:fill="BFBFBF"/>
            <w:tcMar>
              <w:top w:w="0" w:type="dxa"/>
              <w:bottom w:w="0" w:type="dxa"/>
            </w:tcMar>
            <w:vAlign w:val="center"/>
          </w:tcPr>
          <w:p w14:paraId="7F3213AE" w14:textId="77777777" w:rsidR="00A60477" w:rsidRPr="008D66C4" w:rsidRDefault="00A60477" w:rsidP="00147763">
            <w:pPr>
              <w:jc w:val="center"/>
              <w:rPr>
                <w:rFonts w:ascii="Arial Narrow" w:hAnsi="Arial Narrow"/>
                <w:b/>
                <w:bCs/>
                <w:color w:val="000000"/>
                <w:sz w:val="21"/>
                <w:szCs w:val="21"/>
              </w:rPr>
            </w:pPr>
            <w:r w:rsidRPr="008D66C4">
              <w:rPr>
                <w:rFonts w:ascii="Arial Narrow" w:hAnsi="Arial Narrow"/>
                <w:b/>
                <w:bCs/>
                <w:color w:val="000000"/>
                <w:sz w:val="21"/>
                <w:szCs w:val="21"/>
              </w:rPr>
              <w:t>2008</w:t>
            </w:r>
          </w:p>
        </w:tc>
        <w:tc>
          <w:tcPr>
            <w:tcW w:w="920" w:type="dxa"/>
            <w:shd w:val="clear" w:color="auto" w:fill="BFBFBF"/>
            <w:tcMar>
              <w:top w:w="0" w:type="dxa"/>
              <w:bottom w:w="0" w:type="dxa"/>
            </w:tcMar>
            <w:vAlign w:val="center"/>
          </w:tcPr>
          <w:p w14:paraId="3F29F817" w14:textId="77777777" w:rsidR="00A60477" w:rsidRPr="008D66C4" w:rsidRDefault="00A60477" w:rsidP="00147763">
            <w:pPr>
              <w:jc w:val="center"/>
              <w:rPr>
                <w:rFonts w:ascii="Arial Narrow" w:hAnsi="Arial Narrow"/>
                <w:b/>
                <w:bCs/>
                <w:color w:val="000000"/>
                <w:sz w:val="21"/>
                <w:szCs w:val="21"/>
              </w:rPr>
            </w:pPr>
            <w:r w:rsidRPr="008D66C4">
              <w:rPr>
                <w:rFonts w:ascii="Arial Narrow" w:hAnsi="Arial Narrow"/>
                <w:b/>
                <w:bCs/>
                <w:color w:val="000000"/>
                <w:sz w:val="21"/>
                <w:szCs w:val="21"/>
              </w:rPr>
              <w:t>2009</w:t>
            </w:r>
          </w:p>
        </w:tc>
        <w:tc>
          <w:tcPr>
            <w:tcW w:w="920" w:type="dxa"/>
            <w:shd w:val="clear" w:color="auto" w:fill="BFBFBF"/>
            <w:tcMar>
              <w:top w:w="0" w:type="dxa"/>
              <w:bottom w:w="0" w:type="dxa"/>
            </w:tcMar>
            <w:vAlign w:val="center"/>
          </w:tcPr>
          <w:p w14:paraId="481F6A30" w14:textId="77777777" w:rsidR="00A60477" w:rsidRPr="008D66C4" w:rsidRDefault="00A60477" w:rsidP="00147763">
            <w:pPr>
              <w:jc w:val="center"/>
              <w:rPr>
                <w:rFonts w:ascii="Arial Narrow" w:hAnsi="Arial Narrow"/>
                <w:b/>
                <w:bCs/>
                <w:color w:val="000000"/>
                <w:sz w:val="21"/>
                <w:szCs w:val="21"/>
              </w:rPr>
            </w:pPr>
            <w:r w:rsidRPr="008D66C4">
              <w:rPr>
                <w:rFonts w:ascii="Arial Narrow" w:hAnsi="Arial Narrow"/>
                <w:b/>
                <w:bCs/>
                <w:color w:val="000000"/>
                <w:sz w:val="21"/>
                <w:szCs w:val="21"/>
              </w:rPr>
              <w:t>2010</w:t>
            </w:r>
          </w:p>
        </w:tc>
        <w:tc>
          <w:tcPr>
            <w:tcW w:w="920" w:type="dxa"/>
            <w:shd w:val="clear" w:color="auto" w:fill="BFBFBF"/>
            <w:tcMar>
              <w:top w:w="0" w:type="dxa"/>
              <w:bottom w:w="0" w:type="dxa"/>
            </w:tcMar>
            <w:vAlign w:val="center"/>
          </w:tcPr>
          <w:p w14:paraId="7839997D" w14:textId="77777777" w:rsidR="00A60477" w:rsidRPr="008D66C4" w:rsidRDefault="00A60477" w:rsidP="00147763">
            <w:pPr>
              <w:jc w:val="center"/>
              <w:rPr>
                <w:rFonts w:ascii="Arial Narrow" w:hAnsi="Arial Narrow"/>
                <w:b/>
                <w:bCs/>
                <w:color w:val="000000"/>
                <w:sz w:val="21"/>
                <w:szCs w:val="21"/>
              </w:rPr>
            </w:pPr>
            <w:r w:rsidRPr="008D66C4">
              <w:rPr>
                <w:rFonts w:ascii="Arial Narrow" w:hAnsi="Arial Narrow"/>
                <w:b/>
                <w:bCs/>
                <w:color w:val="000000"/>
                <w:sz w:val="21"/>
                <w:szCs w:val="21"/>
              </w:rPr>
              <w:t>2011</w:t>
            </w:r>
          </w:p>
        </w:tc>
        <w:tc>
          <w:tcPr>
            <w:tcW w:w="920" w:type="dxa"/>
            <w:shd w:val="clear" w:color="auto" w:fill="BFBFBF"/>
            <w:tcMar>
              <w:top w:w="0" w:type="dxa"/>
              <w:bottom w:w="0" w:type="dxa"/>
            </w:tcMar>
            <w:vAlign w:val="center"/>
          </w:tcPr>
          <w:p w14:paraId="54C23962" w14:textId="77777777" w:rsidR="00A60477" w:rsidRPr="008D66C4" w:rsidRDefault="00A60477" w:rsidP="00147763">
            <w:pPr>
              <w:jc w:val="center"/>
              <w:rPr>
                <w:rFonts w:ascii="Arial Narrow" w:hAnsi="Arial Narrow"/>
                <w:b/>
                <w:bCs/>
                <w:color w:val="000000"/>
                <w:sz w:val="21"/>
                <w:szCs w:val="21"/>
              </w:rPr>
            </w:pPr>
            <w:r w:rsidRPr="008D66C4">
              <w:rPr>
                <w:rFonts w:ascii="Arial Narrow" w:hAnsi="Arial Narrow"/>
                <w:b/>
                <w:bCs/>
                <w:color w:val="000000"/>
                <w:sz w:val="21"/>
                <w:szCs w:val="21"/>
              </w:rPr>
              <w:t>2012</w:t>
            </w:r>
          </w:p>
        </w:tc>
        <w:tc>
          <w:tcPr>
            <w:tcW w:w="920" w:type="dxa"/>
            <w:shd w:val="clear" w:color="auto" w:fill="BFBFBF"/>
            <w:tcMar>
              <w:top w:w="0" w:type="dxa"/>
              <w:bottom w:w="0" w:type="dxa"/>
            </w:tcMar>
            <w:vAlign w:val="center"/>
          </w:tcPr>
          <w:p w14:paraId="3A2050E0" w14:textId="77777777" w:rsidR="00A60477" w:rsidRPr="008D66C4" w:rsidRDefault="00A60477" w:rsidP="00147763">
            <w:pPr>
              <w:jc w:val="center"/>
              <w:rPr>
                <w:rFonts w:ascii="Arial Narrow" w:hAnsi="Arial Narrow"/>
                <w:b/>
                <w:bCs/>
                <w:color w:val="000000"/>
                <w:sz w:val="21"/>
                <w:szCs w:val="21"/>
              </w:rPr>
            </w:pPr>
            <w:r w:rsidRPr="008D66C4">
              <w:rPr>
                <w:rFonts w:ascii="Arial Narrow" w:hAnsi="Arial Narrow"/>
                <w:b/>
                <w:bCs/>
                <w:color w:val="000000"/>
                <w:sz w:val="21"/>
                <w:szCs w:val="21"/>
              </w:rPr>
              <w:t>2013</w:t>
            </w:r>
          </w:p>
        </w:tc>
        <w:tc>
          <w:tcPr>
            <w:tcW w:w="920" w:type="dxa"/>
            <w:shd w:val="clear" w:color="auto" w:fill="BFBFBF"/>
            <w:tcMar>
              <w:top w:w="0" w:type="dxa"/>
              <w:bottom w:w="0" w:type="dxa"/>
            </w:tcMar>
            <w:vAlign w:val="center"/>
          </w:tcPr>
          <w:p w14:paraId="04CB66EA" w14:textId="77777777" w:rsidR="00A60477" w:rsidRPr="008D66C4" w:rsidRDefault="00A60477" w:rsidP="00147763">
            <w:pPr>
              <w:jc w:val="center"/>
              <w:rPr>
                <w:rFonts w:ascii="Arial Narrow" w:hAnsi="Arial Narrow"/>
                <w:b/>
                <w:bCs/>
                <w:color w:val="000000"/>
                <w:sz w:val="21"/>
                <w:szCs w:val="21"/>
              </w:rPr>
            </w:pPr>
            <w:r w:rsidRPr="008D66C4">
              <w:rPr>
                <w:rFonts w:ascii="Arial Narrow" w:hAnsi="Arial Narrow"/>
                <w:b/>
                <w:bCs/>
                <w:color w:val="000000"/>
                <w:sz w:val="21"/>
                <w:szCs w:val="21"/>
              </w:rPr>
              <w:t>2014</w:t>
            </w:r>
          </w:p>
        </w:tc>
        <w:tc>
          <w:tcPr>
            <w:tcW w:w="920" w:type="dxa"/>
            <w:shd w:val="clear" w:color="auto" w:fill="BFBFBF"/>
            <w:tcMar>
              <w:top w:w="0" w:type="dxa"/>
              <w:bottom w:w="0" w:type="dxa"/>
            </w:tcMar>
            <w:vAlign w:val="center"/>
          </w:tcPr>
          <w:p w14:paraId="0A37C1B4" w14:textId="77777777" w:rsidR="00A60477" w:rsidRPr="008D66C4" w:rsidRDefault="00A60477" w:rsidP="00147763">
            <w:pPr>
              <w:jc w:val="center"/>
              <w:rPr>
                <w:rFonts w:ascii="Arial Narrow" w:hAnsi="Arial Narrow"/>
                <w:b/>
                <w:bCs/>
                <w:color w:val="000000"/>
                <w:sz w:val="21"/>
                <w:szCs w:val="21"/>
              </w:rPr>
            </w:pPr>
            <w:r w:rsidRPr="008D66C4">
              <w:rPr>
                <w:rFonts w:ascii="Arial Narrow" w:hAnsi="Arial Narrow"/>
                <w:b/>
                <w:bCs/>
                <w:color w:val="000000"/>
                <w:sz w:val="21"/>
                <w:szCs w:val="21"/>
              </w:rPr>
              <w:t>2015</w:t>
            </w:r>
          </w:p>
        </w:tc>
        <w:tc>
          <w:tcPr>
            <w:tcW w:w="920" w:type="dxa"/>
            <w:shd w:val="clear" w:color="auto" w:fill="BFBFBF"/>
            <w:tcMar>
              <w:top w:w="0" w:type="dxa"/>
              <w:bottom w:w="0" w:type="dxa"/>
            </w:tcMar>
            <w:vAlign w:val="center"/>
          </w:tcPr>
          <w:p w14:paraId="180ECDB1" w14:textId="77777777" w:rsidR="00A60477" w:rsidRPr="008D66C4" w:rsidRDefault="00A60477" w:rsidP="00147763">
            <w:pPr>
              <w:jc w:val="center"/>
              <w:rPr>
                <w:rFonts w:ascii="Arial Narrow" w:hAnsi="Arial Narrow"/>
                <w:b/>
                <w:bCs/>
                <w:color w:val="000000"/>
                <w:sz w:val="21"/>
                <w:szCs w:val="21"/>
              </w:rPr>
            </w:pPr>
            <w:r w:rsidRPr="008D66C4">
              <w:rPr>
                <w:rFonts w:ascii="Arial Narrow" w:hAnsi="Arial Narrow"/>
                <w:b/>
                <w:bCs/>
                <w:color w:val="000000"/>
                <w:sz w:val="21"/>
                <w:szCs w:val="21"/>
              </w:rPr>
              <w:t>2016</w:t>
            </w:r>
          </w:p>
        </w:tc>
      </w:tr>
      <w:tr w:rsidR="00A60477" w:rsidRPr="005D7FCE" w14:paraId="57F7242B" w14:textId="77777777" w:rsidTr="00147763">
        <w:trPr>
          <w:cantSplit/>
          <w:trHeight w:val="113"/>
        </w:trPr>
        <w:tc>
          <w:tcPr>
            <w:tcW w:w="2448" w:type="dxa"/>
            <w:tcBorders>
              <w:bottom w:val="nil"/>
            </w:tcBorders>
            <w:shd w:val="clear" w:color="auto" w:fill="auto"/>
            <w:tcMar>
              <w:top w:w="0" w:type="dxa"/>
              <w:bottom w:w="0" w:type="dxa"/>
            </w:tcMar>
          </w:tcPr>
          <w:p w14:paraId="0F230A9B"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4E5A9747"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LAMA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w:t>
            </w:r>
          </w:p>
        </w:tc>
        <w:tc>
          <w:tcPr>
            <w:tcW w:w="920" w:type="dxa"/>
            <w:shd w:val="clear" w:color="auto" w:fill="auto"/>
            <w:tcMar>
              <w:top w:w="0" w:type="dxa"/>
              <w:bottom w:w="0" w:type="dxa"/>
            </w:tcMar>
            <w:vAlign w:val="center"/>
          </w:tcPr>
          <w:p w14:paraId="046A56C3"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0.51%</w:t>
            </w:r>
          </w:p>
        </w:tc>
        <w:tc>
          <w:tcPr>
            <w:tcW w:w="920" w:type="dxa"/>
            <w:shd w:val="clear" w:color="auto" w:fill="auto"/>
            <w:tcMar>
              <w:top w:w="0" w:type="dxa"/>
              <w:bottom w:w="0" w:type="dxa"/>
            </w:tcMar>
            <w:vAlign w:val="center"/>
          </w:tcPr>
          <w:p w14:paraId="7E8F33C1"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0.49%</w:t>
            </w:r>
          </w:p>
        </w:tc>
        <w:tc>
          <w:tcPr>
            <w:tcW w:w="920" w:type="dxa"/>
            <w:shd w:val="clear" w:color="auto" w:fill="auto"/>
            <w:tcMar>
              <w:top w:w="0" w:type="dxa"/>
              <w:bottom w:w="0" w:type="dxa"/>
            </w:tcMar>
            <w:vAlign w:val="center"/>
          </w:tcPr>
          <w:p w14:paraId="56C166CD"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0.64%</w:t>
            </w:r>
          </w:p>
        </w:tc>
        <w:tc>
          <w:tcPr>
            <w:tcW w:w="920" w:type="dxa"/>
            <w:shd w:val="clear" w:color="auto" w:fill="auto"/>
            <w:tcMar>
              <w:top w:w="0" w:type="dxa"/>
              <w:bottom w:w="0" w:type="dxa"/>
            </w:tcMar>
            <w:vAlign w:val="center"/>
          </w:tcPr>
          <w:p w14:paraId="5491B1B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0.77%</w:t>
            </w:r>
          </w:p>
        </w:tc>
        <w:tc>
          <w:tcPr>
            <w:tcW w:w="920" w:type="dxa"/>
            <w:shd w:val="clear" w:color="auto" w:fill="auto"/>
            <w:tcMar>
              <w:top w:w="0" w:type="dxa"/>
              <w:bottom w:w="0" w:type="dxa"/>
            </w:tcMar>
            <w:vAlign w:val="center"/>
          </w:tcPr>
          <w:p w14:paraId="745AD0B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0.89%</w:t>
            </w:r>
          </w:p>
        </w:tc>
        <w:tc>
          <w:tcPr>
            <w:tcW w:w="920" w:type="dxa"/>
            <w:shd w:val="clear" w:color="auto" w:fill="auto"/>
            <w:tcMar>
              <w:top w:w="0" w:type="dxa"/>
              <w:bottom w:w="0" w:type="dxa"/>
            </w:tcMar>
            <w:vAlign w:val="center"/>
          </w:tcPr>
          <w:p w14:paraId="5B06725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1.06%</w:t>
            </w:r>
          </w:p>
        </w:tc>
        <w:tc>
          <w:tcPr>
            <w:tcW w:w="920" w:type="dxa"/>
            <w:shd w:val="clear" w:color="auto" w:fill="auto"/>
            <w:tcMar>
              <w:top w:w="0" w:type="dxa"/>
              <w:bottom w:w="0" w:type="dxa"/>
            </w:tcMar>
            <w:vAlign w:val="center"/>
          </w:tcPr>
          <w:p w14:paraId="215C8C48"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1.33%</w:t>
            </w:r>
          </w:p>
        </w:tc>
        <w:tc>
          <w:tcPr>
            <w:tcW w:w="920" w:type="dxa"/>
            <w:shd w:val="clear" w:color="auto" w:fill="auto"/>
            <w:tcMar>
              <w:top w:w="0" w:type="dxa"/>
              <w:bottom w:w="0" w:type="dxa"/>
            </w:tcMar>
            <w:vAlign w:val="center"/>
          </w:tcPr>
          <w:p w14:paraId="767E6D7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1.60%</w:t>
            </w:r>
          </w:p>
        </w:tc>
        <w:tc>
          <w:tcPr>
            <w:tcW w:w="920" w:type="dxa"/>
            <w:shd w:val="clear" w:color="auto" w:fill="auto"/>
            <w:tcMar>
              <w:top w:w="0" w:type="dxa"/>
              <w:bottom w:w="0" w:type="dxa"/>
            </w:tcMar>
            <w:vAlign w:val="center"/>
          </w:tcPr>
          <w:p w14:paraId="6B3B2B4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1.64%</w:t>
            </w:r>
          </w:p>
        </w:tc>
      </w:tr>
      <w:tr w:rsidR="00A60477" w:rsidRPr="005D7FCE" w14:paraId="026C79D5" w14:textId="77777777" w:rsidTr="00147763">
        <w:trPr>
          <w:cantSplit/>
          <w:trHeight w:val="113"/>
        </w:trPr>
        <w:tc>
          <w:tcPr>
            <w:tcW w:w="2448" w:type="dxa"/>
            <w:tcBorders>
              <w:top w:val="nil"/>
              <w:bottom w:val="nil"/>
            </w:tcBorders>
            <w:shd w:val="clear" w:color="auto" w:fill="auto"/>
            <w:tcMar>
              <w:top w:w="0" w:type="dxa"/>
              <w:bottom w:w="0" w:type="dxa"/>
            </w:tcMar>
          </w:tcPr>
          <w:p w14:paraId="3F337171"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3393E480"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ICS/LABA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ICS/LABA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w:t>
            </w:r>
          </w:p>
        </w:tc>
        <w:tc>
          <w:tcPr>
            <w:tcW w:w="920" w:type="dxa"/>
            <w:shd w:val="clear" w:color="auto" w:fill="auto"/>
            <w:tcMar>
              <w:top w:w="0" w:type="dxa"/>
              <w:bottom w:w="0" w:type="dxa"/>
            </w:tcMar>
            <w:vAlign w:val="center"/>
          </w:tcPr>
          <w:p w14:paraId="4BB1E448"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0.69%</w:t>
            </w:r>
          </w:p>
        </w:tc>
        <w:tc>
          <w:tcPr>
            <w:tcW w:w="920" w:type="dxa"/>
            <w:shd w:val="clear" w:color="auto" w:fill="auto"/>
            <w:tcMar>
              <w:top w:w="0" w:type="dxa"/>
              <w:bottom w:w="0" w:type="dxa"/>
            </w:tcMar>
            <w:vAlign w:val="center"/>
          </w:tcPr>
          <w:p w14:paraId="028F7993"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0.72%</w:t>
            </w:r>
          </w:p>
        </w:tc>
        <w:tc>
          <w:tcPr>
            <w:tcW w:w="920" w:type="dxa"/>
            <w:shd w:val="clear" w:color="auto" w:fill="auto"/>
            <w:tcMar>
              <w:top w:w="0" w:type="dxa"/>
              <w:bottom w:w="0" w:type="dxa"/>
            </w:tcMar>
            <w:vAlign w:val="center"/>
          </w:tcPr>
          <w:p w14:paraId="5537A09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0.87%</w:t>
            </w:r>
          </w:p>
        </w:tc>
        <w:tc>
          <w:tcPr>
            <w:tcW w:w="920" w:type="dxa"/>
            <w:shd w:val="clear" w:color="auto" w:fill="auto"/>
            <w:tcMar>
              <w:top w:w="0" w:type="dxa"/>
              <w:bottom w:w="0" w:type="dxa"/>
            </w:tcMar>
            <w:vAlign w:val="center"/>
          </w:tcPr>
          <w:p w14:paraId="5218B6C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0.95%</w:t>
            </w:r>
          </w:p>
        </w:tc>
        <w:tc>
          <w:tcPr>
            <w:tcW w:w="920" w:type="dxa"/>
            <w:shd w:val="clear" w:color="auto" w:fill="auto"/>
            <w:tcMar>
              <w:top w:w="0" w:type="dxa"/>
              <w:bottom w:w="0" w:type="dxa"/>
            </w:tcMar>
            <w:vAlign w:val="center"/>
          </w:tcPr>
          <w:p w14:paraId="192976D8"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0.93%</w:t>
            </w:r>
          </w:p>
        </w:tc>
        <w:tc>
          <w:tcPr>
            <w:tcW w:w="920" w:type="dxa"/>
            <w:shd w:val="clear" w:color="auto" w:fill="auto"/>
            <w:tcMar>
              <w:top w:w="0" w:type="dxa"/>
              <w:bottom w:w="0" w:type="dxa"/>
            </w:tcMar>
            <w:vAlign w:val="center"/>
          </w:tcPr>
          <w:p w14:paraId="66C101ED"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0.97%</w:t>
            </w:r>
          </w:p>
        </w:tc>
        <w:tc>
          <w:tcPr>
            <w:tcW w:w="920" w:type="dxa"/>
            <w:shd w:val="clear" w:color="auto" w:fill="auto"/>
            <w:tcMar>
              <w:top w:w="0" w:type="dxa"/>
              <w:bottom w:w="0" w:type="dxa"/>
            </w:tcMar>
            <w:vAlign w:val="center"/>
          </w:tcPr>
          <w:p w14:paraId="1573C98D"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0.94%</w:t>
            </w:r>
          </w:p>
        </w:tc>
        <w:tc>
          <w:tcPr>
            <w:tcW w:w="920" w:type="dxa"/>
            <w:shd w:val="clear" w:color="auto" w:fill="auto"/>
            <w:tcMar>
              <w:top w:w="0" w:type="dxa"/>
              <w:bottom w:w="0" w:type="dxa"/>
            </w:tcMar>
            <w:vAlign w:val="center"/>
          </w:tcPr>
          <w:p w14:paraId="1607E1A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0.86%</w:t>
            </w:r>
          </w:p>
        </w:tc>
        <w:tc>
          <w:tcPr>
            <w:tcW w:w="920" w:type="dxa"/>
            <w:shd w:val="clear" w:color="auto" w:fill="auto"/>
            <w:tcMar>
              <w:top w:w="0" w:type="dxa"/>
              <w:bottom w:w="0" w:type="dxa"/>
            </w:tcMar>
            <w:vAlign w:val="center"/>
          </w:tcPr>
          <w:p w14:paraId="47682BFE"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0.76%</w:t>
            </w:r>
          </w:p>
        </w:tc>
      </w:tr>
      <w:tr w:rsidR="00A60477" w:rsidRPr="005D7FCE" w14:paraId="1921A867" w14:textId="77777777" w:rsidTr="00147763">
        <w:trPr>
          <w:cantSplit/>
          <w:trHeight w:val="113"/>
        </w:trPr>
        <w:tc>
          <w:tcPr>
            <w:tcW w:w="2448" w:type="dxa"/>
            <w:tcBorders>
              <w:top w:val="nil"/>
              <w:bottom w:val="nil"/>
            </w:tcBorders>
            <w:shd w:val="clear" w:color="auto" w:fill="auto"/>
            <w:tcMar>
              <w:top w:w="0" w:type="dxa"/>
              <w:bottom w:w="0" w:type="dxa"/>
            </w:tcMar>
          </w:tcPr>
          <w:p w14:paraId="168A8998"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5BCD3BF3"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LABA/LAMA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w:t>
            </w:r>
          </w:p>
        </w:tc>
        <w:tc>
          <w:tcPr>
            <w:tcW w:w="920" w:type="dxa"/>
            <w:shd w:val="clear" w:color="auto" w:fill="auto"/>
            <w:tcMar>
              <w:top w:w="0" w:type="dxa"/>
              <w:bottom w:w="0" w:type="dxa"/>
            </w:tcMar>
            <w:vAlign w:val="center"/>
          </w:tcPr>
          <w:p w14:paraId="6B81BECE"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0.29%</w:t>
            </w:r>
          </w:p>
        </w:tc>
        <w:tc>
          <w:tcPr>
            <w:tcW w:w="920" w:type="dxa"/>
            <w:shd w:val="clear" w:color="auto" w:fill="auto"/>
            <w:tcMar>
              <w:top w:w="0" w:type="dxa"/>
              <w:bottom w:w="0" w:type="dxa"/>
            </w:tcMar>
            <w:vAlign w:val="center"/>
          </w:tcPr>
          <w:p w14:paraId="6B81C36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0.39%</w:t>
            </w:r>
          </w:p>
        </w:tc>
        <w:tc>
          <w:tcPr>
            <w:tcW w:w="920" w:type="dxa"/>
            <w:shd w:val="clear" w:color="auto" w:fill="auto"/>
            <w:tcMar>
              <w:top w:w="0" w:type="dxa"/>
              <w:bottom w:w="0" w:type="dxa"/>
            </w:tcMar>
            <w:vAlign w:val="center"/>
          </w:tcPr>
          <w:p w14:paraId="6C31DC8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0.50%</w:t>
            </w:r>
          </w:p>
        </w:tc>
        <w:tc>
          <w:tcPr>
            <w:tcW w:w="920" w:type="dxa"/>
            <w:shd w:val="clear" w:color="auto" w:fill="auto"/>
            <w:tcMar>
              <w:top w:w="0" w:type="dxa"/>
              <w:bottom w:w="0" w:type="dxa"/>
            </w:tcMar>
            <w:vAlign w:val="center"/>
          </w:tcPr>
          <w:p w14:paraId="4FE5CAA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0.64%</w:t>
            </w:r>
          </w:p>
        </w:tc>
        <w:tc>
          <w:tcPr>
            <w:tcW w:w="920" w:type="dxa"/>
            <w:shd w:val="clear" w:color="auto" w:fill="auto"/>
            <w:tcMar>
              <w:top w:w="0" w:type="dxa"/>
              <w:bottom w:w="0" w:type="dxa"/>
            </w:tcMar>
            <w:vAlign w:val="center"/>
          </w:tcPr>
          <w:p w14:paraId="3D9B8D7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0.73%</w:t>
            </w:r>
          </w:p>
        </w:tc>
        <w:tc>
          <w:tcPr>
            <w:tcW w:w="920" w:type="dxa"/>
            <w:shd w:val="clear" w:color="auto" w:fill="auto"/>
            <w:tcMar>
              <w:top w:w="0" w:type="dxa"/>
              <w:bottom w:w="0" w:type="dxa"/>
            </w:tcMar>
            <w:vAlign w:val="center"/>
          </w:tcPr>
          <w:p w14:paraId="138F7F5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0.85%</w:t>
            </w:r>
          </w:p>
        </w:tc>
        <w:tc>
          <w:tcPr>
            <w:tcW w:w="920" w:type="dxa"/>
            <w:shd w:val="clear" w:color="auto" w:fill="auto"/>
            <w:tcMar>
              <w:top w:w="0" w:type="dxa"/>
              <w:bottom w:w="0" w:type="dxa"/>
            </w:tcMar>
            <w:vAlign w:val="center"/>
          </w:tcPr>
          <w:p w14:paraId="0315671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1.09%</w:t>
            </w:r>
          </w:p>
        </w:tc>
        <w:tc>
          <w:tcPr>
            <w:tcW w:w="920" w:type="dxa"/>
            <w:shd w:val="clear" w:color="auto" w:fill="auto"/>
            <w:tcMar>
              <w:top w:w="0" w:type="dxa"/>
              <w:bottom w:w="0" w:type="dxa"/>
            </w:tcMar>
            <w:vAlign w:val="center"/>
          </w:tcPr>
          <w:p w14:paraId="67212E41"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1.46%</w:t>
            </w:r>
          </w:p>
        </w:tc>
        <w:tc>
          <w:tcPr>
            <w:tcW w:w="920" w:type="dxa"/>
            <w:shd w:val="clear" w:color="auto" w:fill="auto"/>
            <w:tcMar>
              <w:top w:w="0" w:type="dxa"/>
              <w:bottom w:w="0" w:type="dxa"/>
            </w:tcMar>
            <w:vAlign w:val="center"/>
          </w:tcPr>
          <w:p w14:paraId="7EF85D5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1.58%</w:t>
            </w:r>
          </w:p>
        </w:tc>
      </w:tr>
      <w:tr w:rsidR="00A60477" w:rsidRPr="005D7FCE" w14:paraId="5A4AA8AE" w14:textId="77777777" w:rsidTr="00147763">
        <w:trPr>
          <w:cantSplit/>
          <w:trHeight w:val="113"/>
        </w:trPr>
        <w:tc>
          <w:tcPr>
            <w:tcW w:w="2448" w:type="dxa"/>
            <w:tcBorders>
              <w:top w:val="nil"/>
              <w:bottom w:val="nil"/>
            </w:tcBorders>
            <w:shd w:val="clear" w:color="auto" w:fill="auto"/>
            <w:tcMar>
              <w:top w:w="0" w:type="dxa"/>
              <w:bottom w:w="0" w:type="dxa"/>
            </w:tcMar>
          </w:tcPr>
          <w:p w14:paraId="3B462A25"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0DCBA629"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ICS/LABA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w:t>
            </w:r>
          </w:p>
        </w:tc>
        <w:tc>
          <w:tcPr>
            <w:tcW w:w="920" w:type="dxa"/>
            <w:shd w:val="clear" w:color="auto" w:fill="auto"/>
            <w:tcMar>
              <w:top w:w="0" w:type="dxa"/>
              <w:bottom w:w="0" w:type="dxa"/>
            </w:tcMar>
            <w:vAlign w:val="center"/>
          </w:tcPr>
          <w:p w14:paraId="58B228C4"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0.42%</w:t>
            </w:r>
          </w:p>
        </w:tc>
        <w:tc>
          <w:tcPr>
            <w:tcW w:w="920" w:type="dxa"/>
            <w:shd w:val="clear" w:color="auto" w:fill="auto"/>
            <w:tcMar>
              <w:top w:w="0" w:type="dxa"/>
              <w:bottom w:w="0" w:type="dxa"/>
            </w:tcMar>
            <w:vAlign w:val="center"/>
          </w:tcPr>
          <w:p w14:paraId="45D2D80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0.47%</w:t>
            </w:r>
          </w:p>
        </w:tc>
        <w:tc>
          <w:tcPr>
            <w:tcW w:w="920" w:type="dxa"/>
            <w:shd w:val="clear" w:color="auto" w:fill="auto"/>
            <w:tcMar>
              <w:top w:w="0" w:type="dxa"/>
              <w:bottom w:w="0" w:type="dxa"/>
            </w:tcMar>
            <w:vAlign w:val="center"/>
          </w:tcPr>
          <w:p w14:paraId="44B70CF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0.60%</w:t>
            </w:r>
          </w:p>
        </w:tc>
        <w:tc>
          <w:tcPr>
            <w:tcW w:w="920" w:type="dxa"/>
            <w:shd w:val="clear" w:color="auto" w:fill="auto"/>
            <w:tcMar>
              <w:top w:w="0" w:type="dxa"/>
              <w:bottom w:w="0" w:type="dxa"/>
            </w:tcMar>
            <w:vAlign w:val="center"/>
          </w:tcPr>
          <w:p w14:paraId="3D7939F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0.66%</w:t>
            </w:r>
          </w:p>
        </w:tc>
        <w:tc>
          <w:tcPr>
            <w:tcW w:w="920" w:type="dxa"/>
            <w:shd w:val="clear" w:color="auto" w:fill="auto"/>
            <w:tcMar>
              <w:top w:w="0" w:type="dxa"/>
              <w:bottom w:w="0" w:type="dxa"/>
            </w:tcMar>
            <w:vAlign w:val="center"/>
          </w:tcPr>
          <w:p w14:paraId="6EB0C71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0.71%</w:t>
            </w:r>
          </w:p>
        </w:tc>
        <w:tc>
          <w:tcPr>
            <w:tcW w:w="920" w:type="dxa"/>
            <w:shd w:val="clear" w:color="auto" w:fill="auto"/>
            <w:tcMar>
              <w:top w:w="0" w:type="dxa"/>
              <w:bottom w:w="0" w:type="dxa"/>
            </w:tcMar>
            <w:vAlign w:val="center"/>
          </w:tcPr>
          <w:p w14:paraId="0ED19BF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0.82%</w:t>
            </w:r>
          </w:p>
        </w:tc>
        <w:tc>
          <w:tcPr>
            <w:tcW w:w="920" w:type="dxa"/>
            <w:shd w:val="clear" w:color="auto" w:fill="auto"/>
            <w:tcMar>
              <w:top w:w="0" w:type="dxa"/>
              <w:bottom w:w="0" w:type="dxa"/>
            </w:tcMar>
            <w:vAlign w:val="center"/>
          </w:tcPr>
          <w:p w14:paraId="1A58FC9E"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0.91%</w:t>
            </w:r>
          </w:p>
        </w:tc>
        <w:tc>
          <w:tcPr>
            <w:tcW w:w="920" w:type="dxa"/>
            <w:shd w:val="clear" w:color="auto" w:fill="auto"/>
            <w:tcMar>
              <w:top w:w="0" w:type="dxa"/>
              <w:bottom w:w="0" w:type="dxa"/>
            </w:tcMar>
            <w:vAlign w:val="center"/>
          </w:tcPr>
          <w:p w14:paraId="62E0017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0.96%</w:t>
            </w:r>
          </w:p>
        </w:tc>
        <w:tc>
          <w:tcPr>
            <w:tcW w:w="920" w:type="dxa"/>
            <w:shd w:val="clear" w:color="auto" w:fill="auto"/>
            <w:tcMar>
              <w:top w:w="0" w:type="dxa"/>
              <w:bottom w:w="0" w:type="dxa"/>
            </w:tcMar>
            <w:vAlign w:val="center"/>
          </w:tcPr>
          <w:p w14:paraId="46A59B7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0.98%</w:t>
            </w:r>
          </w:p>
        </w:tc>
      </w:tr>
      <w:tr w:rsidR="00A60477" w:rsidRPr="005D7FCE" w14:paraId="30F1041A" w14:textId="77777777" w:rsidTr="00147763">
        <w:trPr>
          <w:cantSplit/>
          <w:trHeight w:val="113"/>
        </w:trPr>
        <w:tc>
          <w:tcPr>
            <w:tcW w:w="2448" w:type="dxa"/>
            <w:tcBorders>
              <w:top w:val="nil"/>
              <w:bottom w:val="nil"/>
            </w:tcBorders>
            <w:shd w:val="clear" w:color="auto" w:fill="auto"/>
            <w:tcMar>
              <w:top w:w="0" w:type="dxa"/>
              <w:bottom w:w="0" w:type="dxa"/>
            </w:tcMar>
          </w:tcPr>
          <w:p w14:paraId="7D3603BC"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1C3A2C0D"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ICS/LABA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w:t>
            </w:r>
          </w:p>
        </w:tc>
        <w:tc>
          <w:tcPr>
            <w:tcW w:w="920" w:type="dxa"/>
            <w:shd w:val="clear" w:color="auto" w:fill="auto"/>
            <w:tcMar>
              <w:top w:w="0" w:type="dxa"/>
              <w:bottom w:w="0" w:type="dxa"/>
            </w:tcMar>
            <w:vAlign w:val="center"/>
          </w:tcPr>
          <w:p w14:paraId="7EB89FC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0.48%</w:t>
            </w:r>
          </w:p>
        </w:tc>
        <w:tc>
          <w:tcPr>
            <w:tcW w:w="920" w:type="dxa"/>
            <w:shd w:val="clear" w:color="auto" w:fill="auto"/>
            <w:tcMar>
              <w:top w:w="0" w:type="dxa"/>
              <w:bottom w:w="0" w:type="dxa"/>
            </w:tcMar>
            <w:vAlign w:val="center"/>
          </w:tcPr>
          <w:p w14:paraId="0BD7545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0.45%</w:t>
            </w:r>
          </w:p>
        </w:tc>
        <w:tc>
          <w:tcPr>
            <w:tcW w:w="920" w:type="dxa"/>
            <w:shd w:val="clear" w:color="auto" w:fill="auto"/>
            <w:tcMar>
              <w:top w:w="0" w:type="dxa"/>
              <w:bottom w:w="0" w:type="dxa"/>
            </w:tcMar>
            <w:vAlign w:val="center"/>
          </w:tcPr>
          <w:p w14:paraId="5ECB519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0.56%</w:t>
            </w:r>
          </w:p>
        </w:tc>
        <w:tc>
          <w:tcPr>
            <w:tcW w:w="920" w:type="dxa"/>
            <w:shd w:val="clear" w:color="auto" w:fill="auto"/>
            <w:tcMar>
              <w:top w:w="0" w:type="dxa"/>
              <w:bottom w:w="0" w:type="dxa"/>
            </w:tcMar>
            <w:vAlign w:val="center"/>
          </w:tcPr>
          <w:p w14:paraId="3904F7D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0.74%</w:t>
            </w:r>
          </w:p>
        </w:tc>
        <w:tc>
          <w:tcPr>
            <w:tcW w:w="920" w:type="dxa"/>
            <w:shd w:val="clear" w:color="auto" w:fill="auto"/>
            <w:tcMar>
              <w:top w:w="0" w:type="dxa"/>
              <w:bottom w:w="0" w:type="dxa"/>
            </w:tcMar>
            <w:vAlign w:val="center"/>
          </w:tcPr>
          <w:p w14:paraId="0EA5275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0.90%</w:t>
            </w:r>
          </w:p>
        </w:tc>
        <w:tc>
          <w:tcPr>
            <w:tcW w:w="920" w:type="dxa"/>
            <w:shd w:val="clear" w:color="auto" w:fill="auto"/>
            <w:tcMar>
              <w:top w:w="0" w:type="dxa"/>
              <w:bottom w:w="0" w:type="dxa"/>
            </w:tcMar>
            <w:vAlign w:val="center"/>
          </w:tcPr>
          <w:p w14:paraId="70E1D59E"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1.04%</w:t>
            </w:r>
          </w:p>
        </w:tc>
        <w:tc>
          <w:tcPr>
            <w:tcW w:w="920" w:type="dxa"/>
            <w:shd w:val="clear" w:color="auto" w:fill="auto"/>
            <w:tcMar>
              <w:top w:w="0" w:type="dxa"/>
              <w:bottom w:w="0" w:type="dxa"/>
            </w:tcMar>
            <w:vAlign w:val="center"/>
          </w:tcPr>
          <w:p w14:paraId="22CCF90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0.98%</w:t>
            </w:r>
          </w:p>
        </w:tc>
        <w:tc>
          <w:tcPr>
            <w:tcW w:w="920" w:type="dxa"/>
            <w:shd w:val="clear" w:color="auto" w:fill="auto"/>
            <w:tcMar>
              <w:top w:w="0" w:type="dxa"/>
              <w:bottom w:w="0" w:type="dxa"/>
            </w:tcMar>
            <w:vAlign w:val="center"/>
          </w:tcPr>
          <w:p w14:paraId="2C7A20F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0.75%</w:t>
            </w:r>
          </w:p>
        </w:tc>
        <w:tc>
          <w:tcPr>
            <w:tcW w:w="920" w:type="dxa"/>
            <w:shd w:val="clear" w:color="auto" w:fill="auto"/>
            <w:tcMar>
              <w:top w:w="0" w:type="dxa"/>
              <w:bottom w:w="0" w:type="dxa"/>
            </w:tcMar>
            <w:vAlign w:val="center"/>
          </w:tcPr>
          <w:p w14:paraId="644E752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0.55%</w:t>
            </w:r>
          </w:p>
        </w:tc>
      </w:tr>
      <w:tr w:rsidR="00A60477" w:rsidRPr="005D7FCE" w14:paraId="00B3A0D2" w14:textId="77777777" w:rsidTr="00147763">
        <w:trPr>
          <w:cantSplit/>
          <w:trHeight w:val="113"/>
        </w:trPr>
        <w:tc>
          <w:tcPr>
            <w:tcW w:w="2448" w:type="dxa"/>
            <w:tcBorders>
              <w:top w:val="nil"/>
              <w:bottom w:val="nil"/>
            </w:tcBorders>
            <w:shd w:val="clear" w:color="auto" w:fill="auto"/>
            <w:tcMar>
              <w:top w:w="0" w:type="dxa"/>
              <w:bottom w:w="0" w:type="dxa"/>
            </w:tcMar>
          </w:tcPr>
          <w:p w14:paraId="2937365C"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462D23E4"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ICS/LABA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LABA/LAMA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w:t>
            </w:r>
          </w:p>
        </w:tc>
        <w:tc>
          <w:tcPr>
            <w:tcW w:w="920" w:type="dxa"/>
            <w:shd w:val="clear" w:color="auto" w:fill="auto"/>
            <w:tcMar>
              <w:top w:w="0" w:type="dxa"/>
              <w:bottom w:w="0" w:type="dxa"/>
            </w:tcMar>
            <w:vAlign w:val="center"/>
          </w:tcPr>
          <w:p w14:paraId="4CC6ABB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0.12%</w:t>
            </w:r>
          </w:p>
        </w:tc>
        <w:tc>
          <w:tcPr>
            <w:tcW w:w="920" w:type="dxa"/>
            <w:shd w:val="clear" w:color="auto" w:fill="auto"/>
            <w:tcMar>
              <w:top w:w="0" w:type="dxa"/>
              <w:bottom w:w="0" w:type="dxa"/>
            </w:tcMar>
            <w:vAlign w:val="center"/>
          </w:tcPr>
          <w:p w14:paraId="7CB61C5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0.16%</w:t>
            </w:r>
          </w:p>
        </w:tc>
        <w:tc>
          <w:tcPr>
            <w:tcW w:w="920" w:type="dxa"/>
            <w:shd w:val="clear" w:color="auto" w:fill="auto"/>
            <w:tcMar>
              <w:top w:w="0" w:type="dxa"/>
              <w:bottom w:w="0" w:type="dxa"/>
            </w:tcMar>
            <w:vAlign w:val="center"/>
          </w:tcPr>
          <w:p w14:paraId="716A0A6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0.21%</w:t>
            </w:r>
          </w:p>
        </w:tc>
        <w:tc>
          <w:tcPr>
            <w:tcW w:w="920" w:type="dxa"/>
            <w:shd w:val="clear" w:color="auto" w:fill="auto"/>
            <w:tcMar>
              <w:top w:w="0" w:type="dxa"/>
              <w:bottom w:w="0" w:type="dxa"/>
            </w:tcMar>
            <w:vAlign w:val="center"/>
          </w:tcPr>
          <w:p w14:paraId="0C1EC2C1"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0.23%</w:t>
            </w:r>
          </w:p>
        </w:tc>
        <w:tc>
          <w:tcPr>
            <w:tcW w:w="920" w:type="dxa"/>
            <w:shd w:val="clear" w:color="auto" w:fill="auto"/>
            <w:tcMar>
              <w:top w:w="0" w:type="dxa"/>
              <w:bottom w:w="0" w:type="dxa"/>
            </w:tcMar>
            <w:vAlign w:val="center"/>
          </w:tcPr>
          <w:p w14:paraId="132220C9"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0.26%</w:t>
            </w:r>
          </w:p>
        </w:tc>
        <w:tc>
          <w:tcPr>
            <w:tcW w:w="920" w:type="dxa"/>
            <w:shd w:val="clear" w:color="auto" w:fill="auto"/>
            <w:tcMar>
              <w:top w:w="0" w:type="dxa"/>
              <w:bottom w:w="0" w:type="dxa"/>
            </w:tcMar>
            <w:vAlign w:val="center"/>
          </w:tcPr>
          <w:p w14:paraId="1F507B1D"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0.30%</w:t>
            </w:r>
          </w:p>
        </w:tc>
        <w:tc>
          <w:tcPr>
            <w:tcW w:w="920" w:type="dxa"/>
            <w:shd w:val="clear" w:color="auto" w:fill="auto"/>
            <w:tcMar>
              <w:top w:w="0" w:type="dxa"/>
              <w:bottom w:w="0" w:type="dxa"/>
            </w:tcMar>
            <w:vAlign w:val="center"/>
          </w:tcPr>
          <w:p w14:paraId="6D8FD4EF"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0.35%</w:t>
            </w:r>
          </w:p>
        </w:tc>
        <w:tc>
          <w:tcPr>
            <w:tcW w:w="920" w:type="dxa"/>
            <w:shd w:val="clear" w:color="auto" w:fill="auto"/>
            <w:tcMar>
              <w:top w:w="0" w:type="dxa"/>
              <w:bottom w:w="0" w:type="dxa"/>
            </w:tcMar>
            <w:vAlign w:val="center"/>
          </w:tcPr>
          <w:p w14:paraId="41E8C704"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0.42%</w:t>
            </w:r>
          </w:p>
        </w:tc>
        <w:tc>
          <w:tcPr>
            <w:tcW w:w="920" w:type="dxa"/>
            <w:shd w:val="clear" w:color="auto" w:fill="auto"/>
            <w:tcMar>
              <w:top w:w="0" w:type="dxa"/>
              <w:bottom w:w="0" w:type="dxa"/>
            </w:tcMar>
            <w:vAlign w:val="center"/>
          </w:tcPr>
          <w:p w14:paraId="1A27B76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0.44%</w:t>
            </w:r>
          </w:p>
        </w:tc>
      </w:tr>
      <w:tr w:rsidR="00A60477" w:rsidRPr="005D7FCE" w14:paraId="6A501E7C" w14:textId="77777777" w:rsidTr="00147763">
        <w:trPr>
          <w:cantSplit/>
          <w:trHeight w:val="113"/>
        </w:trPr>
        <w:tc>
          <w:tcPr>
            <w:tcW w:w="2448" w:type="dxa"/>
            <w:tcBorders>
              <w:top w:val="nil"/>
              <w:bottom w:val="nil"/>
            </w:tcBorders>
            <w:shd w:val="clear" w:color="auto" w:fill="auto"/>
            <w:tcMar>
              <w:top w:w="0" w:type="dxa"/>
              <w:bottom w:w="0" w:type="dxa"/>
            </w:tcMar>
          </w:tcPr>
          <w:p w14:paraId="062D46D3" w14:textId="77777777" w:rsidR="00A60477" w:rsidRPr="008D66C4" w:rsidRDefault="00A60477" w:rsidP="00147763">
            <w:pPr>
              <w:pStyle w:val="05Tabletext"/>
              <w:spacing w:before="0"/>
              <w:rPr>
                <w:sz w:val="21"/>
                <w:szCs w:val="21"/>
              </w:rPr>
            </w:pPr>
            <w:r w:rsidRPr="008D66C4">
              <w:rPr>
                <w:sz w:val="21"/>
                <w:szCs w:val="21"/>
              </w:rPr>
              <w:t>Outside COPD-X guidelines</w:t>
            </w:r>
          </w:p>
        </w:tc>
        <w:tc>
          <w:tcPr>
            <w:tcW w:w="3832" w:type="dxa"/>
            <w:shd w:val="clear" w:color="auto" w:fill="auto"/>
            <w:tcMar>
              <w:top w:w="0" w:type="dxa"/>
              <w:bottom w:w="0" w:type="dxa"/>
            </w:tcMar>
            <w:vAlign w:val="center"/>
          </w:tcPr>
          <w:p w14:paraId="1202B86A"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ICS/LABA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LABA</w:t>
            </w:r>
          </w:p>
        </w:tc>
        <w:tc>
          <w:tcPr>
            <w:tcW w:w="920" w:type="dxa"/>
            <w:shd w:val="clear" w:color="auto" w:fill="auto"/>
            <w:tcMar>
              <w:top w:w="0" w:type="dxa"/>
              <w:bottom w:w="0" w:type="dxa"/>
            </w:tcMar>
            <w:vAlign w:val="center"/>
          </w:tcPr>
          <w:p w14:paraId="0D697C7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0.02%</w:t>
            </w:r>
          </w:p>
        </w:tc>
        <w:tc>
          <w:tcPr>
            <w:tcW w:w="920" w:type="dxa"/>
            <w:shd w:val="clear" w:color="auto" w:fill="auto"/>
            <w:tcMar>
              <w:top w:w="0" w:type="dxa"/>
              <w:bottom w:w="0" w:type="dxa"/>
            </w:tcMar>
            <w:vAlign w:val="center"/>
          </w:tcPr>
          <w:p w14:paraId="22D9373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0.03%</w:t>
            </w:r>
          </w:p>
        </w:tc>
        <w:tc>
          <w:tcPr>
            <w:tcW w:w="920" w:type="dxa"/>
            <w:shd w:val="clear" w:color="auto" w:fill="auto"/>
            <w:tcMar>
              <w:top w:w="0" w:type="dxa"/>
              <w:bottom w:w="0" w:type="dxa"/>
            </w:tcMar>
            <w:vAlign w:val="center"/>
          </w:tcPr>
          <w:p w14:paraId="0227C4F4"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0.05%</w:t>
            </w:r>
          </w:p>
        </w:tc>
        <w:tc>
          <w:tcPr>
            <w:tcW w:w="920" w:type="dxa"/>
            <w:shd w:val="clear" w:color="auto" w:fill="auto"/>
            <w:tcMar>
              <w:top w:w="0" w:type="dxa"/>
              <w:bottom w:w="0" w:type="dxa"/>
            </w:tcMar>
            <w:vAlign w:val="center"/>
          </w:tcPr>
          <w:p w14:paraId="4ABB826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0.13%</w:t>
            </w:r>
          </w:p>
        </w:tc>
        <w:tc>
          <w:tcPr>
            <w:tcW w:w="920" w:type="dxa"/>
            <w:shd w:val="clear" w:color="auto" w:fill="auto"/>
            <w:tcMar>
              <w:top w:w="0" w:type="dxa"/>
              <w:bottom w:w="0" w:type="dxa"/>
            </w:tcMar>
            <w:vAlign w:val="center"/>
          </w:tcPr>
          <w:p w14:paraId="1685B6D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0.40%</w:t>
            </w:r>
          </w:p>
        </w:tc>
        <w:tc>
          <w:tcPr>
            <w:tcW w:w="920" w:type="dxa"/>
            <w:shd w:val="clear" w:color="auto" w:fill="auto"/>
            <w:tcMar>
              <w:top w:w="0" w:type="dxa"/>
              <w:bottom w:w="0" w:type="dxa"/>
            </w:tcMar>
            <w:vAlign w:val="center"/>
          </w:tcPr>
          <w:p w14:paraId="22C4C474"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0.50%</w:t>
            </w:r>
          </w:p>
        </w:tc>
        <w:tc>
          <w:tcPr>
            <w:tcW w:w="920" w:type="dxa"/>
            <w:shd w:val="clear" w:color="auto" w:fill="auto"/>
            <w:tcMar>
              <w:top w:w="0" w:type="dxa"/>
              <w:bottom w:w="0" w:type="dxa"/>
            </w:tcMar>
            <w:vAlign w:val="center"/>
          </w:tcPr>
          <w:p w14:paraId="71B1684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0.48%</w:t>
            </w:r>
          </w:p>
        </w:tc>
        <w:tc>
          <w:tcPr>
            <w:tcW w:w="920" w:type="dxa"/>
            <w:shd w:val="clear" w:color="auto" w:fill="auto"/>
            <w:tcMar>
              <w:top w:w="0" w:type="dxa"/>
              <w:bottom w:w="0" w:type="dxa"/>
            </w:tcMar>
            <w:vAlign w:val="center"/>
          </w:tcPr>
          <w:p w14:paraId="3DF9AF2D"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0.36%</w:t>
            </w:r>
          </w:p>
        </w:tc>
        <w:tc>
          <w:tcPr>
            <w:tcW w:w="920" w:type="dxa"/>
            <w:shd w:val="clear" w:color="auto" w:fill="auto"/>
            <w:tcMar>
              <w:top w:w="0" w:type="dxa"/>
              <w:bottom w:w="0" w:type="dxa"/>
            </w:tcMar>
            <w:vAlign w:val="center"/>
          </w:tcPr>
          <w:p w14:paraId="2EC22D49"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0.26%</w:t>
            </w:r>
          </w:p>
        </w:tc>
      </w:tr>
      <w:tr w:rsidR="00A60477" w:rsidRPr="005D7FCE" w14:paraId="0BFCB66E" w14:textId="77777777" w:rsidTr="00147763">
        <w:trPr>
          <w:cantSplit/>
          <w:trHeight w:val="113"/>
        </w:trPr>
        <w:tc>
          <w:tcPr>
            <w:tcW w:w="2448" w:type="dxa"/>
            <w:tcBorders>
              <w:top w:val="nil"/>
              <w:bottom w:val="nil"/>
            </w:tcBorders>
            <w:shd w:val="clear" w:color="auto" w:fill="auto"/>
            <w:tcMar>
              <w:top w:w="0" w:type="dxa"/>
              <w:bottom w:w="0" w:type="dxa"/>
            </w:tcMar>
          </w:tcPr>
          <w:p w14:paraId="1EAE7A81"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269E5938"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ICS/LABA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LABA/LAMA</w:t>
            </w:r>
          </w:p>
        </w:tc>
        <w:tc>
          <w:tcPr>
            <w:tcW w:w="920" w:type="dxa"/>
            <w:shd w:val="clear" w:color="auto" w:fill="auto"/>
            <w:tcMar>
              <w:top w:w="0" w:type="dxa"/>
              <w:bottom w:w="0" w:type="dxa"/>
            </w:tcMar>
            <w:vAlign w:val="center"/>
          </w:tcPr>
          <w:p w14:paraId="23D16F38"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34A481D3"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0.02%</w:t>
            </w:r>
          </w:p>
        </w:tc>
        <w:tc>
          <w:tcPr>
            <w:tcW w:w="920" w:type="dxa"/>
            <w:shd w:val="clear" w:color="auto" w:fill="auto"/>
            <w:tcMar>
              <w:top w:w="0" w:type="dxa"/>
              <w:bottom w:w="0" w:type="dxa"/>
            </w:tcMar>
            <w:vAlign w:val="center"/>
          </w:tcPr>
          <w:p w14:paraId="26154443"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0.04%</w:t>
            </w:r>
          </w:p>
        </w:tc>
        <w:tc>
          <w:tcPr>
            <w:tcW w:w="920" w:type="dxa"/>
            <w:shd w:val="clear" w:color="auto" w:fill="auto"/>
            <w:tcMar>
              <w:top w:w="0" w:type="dxa"/>
              <w:bottom w:w="0" w:type="dxa"/>
            </w:tcMar>
            <w:vAlign w:val="center"/>
          </w:tcPr>
          <w:p w14:paraId="18E87231"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0.06%</w:t>
            </w:r>
          </w:p>
        </w:tc>
        <w:tc>
          <w:tcPr>
            <w:tcW w:w="920" w:type="dxa"/>
            <w:shd w:val="clear" w:color="auto" w:fill="auto"/>
            <w:tcMar>
              <w:top w:w="0" w:type="dxa"/>
              <w:bottom w:w="0" w:type="dxa"/>
            </w:tcMar>
            <w:vAlign w:val="center"/>
          </w:tcPr>
          <w:p w14:paraId="28718FF4"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0.10%</w:t>
            </w:r>
          </w:p>
        </w:tc>
        <w:tc>
          <w:tcPr>
            <w:tcW w:w="920" w:type="dxa"/>
            <w:shd w:val="clear" w:color="auto" w:fill="auto"/>
            <w:tcMar>
              <w:top w:w="0" w:type="dxa"/>
              <w:bottom w:w="0" w:type="dxa"/>
            </w:tcMar>
            <w:vAlign w:val="center"/>
          </w:tcPr>
          <w:p w14:paraId="27AC486D"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0.15%</w:t>
            </w:r>
          </w:p>
        </w:tc>
        <w:tc>
          <w:tcPr>
            <w:tcW w:w="920" w:type="dxa"/>
            <w:shd w:val="clear" w:color="auto" w:fill="auto"/>
            <w:tcMar>
              <w:top w:w="0" w:type="dxa"/>
              <w:bottom w:w="0" w:type="dxa"/>
            </w:tcMar>
            <w:vAlign w:val="center"/>
          </w:tcPr>
          <w:p w14:paraId="17634DB3"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0.26%</w:t>
            </w:r>
          </w:p>
        </w:tc>
        <w:tc>
          <w:tcPr>
            <w:tcW w:w="920" w:type="dxa"/>
            <w:shd w:val="clear" w:color="auto" w:fill="auto"/>
            <w:tcMar>
              <w:top w:w="0" w:type="dxa"/>
              <w:bottom w:w="0" w:type="dxa"/>
            </w:tcMar>
            <w:vAlign w:val="center"/>
          </w:tcPr>
          <w:p w14:paraId="57A8862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0.48%</w:t>
            </w:r>
          </w:p>
        </w:tc>
        <w:tc>
          <w:tcPr>
            <w:tcW w:w="920" w:type="dxa"/>
            <w:shd w:val="clear" w:color="auto" w:fill="auto"/>
            <w:tcMar>
              <w:top w:w="0" w:type="dxa"/>
              <w:bottom w:w="0" w:type="dxa"/>
            </w:tcMar>
            <w:vAlign w:val="center"/>
          </w:tcPr>
          <w:p w14:paraId="77301E0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0.59%</w:t>
            </w:r>
          </w:p>
        </w:tc>
      </w:tr>
      <w:tr w:rsidR="00A60477" w:rsidRPr="005D7FCE" w14:paraId="37C5B131" w14:textId="77777777" w:rsidTr="00147763">
        <w:trPr>
          <w:cantSplit/>
          <w:trHeight w:val="113"/>
        </w:trPr>
        <w:tc>
          <w:tcPr>
            <w:tcW w:w="2448" w:type="dxa"/>
            <w:tcBorders>
              <w:top w:val="nil"/>
              <w:bottom w:val="nil"/>
            </w:tcBorders>
            <w:shd w:val="clear" w:color="auto" w:fill="auto"/>
            <w:tcMar>
              <w:top w:w="0" w:type="dxa"/>
              <w:bottom w:w="0" w:type="dxa"/>
            </w:tcMar>
          </w:tcPr>
          <w:p w14:paraId="78EF6350"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12C1ED99"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LABA/LAMA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w:t>
            </w:r>
          </w:p>
        </w:tc>
        <w:tc>
          <w:tcPr>
            <w:tcW w:w="920" w:type="dxa"/>
            <w:shd w:val="clear" w:color="auto" w:fill="auto"/>
            <w:tcMar>
              <w:top w:w="0" w:type="dxa"/>
              <w:bottom w:w="0" w:type="dxa"/>
            </w:tcMar>
            <w:vAlign w:val="center"/>
          </w:tcPr>
          <w:p w14:paraId="34C4D209"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0.08%</w:t>
            </w:r>
          </w:p>
        </w:tc>
        <w:tc>
          <w:tcPr>
            <w:tcW w:w="920" w:type="dxa"/>
            <w:shd w:val="clear" w:color="auto" w:fill="auto"/>
            <w:tcMar>
              <w:top w:w="0" w:type="dxa"/>
              <w:bottom w:w="0" w:type="dxa"/>
            </w:tcMar>
            <w:vAlign w:val="center"/>
          </w:tcPr>
          <w:p w14:paraId="7DBA79B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0.08%</w:t>
            </w:r>
          </w:p>
        </w:tc>
        <w:tc>
          <w:tcPr>
            <w:tcW w:w="920" w:type="dxa"/>
            <w:shd w:val="clear" w:color="auto" w:fill="auto"/>
            <w:tcMar>
              <w:top w:w="0" w:type="dxa"/>
              <w:bottom w:w="0" w:type="dxa"/>
            </w:tcMar>
            <w:vAlign w:val="center"/>
          </w:tcPr>
          <w:p w14:paraId="75DD12A9"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0.10%</w:t>
            </w:r>
          </w:p>
        </w:tc>
        <w:tc>
          <w:tcPr>
            <w:tcW w:w="920" w:type="dxa"/>
            <w:shd w:val="clear" w:color="auto" w:fill="auto"/>
            <w:tcMar>
              <w:top w:w="0" w:type="dxa"/>
              <w:bottom w:w="0" w:type="dxa"/>
            </w:tcMar>
            <w:vAlign w:val="center"/>
          </w:tcPr>
          <w:p w14:paraId="3D21D6D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0.13%</w:t>
            </w:r>
          </w:p>
        </w:tc>
        <w:tc>
          <w:tcPr>
            <w:tcW w:w="920" w:type="dxa"/>
            <w:shd w:val="clear" w:color="auto" w:fill="auto"/>
            <w:tcMar>
              <w:top w:w="0" w:type="dxa"/>
              <w:bottom w:w="0" w:type="dxa"/>
            </w:tcMar>
            <w:vAlign w:val="center"/>
          </w:tcPr>
          <w:p w14:paraId="563C53F8"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0.17%</w:t>
            </w:r>
          </w:p>
        </w:tc>
        <w:tc>
          <w:tcPr>
            <w:tcW w:w="920" w:type="dxa"/>
            <w:shd w:val="clear" w:color="auto" w:fill="auto"/>
            <w:tcMar>
              <w:top w:w="0" w:type="dxa"/>
              <w:bottom w:w="0" w:type="dxa"/>
            </w:tcMar>
            <w:vAlign w:val="center"/>
          </w:tcPr>
          <w:p w14:paraId="636E24B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0.21%</w:t>
            </w:r>
          </w:p>
        </w:tc>
        <w:tc>
          <w:tcPr>
            <w:tcW w:w="920" w:type="dxa"/>
            <w:shd w:val="clear" w:color="auto" w:fill="auto"/>
            <w:tcMar>
              <w:top w:w="0" w:type="dxa"/>
              <w:bottom w:w="0" w:type="dxa"/>
            </w:tcMar>
            <w:vAlign w:val="center"/>
          </w:tcPr>
          <w:p w14:paraId="13834F3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0.26%</w:t>
            </w:r>
          </w:p>
        </w:tc>
        <w:tc>
          <w:tcPr>
            <w:tcW w:w="920" w:type="dxa"/>
            <w:shd w:val="clear" w:color="auto" w:fill="auto"/>
            <w:tcMar>
              <w:top w:w="0" w:type="dxa"/>
              <w:bottom w:w="0" w:type="dxa"/>
            </w:tcMar>
            <w:vAlign w:val="center"/>
          </w:tcPr>
          <w:p w14:paraId="2F83609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0.28%</w:t>
            </w:r>
          </w:p>
        </w:tc>
        <w:tc>
          <w:tcPr>
            <w:tcW w:w="920" w:type="dxa"/>
            <w:shd w:val="clear" w:color="auto" w:fill="auto"/>
            <w:tcMar>
              <w:top w:w="0" w:type="dxa"/>
              <w:bottom w:w="0" w:type="dxa"/>
            </w:tcMar>
            <w:vAlign w:val="center"/>
          </w:tcPr>
          <w:p w14:paraId="5E1DC97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0.26%</w:t>
            </w:r>
          </w:p>
        </w:tc>
      </w:tr>
      <w:tr w:rsidR="00A60477" w:rsidRPr="005D7FCE" w14:paraId="5D37A096" w14:textId="77777777" w:rsidTr="00147763">
        <w:trPr>
          <w:cantSplit/>
          <w:trHeight w:val="113"/>
        </w:trPr>
        <w:tc>
          <w:tcPr>
            <w:tcW w:w="2448" w:type="dxa"/>
            <w:tcBorders>
              <w:top w:val="nil"/>
              <w:bottom w:val="nil"/>
            </w:tcBorders>
            <w:shd w:val="clear" w:color="auto" w:fill="auto"/>
            <w:tcMar>
              <w:top w:w="0" w:type="dxa"/>
              <w:bottom w:w="0" w:type="dxa"/>
            </w:tcMar>
          </w:tcPr>
          <w:p w14:paraId="362B8708"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3EE81CC4"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ICS/LABA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ICS/LABA</w:t>
            </w:r>
          </w:p>
        </w:tc>
        <w:tc>
          <w:tcPr>
            <w:tcW w:w="920" w:type="dxa"/>
            <w:shd w:val="clear" w:color="auto" w:fill="auto"/>
            <w:tcMar>
              <w:top w:w="0" w:type="dxa"/>
              <w:bottom w:w="0" w:type="dxa"/>
            </w:tcMar>
            <w:vAlign w:val="center"/>
          </w:tcPr>
          <w:p w14:paraId="69A46364"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0.08%</w:t>
            </w:r>
          </w:p>
        </w:tc>
        <w:tc>
          <w:tcPr>
            <w:tcW w:w="920" w:type="dxa"/>
            <w:shd w:val="clear" w:color="auto" w:fill="auto"/>
            <w:tcMar>
              <w:top w:w="0" w:type="dxa"/>
              <w:bottom w:w="0" w:type="dxa"/>
            </w:tcMar>
            <w:vAlign w:val="center"/>
          </w:tcPr>
          <w:p w14:paraId="6285EB83"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0.08%</w:t>
            </w:r>
          </w:p>
        </w:tc>
        <w:tc>
          <w:tcPr>
            <w:tcW w:w="920" w:type="dxa"/>
            <w:shd w:val="clear" w:color="auto" w:fill="auto"/>
            <w:tcMar>
              <w:top w:w="0" w:type="dxa"/>
              <w:bottom w:w="0" w:type="dxa"/>
            </w:tcMar>
            <w:vAlign w:val="center"/>
          </w:tcPr>
          <w:p w14:paraId="46A8E7E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0.14%</w:t>
            </w:r>
          </w:p>
        </w:tc>
        <w:tc>
          <w:tcPr>
            <w:tcW w:w="920" w:type="dxa"/>
            <w:shd w:val="clear" w:color="auto" w:fill="auto"/>
            <w:tcMar>
              <w:top w:w="0" w:type="dxa"/>
              <w:bottom w:w="0" w:type="dxa"/>
            </w:tcMar>
            <w:vAlign w:val="center"/>
          </w:tcPr>
          <w:p w14:paraId="58D5E85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0.18%</w:t>
            </w:r>
          </w:p>
        </w:tc>
        <w:tc>
          <w:tcPr>
            <w:tcW w:w="920" w:type="dxa"/>
            <w:shd w:val="clear" w:color="auto" w:fill="auto"/>
            <w:tcMar>
              <w:top w:w="0" w:type="dxa"/>
              <w:bottom w:w="0" w:type="dxa"/>
            </w:tcMar>
            <w:vAlign w:val="center"/>
          </w:tcPr>
          <w:p w14:paraId="213FB79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0.20%</w:t>
            </w:r>
          </w:p>
        </w:tc>
        <w:tc>
          <w:tcPr>
            <w:tcW w:w="920" w:type="dxa"/>
            <w:shd w:val="clear" w:color="auto" w:fill="auto"/>
            <w:tcMar>
              <w:top w:w="0" w:type="dxa"/>
              <w:bottom w:w="0" w:type="dxa"/>
            </w:tcMar>
            <w:vAlign w:val="center"/>
          </w:tcPr>
          <w:p w14:paraId="2471D44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0.22%</w:t>
            </w:r>
          </w:p>
        </w:tc>
        <w:tc>
          <w:tcPr>
            <w:tcW w:w="920" w:type="dxa"/>
            <w:shd w:val="clear" w:color="auto" w:fill="auto"/>
            <w:tcMar>
              <w:top w:w="0" w:type="dxa"/>
              <w:bottom w:w="0" w:type="dxa"/>
            </w:tcMar>
            <w:vAlign w:val="center"/>
          </w:tcPr>
          <w:p w14:paraId="3DE852E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0.22%</w:t>
            </w:r>
          </w:p>
        </w:tc>
        <w:tc>
          <w:tcPr>
            <w:tcW w:w="920" w:type="dxa"/>
            <w:shd w:val="clear" w:color="auto" w:fill="auto"/>
            <w:tcMar>
              <w:top w:w="0" w:type="dxa"/>
              <w:bottom w:w="0" w:type="dxa"/>
            </w:tcMar>
            <w:vAlign w:val="center"/>
          </w:tcPr>
          <w:p w14:paraId="14C20001"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0.22%</w:t>
            </w:r>
          </w:p>
        </w:tc>
        <w:tc>
          <w:tcPr>
            <w:tcW w:w="920" w:type="dxa"/>
            <w:shd w:val="clear" w:color="auto" w:fill="auto"/>
            <w:tcMar>
              <w:top w:w="0" w:type="dxa"/>
              <w:bottom w:w="0" w:type="dxa"/>
            </w:tcMar>
            <w:vAlign w:val="center"/>
          </w:tcPr>
          <w:p w14:paraId="7186D8C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0.18%</w:t>
            </w:r>
          </w:p>
        </w:tc>
      </w:tr>
      <w:tr w:rsidR="00A60477" w:rsidRPr="005D7FCE" w14:paraId="73781E01" w14:textId="77777777" w:rsidTr="00147763">
        <w:trPr>
          <w:cantSplit/>
          <w:trHeight w:val="113"/>
        </w:trPr>
        <w:tc>
          <w:tcPr>
            <w:tcW w:w="2448" w:type="dxa"/>
            <w:tcBorders>
              <w:top w:val="nil"/>
              <w:bottom w:val="nil"/>
            </w:tcBorders>
            <w:shd w:val="clear" w:color="auto" w:fill="auto"/>
            <w:tcMar>
              <w:top w:w="0" w:type="dxa"/>
              <w:bottom w:w="0" w:type="dxa"/>
            </w:tcMar>
          </w:tcPr>
          <w:p w14:paraId="3A188737"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5A0811F6"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others</w:t>
            </w:r>
          </w:p>
        </w:tc>
        <w:tc>
          <w:tcPr>
            <w:tcW w:w="920" w:type="dxa"/>
            <w:shd w:val="clear" w:color="auto" w:fill="auto"/>
            <w:tcMar>
              <w:top w:w="0" w:type="dxa"/>
              <w:bottom w:w="0" w:type="dxa"/>
            </w:tcMar>
            <w:vAlign w:val="center"/>
          </w:tcPr>
          <w:p w14:paraId="02A5E11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0.46%</w:t>
            </w:r>
          </w:p>
        </w:tc>
        <w:tc>
          <w:tcPr>
            <w:tcW w:w="920" w:type="dxa"/>
            <w:shd w:val="clear" w:color="auto" w:fill="auto"/>
            <w:tcMar>
              <w:top w:w="0" w:type="dxa"/>
              <w:bottom w:w="0" w:type="dxa"/>
            </w:tcMar>
            <w:vAlign w:val="center"/>
          </w:tcPr>
          <w:p w14:paraId="30B7DC5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0.37%</w:t>
            </w:r>
          </w:p>
        </w:tc>
        <w:tc>
          <w:tcPr>
            <w:tcW w:w="920" w:type="dxa"/>
            <w:shd w:val="clear" w:color="auto" w:fill="auto"/>
            <w:tcMar>
              <w:top w:w="0" w:type="dxa"/>
              <w:bottom w:w="0" w:type="dxa"/>
            </w:tcMar>
            <w:vAlign w:val="center"/>
          </w:tcPr>
          <w:p w14:paraId="188D7C1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0.45%</w:t>
            </w:r>
          </w:p>
        </w:tc>
        <w:tc>
          <w:tcPr>
            <w:tcW w:w="920" w:type="dxa"/>
            <w:shd w:val="clear" w:color="auto" w:fill="auto"/>
            <w:tcMar>
              <w:top w:w="0" w:type="dxa"/>
              <w:bottom w:w="0" w:type="dxa"/>
            </w:tcMar>
            <w:vAlign w:val="center"/>
          </w:tcPr>
          <w:p w14:paraId="06DE072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0.54%</w:t>
            </w:r>
          </w:p>
        </w:tc>
        <w:tc>
          <w:tcPr>
            <w:tcW w:w="920" w:type="dxa"/>
            <w:shd w:val="clear" w:color="auto" w:fill="auto"/>
            <w:tcMar>
              <w:top w:w="0" w:type="dxa"/>
              <w:bottom w:w="0" w:type="dxa"/>
            </w:tcMar>
            <w:vAlign w:val="center"/>
          </w:tcPr>
          <w:p w14:paraId="0EC413C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0.78%</w:t>
            </w:r>
          </w:p>
        </w:tc>
        <w:tc>
          <w:tcPr>
            <w:tcW w:w="920" w:type="dxa"/>
            <w:shd w:val="clear" w:color="auto" w:fill="auto"/>
            <w:tcMar>
              <w:top w:w="0" w:type="dxa"/>
              <w:bottom w:w="0" w:type="dxa"/>
            </w:tcMar>
            <w:vAlign w:val="center"/>
          </w:tcPr>
          <w:p w14:paraId="1337287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1.01%</w:t>
            </w:r>
          </w:p>
        </w:tc>
        <w:tc>
          <w:tcPr>
            <w:tcW w:w="920" w:type="dxa"/>
            <w:shd w:val="clear" w:color="auto" w:fill="auto"/>
            <w:tcMar>
              <w:top w:w="0" w:type="dxa"/>
              <w:bottom w:w="0" w:type="dxa"/>
            </w:tcMar>
            <w:vAlign w:val="center"/>
          </w:tcPr>
          <w:p w14:paraId="4617092F"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1.17%</w:t>
            </w:r>
          </w:p>
        </w:tc>
        <w:tc>
          <w:tcPr>
            <w:tcW w:w="920" w:type="dxa"/>
            <w:shd w:val="clear" w:color="auto" w:fill="auto"/>
            <w:tcMar>
              <w:top w:w="0" w:type="dxa"/>
              <w:bottom w:w="0" w:type="dxa"/>
            </w:tcMar>
            <w:vAlign w:val="center"/>
          </w:tcPr>
          <w:p w14:paraId="7CC82843"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1.21%</w:t>
            </w:r>
          </w:p>
        </w:tc>
        <w:tc>
          <w:tcPr>
            <w:tcW w:w="920" w:type="dxa"/>
            <w:shd w:val="clear" w:color="auto" w:fill="auto"/>
            <w:tcMar>
              <w:top w:w="0" w:type="dxa"/>
              <w:bottom w:w="0" w:type="dxa"/>
            </w:tcMar>
            <w:vAlign w:val="center"/>
          </w:tcPr>
          <w:p w14:paraId="25BD8A8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1.07%</w:t>
            </w:r>
          </w:p>
        </w:tc>
      </w:tr>
      <w:tr w:rsidR="00A60477" w:rsidRPr="005D7FCE" w14:paraId="4AB39C3E" w14:textId="77777777" w:rsidTr="00147763">
        <w:trPr>
          <w:cantSplit/>
          <w:trHeight w:val="113"/>
        </w:trPr>
        <w:tc>
          <w:tcPr>
            <w:tcW w:w="2448" w:type="dxa"/>
            <w:tcBorders>
              <w:top w:val="nil"/>
              <w:bottom w:val="nil"/>
            </w:tcBorders>
            <w:shd w:val="clear" w:color="auto" w:fill="auto"/>
            <w:tcMar>
              <w:top w:w="0" w:type="dxa"/>
              <w:bottom w:w="0" w:type="dxa"/>
            </w:tcMar>
          </w:tcPr>
          <w:p w14:paraId="6223F8B5" w14:textId="77777777" w:rsidR="00A60477" w:rsidRPr="008D66C4" w:rsidRDefault="00A60477" w:rsidP="00147763">
            <w:pPr>
              <w:pStyle w:val="05Tabletext"/>
              <w:spacing w:before="0"/>
              <w:rPr>
                <w:sz w:val="21"/>
                <w:szCs w:val="21"/>
              </w:rPr>
            </w:pPr>
          </w:p>
        </w:tc>
        <w:tc>
          <w:tcPr>
            <w:tcW w:w="3832" w:type="dxa"/>
            <w:shd w:val="clear" w:color="auto" w:fill="D9D9D9"/>
            <w:tcMar>
              <w:top w:w="0" w:type="dxa"/>
              <w:bottom w:w="0" w:type="dxa"/>
            </w:tcMar>
            <w:vAlign w:val="center"/>
          </w:tcPr>
          <w:p w14:paraId="19092AC6" w14:textId="77777777" w:rsidR="00A60477" w:rsidRPr="008D66C4" w:rsidRDefault="00A60477" w:rsidP="00147763">
            <w:pPr>
              <w:rPr>
                <w:rFonts w:ascii="Arial Narrow" w:hAnsi="Arial Narrow"/>
                <w:b/>
                <w:bCs/>
                <w:color w:val="000000"/>
                <w:sz w:val="21"/>
                <w:szCs w:val="21"/>
              </w:rPr>
            </w:pPr>
            <w:r w:rsidRPr="008D66C4">
              <w:rPr>
                <w:rFonts w:ascii="Arial Narrow" w:hAnsi="Arial Narrow" w:cs="Arial"/>
                <w:b/>
                <w:bCs/>
                <w:color w:val="000000"/>
                <w:sz w:val="21"/>
                <w:szCs w:val="21"/>
              </w:rPr>
              <w:t>Total</w:t>
            </w:r>
          </w:p>
        </w:tc>
        <w:tc>
          <w:tcPr>
            <w:tcW w:w="920" w:type="dxa"/>
            <w:shd w:val="clear" w:color="auto" w:fill="D9D9D9"/>
            <w:tcMar>
              <w:top w:w="0" w:type="dxa"/>
              <w:bottom w:w="0" w:type="dxa"/>
            </w:tcMar>
            <w:vAlign w:val="center"/>
          </w:tcPr>
          <w:p w14:paraId="0FBA9A71"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3.16%</w:t>
            </w:r>
          </w:p>
        </w:tc>
        <w:tc>
          <w:tcPr>
            <w:tcW w:w="920" w:type="dxa"/>
            <w:shd w:val="clear" w:color="auto" w:fill="D9D9D9"/>
            <w:tcMar>
              <w:top w:w="0" w:type="dxa"/>
              <w:bottom w:w="0" w:type="dxa"/>
            </w:tcMar>
            <w:vAlign w:val="center"/>
          </w:tcPr>
          <w:p w14:paraId="04C3907C"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3.28%</w:t>
            </w:r>
          </w:p>
        </w:tc>
        <w:tc>
          <w:tcPr>
            <w:tcW w:w="920" w:type="dxa"/>
            <w:shd w:val="clear" w:color="auto" w:fill="D9D9D9"/>
            <w:tcMar>
              <w:top w:w="0" w:type="dxa"/>
              <w:bottom w:w="0" w:type="dxa"/>
            </w:tcMar>
            <w:vAlign w:val="center"/>
          </w:tcPr>
          <w:p w14:paraId="5D8A97B2"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4.15%</w:t>
            </w:r>
          </w:p>
        </w:tc>
        <w:tc>
          <w:tcPr>
            <w:tcW w:w="920" w:type="dxa"/>
            <w:shd w:val="clear" w:color="auto" w:fill="D9D9D9"/>
            <w:tcMar>
              <w:top w:w="0" w:type="dxa"/>
              <w:bottom w:w="0" w:type="dxa"/>
            </w:tcMar>
            <w:vAlign w:val="center"/>
          </w:tcPr>
          <w:p w14:paraId="28EA7FC7"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5.03%</w:t>
            </w:r>
          </w:p>
        </w:tc>
        <w:tc>
          <w:tcPr>
            <w:tcW w:w="920" w:type="dxa"/>
            <w:shd w:val="clear" w:color="auto" w:fill="D9D9D9"/>
            <w:tcMar>
              <w:top w:w="0" w:type="dxa"/>
              <w:bottom w:w="0" w:type="dxa"/>
            </w:tcMar>
            <w:vAlign w:val="center"/>
          </w:tcPr>
          <w:p w14:paraId="4734AF4A"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6.08%</w:t>
            </w:r>
          </w:p>
        </w:tc>
        <w:tc>
          <w:tcPr>
            <w:tcW w:w="920" w:type="dxa"/>
            <w:shd w:val="clear" w:color="auto" w:fill="D9D9D9"/>
            <w:tcMar>
              <w:top w:w="0" w:type="dxa"/>
              <w:bottom w:w="0" w:type="dxa"/>
            </w:tcMar>
            <w:vAlign w:val="center"/>
          </w:tcPr>
          <w:p w14:paraId="4B3573FD"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7.13%</w:t>
            </w:r>
          </w:p>
        </w:tc>
        <w:tc>
          <w:tcPr>
            <w:tcW w:w="920" w:type="dxa"/>
            <w:shd w:val="clear" w:color="auto" w:fill="D9D9D9"/>
            <w:tcMar>
              <w:top w:w="0" w:type="dxa"/>
              <w:bottom w:w="0" w:type="dxa"/>
            </w:tcMar>
            <w:vAlign w:val="center"/>
          </w:tcPr>
          <w:p w14:paraId="5CAF7D09"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7.99%</w:t>
            </w:r>
          </w:p>
        </w:tc>
        <w:tc>
          <w:tcPr>
            <w:tcW w:w="920" w:type="dxa"/>
            <w:shd w:val="clear" w:color="auto" w:fill="D9D9D9"/>
            <w:tcMar>
              <w:top w:w="0" w:type="dxa"/>
              <w:bottom w:w="0" w:type="dxa"/>
            </w:tcMar>
            <w:vAlign w:val="center"/>
          </w:tcPr>
          <w:p w14:paraId="535CB116"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8.61%</w:t>
            </w:r>
          </w:p>
        </w:tc>
        <w:tc>
          <w:tcPr>
            <w:tcW w:w="920" w:type="dxa"/>
            <w:shd w:val="clear" w:color="auto" w:fill="D9D9D9"/>
            <w:tcMar>
              <w:top w:w="0" w:type="dxa"/>
              <w:bottom w:w="0" w:type="dxa"/>
            </w:tcMar>
            <w:vAlign w:val="center"/>
          </w:tcPr>
          <w:p w14:paraId="26028BA2"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8.31%</w:t>
            </w:r>
          </w:p>
        </w:tc>
      </w:tr>
      <w:tr w:rsidR="00A60477" w:rsidRPr="005D7FCE" w14:paraId="531B27D5" w14:textId="77777777" w:rsidTr="00147763">
        <w:trPr>
          <w:cantSplit/>
          <w:trHeight w:val="113"/>
        </w:trPr>
        <w:tc>
          <w:tcPr>
            <w:tcW w:w="2448" w:type="dxa"/>
            <w:tcBorders>
              <w:bottom w:val="nil"/>
            </w:tcBorders>
            <w:shd w:val="clear" w:color="auto" w:fill="auto"/>
            <w:tcMar>
              <w:top w:w="0" w:type="dxa"/>
              <w:bottom w:w="0" w:type="dxa"/>
            </w:tcMar>
          </w:tcPr>
          <w:p w14:paraId="677DE0EB"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632A94E0"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LAMA</w:t>
            </w:r>
          </w:p>
        </w:tc>
        <w:tc>
          <w:tcPr>
            <w:tcW w:w="920" w:type="dxa"/>
            <w:shd w:val="clear" w:color="auto" w:fill="auto"/>
            <w:tcMar>
              <w:top w:w="0" w:type="dxa"/>
              <w:bottom w:w="0" w:type="dxa"/>
            </w:tcMar>
            <w:vAlign w:val="center"/>
          </w:tcPr>
          <w:p w14:paraId="739E38B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76.95%</w:t>
            </w:r>
          </w:p>
        </w:tc>
        <w:tc>
          <w:tcPr>
            <w:tcW w:w="920" w:type="dxa"/>
            <w:shd w:val="clear" w:color="auto" w:fill="auto"/>
            <w:tcMar>
              <w:top w:w="0" w:type="dxa"/>
              <w:bottom w:w="0" w:type="dxa"/>
            </w:tcMar>
            <w:vAlign w:val="center"/>
          </w:tcPr>
          <w:p w14:paraId="17F3323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73.40%</w:t>
            </w:r>
          </w:p>
        </w:tc>
        <w:tc>
          <w:tcPr>
            <w:tcW w:w="920" w:type="dxa"/>
            <w:shd w:val="clear" w:color="auto" w:fill="auto"/>
            <w:tcMar>
              <w:top w:w="0" w:type="dxa"/>
              <w:bottom w:w="0" w:type="dxa"/>
            </w:tcMar>
            <w:vAlign w:val="center"/>
          </w:tcPr>
          <w:p w14:paraId="67DAC23F"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68.10%</w:t>
            </w:r>
          </w:p>
        </w:tc>
        <w:tc>
          <w:tcPr>
            <w:tcW w:w="920" w:type="dxa"/>
            <w:shd w:val="clear" w:color="auto" w:fill="auto"/>
            <w:tcMar>
              <w:top w:w="0" w:type="dxa"/>
              <w:bottom w:w="0" w:type="dxa"/>
            </w:tcMar>
            <w:vAlign w:val="center"/>
          </w:tcPr>
          <w:p w14:paraId="4E5AC94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63.91%</w:t>
            </w:r>
          </w:p>
        </w:tc>
        <w:tc>
          <w:tcPr>
            <w:tcW w:w="920" w:type="dxa"/>
            <w:shd w:val="clear" w:color="auto" w:fill="auto"/>
            <w:tcMar>
              <w:top w:w="0" w:type="dxa"/>
              <w:bottom w:w="0" w:type="dxa"/>
            </w:tcMar>
            <w:vAlign w:val="center"/>
          </w:tcPr>
          <w:p w14:paraId="0BE93D5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57.09%</w:t>
            </w:r>
          </w:p>
        </w:tc>
        <w:tc>
          <w:tcPr>
            <w:tcW w:w="920" w:type="dxa"/>
            <w:shd w:val="clear" w:color="auto" w:fill="auto"/>
            <w:tcMar>
              <w:top w:w="0" w:type="dxa"/>
              <w:bottom w:w="0" w:type="dxa"/>
            </w:tcMar>
            <w:vAlign w:val="center"/>
          </w:tcPr>
          <w:p w14:paraId="0DE3903F"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53.46%</w:t>
            </w:r>
          </w:p>
        </w:tc>
        <w:tc>
          <w:tcPr>
            <w:tcW w:w="920" w:type="dxa"/>
            <w:shd w:val="clear" w:color="auto" w:fill="auto"/>
            <w:tcMar>
              <w:top w:w="0" w:type="dxa"/>
              <w:bottom w:w="0" w:type="dxa"/>
            </w:tcMar>
            <w:vAlign w:val="center"/>
          </w:tcPr>
          <w:p w14:paraId="6E217F99"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52.21%</w:t>
            </w:r>
          </w:p>
        </w:tc>
        <w:tc>
          <w:tcPr>
            <w:tcW w:w="920" w:type="dxa"/>
            <w:shd w:val="clear" w:color="auto" w:fill="auto"/>
            <w:tcMar>
              <w:top w:w="0" w:type="dxa"/>
              <w:bottom w:w="0" w:type="dxa"/>
            </w:tcMar>
            <w:vAlign w:val="center"/>
          </w:tcPr>
          <w:p w14:paraId="1629121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50.40%</w:t>
            </w:r>
          </w:p>
        </w:tc>
        <w:tc>
          <w:tcPr>
            <w:tcW w:w="920" w:type="dxa"/>
            <w:shd w:val="clear" w:color="auto" w:fill="auto"/>
            <w:tcMar>
              <w:top w:w="0" w:type="dxa"/>
              <w:bottom w:w="0" w:type="dxa"/>
            </w:tcMar>
            <w:vAlign w:val="center"/>
          </w:tcPr>
          <w:p w14:paraId="40A69E7E"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50.27%</w:t>
            </w:r>
          </w:p>
        </w:tc>
      </w:tr>
      <w:tr w:rsidR="00A60477" w:rsidRPr="005D7FCE" w14:paraId="0B47773D" w14:textId="77777777" w:rsidTr="00147763">
        <w:trPr>
          <w:cantSplit/>
          <w:trHeight w:val="113"/>
        </w:trPr>
        <w:tc>
          <w:tcPr>
            <w:tcW w:w="2448" w:type="dxa"/>
            <w:tcBorders>
              <w:top w:val="nil"/>
              <w:bottom w:val="nil"/>
            </w:tcBorders>
            <w:shd w:val="clear" w:color="auto" w:fill="auto"/>
            <w:tcMar>
              <w:top w:w="0" w:type="dxa"/>
              <w:bottom w:w="0" w:type="dxa"/>
            </w:tcMar>
          </w:tcPr>
          <w:p w14:paraId="53D3EAF9"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03EA2F13"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ICS/LABA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w:t>
            </w:r>
          </w:p>
        </w:tc>
        <w:tc>
          <w:tcPr>
            <w:tcW w:w="920" w:type="dxa"/>
            <w:shd w:val="clear" w:color="auto" w:fill="auto"/>
            <w:tcMar>
              <w:top w:w="0" w:type="dxa"/>
              <w:bottom w:w="0" w:type="dxa"/>
            </w:tcMar>
            <w:vAlign w:val="center"/>
          </w:tcPr>
          <w:p w14:paraId="4A1C8C7F"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16.97%</w:t>
            </w:r>
          </w:p>
        </w:tc>
        <w:tc>
          <w:tcPr>
            <w:tcW w:w="920" w:type="dxa"/>
            <w:shd w:val="clear" w:color="auto" w:fill="auto"/>
            <w:tcMar>
              <w:top w:w="0" w:type="dxa"/>
              <w:bottom w:w="0" w:type="dxa"/>
            </w:tcMar>
            <w:vAlign w:val="center"/>
          </w:tcPr>
          <w:p w14:paraId="4446BE8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18.00%</w:t>
            </w:r>
          </w:p>
        </w:tc>
        <w:tc>
          <w:tcPr>
            <w:tcW w:w="920" w:type="dxa"/>
            <w:shd w:val="clear" w:color="auto" w:fill="auto"/>
            <w:tcMar>
              <w:top w:w="0" w:type="dxa"/>
              <w:bottom w:w="0" w:type="dxa"/>
            </w:tcMar>
            <w:vAlign w:val="center"/>
          </w:tcPr>
          <w:p w14:paraId="6907109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19.91%</w:t>
            </w:r>
          </w:p>
        </w:tc>
        <w:tc>
          <w:tcPr>
            <w:tcW w:w="920" w:type="dxa"/>
            <w:shd w:val="clear" w:color="auto" w:fill="auto"/>
            <w:tcMar>
              <w:top w:w="0" w:type="dxa"/>
              <w:bottom w:w="0" w:type="dxa"/>
            </w:tcMar>
            <w:vAlign w:val="center"/>
          </w:tcPr>
          <w:p w14:paraId="4F142D6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21.01%</w:t>
            </w:r>
          </w:p>
        </w:tc>
        <w:tc>
          <w:tcPr>
            <w:tcW w:w="920" w:type="dxa"/>
            <w:shd w:val="clear" w:color="auto" w:fill="auto"/>
            <w:tcMar>
              <w:top w:w="0" w:type="dxa"/>
              <w:bottom w:w="0" w:type="dxa"/>
            </w:tcMar>
            <w:vAlign w:val="center"/>
          </w:tcPr>
          <w:p w14:paraId="541E72E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20.88%</w:t>
            </w:r>
          </w:p>
        </w:tc>
        <w:tc>
          <w:tcPr>
            <w:tcW w:w="920" w:type="dxa"/>
            <w:shd w:val="clear" w:color="auto" w:fill="auto"/>
            <w:tcMar>
              <w:top w:w="0" w:type="dxa"/>
              <w:bottom w:w="0" w:type="dxa"/>
            </w:tcMar>
            <w:vAlign w:val="center"/>
          </w:tcPr>
          <w:p w14:paraId="2F2AE16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20.69%</w:t>
            </w:r>
          </w:p>
        </w:tc>
        <w:tc>
          <w:tcPr>
            <w:tcW w:w="920" w:type="dxa"/>
            <w:shd w:val="clear" w:color="auto" w:fill="auto"/>
            <w:tcMar>
              <w:top w:w="0" w:type="dxa"/>
              <w:bottom w:w="0" w:type="dxa"/>
            </w:tcMar>
            <w:vAlign w:val="center"/>
          </w:tcPr>
          <w:p w14:paraId="1B1541C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20.10%</w:t>
            </w:r>
          </w:p>
        </w:tc>
        <w:tc>
          <w:tcPr>
            <w:tcW w:w="920" w:type="dxa"/>
            <w:shd w:val="clear" w:color="auto" w:fill="auto"/>
            <w:tcMar>
              <w:top w:w="0" w:type="dxa"/>
              <w:bottom w:w="0" w:type="dxa"/>
            </w:tcMar>
            <w:vAlign w:val="center"/>
          </w:tcPr>
          <w:p w14:paraId="1989F6BE"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18.60%</w:t>
            </w:r>
          </w:p>
        </w:tc>
        <w:tc>
          <w:tcPr>
            <w:tcW w:w="920" w:type="dxa"/>
            <w:shd w:val="clear" w:color="auto" w:fill="auto"/>
            <w:tcMar>
              <w:top w:w="0" w:type="dxa"/>
              <w:bottom w:w="0" w:type="dxa"/>
            </w:tcMar>
            <w:vAlign w:val="center"/>
          </w:tcPr>
          <w:p w14:paraId="5CCBA36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17.19%</w:t>
            </w:r>
          </w:p>
        </w:tc>
      </w:tr>
      <w:tr w:rsidR="00A60477" w:rsidRPr="005D7FCE" w14:paraId="5C25026C" w14:textId="77777777" w:rsidTr="00147763">
        <w:trPr>
          <w:cantSplit/>
          <w:trHeight w:val="113"/>
        </w:trPr>
        <w:tc>
          <w:tcPr>
            <w:tcW w:w="2448" w:type="dxa"/>
            <w:tcBorders>
              <w:top w:val="nil"/>
              <w:bottom w:val="nil"/>
            </w:tcBorders>
            <w:shd w:val="clear" w:color="auto" w:fill="auto"/>
            <w:tcMar>
              <w:top w:w="0" w:type="dxa"/>
              <w:bottom w:w="0" w:type="dxa"/>
            </w:tcMar>
          </w:tcPr>
          <w:p w14:paraId="4FB61F13"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18D2F36C"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ICS/LABA</w:t>
            </w:r>
          </w:p>
        </w:tc>
        <w:tc>
          <w:tcPr>
            <w:tcW w:w="920" w:type="dxa"/>
            <w:shd w:val="clear" w:color="auto" w:fill="auto"/>
            <w:tcMar>
              <w:top w:w="0" w:type="dxa"/>
              <w:bottom w:w="0" w:type="dxa"/>
            </w:tcMar>
            <w:vAlign w:val="center"/>
          </w:tcPr>
          <w:p w14:paraId="6FD12FB4"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2.08%</w:t>
            </w:r>
          </w:p>
        </w:tc>
        <w:tc>
          <w:tcPr>
            <w:tcW w:w="920" w:type="dxa"/>
            <w:shd w:val="clear" w:color="auto" w:fill="auto"/>
            <w:tcMar>
              <w:top w:w="0" w:type="dxa"/>
              <w:bottom w:w="0" w:type="dxa"/>
            </w:tcMar>
            <w:vAlign w:val="center"/>
          </w:tcPr>
          <w:p w14:paraId="471FF271"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4.32%</w:t>
            </w:r>
          </w:p>
        </w:tc>
        <w:tc>
          <w:tcPr>
            <w:tcW w:w="920" w:type="dxa"/>
            <w:shd w:val="clear" w:color="auto" w:fill="auto"/>
            <w:tcMar>
              <w:top w:w="0" w:type="dxa"/>
              <w:bottom w:w="0" w:type="dxa"/>
            </w:tcMar>
            <w:vAlign w:val="center"/>
          </w:tcPr>
          <w:p w14:paraId="2FA4C22D"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6.41%</w:t>
            </w:r>
          </w:p>
        </w:tc>
        <w:tc>
          <w:tcPr>
            <w:tcW w:w="920" w:type="dxa"/>
            <w:shd w:val="clear" w:color="auto" w:fill="auto"/>
            <w:tcMar>
              <w:top w:w="0" w:type="dxa"/>
              <w:bottom w:w="0" w:type="dxa"/>
            </w:tcMar>
            <w:vAlign w:val="center"/>
          </w:tcPr>
          <w:p w14:paraId="5EBA0C1E"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7.76%</w:t>
            </w:r>
          </w:p>
        </w:tc>
        <w:tc>
          <w:tcPr>
            <w:tcW w:w="920" w:type="dxa"/>
            <w:shd w:val="clear" w:color="auto" w:fill="auto"/>
            <w:tcMar>
              <w:top w:w="0" w:type="dxa"/>
              <w:bottom w:w="0" w:type="dxa"/>
            </w:tcMar>
            <w:vAlign w:val="center"/>
          </w:tcPr>
          <w:p w14:paraId="226FB79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8.53%</w:t>
            </w:r>
          </w:p>
        </w:tc>
        <w:tc>
          <w:tcPr>
            <w:tcW w:w="920" w:type="dxa"/>
            <w:shd w:val="clear" w:color="auto" w:fill="auto"/>
            <w:tcMar>
              <w:top w:w="0" w:type="dxa"/>
              <w:bottom w:w="0" w:type="dxa"/>
            </w:tcMar>
            <w:vAlign w:val="center"/>
          </w:tcPr>
          <w:p w14:paraId="32E2C36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9.03%</w:t>
            </w:r>
          </w:p>
        </w:tc>
        <w:tc>
          <w:tcPr>
            <w:tcW w:w="920" w:type="dxa"/>
            <w:shd w:val="clear" w:color="auto" w:fill="auto"/>
            <w:tcMar>
              <w:top w:w="0" w:type="dxa"/>
              <w:bottom w:w="0" w:type="dxa"/>
            </w:tcMar>
            <w:vAlign w:val="center"/>
          </w:tcPr>
          <w:p w14:paraId="406FB61D"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9.28%</w:t>
            </w:r>
          </w:p>
        </w:tc>
        <w:tc>
          <w:tcPr>
            <w:tcW w:w="920" w:type="dxa"/>
            <w:shd w:val="clear" w:color="auto" w:fill="auto"/>
            <w:tcMar>
              <w:top w:w="0" w:type="dxa"/>
              <w:bottom w:w="0" w:type="dxa"/>
            </w:tcMar>
            <w:vAlign w:val="center"/>
          </w:tcPr>
          <w:p w14:paraId="18AA5300"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9.18%</w:t>
            </w:r>
          </w:p>
        </w:tc>
        <w:tc>
          <w:tcPr>
            <w:tcW w:w="920" w:type="dxa"/>
            <w:shd w:val="clear" w:color="auto" w:fill="auto"/>
            <w:tcMar>
              <w:top w:w="0" w:type="dxa"/>
              <w:bottom w:w="0" w:type="dxa"/>
            </w:tcMar>
            <w:vAlign w:val="center"/>
          </w:tcPr>
          <w:p w14:paraId="593EE00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8.71%</w:t>
            </w:r>
          </w:p>
        </w:tc>
      </w:tr>
      <w:tr w:rsidR="00A60477" w:rsidRPr="005D7FCE" w14:paraId="65862CFA" w14:textId="77777777" w:rsidTr="00147763">
        <w:trPr>
          <w:cantSplit/>
          <w:trHeight w:val="113"/>
        </w:trPr>
        <w:tc>
          <w:tcPr>
            <w:tcW w:w="2448" w:type="dxa"/>
            <w:tcBorders>
              <w:top w:val="nil"/>
              <w:bottom w:val="nil"/>
            </w:tcBorders>
            <w:shd w:val="clear" w:color="auto" w:fill="auto"/>
            <w:tcMar>
              <w:top w:w="0" w:type="dxa"/>
              <w:bottom w:w="0" w:type="dxa"/>
            </w:tcMar>
          </w:tcPr>
          <w:p w14:paraId="12DAC493" w14:textId="77777777" w:rsidR="00A60477" w:rsidRPr="008D66C4" w:rsidRDefault="00A60477" w:rsidP="00147763">
            <w:pPr>
              <w:pStyle w:val="05Tabletext"/>
              <w:spacing w:before="0"/>
              <w:rPr>
                <w:sz w:val="21"/>
                <w:szCs w:val="21"/>
              </w:rPr>
            </w:pPr>
            <w:r w:rsidRPr="008D66C4">
              <w:rPr>
                <w:sz w:val="21"/>
                <w:szCs w:val="21"/>
              </w:rPr>
              <w:t>Within COPD-X guidelines</w:t>
            </w:r>
          </w:p>
        </w:tc>
        <w:tc>
          <w:tcPr>
            <w:tcW w:w="3832" w:type="dxa"/>
            <w:shd w:val="clear" w:color="auto" w:fill="auto"/>
            <w:tcMar>
              <w:top w:w="0" w:type="dxa"/>
              <w:bottom w:w="0" w:type="dxa"/>
            </w:tcMar>
            <w:vAlign w:val="center"/>
          </w:tcPr>
          <w:p w14:paraId="6DB3FEFC"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 xml:space="preserve">LABA </w:t>
            </w:r>
            <w:proofErr w:type="spellStart"/>
            <w:r w:rsidRPr="008D66C4">
              <w:rPr>
                <w:rFonts w:ascii="Arial Narrow" w:hAnsi="Arial Narrow" w:cs="Arial"/>
                <w:color w:val="000000"/>
                <w:sz w:val="21"/>
                <w:szCs w:val="21"/>
              </w:rPr>
              <w:t>wth</w:t>
            </w:r>
            <w:proofErr w:type="spellEnd"/>
            <w:r w:rsidRPr="008D66C4">
              <w:rPr>
                <w:rFonts w:ascii="Arial Narrow" w:hAnsi="Arial Narrow" w:cs="Arial"/>
                <w:color w:val="000000"/>
                <w:sz w:val="21"/>
                <w:szCs w:val="21"/>
              </w:rPr>
              <w:t xml:space="preserve"> LAMA</w:t>
            </w:r>
          </w:p>
        </w:tc>
        <w:tc>
          <w:tcPr>
            <w:tcW w:w="920" w:type="dxa"/>
            <w:shd w:val="clear" w:color="auto" w:fill="auto"/>
            <w:tcMar>
              <w:top w:w="0" w:type="dxa"/>
              <w:bottom w:w="0" w:type="dxa"/>
            </w:tcMar>
            <w:vAlign w:val="center"/>
          </w:tcPr>
          <w:p w14:paraId="2D4A039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0.84%</w:t>
            </w:r>
          </w:p>
        </w:tc>
        <w:tc>
          <w:tcPr>
            <w:tcW w:w="920" w:type="dxa"/>
            <w:shd w:val="clear" w:color="auto" w:fill="auto"/>
            <w:tcMar>
              <w:top w:w="0" w:type="dxa"/>
              <w:bottom w:w="0" w:type="dxa"/>
            </w:tcMar>
            <w:vAlign w:val="center"/>
          </w:tcPr>
          <w:p w14:paraId="0B79271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1.01%</w:t>
            </w:r>
          </w:p>
        </w:tc>
        <w:tc>
          <w:tcPr>
            <w:tcW w:w="920" w:type="dxa"/>
            <w:shd w:val="clear" w:color="auto" w:fill="auto"/>
            <w:tcMar>
              <w:top w:w="0" w:type="dxa"/>
              <w:bottom w:w="0" w:type="dxa"/>
            </w:tcMar>
            <w:vAlign w:val="center"/>
          </w:tcPr>
          <w:p w14:paraId="41DDE97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1.43%</w:t>
            </w:r>
          </w:p>
        </w:tc>
        <w:tc>
          <w:tcPr>
            <w:tcW w:w="920" w:type="dxa"/>
            <w:shd w:val="clear" w:color="auto" w:fill="auto"/>
            <w:tcMar>
              <w:top w:w="0" w:type="dxa"/>
              <w:bottom w:w="0" w:type="dxa"/>
            </w:tcMar>
            <w:vAlign w:val="center"/>
          </w:tcPr>
          <w:p w14:paraId="7952259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2.03%</w:t>
            </w:r>
          </w:p>
        </w:tc>
        <w:tc>
          <w:tcPr>
            <w:tcW w:w="920" w:type="dxa"/>
            <w:shd w:val="clear" w:color="auto" w:fill="auto"/>
            <w:tcMar>
              <w:top w:w="0" w:type="dxa"/>
              <w:bottom w:w="0" w:type="dxa"/>
            </w:tcMar>
            <w:vAlign w:val="center"/>
          </w:tcPr>
          <w:p w14:paraId="5F79D864"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3.45%</w:t>
            </w:r>
          </w:p>
        </w:tc>
        <w:tc>
          <w:tcPr>
            <w:tcW w:w="920" w:type="dxa"/>
            <w:shd w:val="clear" w:color="auto" w:fill="auto"/>
            <w:tcMar>
              <w:top w:w="0" w:type="dxa"/>
              <w:bottom w:w="0" w:type="dxa"/>
            </w:tcMar>
            <w:vAlign w:val="center"/>
          </w:tcPr>
          <w:p w14:paraId="606F64F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4.51%</w:t>
            </w:r>
          </w:p>
        </w:tc>
        <w:tc>
          <w:tcPr>
            <w:tcW w:w="920" w:type="dxa"/>
            <w:shd w:val="clear" w:color="auto" w:fill="auto"/>
            <w:tcMar>
              <w:top w:w="0" w:type="dxa"/>
              <w:bottom w:w="0" w:type="dxa"/>
            </w:tcMar>
            <w:vAlign w:val="center"/>
          </w:tcPr>
          <w:p w14:paraId="2C8071F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4.94%</w:t>
            </w:r>
          </w:p>
        </w:tc>
        <w:tc>
          <w:tcPr>
            <w:tcW w:w="920" w:type="dxa"/>
            <w:shd w:val="clear" w:color="auto" w:fill="auto"/>
            <w:tcMar>
              <w:top w:w="0" w:type="dxa"/>
              <w:bottom w:w="0" w:type="dxa"/>
            </w:tcMar>
            <w:vAlign w:val="center"/>
          </w:tcPr>
          <w:p w14:paraId="56A16A6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4.05%</w:t>
            </w:r>
          </w:p>
        </w:tc>
        <w:tc>
          <w:tcPr>
            <w:tcW w:w="920" w:type="dxa"/>
            <w:shd w:val="clear" w:color="auto" w:fill="auto"/>
            <w:tcMar>
              <w:top w:w="0" w:type="dxa"/>
              <w:bottom w:w="0" w:type="dxa"/>
            </w:tcMar>
            <w:vAlign w:val="center"/>
          </w:tcPr>
          <w:p w14:paraId="097B9816"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2.97%</w:t>
            </w:r>
          </w:p>
        </w:tc>
      </w:tr>
      <w:tr w:rsidR="00A60477" w:rsidRPr="005D7FCE" w14:paraId="4364044D" w14:textId="77777777" w:rsidTr="00147763">
        <w:trPr>
          <w:cantSplit/>
          <w:trHeight w:val="113"/>
        </w:trPr>
        <w:tc>
          <w:tcPr>
            <w:tcW w:w="2448" w:type="dxa"/>
            <w:tcBorders>
              <w:top w:val="nil"/>
              <w:bottom w:val="nil"/>
            </w:tcBorders>
            <w:shd w:val="clear" w:color="auto" w:fill="auto"/>
            <w:tcMar>
              <w:top w:w="0" w:type="dxa"/>
              <w:bottom w:w="0" w:type="dxa"/>
            </w:tcMar>
          </w:tcPr>
          <w:p w14:paraId="67785A5E"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0F2FC967"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LABA</w:t>
            </w:r>
          </w:p>
        </w:tc>
        <w:tc>
          <w:tcPr>
            <w:tcW w:w="920" w:type="dxa"/>
            <w:shd w:val="clear" w:color="auto" w:fill="auto"/>
            <w:tcMar>
              <w:top w:w="0" w:type="dxa"/>
              <w:bottom w:w="0" w:type="dxa"/>
            </w:tcMar>
            <w:vAlign w:val="center"/>
          </w:tcPr>
          <w:p w14:paraId="374E348F"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4E43180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7EFCD831"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44FEDD5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0.26%</w:t>
            </w:r>
          </w:p>
        </w:tc>
        <w:tc>
          <w:tcPr>
            <w:tcW w:w="920" w:type="dxa"/>
            <w:shd w:val="clear" w:color="auto" w:fill="auto"/>
            <w:tcMar>
              <w:top w:w="0" w:type="dxa"/>
              <w:bottom w:w="0" w:type="dxa"/>
            </w:tcMar>
            <w:vAlign w:val="center"/>
          </w:tcPr>
          <w:p w14:paraId="007E3118"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3.96%</w:t>
            </w:r>
          </w:p>
        </w:tc>
        <w:tc>
          <w:tcPr>
            <w:tcW w:w="920" w:type="dxa"/>
            <w:shd w:val="clear" w:color="auto" w:fill="auto"/>
            <w:tcMar>
              <w:top w:w="0" w:type="dxa"/>
              <w:bottom w:w="0" w:type="dxa"/>
            </w:tcMar>
            <w:vAlign w:val="center"/>
          </w:tcPr>
          <w:p w14:paraId="042E1B12"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5.18%</w:t>
            </w:r>
          </w:p>
        </w:tc>
        <w:tc>
          <w:tcPr>
            <w:tcW w:w="920" w:type="dxa"/>
            <w:shd w:val="clear" w:color="auto" w:fill="auto"/>
            <w:tcMar>
              <w:top w:w="0" w:type="dxa"/>
              <w:bottom w:w="0" w:type="dxa"/>
            </w:tcMar>
            <w:vAlign w:val="center"/>
          </w:tcPr>
          <w:p w14:paraId="77D1419A"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4.91%</w:t>
            </w:r>
          </w:p>
        </w:tc>
        <w:tc>
          <w:tcPr>
            <w:tcW w:w="920" w:type="dxa"/>
            <w:shd w:val="clear" w:color="auto" w:fill="auto"/>
            <w:tcMar>
              <w:top w:w="0" w:type="dxa"/>
              <w:bottom w:w="0" w:type="dxa"/>
            </w:tcMar>
            <w:vAlign w:val="center"/>
          </w:tcPr>
          <w:p w14:paraId="31CEA1E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4.01%</w:t>
            </w:r>
          </w:p>
        </w:tc>
        <w:tc>
          <w:tcPr>
            <w:tcW w:w="920" w:type="dxa"/>
            <w:shd w:val="clear" w:color="auto" w:fill="auto"/>
            <w:tcMar>
              <w:top w:w="0" w:type="dxa"/>
              <w:bottom w:w="0" w:type="dxa"/>
            </w:tcMar>
            <w:vAlign w:val="center"/>
          </w:tcPr>
          <w:p w14:paraId="5F25ACD3"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3.26%</w:t>
            </w:r>
          </w:p>
        </w:tc>
      </w:tr>
      <w:tr w:rsidR="00A60477" w:rsidRPr="005D7FCE" w14:paraId="65F35B77" w14:textId="77777777" w:rsidTr="00147763">
        <w:trPr>
          <w:cantSplit/>
          <w:trHeight w:val="113"/>
        </w:trPr>
        <w:tc>
          <w:tcPr>
            <w:tcW w:w="2448" w:type="dxa"/>
            <w:tcBorders>
              <w:top w:val="nil"/>
              <w:bottom w:val="nil"/>
            </w:tcBorders>
            <w:shd w:val="clear" w:color="auto" w:fill="auto"/>
            <w:tcMar>
              <w:top w:w="0" w:type="dxa"/>
              <w:bottom w:w="0" w:type="dxa"/>
            </w:tcMar>
          </w:tcPr>
          <w:p w14:paraId="6F05DC28" w14:textId="77777777" w:rsidR="00A60477" w:rsidRPr="008D66C4" w:rsidRDefault="00A60477" w:rsidP="00147763">
            <w:pPr>
              <w:pStyle w:val="05Tabletext"/>
              <w:spacing w:before="0"/>
              <w:rPr>
                <w:sz w:val="21"/>
                <w:szCs w:val="21"/>
              </w:rPr>
            </w:pPr>
          </w:p>
        </w:tc>
        <w:tc>
          <w:tcPr>
            <w:tcW w:w="3832" w:type="dxa"/>
            <w:shd w:val="clear" w:color="auto" w:fill="auto"/>
            <w:tcMar>
              <w:top w:w="0" w:type="dxa"/>
              <w:bottom w:w="0" w:type="dxa"/>
            </w:tcMar>
            <w:vAlign w:val="center"/>
          </w:tcPr>
          <w:p w14:paraId="4EDBD0BC" w14:textId="77777777" w:rsidR="00A60477" w:rsidRPr="008D66C4" w:rsidRDefault="00A60477" w:rsidP="00147763">
            <w:pPr>
              <w:rPr>
                <w:rFonts w:ascii="Arial Narrow" w:hAnsi="Arial Narrow"/>
                <w:color w:val="000000"/>
                <w:sz w:val="21"/>
                <w:szCs w:val="21"/>
              </w:rPr>
            </w:pPr>
            <w:r w:rsidRPr="008D66C4">
              <w:rPr>
                <w:rFonts w:ascii="Arial Narrow" w:hAnsi="Arial Narrow" w:cs="Arial"/>
                <w:color w:val="000000"/>
                <w:sz w:val="21"/>
                <w:szCs w:val="21"/>
              </w:rPr>
              <w:t>LABA/LAMA</w:t>
            </w:r>
          </w:p>
        </w:tc>
        <w:tc>
          <w:tcPr>
            <w:tcW w:w="920" w:type="dxa"/>
            <w:shd w:val="clear" w:color="auto" w:fill="auto"/>
            <w:tcMar>
              <w:top w:w="0" w:type="dxa"/>
              <w:bottom w:w="0" w:type="dxa"/>
            </w:tcMar>
            <w:vAlign w:val="center"/>
          </w:tcPr>
          <w:p w14:paraId="61E38CD8"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719F1E6C"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005EFAEB"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56CCA93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04848465"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6AD7B748"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w:t>
            </w:r>
          </w:p>
        </w:tc>
        <w:tc>
          <w:tcPr>
            <w:tcW w:w="920" w:type="dxa"/>
            <w:shd w:val="clear" w:color="auto" w:fill="auto"/>
            <w:tcMar>
              <w:top w:w="0" w:type="dxa"/>
              <w:bottom w:w="0" w:type="dxa"/>
            </w:tcMar>
            <w:vAlign w:val="center"/>
          </w:tcPr>
          <w:p w14:paraId="709F45E1"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0.57%</w:t>
            </w:r>
          </w:p>
        </w:tc>
        <w:tc>
          <w:tcPr>
            <w:tcW w:w="920" w:type="dxa"/>
            <w:shd w:val="clear" w:color="auto" w:fill="auto"/>
            <w:tcMar>
              <w:top w:w="0" w:type="dxa"/>
              <w:bottom w:w="0" w:type="dxa"/>
            </w:tcMar>
            <w:vAlign w:val="center"/>
          </w:tcPr>
          <w:p w14:paraId="2948CB57"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5.15%</w:t>
            </w:r>
          </w:p>
        </w:tc>
        <w:tc>
          <w:tcPr>
            <w:tcW w:w="920" w:type="dxa"/>
            <w:shd w:val="clear" w:color="auto" w:fill="auto"/>
            <w:tcMar>
              <w:top w:w="0" w:type="dxa"/>
              <w:bottom w:w="0" w:type="dxa"/>
            </w:tcMar>
            <w:vAlign w:val="center"/>
          </w:tcPr>
          <w:p w14:paraId="68AD9328" w14:textId="77777777" w:rsidR="00A60477" w:rsidRPr="008D66C4" w:rsidRDefault="00A60477" w:rsidP="00147763">
            <w:pPr>
              <w:jc w:val="right"/>
              <w:rPr>
                <w:rFonts w:ascii="Arial Narrow" w:hAnsi="Arial Narrow"/>
                <w:color w:val="000000"/>
                <w:sz w:val="21"/>
                <w:szCs w:val="21"/>
              </w:rPr>
            </w:pPr>
            <w:r w:rsidRPr="008D66C4">
              <w:rPr>
                <w:rFonts w:ascii="Arial Narrow" w:hAnsi="Arial Narrow" w:cs="Arial"/>
                <w:color w:val="000000"/>
                <w:sz w:val="21"/>
                <w:szCs w:val="21"/>
              </w:rPr>
              <w:t>9.29%</w:t>
            </w:r>
          </w:p>
        </w:tc>
      </w:tr>
      <w:tr w:rsidR="00A60477" w:rsidRPr="005D7FCE" w14:paraId="32FA5678" w14:textId="77777777" w:rsidTr="00147763">
        <w:trPr>
          <w:cantSplit/>
          <w:trHeight w:val="113"/>
        </w:trPr>
        <w:tc>
          <w:tcPr>
            <w:tcW w:w="2448" w:type="dxa"/>
            <w:tcBorders>
              <w:top w:val="nil"/>
            </w:tcBorders>
            <w:shd w:val="clear" w:color="auto" w:fill="auto"/>
            <w:tcMar>
              <w:top w:w="0" w:type="dxa"/>
              <w:bottom w:w="0" w:type="dxa"/>
            </w:tcMar>
          </w:tcPr>
          <w:p w14:paraId="4408E0B0" w14:textId="77777777" w:rsidR="00A60477" w:rsidRPr="008D66C4" w:rsidRDefault="00A60477" w:rsidP="00147763">
            <w:pPr>
              <w:pStyle w:val="05Tabletext"/>
              <w:spacing w:before="0"/>
              <w:rPr>
                <w:sz w:val="21"/>
                <w:szCs w:val="21"/>
              </w:rPr>
            </w:pPr>
          </w:p>
        </w:tc>
        <w:tc>
          <w:tcPr>
            <w:tcW w:w="3832" w:type="dxa"/>
            <w:shd w:val="clear" w:color="auto" w:fill="D9D9D9"/>
            <w:tcMar>
              <w:top w:w="0" w:type="dxa"/>
              <w:bottom w:w="0" w:type="dxa"/>
            </w:tcMar>
            <w:vAlign w:val="center"/>
          </w:tcPr>
          <w:p w14:paraId="23A08E77" w14:textId="77777777" w:rsidR="00A60477" w:rsidRPr="008D66C4" w:rsidRDefault="00A60477" w:rsidP="00147763">
            <w:pPr>
              <w:rPr>
                <w:rFonts w:ascii="Arial Narrow" w:hAnsi="Arial Narrow"/>
                <w:b/>
                <w:bCs/>
                <w:color w:val="000000"/>
                <w:sz w:val="21"/>
                <w:szCs w:val="21"/>
              </w:rPr>
            </w:pPr>
            <w:r w:rsidRPr="008D66C4">
              <w:rPr>
                <w:rFonts w:ascii="Arial Narrow" w:hAnsi="Arial Narrow" w:cs="Arial"/>
                <w:b/>
                <w:bCs/>
                <w:color w:val="000000"/>
                <w:sz w:val="21"/>
                <w:szCs w:val="21"/>
              </w:rPr>
              <w:t>Total</w:t>
            </w:r>
          </w:p>
        </w:tc>
        <w:tc>
          <w:tcPr>
            <w:tcW w:w="920" w:type="dxa"/>
            <w:shd w:val="clear" w:color="auto" w:fill="D9D9D9"/>
            <w:tcMar>
              <w:top w:w="0" w:type="dxa"/>
              <w:bottom w:w="0" w:type="dxa"/>
            </w:tcMar>
            <w:vAlign w:val="center"/>
          </w:tcPr>
          <w:p w14:paraId="61862C7E"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96.84%</w:t>
            </w:r>
          </w:p>
        </w:tc>
        <w:tc>
          <w:tcPr>
            <w:tcW w:w="920" w:type="dxa"/>
            <w:shd w:val="clear" w:color="auto" w:fill="D9D9D9"/>
            <w:tcMar>
              <w:top w:w="0" w:type="dxa"/>
              <w:bottom w:w="0" w:type="dxa"/>
            </w:tcMar>
            <w:vAlign w:val="center"/>
          </w:tcPr>
          <w:p w14:paraId="7365BFA1"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96.72%</w:t>
            </w:r>
          </w:p>
        </w:tc>
        <w:tc>
          <w:tcPr>
            <w:tcW w:w="920" w:type="dxa"/>
            <w:shd w:val="clear" w:color="auto" w:fill="D9D9D9"/>
            <w:tcMar>
              <w:top w:w="0" w:type="dxa"/>
              <w:bottom w:w="0" w:type="dxa"/>
            </w:tcMar>
            <w:vAlign w:val="center"/>
          </w:tcPr>
          <w:p w14:paraId="217565DF"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95.85%</w:t>
            </w:r>
          </w:p>
        </w:tc>
        <w:tc>
          <w:tcPr>
            <w:tcW w:w="920" w:type="dxa"/>
            <w:shd w:val="clear" w:color="auto" w:fill="D9D9D9"/>
            <w:tcMar>
              <w:top w:w="0" w:type="dxa"/>
              <w:bottom w:w="0" w:type="dxa"/>
            </w:tcMar>
            <w:vAlign w:val="center"/>
          </w:tcPr>
          <w:p w14:paraId="2FD1E285"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94.97%</w:t>
            </w:r>
          </w:p>
        </w:tc>
        <w:tc>
          <w:tcPr>
            <w:tcW w:w="920" w:type="dxa"/>
            <w:shd w:val="clear" w:color="auto" w:fill="D9D9D9"/>
            <w:tcMar>
              <w:top w:w="0" w:type="dxa"/>
              <w:bottom w:w="0" w:type="dxa"/>
            </w:tcMar>
            <w:vAlign w:val="center"/>
          </w:tcPr>
          <w:p w14:paraId="21EBDF3C"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93.92%</w:t>
            </w:r>
          </w:p>
        </w:tc>
        <w:tc>
          <w:tcPr>
            <w:tcW w:w="920" w:type="dxa"/>
            <w:shd w:val="clear" w:color="auto" w:fill="D9D9D9"/>
            <w:tcMar>
              <w:top w:w="0" w:type="dxa"/>
              <w:bottom w:w="0" w:type="dxa"/>
            </w:tcMar>
            <w:vAlign w:val="center"/>
          </w:tcPr>
          <w:p w14:paraId="70DFCF3F"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92.87%</w:t>
            </w:r>
          </w:p>
        </w:tc>
        <w:tc>
          <w:tcPr>
            <w:tcW w:w="920" w:type="dxa"/>
            <w:shd w:val="clear" w:color="auto" w:fill="D9D9D9"/>
            <w:tcMar>
              <w:top w:w="0" w:type="dxa"/>
              <w:bottom w:w="0" w:type="dxa"/>
            </w:tcMar>
            <w:vAlign w:val="center"/>
          </w:tcPr>
          <w:p w14:paraId="551E848B"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92.01%</w:t>
            </w:r>
          </w:p>
        </w:tc>
        <w:tc>
          <w:tcPr>
            <w:tcW w:w="920" w:type="dxa"/>
            <w:shd w:val="clear" w:color="auto" w:fill="D9D9D9"/>
            <w:tcMar>
              <w:top w:w="0" w:type="dxa"/>
              <w:bottom w:w="0" w:type="dxa"/>
            </w:tcMar>
            <w:vAlign w:val="center"/>
          </w:tcPr>
          <w:p w14:paraId="0ECFAEA0"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91.39%</w:t>
            </w:r>
          </w:p>
        </w:tc>
        <w:tc>
          <w:tcPr>
            <w:tcW w:w="920" w:type="dxa"/>
            <w:shd w:val="clear" w:color="auto" w:fill="D9D9D9"/>
            <w:tcMar>
              <w:top w:w="0" w:type="dxa"/>
              <w:bottom w:w="0" w:type="dxa"/>
            </w:tcMar>
            <w:vAlign w:val="center"/>
          </w:tcPr>
          <w:p w14:paraId="506AF9B4" w14:textId="77777777" w:rsidR="00A60477" w:rsidRPr="008D66C4" w:rsidRDefault="00A60477" w:rsidP="00147763">
            <w:pPr>
              <w:jc w:val="right"/>
              <w:rPr>
                <w:rFonts w:ascii="Arial Narrow" w:hAnsi="Arial Narrow"/>
                <w:b/>
                <w:bCs/>
                <w:color w:val="000000"/>
                <w:sz w:val="21"/>
                <w:szCs w:val="21"/>
              </w:rPr>
            </w:pPr>
            <w:r w:rsidRPr="008D66C4">
              <w:rPr>
                <w:rFonts w:ascii="Arial Narrow" w:hAnsi="Arial Narrow" w:cs="Arial"/>
                <w:b/>
                <w:bCs/>
                <w:color w:val="000000"/>
                <w:sz w:val="21"/>
                <w:szCs w:val="21"/>
              </w:rPr>
              <w:t>91.69%</w:t>
            </w:r>
          </w:p>
        </w:tc>
      </w:tr>
    </w:tbl>
    <w:p w14:paraId="48D3F889" w14:textId="77777777" w:rsidR="00A60477" w:rsidRPr="008D66C4" w:rsidRDefault="00A60477" w:rsidP="00A60477">
      <w:pPr>
        <w:pStyle w:val="10TableorFigurefootnote"/>
        <w:rPr>
          <w:sz w:val="18"/>
          <w:szCs w:val="18"/>
        </w:rPr>
      </w:pPr>
      <w:r w:rsidRPr="008D66C4">
        <w:rPr>
          <w:sz w:val="18"/>
          <w:szCs w:val="18"/>
        </w:rPr>
        <w:t>Source: PBS Dispensing records between 1/11/2006 and 31/10/2016 file R2017068_PBS_COPD_DATA.CSV</w:t>
      </w:r>
    </w:p>
    <w:p w14:paraId="1CC34348" w14:textId="77777777" w:rsidR="00A60477" w:rsidRPr="008D66C4" w:rsidRDefault="00A60477" w:rsidP="00A60477">
      <w:pPr>
        <w:pStyle w:val="10TableorFigurefootnote"/>
        <w:rPr>
          <w:sz w:val="18"/>
          <w:szCs w:val="18"/>
        </w:rPr>
      </w:pPr>
      <w:r w:rsidRPr="008D66C4">
        <w:rPr>
          <w:sz w:val="18"/>
          <w:szCs w:val="18"/>
        </w:rPr>
        <w:t>Abbreviations: COPD, chronic obstructive pulmonary disease; ICS, inhaled corticosteroid; LABA, long-acting beta-2 agonist; LAMA, long-acting muscarinic antagonist.</w:t>
      </w:r>
    </w:p>
    <w:p w14:paraId="7CADF2E7" w14:textId="77777777" w:rsidR="004674D9" w:rsidRDefault="00A60477" w:rsidP="00A60477">
      <w:pPr>
        <w:pStyle w:val="11TableorFigurefootnotenostick"/>
        <w:sectPr w:rsidR="004674D9" w:rsidSect="00A60477">
          <w:footerReference w:type="default" r:id="rId28"/>
          <w:pgSz w:w="16838" w:h="11906" w:orient="landscape"/>
          <w:pgMar w:top="1134" w:right="1134" w:bottom="1134" w:left="1134" w:header="709" w:footer="709" w:gutter="0"/>
          <w:cols w:space="708"/>
          <w:docGrid w:linePitch="360"/>
        </w:sectPr>
      </w:pPr>
      <w:r w:rsidRPr="008D66C4">
        <w:rPr>
          <w:sz w:val="18"/>
          <w:szCs w:val="18"/>
        </w:rPr>
        <w:t>Note: Refer to Appendix P for treatment combinations not recommended in COPD-X guidelines</w:t>
      </w:r>
    </w:p>
    <w:p w14:paraId="2B1BCFDA" w14:textId="73A00C9C" w:rsidR="00A60477" w:rsidRPr="004674D9" w:rsidRDefault="004674D9" w:rsidP="0041494E">
      <w:pPr>
        <w:pStyle w:val="ToR5FigureHeader"/>
      </w:pPr>
      <w:bookmarkStart w:id="70" w:name="_Ref467964609"/>
      <w:bookmarkStart w:id="71" w:name="_Toc468034585"/>
      <w:bookmarkStart w:id="72" w:name="_Toc473291297"/>
      <w:bookmarkStart w:id="73" w:name="_Toc486232658"/>
      <w:r w:rsidRPr="004674D9">
        <w:lastRenderedPageBreak/>
        <w:t>Figure</w:t>
      </w:r>
      <w:r w:rsidR="00A60477" w:rsidRPr="004674D9">
        <w:t xml:space="preserve"> 5.</w:t>
      </w:r>
      <w:bookmarkEnd w:id="70"/>
      <w:r w:rsidRPr="004674D9">
        <w:t>7</w:t>
      </w:r>
      <w:r>
        <w:tab/>
      </w:r>
      <w:r w:rsidR="00A60477" w:rsidRPr="004674D9">
        <w:t>Patients COPD medicines utilisation duration by COPD-X guidelines indicator in 201</w:t>
      </w:r>
      <w:bookmarkEnd w:id="71"/>
      <w:bookmarkEnd w:id="72"/>
      <w:r w:rsidR="00A60477" w:rsidRPr="004674D9">
        <w:t>6</w:t>
      </w:r>
      <w:bookmarkEnd w:id="73"/>
    </w:p>
    <w:p w14:paraId="531A8099" w14:textId="00A6E8FF" w:rsidR="00F918DC" w:rsidRDefault="00F918DC" w:rsidP="00F918DC">
      <w:pPr>
        <w:pStyle w:val="01TableHEADINGleftaligned"/>
        <w:jc w:val="center"/>
      </w:pPr>
      <w:r>
        <w:rPr>
          <w:noProof/>
          <w:lang w:eastAsia="en-AU"/>
        </w:rPr>
        <w:drawing>
          <wp:inline distT="0" distB="0" distL="0" distR="0" wp14:anchorId="1E4534E3" wp14:editId="74EB1506">
            <wp:extent cx="6038850" cy="2838450"/>
            <wp:effectExtent l="19050" t="19050" r="19050" b="19050"/>
            <wp:docPr id="6" name="Picture 6" title="Patients COPD medicines utilisation duration by COPD-X guidelines indicator i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038850" cy="2838450"/>
                    </a:xfrm>
                    <a:prstGeom prst="rect">
                      <a:avLst/>
                    </a:prstGeom>
                    <a:ln>
                      <a:solidFill>
                        <a:schemeClr val="tx1"/>
                      </a:solidFill>
                    </a:ln>
                  </pic:spPr>
                </pic:pic>
              </a:graphicData>
            </a:graphic>
          </wp:inline>
        </w:drawing>
      </w:r>
    </w:p>
    <w:p w14:paraId="74761297" w14:textId="77777777" w:rsidR="004674D9" w:rsidRPr="008D66C4" w:rsidRDefault="004674D9" w:rsidP="004674D9">
      <w:pPr>
        <w:pStyle w:val="10TableorFigurefootnote"/>
        <w:rPr>
          <w:sz w:val="18"/>
          <w:szCs w:val="18"/>
        </w:rPr>
      </w:pPr>
      <w:r w:rsidRPr="008D66C4">
        <w:rPr>
          <w:sz w:val="18"/>
          <w:szCs w:val="18"/>
        </w:rPr>
        <w:t>Source: PBS Dispensing records between 1/11/2006 and 31/10/2016 file R2017068_PBS_COPD_DATA.CSV</w:t>
      </w:r>
    </w:p>
    <w:p w14:paraId="5B71293B" w14:textId="6858C02F" w:rsidR="004674D9" w:rsidRPr="008D66C4" w:rsidRDefault="004674D9" w:rsidP="004674D9">
      <w:pPr>
        <w:pStyle w:val="10TableorFigurefootnote"/>
        <w:rPr>
          <w:sz w:val="18"/>
          <w:szCs w:val="18"/>
        </w:rPr>
      </w:pPr>
      <w:r w:rsidRPr="008D66C4">
        <w:rPr>
          <w:sz w:val="18"/>
          <w:szCs w:val="18"/>
        </w:rPr>
        <w:t>Abbreviations: COPD, chronic obstructive pulmonary disease;</w:t>
      </w:r>
    </w:p>
    <w:p w14:paraId="23C04DEB" w14:textId="333C5042" w:rsidR="00A60477" w:rsidRPr="008D66C4" w:rsidRDefault="004674D9" w:rsidP="004674D9">
      <w:pPr>
        <w:pStyle w:val="10TableorFigurefootnote"/>
        <w:rPr>
          <w:sz w:val="18"/>
          <w:szCs w:val="18"/>
        </w:rPr>
      </w:pPr>
      <w:r w:rsidRPr="008D66C4">
        <w:rPr>
          <w:sz w:val="18"/>
          <w:szCs w:val="18"/>
        </w:rPr>
        <w:t>Note: Refer to Appendix P for treatment combinations not recommended in COPD-X guidelines</w:t>
      </w:r>
    </w:p>
    <w:p w14:paraId="0F813E6C" w14:textId="54451A11" w:rsidR="00B02D2A" w:rsidRPr="00CF3B02" w:rsidRDefault="007C1840" w:rsidP="00DA6395">
      <w:pPr>
        <w:pStyle w:val="Heading2"/>
      </w:pPr>
      <w:bookmarkStart w:id="74" w:name="_Toc486231793"/>
      <w:bookmarkEnd w:id="64"/>
      <w:bookmarkEnd w:id="65"/>
      <w:r w:rsidRPr="00CF3B02">
        <w:t>5.</w:t>
      </w:r>
      <w:r w:rsidR="00DC080C" w:rsidRPr="00CF3B02">
        <w:t>7</w:t>
      </w:r>
      <w:r w:rsidRPr="00CF3B02">
        <w:tab/>
      </w:r>
      <w:r w:rsidR="00B02D2A" w:rsidRPr="00CF3B02">
        <w:t>MedicineInsight</w:t>
      </w:r>
      <w:r w:rsidR="00345FCE" w:rsidRPr="00CF3B02">
        <w:t xml:space="preserve"> data source and limitations</w:t>
      </w:r>
      <w:bookmarkEnd w:id="74"/>
      <w:r w:rsidR="00B02D2A" w:rsidRPr="00CF3B02">
        <w:t xml:space="preserve"> </w:t>
      </w:r>
    </w:p>
    <w:p w14:paraId="234E9897" w14:textId="6A116CC4" w:rsidR="00BE4B15" w:rsidRDefault="00B02D2A" w:rsidP="00AB2D9A">
      <w:pPr>
        <w:pStyle w:val="BodyText"/>
      </w:pPr>
      <w:r>
        <w:t>This analysis investigates the use of medicines by patients with COPD</w:t>
      </w:r>
      <w:r w:rsidR="005D5B65">
        <w:t>,</w:t>
      </w:r>
      <w:r>
        <w:t xml:space="preserve"> with or without asthma</w:t>
      </w:r>
      <w:r w:rsidR="005D5B65">
        <w:t>,</w:t>
      </w:r>
      <w:r>
        <w:t xml:space="preserve"> in the MedicineInsight data</w:t>
      </w:r>
      <w:r w:rsidR="005D5B65">
        <w:t xml:space="preserve">. </w:t>
      </w:r>
      <w:r>
        <w:t xml:space="preserve">The information presented is based on </w:t>
      </w:r>
      <w:r w:rsidR="005D5B65">
        <w:t xml:space="preserve">GP </w:t>
      </w:r>
      <w:r>
        <w:t xml:space="preserve">clinical data collected from volunteer practices recruited to the MedicineInsight program. </w:t>
      </w:r>
      <w:r w:rsidR="005D5B65">
        <w:t xml:space="preserve">Further information on the MedicineInsight program is available at the </w:t>
      </w:r>
      <w:hyperlink r:id="rId30" w:history="1">
        <w:r w:rsidR="005D5B65" w:rsidRPr="00DA7056">
          <w:rPr>
            <w:rStyle w:val="Hyperlink"/>
          </w:rPr>
          <w:t>NPS MedicineWise webpage</w:t>
        </w:r>
      </w:hyperlink>
      <w:r w:rsidR="005D5B65">
        <w:t>.</w:t>
      </w:r>
    </w:p>
    <w:p w14:paraId="56BFE3AF" w14:textId="7FC73577" w:rsidR="007C1840" w:rsidRDefault="00BE4B15" w:rsidP="00AB2D9A">
      <w:pPr>
        <w:pStyle w:val="BodyText"/>
      </w:pPr>
      <w:r w:rsidRPr="00BE4B15">
        <w:t xml:space="preserve">The MedicineInsight Post-Market Surveillance Report 11 </w:t>
      </w:r>
      <w:r w:rsidR="005D5B65">
        <w:t xml:space="preserve">was </w:t>
      </w:r>
      <w:r w:rsidRPr="00BE4B15">
        <w:t>developed with the purpose to inform the post-market review and medicines policy for COPD. Results from Report 11 are</w:t>
      </w:r>
      <w:r w:rsidR="005D5B65">
        <w:t xml:space="preserve"> summarised below</w:t>
      </w:r>
      <w:r w:rsidRPr="00BE4B15">
        <w:t xml:space="preserve">. </w:t>
      </w:r>
      <w:r w:rsidR="005D5B65">
        <w:t xml:space="preserve">The full Report is available at Appendix </w:t>
      </w:r>
      <w:r w:rsidR="00BA584F">
        <w:t>T.</w:t>
      </w:r>
      <w:r w:rsidR="005D5B65">
        <w:t xml:space="preserve"> </w:t>
      </w:r>
      <w:r w:rsidR="00B02D2A">
        <w:t>For this analysis on COPD medicines prescribing practices, MedicineInsight data was drawn from 423 clinically relevant practice sites, 3,835 active GPs</w:t>
      </w:r>
      <w:r w:rsidR="005D5B65">
        <w:t>,</w:t>
      </w:r>
      <w:r w:rsidR="00B02D2A">
        <w:t xml:space="preserve"> and 2,230,658 active patients, to 31 December 2016 inclusive.</w:t>
      </w:r>
    </w:p>
    <w:p w14:paraId="0D3901FC" w14:textId="77777777" w:rsidR="000656F8" w:rsidRDefault="000656F8" w:rsidP="00AB2D9A">
      <w:pPr>
        <w:pStyle w:val="BodyText"/>
      </w:pPr>
      <w:r>
        <w:t>This analysis uses the following information from the clinical data:</w:t>
      </w:r>
    </w:p>
    <w:p w14:paraId="5F0DE1E2" w14:textId="6291426E" w:rsidR="000656F8" w:rsidRDefault="000656F8" w:rsidP="008D66C4">
      <w:pPr>
        <w:pStyle w:val="Bullettext"/>
      </w:pPr>
      <w:r>
        <w:t>Patient demographics (including age, sex, Department of Veterans Affairs (DVA) status, rurality of residence, socioeconomic status).</w:t>
      </w:r>
    </w:p>
    <w:p w14:paraId="329F83ED" w14:textId="3063AC7F" w:rsidR="000656F8" w:rsidRDefault="000656F8" w:rsidP="008D66C4">
      <w:pPr>
        <w:pStyle w:val="Bullettext"/>
      </w:pPr>
      <w:r>
        <w:t>Medicines prescribed (including medicine generic name, trade name, ATC classification, reason for prescription).</w:t>
      </w:r>
    </w:p>
    <w:p w14:paraId="2C94F95C" w14:textId="08FFB89E" w:rsidR="000656F8" w:rsidRDefault="000656F8" w:rsidP="008D66C4">
      <w:pPr>
        <w:pStyle w:val="Bullettext"/>
      </w:pPr>
      <w:r>
        <w:t>Encounters (including reason for encounters).</w:t>
      </w:r>
    </w:p>
    <w:p w14:paraId="6A2F053A" w14:textId="4652217E" w:rsidR="000656F8" w:rsidRDefault="000656F8" w:rsidP="008D66C4">
      <w:pPr>
        <w:pStyle w:val="Bullettext"/>
      </w:pPr>
      <w:r>
        <w:t>Diagnosis/Condition.</w:t>
      </w:r>
    </w:p>
    <w:p w14:paraId="28E874DD" w14:textId="002D7BC6" w:rsidR="000656F8" w:rsidRDefault="000656F8" w:rsidP="008D66C4">
      <w:pPr>
        <w:pStyle w:val="Bullettext"/>
      </w:pPr>
      <w:r>
        <w:t>Test results, Observations and MBS service items (Spirometry tests).</w:t>
      </w:r>
    </w:p>
    <w:p w14:paraId="78D8003F" w14:textId="1D78F310" w:rsidR="000656F8" w:rsidRDefault="000656F8" w:rsidP="008D66C4">
      <w:pPr>
        <w:pStyle w:val="Bullettext"/>
      </w:pPr>
      <w:r>
        <w:t>Allergy/Adverse event status.</w:t>
      </w:r>
    </w:p>
    <w:p w14:paraId="21D462D3" w14:textId="33F8C1D1" w:rsidR="000656F8" w:rsidRDefault="000656F8" w:rsidP="00AB2D9A">
      <w:pPr>
        <w:pStyle w:val="BodyText"/>
      </w:pPr>
      <w:r>
        <w:t xml:space="preserve">All analyses were cross-sectional. The study time period was 1 January 2016 to 31 December 2016 inclusive, unless otherwise specified. All PBS/RPBS prescriptions for COPD medicines </w:t>
      </w:r>
      <w:r>
        <w:lastRenderedPageBreak/>
        <w:t>were extracted for t</w:t>
      </w:r>
      <w:r w:rsidR="005D5B65">
        <w:t xml:space="preserve">he period from 1 January 2012 to </w:t>
      </w:r>
      <w:r>
        <w:t>31 December 2016. All PBS/RPBS prescriptions for the smoking cessation therapies were extracted up to 31 December 2016.</w:t>
      </w:r>
    </w:p>
    <w:p w14:paraId="65527834" w14:textId="0B34FB52" w:rsidR="00EB67CC" w:rsidRDefault="000656F8" w:rsidP="00EB67CC">
      <w:pPr>
        <w:pStyle w:val="BodyText"/>
      </w:pPr>
      <w:r>
        <w:t>The list of COPD medicines of interest used in this an</w:t>
      </w:r>
      <w:r w:rsidR="005D5B65">
        <w:t xml:space="preserve">alysis included all PBS listed </w:t>
      </w:r>
      <w:r>
        <w:t xml:space="preserve">SABA, SAMA, LAMA, LABA, ICS, ICS/LABA, </w:t>
      </w:r>
      <w:r w:rsidR="005D5B65">
        <w:t xml:space="preserve">and </w:t>
      </w:r>
      <w:r>
        <w:t>LAMA/LABA</w:t>
      </w:r>
      <w:r w:rsidR="005D5B65">
        <w:t xml:space="preserve"> medicines</w:t>
      </w:r>
      <w:r>
        <w:t xml:space="preserve">. Medicines used in smoking cessation analysis include: nicotine, bupropion and </w:t>
      </w:r>
      <w:proofErr w:type="spellStart"/>
      <w:r>
        <w:t>varenicline</w:t>
      </w:r>
      <w:proofErr w:type="spellEnd"/>
      <w:r>
        <w:t>. The subset of regular patients ‘active’ in the clinical information system (CIS) 35 years and over who attended a clinically relevant practice 3 or more times in the past 2 years, were included in the main analysis population (n=1,283,107).</w:t>
      </w:r>
    </w:p>
    <w:p w14:paraId="67AF1576" w14:textId="246B583D" w:rsidR="000656F8" w:rsidRDefault="000656F8" w:rsidP="00EB67CC">
      <w:pPr>
        <w:pStyle w:val="BodyText"/>
      </w:pPr>
      <w:r>
        <w:t>The report presents data addressing specific questions on the following topics: patient profile, patterns of drug utilisation, co-prescribing, initial therapy, assoc</w:t>
      </w:r>
      <w:r w:rsidR="00CF3B02">
        <w:t>iated care</w:t>
      </w:r>
      <w:r w:rsidR="005D5B65">
        <w:t>,</w:t>
      </w:r>
      <w:r w:rsidR="00CF3B02">
        <w:t xml:space="preserve"> and adverse events. </w:t>
      </w:r>
      <w:r>
        <w:t xml:space="preserve">The following limitations and issues with using data extracted from </w:t>
      </w:r>
      <w:r w:rsidR="005D5B65">
        <w:t xml:space="preserve">GP </w:t>
      </w:r>
      <w:r>
        <w:t>clinical information systems (CIS) should be noted:</w:t>
      </w:r>
    </w:p>
    <w:p w14:paraId="42D73445" w14:textId="05088214" w:rsidR="000656F8" w:rsidRDefault="000656F8" w:rsidP="008D66C4">
      <w:pPr>
        <w:pStyle w:val="Bullettext"/>
      </w:pPr>
      <w:r>
        <w:t xml:space="preserve">MedicineInsight data are dependent on the accuracy and completeness of data recorded in and available for extraction from the GP CIS. It is likely that there is under-reporting of clinical information, such as diagnoses, reasons for the encounter or medical history, as information may not be consistently recorded. Information entered in ‘progress notes’ is not currently collected by MedicineInsight. </w:t>
      </w:r>
    </w:p>
    <w:p w14:paraId="54FD2431" w14:textId="73AFE404" w:rsidR="000656F8" w:rsidRDefault="000656F8" w:rsidP="008D66C4">
      <w:pPr>
        <w:pStyle w:val="Bullettext"/>
      </w:pPr>
      <w:r>
        <w:t xml:space="preserve">The classification of COPD, asthma and other respiratory conditions is based on commonly accepted definitions, and has been reviewed by two GPs. However, there is likely to be variability in GPs’ actual diagnostic labelling practices. </w:t>
      </w:r>
    </w:p>
    <w:p w14:paraId="0E623F93" w14:textId="56648600" w:rsidR="000656F8" w:rsidRDefault="000656F8" w:rsidP="008D66C4">
      <w:pPr>
        <w:pStyle w:val="Bullettext"/>
      </w:pPr>
      <w:r>
        <w:t xml:space="preserve">Practices are recruited to MedicineInsight using non-random sampling, and systematic sampling differences between regions cannot be ruled out. </w:t>
      </w:r>
    </w:p>
    <w:p w14:paraId="431B00A7" w14:textId="5A880BCD" w:rsidR="000656F8" w:rsidRDefault="000656F8" w:rsidP="008D66C4">
      <w:pPr>
        <w:pStyle w:val="Bullettext"/>
      </w:pPr>
      <w:r>
        <w:t>Patients in the MedicineInsight database are currently unable to be uniquely identified across the program, although this functionality will be available in the future. Patients are uniquely recorded within a practice, and are recorded as a different patient if they move between practices.</w:t>
      </w:r>
    </w:p>
    <w:p w14:paraId="737BCD7E" w14:textId="67B42117" w:rsidR="000656F8" w:rsidRDefault="000656F8" w:rsidP="008D66C4">
      <w:pPr>
        <w:pStyle w:val="Bullettext"/>
      </w:pPr>
      <w:r>
        <w:t xml:space="preserve">Medicine use information from MedicineInsight relates to records of GP prescribing, and therefore differs in several important ways from national PBS dispensing data. Not all prescriptions and repeats will be dispensed, i.e. prescription counts are an overestimate of dispensed prescription counts; specialist and hospital prescriptions are not included; and there may be a delay of up to 12 months between prescribing and dispensing. </w:t>
      </w:r>
    </w:p>
    <w:p w14:paraId="6F875760" w14:textId="3F6FE23B" w:rsidR="000656F8" w:rsidRDefault="000656F8" w:rsidP="008D66C4">
      <w:pPr>
        <w:pStyle w:val="Bullettext"/>
      </w:pPr>
      <w:r>
        <w:t>There is no visibility of instructions to patients about the use of different regimens for exacerbations versus maintenance therapy</w:t>
      </w:r>
      <w:r w:rsidR="00BA584F">
        <w:t>,</w:t>
      </w:r>
      <w:r>
        <w:t xml:space="preserve"> and medicines may have been ceased without a record in the clinical system.</w:t>
      </w:r>
    </w:p>
    <w:p w14:paraId="363000C7" w14:textId="3039973B" w:rsidR="000656F8" w:rsidRDefault="000656F8" w:rsidP="008D66C4">
      <w:pPr>
        <w:pStyle w:val="Bullettext"/>
      </w:pPr>
      <w:r>
        <w:t>The proportion of patients with a condition in the dataset does not necessarily reflect the prevalence of that condition. In fact patients with more severe disease/conditions will be more frequently represented in the dataset because they visit the doctor more often.</w:t>
      </w:r>
    </w:p>
    <w:p w14:paraId="7D67D9C4" w14:textId="4A50522E" w:rsidR="000656F8" w:rsidRDefault="000656F8" w:rsidP="008D66C4">
      <w:pPr>
        <w:pStyle w:val="Bullettext"/>
      </w:pPr>
      <w:r>
        <w:t xml:space="preserve">A proportion of adverse reactions known to the GP may go unrecorded, e.g. when the reaction is unremarkable or symptoms are managed elsewhere, such as in hospital. </w:t>
      </w:r>
      <w:r>
        <w:lastRenderedPageBreak/>
        <w:t xml:space="preserve">Some adverse events may be recorded in the ‘progress notes’ which are not collected by MedicineInsight for confidentiality reasons. </w:t>
      </w:r>
    </w:p>
    <w:p w14:paraId="596D00EF" w14:textId="77777777" w:rsidR="006B0934" w:rsidRDefault="000656F8" w:rsidP="008D66C4">
      <w:pPr>
        <w:pStyle w:val="Bullettext"/>
      </w:pPr>
      <w:r>
        <w:t>Coding of adverse reactions may differ slightly between MedicineInsight and TGA terms for some reactions</w:t>
      </w:r>
      <w:r w:rsidR="006B0934">
        <w:t>.</w:t>
      </w:r>
    </w:p>
    <w:p w14:paraId="131CB7DF" w14:textId="56C07B68" w:rsidR="007C1840" w:rsidRDefault="006B0934" w:rsidP="00EB67CC">
      <w:pPr>
        <w:pStyle w:val="BodyText"/>
      </w:pPr>
      <w:r>
        <w:t>The report presents data addressing specific questions on the following topics: patient profile, patterns of drug utilisation, co-prescribing, initial therapy, assoc</w:t>
      </w:r>
      <w:r w:rsidR="00EB67CC">
        <w:t xml:space="preserve">iated care and adverse events. </w:t>
      </w:r>
    </w:p>
    <w:p w14:paraId="785848E5" w14:textId="01B31921" w:rsidR="000F66AB" w:rsidRDefault="000F66AB" w:rsidP="00EB67CC">
      <w:pPr>
        <w:pStyle w:val="BodyText"/>
        <w:rPr>
          <w:b/>
        </w:rPr>
      </w:pPr>
      <w:r>
        <w:t>Refer to Appendix T for further detail on the methodology used in the MedicineInsight analysis.</w:t>
      </w:r>
    </w:p>
    <w:p w14:paraId="7EA60B16" w14:textId="07F4B62B" w:rsidR="006B0934" w:rsidRPr="00CF3B02" w:rsidRDefault="007C1840" w:rsidP="00DA6395">
      <w:pPr>
        <w:pStyle w:val="Heading2"/>
        <w:rPr>
          <w:bCs/>
          <w:i/>
          <w:iCs/>
        </w:rPr>
      </w:pPr>
      <w:bookmarkStart w:id="75" w:name="_Toc486231794"/>
      <w:r w:rsidRPr="0019085B">
        <w:rPr>
          <w:bCs/>
          <w:iCs/>
        </w:rPr>
        <w:t>5.</w:t>
      </w:r>
      <w:r w:rsidR="00DC080C" w:rsidRPr="0019085B">
        <w:rPr>
          <w:bCs/>
          <w:iCs/>
        </w:rPr>
        <w:t>8</w:t>
      </w:r>
      <w:r w:rsidRPr="00CF3B02">
        <w:rPr>
          <w:bCs/>
          <w:i/>
          <w:iCs/>
        </w:rPr>
        <w:tab/>
      </w:r>
      <w:r w:rsidRPr="00EB67CC">
        <w:t xml:space="preserve">MedicineInsight </w:t>
      </w:r>
      <w:r w:rsidR="006B0934" w:rsidRPr="00EB67CC">
        <w:t>COPD patient profile</w:t>
      </w:r>
      <w:bookmarkEnd w:id="75"/>
    </w:p>
    <w:p w14:paraId="13B7B217" w14:textId="7B55FA85" w:rsidR="006B0934" w:rsidRDefault="006B0934" w:rsidP="00AB2D9A">
      <w:pPr>
        <w:pStyle w:val="BodyText"/>
      </w:pPr>
      <w:r>
        <w:t xml:space="preserve">Of the 1.28 million regular MedicineInsight patients aged 35 years and over included in this </w:t>
      </w:r>
      <w:r w:rsidR="007C1840">
        <w:t>a</w:t>
      </w:r>
      <w:r>
        <w:t>nalysis, 4.6% were ever diagnosed with COPD with or without asthma (COPD (all); n=59,196). 3.0% of MedicineInsight patients had a COPD diagnosis without mention of asthma (COPD only; n=38,650), and 1.6% had both COPD plus asthma diagnoses (n=20,546). Just over one third of patients with a diagnosis of COPD also had an asthma diagnosis.</w:t>
      </w:r>
    </w:p>
    <w:p w14:paraId="3F68F651" w14:textId="2D7A66C7" w:rsidR="006B0934" w:rsidRDefault="006B0934" w:rsidP="00AB2D9A">
      <w:pPr>
        <w:pStyle w:val="BodyText"/>
      </w:pPr>
      <w:r>
        <w:t xml:space="preserve">The age-specific prevalence of patients diagnosed with COPD increased with patient age. The prevalence of COPD among MedicineInsight active patients 45 years and over was 5.9%, compared with 5.1% reported by the 2014–15 ABS National Health Survey. This somewhat higher prevalence estimate in the MedicineInsight data may be partially explained by the restriction in </w:t>
      </w:r>
      <w:r w:rsidR="00CB22DE">
        <w:t>the</w:t>
      </w:r>
      <w:r>
        <w:t xml:space="preserve"> report to the patient population that regularly visits GP practices (3 visits in the past 2 years). These patients are more likely to have chronic conditions than the general population from the Australian Health Survey who might visit the GP less regularly. </w:t>
      </w:r>
    </w:p>
    <w:p w14:paraId="2C694E56" w14:textId="77777777" w:rsidR="00EB67CC" w:rsidRDefault="006B0934" w:rsidP="00EB67CC">
      <w:pPr>
        <w:pStyle w:val="BodyText"/>
      </w:pPr>
      <w:r>
        <w:t>The patient profile was similar to that reported elsewhere, with higher COPD prevalence rates among patients who were older, male, residing in regional and remote areas and in areas of higher socioeconomic disadvantage.</w:t>
      </w:r>
      <w:r w:rsidR="00770961">
        <w:t xml:space="preserve"> </w:t>
      </w:r>
      <w:r>
        <w:t>As might be expected, MedicineInsight patients who were ex-smokers and current smokers were more likely to have a diagnosis of COPD compared to non-smokers. Patients who were underweight (BMI &lt; 18.5) had a higher prevalence of COPD than those in the healthy or overweight ranges.</w:t>
      </w:r>
    </w:p>
    <w:p w14:paraId="11E3345D" w14:textId="502BC952" w:rsidR="006B0934" w:rsidRPr="00CF3B02" w:rsidRDefault="007C1840" w:rsidP="00DA6395">
      <w:pPr>
        <w:pStyle w:val="Heading2"/>
      </w:pPr>
      <w:bookmarkStart w:id="76" w:name="_Toc486231795"/>
      <w:r w:rsidRPr="00CF3B02">
        <w:t>5.</w:t>
      </w:r>
      <w:r w:rsidR="00DC080C" w:rsidRPr="00CF3B02">
        <w:t>9</w:t>
      </w:r>
      <w:r w:rsidRPr="00CF3B02">
        <w:tab/>
      </w:r>
      <w:r w:rsidR="00EC21F9" w:rsidRPr="00CF3B02">
        <w:t xml:space="preserve">MedicineInsight </w:t>
      </w:r>
      <w:r w:rsidR="004F1518">
        <w:t>d</w:t>
      </w:r>
      <w:r w:rsidR="006B0934" w:rsidRPr="00CF3B02">
        <w:t>rug utilisation</w:t>
      </w:r>
      <w:bookmarkEnd w:id="76"/>
    </w:p>
    <w:p w14:paraId="33160934" w14:textId="300E6637" w:rsidR="00B648CF" w:rsidRPr="00CF3B02" w:rsidRDefault="00AF559F" w:rsidP="005D3504">
      <w:pPr>
        <w:pStyle w:val="Heading3"/>
      </w:pPr>
      <w:bookmarkStart w:id="77" w:name="_Toc486231796"/>
      <w:r w:rsidRPr="00CF3B02">
        <w:t>5.</w:t>
      </w:r>
      <w:r w:rsidR="00DC080C" w:rsidRPr="00CF3B02">
        <w:t>9.1</w:t>
      </w:r>
      <w:r w:rsidRPr="00CF3B02">
        <w:tab/>
      </w:r>
      <w:r w:rsidR="00B648CF" w:rsidRPr="00CF3B02">
        <w:t>Number of prescriptions</w:t>
      </w:r>
      <w:bookmarkEnd w:id="77"/>
    </w:p>
    <w:p w14:paraId="7843EAC0" w14:textId="6D86D6E0" w:rsidR="00457C58" w:rsidRPr="00D930DF" w:rsidRDefault="006B0934" w:rsidP="00AB2D9A">
      <w:pPr>
        <w:pStyle w:val="BodyText"/>
      </w:pPr>
      <w:r>
        <w:t xml:space="preserve">In MedicineInsight data in 2016, 51,903 prescriptions for the medicines of interest were ordered for regular patients with COPD only. </w:t>
      </w:r>
      <w:r w:rsidR="00D930DF">
        <w:t xml:space="preserve">The most commonly prescribed medicine classes for </w:t>
      </w:r>
      <w:r w:rsidR="00D930DF" w:rsidRPr="008B5F34">
        <w:t>patients with</w:t>
      </w:r>
      <w:r w:rsidR="00D930DF" w:rsidRPr="008B5F34">
        <w:rPr>
          <w:b/>
        </w:rPr>
        <w:t xml:space="preserve"> </w:t>
      </w:r>
      <w:r w:rsidR="00D930DF" w:rsidRPr="00D930DF">
        <w:t>COPD only</w:t>
      </w:r>
      <w:r w:rsidR="00D930DF">
        <w:t xml:space="preserve"> were</w:t>
      </w:r>
      <w:r w:rsidR="00D930DF" w:rsidRPr="001C7A56">
        <w:t xml:space="preserve"> </w:t>
      </w:r>
      <w:r w:rsidR="00D930DF">
        <w:t xml:space="preserve">ICS + LABA (31.8%), SABA (27.1%) and LAMA (26.2%). </w:t>
      </w:r>
      <w:r w:rsidR="00D930DF" w:rsidRPr="00D930DF">
        <w:t xml:space="preserve">The most commonly prescribed medicines </w:t>
      </w:r>
      <w:r w:rsidR="00D930DF">
        <w:t>(original prescriptions</w:t>
      </w:r>
      <w:r w:rsidR="00D930DF" w:rsidRPr="00D930DF">
        <w:t>) for patients with COPD only</w:t>
      </w:r>
      <w:r w:rsidR="00D930DF">
        <w:t xml:space="preserve"> were salbutamol (26.0%), tiotropium (21.8%</w:t>
      </w:r>
      <w:r w:rsidR="00D930DF" w:rsidRPr="00D930DF">
        <w:t xml:space="preserve">) and </w:t>
      </w:r>
      <w:r w:rsidR="00D930DF">
        <w:t>fluticasone + salmeterol (18.4%</w:t>
      </w:r>
      <w:r w:rsidR="00D930DF" w:rsidRPr="00D930DF">
        <w:t>)</w:t>
      </w:r>
      <w:r w:rsidR="00D930DF">
        <w:t>.</w:t>
      </w:r>
    </w:p>
    <w:p w14:paraId="012E9CE6" w14:textId="531E5A50" w:rsidR="00D930DF" w:rsidRDefault="00D930DF" w:rsidP="00D930DF">
      <w:pPr>
        <w:pStyle w:val="BodyText"/>
      </w:pPr>
      <w:r>
        <w:lastRenderedPageBreak/>
        <w:t>In 2016, 54,197 prescriptions for the medicines of interest were ordered for patients with COPD plus asthma. The most commonly prescribed medicines (by class) for patients with COPD plus asthma were: ICS/LABA (36.3%), SABA (31.4%) and LAMA (19.2%). The most commonly prescribed medicines (original prescriptions</w:t>
      </w:r>
      <w:r w:rsidRPr="00D930DF">
        <w:t>)</w:t>
      </w:r>
      <w:r>
        <w:t xml:space="preserve"> for patients with COPD plus asthma were: salbutamol (30.1%), fluticasone propionate/salmeterol (20.9%) and tiotropium (15.8%). Refer to Table 5.8 for the proportion of prescriptions by class/medicine for COPD only and COPD plus asthma patients, for the most commonly prescribed classes/medicines.</w:t>
      </w:r>
    </w:p>
    <w:p w14:paraId="2B473035" w14:textId="61304643" w:rsidR="00AB2D9A" w:rsidRDefault="00AB2D9A">
      <w:pPr>
        <w:rPr>
          <w:rFonts w:ascii="Arial" w:hAnsi="Arial" w:cs="Arial"/>
          <w:b/>
          <w:sz w:val="20"/>
          <w:szCs w:val="20"/>
        </w:rPr>
      </w:pPr>
    </w:p>
    <w:p w14:paraId="474E5251" w14:textId="2329D79A" w:rsidR="00B53480" w:rsidRPr="00CF3B02" w:rsidRDefault="00DC080C" w:rsidP="0019085B">
      <w:pPr>
        <w:pStyle w:val="TR5TableHeader"/>
      </w:pPr>
      <w:bookmarkStart w:id="78" w:name="_Toc486232650"/>
      <w:r w:rsidRPr="00CF3B02">
        <w:t>Table 5.</w:t>
      </w:r>
      <w:r w:rsidR="0033034B">
        <w:t>8</w:t>
      </w:r>
      <w:r w:rsidR="00CF3B02">
        <w:tab/>
      </w:r>
      <w:r w:rsidR="00D930DF">
        <w:t xml:space="preserve">Most commonly prescribed medicines of interest for patients with COPD only, and COPD plus asthma, in 2016 </w:t>
      </w:r>
      <w:r w:rsidR="002716D9">
        <w:t>(MedicineInsight)</w:t>
      </w:r>
      <w:bookmarkEnd w:id="78"/>
    </w:p>
    <w:tbl>
      <w:tblPr>
        <w:tblW w:w="5000" w:type="pct"/>
        <w:tblLook w:val="04A0" w:firstRow="1" w:lastRow="0" w:firstColumn="1" w:lastColumn="0" w:noHBand="0" w:noVBand="1"/>
      </w:tblPr>
      <w:tblGrid>
        <w:gridCol w:w="1505"/>
        <w:gridCol w:w="1674"/>
        <w:gridCol w:w="5124"/>
        <w:gridCol w:w="1551"/>
      </w:tblGrid>
      <w:tr w:rsidR="00855E72" w:rsidRPr="00586CBC" w14:paraId="66513F45" w14:textId="77777777" w:rsidTr="008D66C4">
        <w:trPr>
          <w:trHeight w:val="555"/>
        </w:trPr>
        <w:tc>
          <w:tcPr>
            <w:tcW w:w="1505"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tcPr>
          <w:p w14:paraId="6435C2BC" w14:textId="05D44169" w:rsidR="00855E72" w:rsidRPr="008D66C4" w:rsidRDefault="00457C58" w:rsidP="0077015B">
            <w:pPr>
              <w:rPr>
                <w:rFonts w:ascii="Arial Narrow" w:eastAsia="Times New Roman" w:hAnsi="Arial Narrow" w:cs="Arial"/>
                <w:b/>
                <w:bCs/>
                <w:sz w:val="21"/>
                <w:szCs w:val="21"/>
                <w:lang w:eastAsia="en-AU"/>
              </w:rPr>
            </w:pPr>
            <w:r w:rsidRPr="008D66C4">
              <w:rPr>
                <w:rFonts w:ascii="Arial Narrow" w:eastAsia="Times New Roman" w:hAnsi="Arial Narrow" w:cs="Arial"/>
                <w:b/>
                <w:bCs/>
                <w:sz w:val="21"/>
                <w:szCs w:val="21"/>
                <w:lang w:eastAsia="en-AU"/>
              </w:rPr>
              <w:t>Population</w:t>
            </w:r>
          </w:p>
        </w:tc>
        <w:tc>
          <w:tcPr>
            <w:tcW w:w="167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7D7CA2AD" w14:textId="6DAE098C" w:rsidR="00855E72" w:rsidRPr="008D66C4" w:rsidRDefault="00457C58" w:rsidP="0077015B">
            <w:pPr>
              <w:jc w:val="center"/>
              <w:rPr>
                <w:rFonts w:ascii="Arial Narrow" w:eastAsia="Times New Roman" w:hAnsi="Arial Narrow" w:cs="Arial"/>
                <w:b/>
                <w:bCs/>
                <w:sz w:val="21"/>
                <w:szCs w:val="21"/>
                <w:lang w:eastAsia="en-AU"/>
              </w:rPr>
            </w:pPr>
            <w:r w:rsidRPr="008D66C4">
              <w:rPr>
                <w:rFonts w:ascii="Arial Narrow" w:eastAsia="Times New Roman" w:hAnsi="Arial Narrow" w:cs="Arial"/>
                <w:b/>
                <w:bCs/>
                <w:sz w:val="21"/>
                <w:szCs w:val="21"/>
                <w:lang w:eastAsia="en-AU"/>
              </w:rPr>
              <w:t>Class/Medicine</w:t>
            </w:r>
          </w:p>
        </w:tc>
        <w:tc>
          <w:tcPr>
            <w:tcW w:w="5124"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3179B4C5" w14:textId="1306A7CF" w:rsidR="00855E72" w:rsidRPr="008D66C4" w:rsidRDefault="00457C58" w:rsidP="0077015B">
            <w:pPr>
              <w:jc w:val="center"/>
              <w:rPr>
                <w:rFonts w:ascii="Arial Narrow" w:eastAsia="Times New Roman" w:hAnsi="Arial Narrow" w:cs="Arial"/>
                <w:b/>
                <w:bCs/>
                <w:sz w:val="21"/>
                <w:szCs w:val="21"/>
                <w:lang w:eastAsia="en-AU"/>
              </w:rPr>
            </w:pPr>
            <w:r w:rsidRPr="008D66C4">
              <w:rPr>
                <w:rFonts w:ascii="Arial Narrow" w:eastAsia="Times New Roman" w:hAnsi="Arial Narrow" w:cs="Arial"/>
                <w:b/>
                <w:bCs/>
                <w:sz w:val="21"/>
                <w:szCs w:val="21"/>
                <w:lang w:eastAsia="en-AU"/>
              </w:rPr>
              <w:t>Description</w:t>
            </w:r>
          </w:p>
        </w:tc>
        <w:tc>
          <w:tcPr>
            <w:tcW w:w="1551" w:type="dxa"/>
            <w:tcBorders>
              <w:top w:val="single" w:sz="8" w:space="0" w:color="auto"/>
              <w:left w:val="nil"/>
              <w:bottom w:val="single" w:sz="4" w:space="0" w:color="auto"/>
              <w:right w:val="single" w:sz="8" w:space="0" w:color="auto"/>
            </w:tcBorders>
            <w:shd w:val="clear" w:color="auto" w:fill="D9D9D9" w:themeFill="background1" w:themeFillShade="D9"/>
            <w:vAlign w:val="center"/>
          </w:tcPr>
          <w:p w14:paraId="2518AF07" w14:textId="01607D28" w:rsidR="00855E72" w:rsidRPr="008D66C4" w:rsidRDefault="00457C58" w:rsidP="0077015B">
            <w:pPr>
              <w:jc w:val="center"/>
              <w:rPr>
                <w:rFonts w:ascii="Arial Narrow" w:eastAsia="Times New Roman" w:hAnsi="Arial Narrow" w:cs="Arial"/>
                <w:b/>
                <w:bCs/>
                <w:sz w:val="21"/>
                <w:szCs w:val="21"/>
                <w:lang w:eastAsia="en-AU"/>
              </w:rPr>
            </w:pPr>
            <w:r w:rsidRPr="008D66C4">
              <w:rPr>
                <w:rFonts w:ascii="Arial Narrow" w:eastAsia="Times New Roman" w:hAnsi="Arial Narrow" w:cs="Arial"/>
                <w:b/>
                <w:bCs/>
                <w:sz w:val="21"/>
                <w:szCs w:val="21"/>
                <w:lang w:eastAsia="en-AU"/>
              </w:rPr>
              <w:t>Proportion</w:t>
            </w:r>
          </w:p>
        </w:tc>
      </w:tr>
      <w:tr w:rsidR="00457C58" w:rsidRPr="00586CBC" w14:paraId="4BF13FD2" w14:textId="77777777" w:rsidTr="008D66C4">
        <w:trPr>
          <w:trHeight w:val="315"/>
        </w:trPr>
        <w:tc>
          <w:tcPr>
            <w:tcW w:w="1505" w:type="dxa"/>
            <w:vMerge w:val="restart"/>
            <w:tcBorders>
              <w:top w:val="single" w:sz="4" w:space="0" w:color="auto"/>
              <w:left w:val="single" w:sz="4" w:space="0" w:color="auto"/>
              <w:right w:val="single" w:sz="4" w:space="0" w:color="auto"/>
            </w:tcBorders>
            <w:shd w:val="clear" w:color="auto" w:fill="auto"/>
            <w:vAlign w:val="center"/>
          </w:tcPr>
          <w:p w14:paraId="55F5157A" w14:textId="138359BC" w:rsidR="00457C58" w:rsidRPr="008D66C4" w:rsidRDefault="00457C58" w:rsidP="00EC21F9">
            <w:pP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COPD Only</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45DA3D" w14:textId="121B7758"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Class</w:t>
            </w: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30D225BC" w14:textId="5AE1AF75"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ICS/LABA FDC</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8FE7365" w14:textId="1F15120B"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31.8%</w:t>
            </w:r>
          </w:p>
        </w:tc>
      </w:tr>
      <w:tr w:rsidR="00457C58" w:rsidRPr="00586CBC" w14:paraId="18B4A0D2" w14:textId="77777777" w:rsidTr="008D66C4">
        <w:trPr>
          <w:trHeight w:val="315"/>
        </w:trPr>
        <w:tc>
          <w:tcPr>
            <w:tcW w:w="1505" w:type="dxa"/>
            <w:vMerge/>
            <w:tcBorders>
              <w:left w:val="single" w:sz="4" w:space="0" w:color="auto"/>
              <w:right w:val="single" w:sz="4" w:space="0" w:color="auto"/>
            </w:tcBorders>
            <w:shd w:val="clear" w:color="auto" w:fill="auto"/>
            <w:vAlign w:val="center"/>
          </w:tcPr>
          <w:p w14:paraId="012A3D26" w14:textId="53D450EA" w:rsidR="00457C58" w:rsidRPr="008D66C4" w:rsidRDefault="00457C58" w:rsidP="00EC21F9">
            <w:pPr>
              <w:rPr>
                <w:rFonts w:ascii="Arial Narrow" w:eastAsia="Times New Roman" w:hAnsi="Arial Narrow" w:cs="Arial"/>
                <w:sz w:val="21"/>
                <w:szCs w:val="21"/>
                <w:lang w:eastAsia="en-AU"/>
              </w:rPr>
            </w:pPr>
          </w:p>
        </w:tc>
        <w:tc>
          <w:tcPr>
            <w:tcW w:w="1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7896D2" w14:textId="4A7D57DF" w:rsidR="00457C58" w:rsidRPr="008D66C4" w:rsidRDefault="00457C58" w:rsidP="00EC21F9">
            <w:pPr>
              <w:jc w:val="center"/>
              <w:rPr>
                <w:rFonts w:ascii="Arial Narrow" w:eastAsia="Times New Roman" w:hAnsi="Arial Narrow" w:cs="Arial"/>
                <w:sz w:val="21"/>
                <w:szCs w:val="21"/>
                <w:lang w:eastAsia="en-AU"/>
              </w:rPr>
            </w:pP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493EE316" w14:textId="0661F11D"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SABA</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C9A9E68" w14:textId="766B9317"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27.1%</w:t>
            </w:r>
          </w:p>
        </w:tc>
      </w:tr>
      <w:tr w:rsidR="00457C58" w:rsidRPr="00586CBC" w14:paraId="2046F823" w14:textId="77777777" w:rsidTr="008D66C4">
        <w:trPr>
          <w:trHeight w:val="315"/>
        </w:trPr>
        <w:tc>
          <w:tcPr>
            <w:tcW w:w="1505" w:type="dxa"/>
            <w:vMerge/>
            <w:tcBorders>
              <w:left w:val="single" w:sz="4" w:space="0" w:color="auto"/>
              <w:right w:val="single" w:sz="4" w:space="0" w:color="auto"/>
            </w:tcBorders>
            <w:shd w:val="clear" w:color="auto" w:fill="auto"/>
            <w:vAlign w:val="center"/>
          </w:tcPr>
          <w:p w14:paraId="648A4804" w14:textId="597E83B8" w:rsidR="00457C58" w:rsidRPr="008D66C4" w:rsidRDefault="00457C58" w:rsidP="00EC21F9">
            <w:pPr>
              <w:rPr>
                <w:rFonts w:ascii="Arial Narrow" w:eastAsia="Times New Roman" w:hAnsi="Arial Narrow" w:cs="Arial"/>
                <w:sz w:val="21"/>
                <w:szCs w:val="21"/>
                <w:lang w:eastAsia="en-AU"/>
              </w:rPr>
            </w:pPr>
          </w:p>
        </w:tc>
        <w:tc>
          <w:tcPr>
            <w:tcW w:w="167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F9B658" w14:textId="454B9BCD" w:rsidR="00457C58" w:rsidRPr="008D66C4" w:rsidRDefault="00457C58" w:rsidP="00EC21F9">
            <w:pPr>
              <w:jc w:val="center"/>
              <w:rPr>
                <w:rFonts w:ascii="Arial Narrow" w:eastAsia="Times New Roman" w:hAnsi="Arial Narrow" w:cs="Arial"/>
                <w:sz w:val="21"/>
                <w:szCs w:val="21"/>
                <w:lang w:eastAsia="en-AU"/>
              </w:rPr>
            </w:pP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31D50F3C" w14:textId="17F6C3FB"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LAMA</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5B62C4A" w14:textId="70C939F0"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26.2%</w:t>
            </w:r>
          </w:p>
        </w:tc>
      </w:tr>
      <w:tr w:rsidR="00457C58" w:rsidRPr="00586CBC" w14:paraId="495CB0D1" w14:textId="77777777" w:rsidTr="008D66C4">
        <w:trPr>
          <w:trHeight w:val="315"/>
        </w:trPr>
        <w:tc>
          <w:tcPr>
            <w:tcW w:w="1505" w:type="dxa"/>
            <w:vMerge/>
            <w:tcBorders>
              <w:left w:val="single" w:sz="4" w:space="0" w:color="auto"/>
              <w:right w:val="single" w:sz="4" w:space="0" w:color="auto"/>
            </w:tcBorders>
            <w:shd w:val="clear" w:color="auto" w:fill="auto"/>
            <w:vAlign w:val="center"/>
          </w:tcPr>
          <w:p w14:paraId="5DAA26A9" w14:textId="1AABE6FE" w:rsidR="00457C58" w:rsidRPr="008D66C4" w:rsidRDefault="00457C58" w:rsidP="00EC21F9">
            <w:pPr>
              <w:rPr>
                <w:rFonts w:ascii="Arial Narrow" w:eastAsia="Times New Roman" w:hAnsi="Arial Narrow" w:cs="Arial"/>
                <w:sz w:val="21"/>
                <w:szCs w:val="21"/>
                <w:lang w:eastAsia="en-AU"/>
              </w:rPr>
            </w:pPr>
          </w:p>
        </w:tc>
        <w:tc>
          <w:tcPr>
            <w:tcW w:w="1674" w:type="dxa"/>
            <w:vMerge w:val="restart"/>
            <w:tcBorders>
              <w:top w:val="single" w:sz="4" w:space="0" w:color="auto"/>
              <w:left w:val="single" w:sz="4" w:space="0" w:color="auto"/>
              <w:right w:val="single" w:sz="4" w:space="0" w:color="auto"/>
            </w:tcBorders>
            <w:shd w:val="clear" w:color="auto" w:fill="auto"/>
            <w:vAlign w:val="center"/>
          </w:tcPr>
          <w:p w14:paraId="639A1A54" w14:textId="42BE21E4"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Medicine</w:t>
            </w: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29F0E8CD" w14:textId="1A8957C8" w:rsidR="00457C58" w:rsidRPr="008D66C4" w:rsidRDefault="00B648CF"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S</w:t>
            </w:r>
            <w:r w:rsidR="00457C58" w:rsidRPr="008D66C4">
              <w:rPr>
                <w:rFonts w:ascii="Arial Narrow" w:eastAsia="Times New Roman" w:hAnsi="Arial Narrow" w:cs="Arial"/>
                <w:sz w:val="21"/>
                <w:szCs w:val="21"/>
                <w:lang w:eastAsia="en-AU"/>
              </w:rPr>
              <w:t>albutamol</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A1FC39C" w14:textId="0FED7042"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26.0%</w:t>
            </w:r>
          </w:p>
        </w:tc>
      </w:tr>
      <w:tr w:rsidR="00457C58" w:rsidRPr="00586CBC" w14:paraId="7BCBCFC0" w14:textId="77777777" w:rsidTr="008D66C4">
        <w:trPr>
          <w:trHeight w:val="315"/>
        </w:trPr>
        <w:tc>
          <w:tcPr>
            <w:tcW w:w="1505" w:type="dxa"/>
            <w:vMerge/>
            <w:tcBorders>
              <w:left w:val="single" w:sz="4" w:space="0" w:color="auto"/>
              <w:right w:val="single" w:sz="4" w:space="0" w:color="auto"/>
            </w:tcBorders>
            <w:shd w:val="clear" w:color="auto" w:fill="auto"/>
            <w:vAlign w:val="center"/>
          </w:tcPr>
          <w:p w14:paraId="2C87FCDD" w14:textId="77777777" w:rsidR="00457C58" w:rsidRPr="008D66C4" w:rsidRDefault="00457C58" w:rsidP="00EC21F9">
            <w:pPr>
              <w:rPr>
                <w:rFonts w:ascii="Arial Narrow" w:eastAsia="Times New Roman" w:hAnsi="Arial Narrow" w:cs="Arial"/>
                <w:sz w:val="21"/>
                <w:szCs w:val="21"/>
                <w:lang w:eastAsia="en-AU"/>
              </w:rPr>
            </w:pPr>
          </w:p>
        </w:tc>
        <w:tc>
          <w:tcPr>
            <w:tcW w:w="1674" w:type="dxa"/>
            <w:vMerge/>
            <w:tcBorders>
              <w:left w:val="single" w:sz="4" w:space="0" w:color="auto"/>
              <w:right w:val="single" w:sz="4" w:space="0" w:color="auto"/>
            </w:tcBorders>
            <w:shd w:val="clear" w:color="auto" w:fill="auto"/>
            <w:vAlign w:val="center"/>
          </w:tcPr>
          <w:p w14:paraId="77FC81E0" w14:textId="77777777" w:rsidR="00457C58" w:rsidRPr="008D66C4" w:rsidRDefault="00457C58" w:rsidP="00EC21F9">
            <w:pPr>
              <w:jc w:val="center"/>
              <w:rPr>
                <w:rFonts w:ascii="Arial Narrow" w:eastAsia="Times New Roman" w:hAnsi="Arial Narrow" w:cs="Arial"/>
                <w:sz w:val="21"/>
                <w:szCs w:val="21"/>
                <w:lang w:eastAsia="en-AU"/>
              </w:rPr>
            </w:pP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2D0F552E" w14:textId="748C451D" w:rsidR="00457C58" w:rsidRPr="008D66C4" w:rsidRDefault="00B648CF"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T</w:t>
            </w:r>
            <w:r w:rsidR="00457C58" w:rsidRPr="008D66C4">
              <w:rPr>
                <w:rFonts w:ascii="Arial Narrow" w:eastAsia="Times New Roman" w:hAnsi="Arial Narrow" w:cs="Arial"/>
                <w:sz w:val="21"/>
                <w:szCs w:val="21"/>
                <w:lang w:eastAsia="en-AU"/>
              </w:rPr>
              <w:t>iotropium</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0438147" w14:textId="53EC847E"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21.8%</w:t>
            </w:r>
          </w:p>
        </w:tc>
      </w:tr>
      <w:tr w:rsidR="00457C58" w:rsidRPr="00586CBC" w14:paraId="5EA251A5" w14:textId="77777777" w:rsidTr="008D66C4">
        <w:trPr>
          <w:trHeight w:val="361"/>
        </w:trPr>
        <w:tc>
          <w:tcPr>
            <w:tcW w:w="1505" w:type="dxa"/>
            <w:vMerge/>
            <w:tcBorders>
              <w:left w:val="single" w:sz="4" w:space="0" w:color="auto"/>
              <w:right w:val="single" w:sz="4" w:space="0" w:color="auto"/>
            </w:tcBorders>
            <w:shd w:val="clear" w:color="auto" w:fill="auto"/>
            <w:vAlign w:val="center"/>
          </w:tcPr>
          <w:p w14:paraId="3CA0013E" w14:textId="77777777" w:rsidR="00457C58" w:rsidRPr="008D66C4" w:rsidRDefault="00457C58" w:rsidP="00EC21F9">
            <w:pPr>
              <w:rPr>
                <w:rFonts w:ascii="Arial Narrow" w:eastAsia="Times New Roman" w:hAnsi="Arial Narrow" w:cs="Arial"/>
                <w:sz w:val="21"/>
                <w:szCs w:val="21"/>
                <w:lang w:eastAsia="en-AU"/>
              </w:rPr>
            </w:pPr>
          </w:p>
        </w:tc>
        <w:tc>
          <w:tcPr>
            <w:tcW w:w="1674" w:type="dxa"/>
            <w:vMerge/>
            <w:tcBorders>
              <w:left w:val="single" w:sz="4" w:space="0" w:color="auto"/>
              <w:right w:val="single" w:sz="4" w:space="0" w:color="auto"/>
            </w:tcBorders>
            <w:shd w:val="clear" w:color="auto" w:fill="auto"/>
            <w:vAlign w:val="center"/>
          </w:tcPr>
          <w:p w14:paraId="615C6FE7" w14:textId="77777777" w:rsidR="00457C58" w:rsidRPr="008D66C4" w:rsidRDefault="00457C58" w:rsidP="00EC21F9">
            <w:pPr>
              <w:jc w:val="center"/>
              <w:rPr>
                <w:rFonts w:ascii="Arial Narrow" w:eastAsia="Times New Roman" w:hAnsi="Arial Narrow" w:cs="Arial"/>
                <w:sz w:val="21"/>
                <w:szCs w:val="21"/>
                <w:lang w:eastAsia="en-AU"/>
              </w:rPr>
            </w:pP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323DDC97" w14:textId="435F9047" w:rsidR="00457C58" w:rsidRPr="008D66C4" w:rsidRDefault="003B67B3"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F</w:t>
            </w:r>
            <w:r w:rsidR="00457C58" w:rsidRPr="008D66C4">
              <w:rPr>
                <w:rFonts w:ascii="Arial Narrow" w:eastAsia="Times New Roman" w:hAnsi="Arial Narrow" w:cs="Arial"/>
                <w:sz w:val="21"/>
                <w:szCs w:val="21"/>
                <w:lang w:eastAsia="en-AU"/>
              </w:rPr>
              <w:t>luticasone</w:t>
            </w:r>
            <w:r>
              <w:rPr>
                <w:rFonts w:ascii="Arial Narrow" w:eastAsia="Times New Roman" w:hAnsi="Arial Narrow" w:cs="Arial"/>
                <w:sz w:val="21"/>
                <w:szCs w:val="21"/>
                <w:lang w:eastAsia="en-AU"/>
              </w:rPr>
              <w:t xml:space="preserve"> propionate</w:t>
            </w:r>
            <w:r w:rsidR="00457C58" w:rsidRPr="008D66C4">
              <w:rPr>
                <w:rFonts w:ascii="Arial Narrow" w:eastAsia="Times New Roman" w:hAnsi="Arial Narrow" w:cs="Arial"/>
                <w:sz w:val="21"/>
                <w:szCs w:val="21"/>
                <w:lang w:eastAsia="en-AU"/>
              </w:rPr>
              <w:t>/salmeterol</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A44675F" w14:textId="05F54B6E"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18.4%</w:t>
            </w:r>
          </w:p>
        </w:tc>
      </w:tr>
      <w:tr w:rsidR="00457C58" w:rsidRPr="00586CBC" w14:paraId="209BAA33" w14:textId="77777777" w:rsidTr="008D66C4">
        <w:trPr>
          <w:trHeight w:val="361"/>
        </w:trPr>
        <w:tc>
          <w:tcPr>
            <w:tcW w:w="1505" w:type="dxa"/>
            <w:vMerge/>
            <w:tcBorders>
              <w:left w:val="single" w:sz="4" w:space="0" w:color="auto"/>
              <w:bottom w:val="single" w:sz="4" w:space="0" w:color="auto"/>
              <w:right w:val="single" w:sz="4" w:space="0" w:color="auto"/>
            </w:tcBorders>
            <w:shd w:val="clear" w:color="auto" w:fill="auto"/>
            <w:vAlign w:val="center"/>
          </w:tcPr>
          <w:p w14:paraId="11953F4A" w14:textId="77777777" w:rsidR="00457C58" w:rsidRPr="008D66C4" w:rsidRDefault="00457C58" w:rsidP="00EC21F9">
            <w:pPr>
              <w:rPr>
                <w:rFonts w:ascii="Arial Narrow" w:eastAsia="Times New Roman" w:hAnsi="Arial Narrow" w:cs="Arial"/>
                <w:sz w:val="21"/>
                <w:szCs w:val="21"/>
                <w:lang w:eastAsia="en-AU"/>
              </w:rPr>
            </w:pPr>
          </w:p>
        </w:tc>
        <w:tc>
          <w:tcPr>
            <w:tcW w:w="1674" w:type="dxa"/>
            <w:vMerge/>
            <w:tcBorders>
              <w:left w:val="single" w:sz="4" w:space="0" w:color="auto"/>
              <w:bottom w:val="single" w:sz="4" w:space="0" w:color="auto"/>
              <w:right w:val="single" w:sz="4" w:space="0" w:color="auto"/>
            </w:tcBorders>
            <w:shd w:val="clear" w:color="auto" w:fill="auto"/>
            <w:vAlign w:val="center"/>
          </w:tcPr>
          <w:p w14:paraId="25A9B048" w14:textId="77777777" w:rsidR="00457C58" w:rsidRPr="008D66C4" w:rsidRDefault="00457C58" w:rsidP="00EC21F9">
            <w:pPr>
              <w:jc w:val="center"/>
              <w:rPr>
                <w:rFonts w:ascii="Arial Narrow" w:eastAsia="Times New Roman" w:hAnsi="Arial Narrow" w:cs="Arial"/>
                <w:sz w:val="21"/>
                <w:szCs w:val="21"/>
                <w:lang w:eastAsia="en-AU"/>
              </w:rPr>
            </w:pP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79DC8F0C" w14:textId="25405F76"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budesonide/formoterol</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D68B7D9" w14:textId="3D3866E0" w:rsidR="00457C58" w:rsidRPr="008D66C4" w:rsidRDefault="00457C58"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10.9%</w:t>
            </w:r>
          </w:p>
        </w:tc>
      </w:tr>
      <w:tr w:rsidR="008D66C4" w:rsidRPr="00586CBC" w14:paraId="60E4CEB9" w14:textId="77777777" w:rsidTr="008D66C4">
        <w:trPr>
          <w:trHeight w:val="361"/>
        </w:trPr>
        <w:tc>
          <w:tcPr>
            <w:tcW w:w="1505" w:type="dxa"/>
            <w:vMerge w:val="restart"/>
            <w:tcBorders>
              <w:top w:val="single" w:sz="4" w:space="0" w:color="auto"/>
              <w:left w:val="single" w:sz="4" w:space="0" w:color="auto"/>
              <w:right w:val="single" w:sz="4" w:space="0" w:color="auto"/>
            </w:tcBorders>
            <w:shd w:val="clear" w:color="auto" w:fill="auto"/>
            <w:vAlign w:val="center"/>
          </w:tcPr>
          <w:p w14:paraId="6E627C44" w14:textId="7A1D8551" w:rsidR="008D66C4" w:rsidRPr="008D66C4" w:rsidRDefault="008D66C4" w:rsidP="00EC21F9">
            <w:pP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COPD plus asthma</w:t>
            </w:r>
          </w:p>
        </w:tc>
        <w:tc>
          <w:tcPr>
            <w:tcW w:w="1674" w:type="dxa"/>
            <w:vMerge w:val="restart"/>
            <w:tcBorders>
              <w:top w:val="single" w:sz="4" w:space="0" w:color="auto"/>
              <w:left w:val="single" w:sz="4" w:space="0" w:color="auto"/>
              <w:right w:val="single" w:sz="4" w:space="0" w:color="auto"/>
            </w:tcBorders>
            <w:shd w:val="clear" w:color="auto" w:fill="auto"/>
            <w:vAlign w:val="center"/>
          </w:tcPr>
          <w:p w14:paraId="53463A35" w14:textId="143903A5" w:rsidR="008D66C4" w:rsidRPr="008D66C4" w:rsidRDefault="008D66C4"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Class</w:t>
            </w: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4833E6AF" w14:textId="42EB35BC" w:rsidR="008D66C4" w:rsidRPr="008D66C4" w:rsidRDefault="008D66C4"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ICS/LABA</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0A25A2D7" w14:textId="54794590" w:rsidR="008D66C4" w:rsidRPr="008D66C4" w:rsidRDefault="008D66C4"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36.3%</w:t>
            </w:r>
          </w:p>
        </w:tc>
      </w:tr>
      <w:tr w:rsidR="008D66C4" w:rsidRPr="00586CBC" w14:paraId="33422E88" w14:textId="77777777" w:rsidTr="008D66C4">
        <w:trPr>
          <w:trHeight w:val="361"/>
        </w:trPr>
        <w:tc>
          <w:tcPr>
            <w:tcW w:w="1505" w:type="dxa"/>
            <w:vMerge/>
            <w:tcBorders>
              <w:left w:val="single" w:sz="4" w:space="0" w:color="auto"/>
              <w:right w:val="single" w:sz="4" w:space="0" w:color="auto"/>
            </w:tcBorders>
            <w:shd w:val="clear" w:color="auto" w:fill="auto"/>
            <w:vAlign w:val="center"/>
          </w:tcPr>
          <w:p w14:paraId="44DB6706" w14:textId="77777777" w:rsidR="008D66C4" w:rsidRPr="008D66C4" w:rsidRDefault="008D66C4" w:rsidP="00EC21F9">
            <w:pPr>
              <w:rPr>
                <w:rFonts w:ascii="Arial Narrow" w:eastAsia="Times New Roman" w:hAnsi="Arial Narrow" w:cs="Arial"/>
                <w:sz w:val="21"/>
                <w:szCs w:val="21"/>
                <w:lang w:eastAsia="en-AU"/>
              </w:rPr>
            </w:pPr>
          </w:p>
        </w:tc>
        <w:tc>
          <w:tcPr>
            <w:tcW w:w="1674" w:type="dxa"/>
            <w:vMerge/>
            <w:tcBorders>
              <w:left w:val="single" w:sz="4" w:space="0" w:color="auto"/>
              <w:right w:val="single" w:sz="4" w:space="0" w:color="auto"/>
            </w:tcBorders>
            <w:shd w:val="clear" w:color="auto" w:fill="auto"/>
            <w:vAlign w:val="center"/>
          </w:tcPr>
          <w:p w14:paraId="300C2686" w14:textId="77777777" w:rsidR="008D66C4" w:rsidRPr="008D66C4" w:rsidRDefault="008D66C4" w:rsidP="00EC21F9">
            <w:pPr>
              <w:jc w:val="center"/>
              <w:rPr>
                <w:rFonts w:ascii="Arial Narrow" w:eastAsia="Times New Roman" w:hAnsi="Arial Narrow" w:cs="Arial"/>
                <w:sz w:val="21"/>
                <w:szCs w:val="21"/>
                <w:lang w:eastAsia="en-AU"/>
              </w:rPr>
            </w:pP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5D2EB83F" w14:textId="3C4F7C71" w:rsidR="008D66C4" w:rsidRPr="008D66C4" w:rsidRDefault="008D66C4"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SABA</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45F335C" w14:textId="4B6E7E1A" w:rsidR="008D66C4" w:rsidRPr="008D66C4" w:rsidRDefault="008D66C4"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31.4%</w:t>
            </w:r>
          </w:p>
        </w:tc>
      </w:tr>
      <w:tr w:rsidR="008D66C4" w:rsidRPr="00586CBC" w14:paraId="43F52EB3" w14:textId="77777777" w:rsidTr="008D66C4">
        <w:trPr>
          <w:trHeight w:val="361"/>
        </w:trPr>
        <w:tc>
          <w:tcPr>
            <w:tcW w:w="1505" w:type="dxa"/>
            <w:vMerge/>
            <w:tcBorders>
              <w:left w:val="single" w:sz="4" w:space="0" w:color="auto"/>
              <w:right w:val="single" w:sz="4" w:space="0" w:color="auto"/>
            </w:tcBorders>
            <w:shd w:val="clear" w:color="auto" w:fill="auto"/>
            <w:vAlign w:val="center"/>
          </w:tcPr>
          <w:p w14:paraId="0CFFF6A5" w14:textId="77777777" w:rsidR="008D66C4" w:rsidRPr="008D66C4" w:rsidRDefault="008D66C4" w:rsidP="00EC21F9">
            <w:pPr>
              <w:rPr>
                <w:rFonts w:ascii="Arial Narrow" w:eastAsia="Times New Roman" w:hAnsi="Arial Narrow" w:cs="Arial"/>
                <w:sz w:val="21"/>
                <w:szCs w:val="21"/>
                <w:lang w:eastAsia="en-AU"/>
              </w:rPr>
            </w:pPr>
          </w:p>
        </w:tc>
        <w:tc>
          <w:tcPr>
            <w:tcW w:w="1674" w:type="dxa"/>
            <w:vMerge/>
            <w:tcBorders>
              <w:left w:val="single" w:sz="4" w:space="0" w:color="auto"/>
              <w:bottom w:val="single" w:sz="4" w:space="0" w:color="auto"/>
              <w:right w:val="single" w:sz="4" w:space="0" w:color="auto"/>
            </w:tcBorders>
            <w:shd w:val="clear" w:color="auto" w:fill="auto"/>
            <w:vAlign w:val="center"/>
          </w:tcPr>
          <w:p w14:paraId="52A5C63F" w14:textId="77777777" w:rsidR="008D66C4" w:rsidRPr="008D66C4" w:rsidRDefault="008D66C4" w:rsidP="00EC21F9">
            <w:pPr>
              <w:jc w:val="center"/>
              <w:rPr>
                <w:rFonts w:ascii="Arial Narrow" w:eastAsia="Times New Roman" w:hAnsi="Arial Narrow" w:cs="Arial"/>
                <w:sz w:val="21"/>
                <w:szCs w:val="21"/>
                <w:lang w:eastAsia="en-AU"/>
              </w:rPr>
            </w:pP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3CB34278" w14:textId="68E88EA6" w:rsidR="008D66C4" w:rsidRPr="008D66C4" w:rsidRDefault="008D66C4"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LAMA</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409B86E" w14:textId="3CB56307" w:rsidR="008D66C4" w:rsidRPr="008D66C4" w:rsidRDefault="008D66C4" w:rsidP="00EC21F9">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19.2%</w:t>
            </w:r>
          </w:p>
        </w:tc>
      </w:tr>
      <w:tr w:rsidR="008D66C4" w:rsidRPr="00586CBC" w14:paraId="681B0AAA" w14:textId="77777777" w:rsidTr="008D66C4">
        <w:trPr>
          <w:trHeight w:val="361"/>
        </w:trPr>
        <w:tc>
          <w:tcPr>
            <w:tcW w:w="1505" w:type="dxa"/>
            <w:vMerge/>
            <w:tcBorders>
              <w:left w:val="single" w:sz="4" w:space="0" w:color="auto"/>
              <w:right w:val="single" w:sz="4" w:space="0" w:color="auto"/>
            </w:tcBorders>
            <w:shd w:val="clear" w:color="auto" w:fill="auto"/>
            <w:vAlign w:val="center"/>
          </w:tcPr>
          <w:p w14:paraId="300D6198" w14:textId="77777777" w:rsidR="008D66C4" w:rsidRPr="008D66C4" w:rsidRDefault="008D66C4" w:rsidP="00855E72">
            <w:pPr>
              <w:rPr>
                <w:rFonts w:ascii="Arial Narrow" w:eastAsia="Times New Roman" w:hAnsi="Arial Narrow" w:cs="Arial"/>
                <w:sz w:val="21"/>
                <w:szCs w:val="21"/>
                <w:lang w:eastAsia="en-AU"/>
              </w:rPr>
            </w:pPr>
          </w:p>
        </w:tc>
        <w:tc>
          <w:tcPr>
            <w:tcW w:w="1674" w:type="dxa"/>
            <w:vMerge w:val="restart"/>
            <w:tcBorders>
              <w:top w:val="single" w:sz="4" w:space="0" w:color="auto"/>
              <w:left w:val="single" w:sz="4" w:space="0" w:color="auto"/>
              <w:right w:val="single" w:sz="4" w:space="0" w:color="auto"/>
            </w:tcBorders>
            <w:shd w:val="clear" w:color="auto" w:fill="auto"/>
            <w:vAlign w:val="center"/>
          </w:tcPr>
          <w:p w14:paraId="0C65D286" w14:textId="196F06D3" w:rsidR="008D66C4" w:rsidRPr="008D66C4" w:rsidRDefault="008D66C4" w:rsidP="00855E72">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Medicine</w:t>
            </w: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394A0B0A" w14:textId="0E4EB835" w:rsidR="008D66C4" w:rsidRPr="008D66C4" w:rsidRDefault="008D66C4" w:rsidP="00855E72">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Salbutamol</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6896467D" w14:textId="53444A98" w:rsidR="008D66C4" w:rsidRPr="008D66C4" w:rsidRDefault="008D66C4" w:rsidP="00855E72">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30.1%</w:t>
            </w:r>
          </w:p>
        </w:tc>
      </w:tr>
      <w:tr w:rsidR="008D66C4" w:rsidRPr="00586CBC" w14:paraId="09CCD725" w14:textId="77777777" w:rsidTr="008D66C4">
        <w:trPr>
          <w:trHeight w:val="361"/>
        </w:trPr>
        <w:tc>
          <w:tcPr>
            <w:tcW w:w="1505" w:type="dxa"/>
            <w:vMerge/>
            <w:tcBorders>
              <w:left w:val="single" w:sz="4" w:space="0" w:color="auto"/>
              <w:right w:val="single" w:sz="4" w:space="0" w:color="auto"/>
            </w:tcBorders>
            <w:shd w:val="clear" w:color="auto" w:fill="auto"/>
            <w:vAlign w:val="center"/>
          </w:tcPr>
          <w:p w14:paraId="7075131E" w14:textId="77777777" w:rsidR="008D66C4" w:rsidRPr="008D66C4" w:rsidRDefault="008D66C4" w:rsidP="00855E72">
            <w:pPr>
              <w:rPr>
                <w:rFonts w:ascii="Arial Narrow" w:eastAsia="Times New Roman" w:hAnsi="Arial Narrow" w:cs="Arial"/>
                <w:sz w:val="21"/>
                <w:szCs w:val="21"/>
                <w:lang w:eastAsia="en-AU"/>
              </w:rPr>
            </w:pPr>
          </w:p>
        </w:tc>
        <w:tc>
          <w:tcPr>
            <w:tcW w:w="1674" w:type="dxa"/>
            <w:vMerge/>
            <w:tcBorders>
              <w:left w:val="single" w:sz="4" w:space="0" w:color="auto"/>
              <w:right w:val="single" w:sz="4" w:space="0" w:color="auto"/>
            </w:tcBorders>
            <w:shd w:val="clear" w:color="auto" w:fill="auto"/>
            <w:vAlign w:val="center"/>
          </w:tcPr>
          <w:p w14:paraId="566B4D4C" w14:textId="77777777" w:rsidR="008D66C4" w:rsidRPr="008D66C4" w:rsidRDefault="008D66C4" w:rsidP="00855E72">
            <w:pPr>
              <w:jc w:val="center"/>
              <w:rPr>
                <w:rFonts w:ascii="Arial Narrow" w:eastAsia="Times New Roman" w:hAnsi="Arial Narrow" w:cs="Arial"/>
                <w:sz w:val="21"/>
                <w:szCs w:val="21"/>
                <w:lang w:eastAsia="en-AU"/>
              </w:rPr>
            </w:pP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6D814FEC" w14:textId="4F95D91A" w:rsidR="008D66C4" w:rsidRPr="008D66C4" w:rsidRDefault="003B67B3" w:rsidP="00855E72">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F</w:t>
            </w:r>
            <w:r w:rsidR="008D66C4" w:rsidRPr="008D66C4">
              <w:rPr>
                <w:rFonts w:ascii="Arial Narrow" w:eastAsia="Times New Roman" w:hAnsi="Arial Narrow" w:cs="Arial"/>
                <w:sz w:val="21"/>
                <w:szCs w:val="21"/>
                <w:lang w:eastAsia="en-AU"/>
              </w:rPr>
              <w:t>luticasone</w:t>
            </w:r>
            <w:r>
              <w:rPr>
                <w:rFonts w:ascii="Arial Narrow" w:eastAsia="Times New Roman" w:hAnsi="Arial Narrow" w:cs="Arial"/>
                <w:sz w:val="21"/>
                <w:szCs w:val="21"/>
                <w:lang w:eastAsia="en-AU"/>
              </w:rPr>
              <w:t xml:space="preserve"> propionate</w:t>
            </w:r>
            <w:r w:rsidR="008D66C4" w:rsidRPr="008D66C4">
              <w:rPr>
                <w:rFonts w:ascii="Arial Narrow" w:eastAsia="Times New Roman" w:hAnsi="Arial Narrow" w:cs="Arial"/>
                <w:sz w:val="21"/>
                <w:szCs w:val="21"/>
                <w:lang w:eastAsia="en-AU"/>
              </w:rPr>
              <w:t>/salmeterol</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14E3FF7B" w14:textId="16765AA4" w:rsidR="008D66C4" w:rsidRPr="008D66C4" w:rsidRDefault="008D66C4" w:rsidP="00855E72">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20.9%</w:t>
            </w:r>
          </w:p>
        </w:tc>
      </w:tr>
      <w:tr w:rsidR="008D66C4" w:rsidRPr="00586CBC" w14:paraId="1B755183" w14:textId="77777777" w:rsidTr="008D66C4">
        <w:trPr>
          <w:trHeight w:val="361"/>
        </w:trPr>
        <w:tc>
          <w:tcPr>
            <w:tcW w:w="1505" w:type="dxa"/>
            <w:vMerge/>
            <w:tcBorders>
              <w:left w:val="single" w:sz="4" w:space="0" w:color="auto"/>
              <w:bottom w:val="single" w:sz="4" w:space="0" w:color="auto"/>
              <w:right w:val="single" w:sz="4" w:space="0" w:color="auto"/>
            </w:tcBorders>
            <w:shd w:val="clear" w:color="auto" w:fill="auto"/>
            <w:vAlign w:val="center"/>
          </w:tcPr>
          <w:p w14:paraId="12666888" w14:textId="77777777" w:rsidR="008D66C4" w:rsidRPr="008D66C4" w:rsidRDefault="008D66C4" w:rsidP="00855E72">
            <w:pPr>
              <w:rPr>
                <w:rFonts w:ascii="Arial Narrow" w:eastAsia="Times New Roman" w:hAnsi="Arial Narrow" w:cs="Arial"/>
                <w:sz w:val="21"/>
                <w:szCs w:val="21"/>
                <w:lang w:eastAsia="en-AU"/>
              </w:rPr>
            </w:pPr>
          </w:p>
        </w:tc>
        <w:tc>
          <w:tcPr>
            <w:tcW w:w="1674" w:type="dxa"/>
            <w:vMerge/>
            <w:tcBorders>
              <w:left w:val="single" w:sz="4" w:space="0" w:color="auto"/>
              <w:bottom w:val="single" w:sz="4" w:space="0" w:color="auto"/>
              <w:right w:val="single" w:sz="4" w:space="0" w:color="auto"/>
            </w:tcBorders>
            <w:shd w:val="clear" w:color="auto" w:fill="auto"/>
            <w:vAlign w:val="center"/>
          </w:tcPr>
          <w:p w14:paraId="7DC4E4D2" w14:textId="77777777" w:rsidR="008D66C4" w:rsidRPr="008D66C4" w:rsidRDefault="008D66C4" w:rsidP="00855E72">
            <w:pPr>
              <w:jc w:val="center"/>
              <w:rPr>
                <w:rFonts w:ascii="Arial Narrow" w:eastAsia="Times New Roman" w:hAnsi="Arial Narrow" w:cs="Arial"/>
                <w:sz w:val="21"/>
                <w:szCs w:val="21"/>
                <w:lang w:eastAsia="en-AU"/>
              </w:rPr>
            </w:pPr>
          </w:p>
        </w:tc>
        <w:tc>
          <w:tcPr>
            <w:tcW w:w="5124" w:type="dxa"/>
            <w:tcBorders>
              <w:top w:val="single" w:sz="4" w:space="0" w:color="auto"/>
              <w:left w:val="single" w:sz="4" w:space="0" w:color="auto"/>
              <w:bottom w:val="single" w:sz="4" w:space="0" w:color="auto"/>
              <w:right w:val="single" w:sz="4" w:space="0" w:color="auto"/>
            </w:tcBorders>
            <w:shd w:val="clear" w:color="auto" w:fill="auto"/>
            <w:vAlign w:val="center"/>
          </w:tcPr>
          <w:p w14:paraId="058B4E12" w14:textId="259DECFA" w:rsidR="008D66C4" w:rsidRPr="008D66C4" w:rsidRDefault="008D66C4" w:rsidP="00855E72">
            <w:pPr>
              <w:jc w:val="center"/>
              <w:rPr>
                <w:rFonts w:ascii="Arial Narrow" w:eastAsia="Times New Roman" w:hAnsi="Arial Narrow" w:cs="Arial"/>
                <w:sz w:val="21"/>
                <w:szCs w:val="21"/>
                <w:lang w:eastAsia="en-AU"/>
              </w:rPr>
            </w:pPr>
            <w:r w:rsidRPr="008D66C4">
              <w:rPr>
                <w:rFonts w:ascii="Arial Narrow" w:eastAsia="Times New Roman" w:hAnsi="Arial Narrow" w:cs="Arial"/>
                <w:sz w:val="21"/>
                <w:szCs w:val="21"/>
                <w:lang w:eastAsia="en-AU"/>
              </w:rPr>
              <w:t>Tiotropium</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4C3EACBB" w14:textId="68423139" w:rsidR="008D66C4" w:rsidRPr="008D66C4" w:rsidRDefault="00D930DF" w:rsidP="00855E72">
            <w:pPr>
              <w:jc w:val="center"/>
              <w:rPr>
                <w:rFonts w:ascii="Arial Narrow" w:eastAsia="Times New Roman" w:hAnsi="Arial Narrow" w:cs="Arial"/>
                <w:sz w:val="21"/>
                <w:szCs w:val="21"/>
                <w:lang w:eastAsia="en-AU"/>
              </w:rPr>
            </w:pPr>
            <w:r>
              <w:rPr>
                <w:rFonts w:ascii="Arial Narrow" w:eastAsia="Times New Roman" w:hAnsi="Arial Narrow" w:cs="Arial"/>
                <w:sz w:val="21"/>
                <w:szCs w:val="21"/>
                <w:lang w:eastAsia="en-AU"/>
              </w:rPr>
              <w:t>15.8%</w:t>
            </w:r>
          </w:p>
        </w:tc>
      </w:tr>
    </w:tbl>
    <w:p w14:paraId="3CBE4BCE" w14:textId="77777777" w:rsidR="006B0934" w:rsidRDefault="006B0934" w:rsidP="00AB2D9A">
      <w:pPr>
        <w:pStyle w:val="BodyText"/>
      </w:pPr>
      <w:r>
        <w:t>From 2012 to 2016, the annual rate of all COPD prescriptions for COPD only patients increased from 9.0 to 11.2 scripts per 100 GP visits. The annual rate of all COPD prescriptions for COPD plus asthma patients was higher than for COPD only patients, and remained relatively stable with a mean average between 2012 and 2016 of 18.6 scripts per 100 GP visits.</w:t>
      </w:r>
    </w:p>
    <w:p w14:paraId="6073E0A2" w14:textId="76545095" w:rsidR="00AB2D9A" w:rsidRDefault="006B0934" w:rsidP="00EB67CC">
      <w:pPr>
        <w:pStyle w:val="BodyText"/>
        <w:rPr>
          <w:rFonts w:ascii="Arial" w:hAnsi="Arial" w:cs="Arial"/>
          <w:bCs/>
          <w:szCs w:val="26"/>
        </w:rPr>
      </w:pPr>
      <w:r>
        <w:t xml:space="preserve">A relatively high proportion (41.6%) of patients with COPD (with or without asthma) had no prescriptions </w:t>
      </w:r>
      <w:r w:rsidR="000F66AB">
        <w:t xml:space="preserve">for medicines of interest </w:t>
      </w:r>
      <w:r w:rsidR="001D1257">
        <w:t xml:space="preserve">printed </w:t>
      </w:r>
      <w:r>
        <w:t>in 2016. There are a number of potential explanations for this somewhat surprising result including: a proportion of patients with mild COPD treated with over-the-counter salbutamol, patients being prescribed medicines for COPD elsewhere (e.g. another practice or specialist), patients having enough prescriptions ordered at the end of 2015 to last all of 2016, poor adherence, true management (under-treatment gap), or patients who left the practice in 2016 but were included in the report because they had 3 visits in the last 2 years.</w:t>
      </w:r>
    </w:p>
    <w:p w14:paraId="219BED56" w14:textId="1D1C0132" w:rsidR="006B0934" w:rsidRPr="00CF3B02" w:rsidRDefault="00DC080C" w:rsidP="005D3504">
      <w:pPr>
        <w:pStyle w:val="Heading3"/>
      </w:pPr>
      <w:bookmarkStart w:id="79" w:name="_Toc486231797"/>
      <w:r w:rsidRPr="00CF3B02">
        <w:lastRenderedPageBreak/>
        <w:t>5.9</w:t>
      </w:r>
      <w:r w:rsidR="00AF559F" w:rsidRPr="00CF3B02">
        <w:t xml:space="preserve">.2 </w:t>
      </w:r>
      <w:r w:rsidR="006B0934" w:rsidRPr="00CF3B02">
        <w:t>Co-prescribing in 2016</w:t>
      </w:r>
      <w:bookmarkEnd w:id="79"/>
    </w:p>
    <w:p w14:paraId="2D00DE76" w14:textId="692E5C05" w:rsidR="006B0934" w:rsidRDefault="006B0934" w:rsidP="0033034B">
      <w:pPr>
        <w:pStyle w:val="BodyText"/>
        <w:spacing w:after="240"/>
      </w:pPr>
      <w:r>
        <w:t>According to patients’ current medications, 52.7% (n=20,352) of the patients with COPD only and 80.8% (n=16,558) of the patients with COPD plus asthma were currently on at least one maintenance therapy (i.e. LAMA, LABA or ICS). With regard to medicine combinations associated with safety concerns, these analyses suggest that around 3.9% of patients with COPD only on maintenance therapy may be at risk of having duplicated therapy and an additional 1.6% had concomitant use of a SAMA and a LAMA. Of patients with COPD plus asthma on maintenance therapy, 6.1% may be at risk of having duplicated therapy and 3.2% had concomitant use of a SAMA and a LAMA. Uses of ICS/LABA with a LABA, LAMA/LABA or a second ICS/LABA were the most common duplicated therapy combinations. This suggests that there may be some confusion among practitioners about the composition of the different formulations and the possibility of adverse events when certain formulations are combined.</w:t>
      </w:r>
    </w:p>
    <w:p w14:paraId="16ADC254" w14:textId="77CDD88C" w:rsidR="006B0934" w:rsidRPr="00CF3B02" w:rsidRDefault="00AF559F" w:rsidP="005D3504">
      <w:pPr>
        <w:pStyle w:val="Heading3"/>
      </w:pPr>
      <w:bookmarkStart w:id="80" w:name="_Toc486231798"/>
      <w:r w:rsidRPr="00CF3B02">
        <w:t>5.</w:t>
      </w:r>
      <w:r w:rsidR="00DC080C" w:rsidRPr="00CF3B02">
        <w:t>9</w:t>
      </w:r>
      <w:r w:rsidRPr="00CF3B02">
        <w:t>.3</w:t>
      </w:r>
      <w:r w:rsidRPr="00CF3B02">
        <w:tab/>
      </w:r>
      <w:r w:rsidR="006B0934" w:rsidRPr="00CF3B02">
        <w:t>Initial therapy for COPD</w:t>
      </w:r>
      <w:bookmarkEnd w:id="80"/>
    </w:p>
    <w:p w14:paraId="57A287CB" w14:textId="07C7F564" w:rsidR="006B0934" w:rsidRDefault="006B0934" w:rsidP="00AB2D9A">
      <w:pPr>
        <w:pStyle w:val="BodyText"/>
      </w:pPr>
      <w:r>
        <w:t xml:space="preserve">Of the </w:t>
      </w:r>
      <w:r w:rsidR="00892EB2">
        <w:t xml:space="preserve">30,650 </w:t>
      </w:r>
      <w:r>
        <w:t>regular patients 35 years and over with COPD</w:t>
      </w:r>
      <w:r w:rsidR="00664CDA">
        <w:t xml:space="preserve"> </w:t>
      </w:r>
      <w:r w:rsidR="00892EB2">
        <w:t>only</w:t>
      </w:r>
      <w:r>
        <w:t xml:space="preserve">, </w:t>
      </w:r>
      <w:r w:rsidR="00B363C0">
        <w:t xml:space="preserve">the MedicineInsight research project </w:t>
      </w:r>
      <w:r>
        <w:t>identified 3,</w:t>
      </w:r>
      <w:r w:rsidR="00892EB2">
        <w:t>043</w:t>
      </w:r>
      <w:r>
        <w:t xml:space="preserve"> who started therapy with a COPD medication (excluding SABA) between 1 July 2015 and 31 December 2016. </w:t>
      </w:r>
      <w:r w:rsidR="00076EBD">
        <w:t xml:space="preserve">Of these, </w:t>
      </w:r>
      <w:r>
        <w:t>4</w:t>
      </w:r>
      <w:r w:rsidR="00892EB2">
        <w:t>8.6</w:t>
      </w:r>
      <w:r>
        <w:t>% were prescribed only one medicine of interest as initial therapy, 4</w:t>
      </w:r>
      <w:r w:rsidR="00892EB2">
        <w:t>6.3</w:t>
      </w:r>
      <w:r>
        <w:t>% were prescribed dual therapy</w:t>
      </w:r>
      <w:r w:rsidR="00076EBD">
        <w:t>,</w:t>
      </w:r>
      <w:r>
        <w:t xml:space="preserve"> and 5</w:t>
      </w:r>
      <w:r w:rsidR="00892EB2">
        <w:t>.1</w:t>
      </w:r>
      <w:r>
        <w:t>% triple therapy. The most common choices of initial therapy by class were: dual therapy with ICS + LABA</w:t>
      </w:r>
      <w:r w:rsidR="00B363C0">
        <w:t xml:space="preserve"> (</w:t>
      </w:r>
      <w:r w:rsidR="00892EB2">
        <w:t>38.5</w:t>
      </w:r>
      <w:r>
        <w:t>%</w:t>
      </w:r>
      <w:r w:rsidR="00B363C0">
        <w:t>),</w:t>
      </w:r>
      <w:r>
        <w:t xml:space="preserve"> LAMA </w:t>
      </w:r>
      <w:proofErr w:type="gramStart"/>
      <w:r>
        <w:t>monotherapy</w:t>
      </w:r>
      <w:proofErr w:type="gramEnd"/>
      <w:r>
        <w:t xml:space="preserve"> </w:t>
      </w:r>
      <w:r w:rsidR="00B363C0">
        <w:t>(</w:t>
      </w:r>
      <w:r w:rsidR="00892EB2">
        <w:t>35.9</w:t>
      </w:r>
      <w:r>
        <w:t>%</w:t>
      </w:r>
      <w:r w:rsidR="00B363C0">
        <w:t>)</w:t>
      </w:r>
      <w:r w:rsidR="00076EBD">
        <w:t>,</w:t>
      </w:r>
      <w:r>
        <w:t xml:space="preserve"> and LAMA + LABA dual therapy </w:t>
      </w:r>
      <w:r w:rsidR="00B363C0">
        <w:t>(</w:t>
      </w:r>
      <w:r>
        <w:t>7.</w:t>
      </w:r>
      <w:r w:rsidR="00892EB2">
        <w:t>4</w:t>
      </w:r>
      <w:r>
        <w:t>%</w:t>
      </w:r>
      <w:r w:rsidR="00B363C0">
        <w:t>)</w:t>
      </w:r>
      <w:r>
        <w:t xml:space="preserve">. </w:t>
      </w:r>
      <w:r w:rsidR="00664CDA">
        <w:t>A significant amount of combination use of COPD medications was therefore observed to be outside clinical guidelines (</w:t>
      </w:r>
      <w:r w:rsidR="00892EB2">
        <w:t>51.4</w:t>
      </w:r>
      <w:r w:rsidR="00CF3B02">
        <w:t>%).</w:t>
      </w:r>
      <w:r w:rsidR="0026487B">
        <w:t xml:space="preserve"> </w:t>
      </w:r>
      <w:r>
        <w:t>The most common choices of initial therapy by individual medicine(s)</w:t>
      </w:r>
      <w:r w:rsidR="00B363C0">
        <w:t xml:space="preserve"> </w:t>
      </w:r>
      <w:r>
        <w:t>were</w:t>
      </w:r>
      <w:r w:rsidR="00B363C0">
        <w:t xml:space="preserve">: </w:t>
      </w:r>
      <w:r>
        <w:t>tiotropium</w:t>
      </w:r>
      <w:r w:rsidR="00B363C0">
        <w:t xml:space="preserve"> (</w:t>
      </w:r>
      <w:r>
        <w:t>2</w:t>
      </w:r>
      <w:r w:rsidR="00892EB2">
        <w:t>3</w:t>
      </w:r>
      <w:r>
        <w:t>.</w:t>
      </w:r>
      <w:r w:rsidR="00892EB2">
        <w:t>5</w:t>
      </w:r>
      <w:r>
        <w:t>%</w:t>
      </w:r>
      <w:r w:rsidR="00B363C0">
        <w:t>),</w:t>
      </w:r>
      <w:r>
        <w:t xml:space="preserve"> fluticasone</w:t>
      </w:r>
      <w:r w:rsidR="003B67B3">
        <w:t xml:space="preserve"> propionate</w:t>
      </w:r>
      <w:r>
        <w:t>/salmeterol</w:t>
      </w:r>
      <w:r w:rsidR="00B363C0">
        <w:t xml:space="preserve"> (</w:t>
      </w:r>
      <w:r w:rsidR="0030240C">
        <w:t>1</w:t>
      </w:r>
      <w:r>
        <w:t>7</w:t>
      </w:r>
      <w:r w:rsidR="0030240C">
        <w:t>.5</w:t>
      </w:r>
      <w:r>
        <w:t>%</w:t>
      </w:r>
      <w:r w:rsidR="00B363C0">
        <w:t>)</w:t>
      </w:r>
      <w:r>
        <w:t xml:space="preserve"> and budesonide/formoterol </w:t>
      </w:r>
      <w:r w:rsidR="00B363C0">
        <w:t>(</w:t>
      </w:r>
      <w:r w:rsidR="0030240C">
        <w:t>16.4</w:t>
      </w:r>
      <w:r>
        <w:t>%</w:t>
      </w:r>
      <w:r w:rsidR="00B363C0">
        <w:t>)</w:t>
      </w:r>
      <w:r>
        <w:t>.</w:t>
      </w:r>
    </w:p>
    <w:p w14:paraId="16802477" w14:textId="27DF8811" w:rsidR="000527D0" w:rsidRDefault="00E7269E" w:rsidP="00AB2D9A">
      <w:pPr>
        <w:pStyle w:val="BodyText"/>
      </w:pPr>
      <w:r>
        <w:t>When comparing initial therapy for COPD</w:t>
      </w:r>
      <w:r w:rsidR="000527D0">
        <w:t xml:space="preserve"> only</w:t>
      </w:r>
      <w:r>
        <w:t xml:space="preserve"> in the earlier period (July 2013 to June 2015) with the current period (July</w:t>
      </w:r>
      <w:r w:rsidR="00076EBD">
        <w:t xml:space="preserve"> 2015 to December 2016), </w:t>
      </w:r>
      <w:r>
        <w:t xml:space="preserve">initial therapy with: </w:t>
      </w:r>
    </w:p>
    <w:p w14:paraId="35DC0120" w14:textId="77777777" w:rsidR="000527D0" w:rsidRDefault="00E7269E" w:rsidP="000527D0">
      <w:pPr>
        <w:pStyle w:val="Bullettext"/>
      </w:pPr>
      <w:r>
        <w:t xml:space="preserve">LAMA increased from </w:t>
      </w:r>
      <w:r w:rsidR="0030240C">
        <w:t>27.3</w:t>
      </w:r>
      <w:r>
        <w:t>% to 3</w:t>
      </w:r>
      <w:r w:rsidR="0030240C">
        <w:t>5.9</w:t>
      </w:r>
      <w:r w:rsidR="000527D0">
        <w:t>%</w:t>
      </w:r>
    </w:p>
    <w:p w14:paraId="379CA71A" w14:textId="77777777" w:rsidR="000527D0" w:rsidRDefault="00E7269E" w:rsidP="000527D0">
      <w:pPr>
        <w:pStyle w:val="Bullettext"/>
      </w:pPr>
      <w:r>
        <w:t>LAMA + LABA increased from 1.</w:t>
      </w:r>
      <w:r w:rsidR="0030240C">
        <w:t>9</w:t>
      </w:r>
      <w:r>
        <w:t>% to 7</w:t>
      </w:r>
      <w:r w:rsidR="0030240C">
        <w:t>.4</w:t>
      </w:r>
      <w:r w:rsidR="000527D0">
        <w:t>%</w:t>
      </w:r>
    </w:p>
    <w:p w14:paraId="3F385BB7" w14:textId="77777777" w:rsidR="000527D0" w:rsidRDefault="00E7269E" w:rsidP="000527D0">
      <w:pPr>
        <w:pStyle w:val="Bullettext"/>
      </w:pPr>
      <w:r>
        <w:t xml:space="preserve">ICS + LABA decreased from </w:t>
      </w:r>
      <w:r w:rsidR="0030240C">
        <w:t>4</w:t>
      </w:r>
      <w:r>
        <w:t>7</w:t>
      </w:r>
      <w:r w:rsidR="0030240C">
        <w:t>.1</w:t>
      </w:r>
      <w:r>
        <w:t xml:space="preserve">% to </w:t>
      </w:r>
      <w:r w:rsidR="0030240C">
        <w:t>38.5</w:t>
      </w:r>
      <w:r w:rsidR="000527D0">
        <w:t>%</w:t>
      </w:r>
    </w:p>
    <w:p w14:paraId="570777FC" w14:textId="70235A90" w:rsidR="00E7269E" w:rsidRDefault="00E7269E" w:rsidP="000527D0">
      <w:pPr>
        <w:pStyle w:val="Bullettext"/>
      </w:pPr>
      <w:r>
        <w:t>ICS + LABA + LAMA decreased slightly from 5.</w:t>
      </w:r>
      <w:r w:rsidR="0030240C">
        <w:t>5</w:t>
      </w:r>
      <w:r>
        <w:t xml:space="preserve">% to </w:t>
      </w:r>
      <w:r w:rsidR="0030240C">
        <w:t>5.1</w:t>
      </w:r>
      <w:r>
        <w:t>%.</w:t>
      </w:r>
    </w:p>
    <w:p w14:paraId="64366042" w14:textId="63D875E6" w:rsidR="006B0934" w:rsidRDefault="006B0934" w:rsidP="00AB2D9A">
      <w:pPr>
        <w:pStyle w:val="BodyText"/>
      </w:pPr>
      <w:r>
        <w:t>Overall</w:t>
      </w:r>
      <w:r w:rsidR="000527D0">
        <w:t>,</w:t>
      </w:r>
      <w:r>
        <w:t xml:space="preserve"> while prescribing for patients with COPD </w:t>
      </w:r>
      <w:r w:rsidR="000527D0">
        <w:t xml:space="preserve">only </w:t>
      </w:r>
      <w:r>
        <w:t>appeared to conform to guidelines in many cases, there was good evidence of inappropriate prescribing. It was not possible to provide definitive evidence of inappropriate prescribing without an understanding of the seve</w:t>
      </w:r>
      <w:r w:rsidR="000527D0">
        <w:t>rity and stage of the disease. However, the COPD-X g</w:t>
      </w:r>
      <w:r>
        <w:t xml:space="preserve">uidelines recommend a stepwise approach to the initiation of COPD therapy, irrespective of treatment severity, until adequate control has been reached. This analysis found that </w:t>
      </w:r>
      <w:r w:rsidR="0030240C">
        <w:t>46.3</w:t>
      </w:r>
      <w:r>
        <w:t>% of patients with COPD</w:t>
      </w:r>
      <w:r w:rsidR="0030240C">
        <w:t xml:space="preserve"> only</w:t>
      </w:r>
      <w:r>
        <w:t xml:space="preserve"> were prescribed dual therapy at initiation and 5</w:t>
      </w:r>
      <w:r w:rsidR="0030240C">
        <w:t>.1</w:t>
      </w:r>
      <w:r w:rsidR="00CF3B02">
        <w:t>% triple therapy.</w:t>
      </w:r>
    </w:p>
    <w:p w14:paraId="49CE4167" w14:textId="3E185786" w:rsidR="006B0934" w:rsidRDefault="00AF559F" w:rsidP="005D3504">
      <w:pPr>
        <w:pStyle w:val="Heading3"/>
      </w:pPr>
      <w:bookmarkStart w:id="81" w:name="_Toc486231799"/>
      <w:r w:rsidRPr="00CF3B02">
        <w:lastRenderedPageBreak/>
        <w:t>5.</w:t>
      </w:r>
      <w:r w:rsidR="00DC080C" w:rsidRPr="00CF3B02">
        <w:t>9</w:t>
      </w:r>
      <w:r w:rsidRPr="00CF3B02">
        <w:t>.4</w:t>
      </w:r>
      <w:r w:rsidRPr="00CF3B02">
        <w:tab/>
      </w:r>
      <w:r w:rsidR="006B0934" w:rsidRPr="00CF3B02">
        <w:t>Associated care for COPD patients</w:t>
      </w:r>
      <w:bookmarkEnd w:id="81"/>
    </w:p>
    <w:p w14:paraId="5FC23C68" w14:textId="77777777" w:rsidR="006B0934" w:rsidRDefault="006B0934" w:rsidP="00AB2D9A">
      <w:pPr>
        <w:pStyle w:val="BodyText"/>
      </w:pPr>
      <w:r>
        <w:t xml:space="preserve">Among patients with COPD (all), 38.1% (n=22,524) ever had a record of one or more spirometry tests. This was lower than results reported in a 2012 survey of GPs which found 64% of COPD patients had undertaken a spirometry test for diagnosis, of which 60% were performed in the general practice. </w:t>
      </w:r>
    </w:p>
    <w:p w14:paraId="0697D63F" w14:textId="62A6B27D" w:rsidR="00B363C0" w:rsidRDefault="006B0934" w:rsidP="00AB2D9A">
      <w:pPr>
        <w:pStyle w:val="BodyText"/>
      </w:pPr>
      <w:r>
        <w:t>Overall, among patients with COPD (all), 26.3% (n=15,584) had ever been prescribed smoking cessation therapies. Among the 17,082 current smokers with COPD, 54.5% (n=9,313) had ever been prescribed smoking cessation therapy and of the 29,140 ex-smokers, 20.1% (n=5,865) had ever been prescribed smoking cessation therapy.</w:t>
      </w:r>
    </w:p>
    <w:p w14:paraId="2E873ADE" w14:textId="5577DFE3" w:rsidR="006B0934" w:rsidRPr="00CF3B02" w:rsidRDefault="00AF559F" w:rsidP="005D3504">
      <w:pPr>
        <w:pStyle w:val="Heading3"/>
      </w:pPr>
      <w:bookmarkStart w:id="82" w:name="_Toc486231800"/>
      <w:r w:rsidRPr="00CF3B02">
        <w:t>5</w:t>
      </w:r>
      <w:r w:rsidR="006B0934" w:rsidRPr="00CF3B02">
        <w:t>.</w:t>
      </w:r>
      <w:r w:rsidR="00DC080C" w:rsidRPr="00CF3B02">
        <w:t>9</w:t>
      </w:r>
      <w:r w:rsidR="006B0934" w:rsidRPr="00CF3B02">
        <w:t>.</w:t>
      </w:r>
      <w:r w:rsidRPr="00CF3B02">
        <w:t>5</w:t>
      </w:r>
      <w:r w:rsidR="00CB22DE">
        <w:tab/>
      </w:r>
      <w:r w:rsidR="006B0934" w:rsidRPr="00CF3B02">
        <w:t>Adverse events</w:t>
      </w:r>
      <w:bookmarkEnd w:id="82"/>
    </w:p>
    <w:p w14:paraId="3A239B7A" w14:textId="0922E0C0" w:rsidR="00B363C0" w:rsidRPr="00B363C0" w:rsidRDefault="00D443B9" w:rsidP="00EB67CC">
      <w:pPr>
        <w:spacing w:before="240" w:after="240"/>
      </w:pPr>
      <w:r>
        <w:t xml:space="preserve">The </w:t>
      </w:r>
      <w:proofErr w:type="gramStart"/>
      <w:r>
        <w:t xml:space="preserve">number of </w:t>
      </w:r>
      <w:r w:rsidR="000527D0">
        <w:t>AE</w:t>
      </w:r>
      <w:r>
        <w:t>s were</w:t>
      </w:r>
      <w:proofErr w:type="gramEnd"/>
      <w:r>
        <w:t xml:space="preserve"> recorded in the MedicineInsight program for COPD regardless </w:t>
      </w:r>
      <w:r w:rsidR="00B363C0" w:rsidRPr="00B363C0">
        <w:t>of the indication for therapy.</w:t>
      </w:r>
      <w:r w:rsidR="00CF3B02">
        <w:t xml:space="preserve"> Refer to </w:t>
      </w:r>
      <w:r w:rsidR="0033034B">
        <w:t>T</w:t>
      </w:r>
      <w:r w:rsidR="00CF3B02">
        <w:t>able 5.</w:t>
      </w:r>
      <w:r w:rsidR="0033034B">
        <w:t>9</w:t>
      </w:r>
      <w:r w:rsidR="00AB2D9A">
        <w:t xml:space="preserve"> for the number of </w:t>
      </w:r>
      <w:r w:rsidR="000527D0">
        <w:t>AE</w:t>
      </w:r>
      <w:r w:rsidR="00AB2D9A">
        <w:t xml:space="preserve">s by medicine class and a description of common </w:t>
      </w:r>
      <w:r w:rsidR="000527D0">
        <w:t>AE</w:t>
      </w:r>
      <w:r w:rsidR="00AB2D9A">
        <w:t>s.</w:t>
      </w:r>
    </w:p>
    <w:p w14:paraId="76DA4283" w14:textId="2C6C542D" w:rsidR="006B0934" w:rsidRPr="00CF3B02" w:rsidRDefault="00D443B9" w:rsidP="00EB67CC">
      <w:pPr>
        <w:pStyle w:val="01TableHEADINGleftaligned"/>
        <w:keepLines/>
        <w:rPr>
          <w:rFonts w:ascii="Arial" w:hAnsi="Arial"/>
          <w:iCs/>
          <w:sz w:val="20"/>
          <w:szCs w:val="18"/>
        </w:rPr>
      </w:pPr>
      <w:bookmarkStart w:id="83" w:name="_Toc486232651"/>
      <w:r w:rsidRPr="00C73269">
        <w:rPr>
          <w:rStyle w:val="TR5TableHeaderChar"/>
          <w:b/>
          <w:color w:val="auto"/>
          <w:sz w:val="20"/>
          <w:szCs w:val="20"/>
        </w:rPr>
        <w:t>Table 5.</w:t>
      </w:r>
      <w:r w:rsidR="0033034B" w:rsidRPr="0090763F">
        <w:rPr>
          <w:rStyle w:val="TR5TableHeaderChar"/>
          <w:b/>
          <w:color w:val="auto"/>
          <w:sz w:val="20"/>
          <w:szCs w:val="20"/>
        </w:rPr>
        <w:t>9</w:t>
      </w:r>
      <w:bookmarkEnd w:id="83"/>
      <w:r w:rsidR="00CF3B02" w:rsidRPr="00C73269">
        <w:rPr>
          <w:rStyle w:val="TR5TableHeaderChar"/>
          <w:b/>
          <w:sz w:val="20"/>
          <w:szCs w:val="20"/>
        </w:rPr>
        <w:tab/>
      </w:r>
      <w:r w:rsidR="006B0934" w:rsidRPr="00CF3B02">
        <w:rPr>
          <w:rFonts w:ascii="Arial" w:hAnsi="Arial"/>
          <w:iCs/>
          <w:sz w:val="20"/>
          <w:szCs w:val="18"/>
        </w:rPr>
        <w:t>The number of advers</w:t>
      </w:r>
      <w:r w:rsidRPr="00CF3B02">
        <w:rPr>
          <w:rFonts w:ascii="Arial" w:hAnsi="Arial"/>
          <w:iCs/>
          <w:sz w:val="20"/>
          <w:szCs w:val="18"/>
        </w:rPr>
        <w:t>e events recorded by drug class</w:t>
      </w:r>
      <w:r w:rsidR="002716D9">
        <w:rPr>
          <w:rFonts w:ascii="Arial" w:hAnsi="Arial"/>
          <w:iCs/>
          <w:sz w:val="20"/>
          <w:szCs w:val="18"/>
        </w:rPr>
        <w:t xml:space="preserve"> (MedicineInsight)</w:t>
      </w:r>
    </w:p>
    <w:tbl>
      <w:tblPr>
        <w:tblStyle w:val="TableGrid"/>
        <w:tblW w:w="0" w:type="auto"/>
        <w:tblLook w:val="04A0" w:firstRow="1" w:lastRow="0" w:firstColumn="1" w:lastColumn="0" w:noHBand="0" w:noVBand="1"/>
        <w:tblCaption w:val="Number of adverse events recorded by drug class based on MedicineInsight data"/>
      </w:tblPr>
      <w:tblGrid>
        <w:gridCol w:w="1271"/>
        <w:gridCol w:w="2552"/>
        <w:gridCol w:w="5805"/>
      </w:tblGrid>
      <w:tr w:rsidR="00B363C0" w:rsidRPr="00721457" w14:paraId="6F2183C4" w14:textId="77777777" w:rsidTr="00E7269E">
        <w:trPr>
          <w:cnfStyle w:val="100000000000" w:firstRow="1" w:lastRow="0" w:firstColumn="0" w:lastColumn="0" w:oddVBand="0" w:evenVBand="0" w:oddHBand="0" w:evenHBand="0" w:firstRowFirstColumn="0" w:firstRowLastColumn="0" w:lastRowFirstColumn="0" w:lastRowLastColumn="0"/>
        </w:trPr>
        <w:tc>
          <w:tcPr>
            <w:tcW w:w="1271" w:type="dxa"/>
          </w:tcPr>
          <w:p w14:paraId="19328F45" w14:textId="2E904560" w:rsidR="00B363C0" w:rsidRPr="00721457" w:rsidRDefault="00E7269E" w:rsidP="00EB67CC">
            <w:pPr>
              <w:pStyle w:val="BodyText"/>
              <w:keepNext/>
              <w:keepLines/>
              <w:spacing w:line="240" w:lineRule="auto"/>
              <w:rPr>
                <w:rFonts w:ascii="Arial Narrow" w:hAnsi="Arial Narrow" w:cs="Arial"/>
                <w:b/>
                <w:sz w:val="18"/>
                <w:szCs w:val="18"/>
              </w:rPr>
            </w:pPr>
            <w:r w:rsidRPr="00721457">
              <w:rPr>
                <w:rFonts w:ascii="Arial Narrow" w:hAnsi="Arial Narrow" w:cs="Arial"/>
                <w:b/>
                <w:sz w:val="18"/>
                <w:szCs w:val="18"/>
              </w:rPr>
              <w:t>Class</w:t>
            </w:r>
          </w:p>
        </w:tc>
        <w:tc>
          <w:tcPr>
            <w:tcW w:w="2552" w:type="dxa"/>
          </w:tcPr>
          <w:p w14:paraId="43AF0F86" w14:textId="6FC250A2" w:rsidR="00B363C0" w:rsidRPr="00721457" w:rsidRDefault="00E7269E" w:rsidP="00EB67CC">
            <w:pPr>
              <w:pStyle w:val="BodyText"/>
              <w:keepNext/>
              <w:keepLines/>
              <w:spacing w:line="240" w:lineRule="auto"/>
              <w:rPr>
                <w:rFonts w:ascii="Arial Narrow" w:hAnsi="Arial Narrow" w:cs="Arial"/>
                <w:b/>
                <w:sz w:val="18"/>
                <w:szCs w:val="18"/>
              </w:rPr>
            </w:pPr>
            <w:r w:rsidRPr="00721457">
              <w:rPr>
                <w:rFonts w:ascii="Arial Narrow" w:hAnsi="Arial Narrow" w:cs="Arial"/>
                <w:b/>
                <w:sz w:val="18"/>
                <w:szCs w:val="18"/>
              </w:rPr>
              <w:t>Number of event</w:t>
            </w:r>
          </w:p>
        </w:tc>
        <w:tc>
          <w:tcPr>
            <w:tcW w:w="5805" w:type="dxa"/>
          </w:tcPr>
          <w:p w14:paraId="2DF37022" w14:textId="0C9C521D" w:rsidR="00B363C0" w:rsidRPr="00721457" w:rsidRDefault="00E7269E" w:rsidP="00EB67CC">
            <w:pPr>
              <w:pStyle w:val="BodyText"/>
              <w:keepNext/>
              <w:keepLines/>
              <w:spacing w:line="240" w:lineRule="auto"/>
              <w:rPr>
                <w:rFonts w:ascii="Arial Narrow" w:hAnsi="Arial Narrow" w:cs="Arial"/>
                <w:b/>
                <w:sz w:val="18"/>
                <w:szCs w:val="18"/>
              </w:rPr>
            </w:pPr>
            <w:r w:rsidRPr="00721457">
              <w:rPr>
                <w:rFonts w:ascii="Arial Narrow" w:hAnsi="Arial Narrow" w:cs="Arial"/>
                <w:b/>
                <w:sz w:val="18"/>
                <w:szCs w:val="18"/>
              </w:rPr>
              <w:t>Description of adverse event</w:t>
            </w:r>
          </w:p>
        </w:tc>
      </w:tr>
      <w:tr w:rsidR="00B363C0" w:rsidRPr="00721457" w14:paraId="5698BFD6" w14:textId="77777777" w:rsidTr="00E7269E">
        <w:tc>
          <w:tcPr>
            <w:tcW w:w="1271" w:type="dxa"/>
          </w:tcPr>
          <w:p w14:paraId="73C8F7FA" w14:textId="0EAE7565" w:rsidR="00B363C0" w:rsidRPr="00721457" w:rsidRDefault="00B363C0" w:rsidP="00EB67CC">
            <w:pPr>
              <w:pStyle w:val="BodyText"/>
              <w:keepNext/>
              <w:keepLines/>
              <w:spacing w:line="240" w:lineRule="auto"/>
              <w:rPr>
                <w:rFonts w:ascii="Arial Narrow" w:hAnsi="Arial Narrow" w:cs="Arial"/>
                <w:sz w:val="18"/>
                <w:szCs w:val="18"/>
              </w:rPr>
            </w:pPr>
            <w:r w:rsidRPr="00721457">
              <w:rPr>
                <w:rFonts w:ascii="Arial Narrow" w:hAnsi="Arial Narrow" w:cs="Arial"/>
                <w:sz w:val="18"/>
                <w:szCs w:val="18"/>
              </w:rPr>
              <w:t>LAMA</w:t>
            </w:r>
          </w:p>
        </w:tc>
        <w:tc>
          <w:tcPr>
            <w:tcW w:w="2552" w:type="dxa"/>
          </w:tcPr>
          <w:p w14:paraId="7FDE22BC" w14:textId="49C33AFA" w:rsidR="00B363C0" w:rsidRPr="00721457" w:rsidRDefault="00B363C0" w:rsidP="00EB67CC">
            <w:pPr>
              <w:pStyle w:val="BodyText"/>
              <w:keepNext/>
              <w:keepLines/>
              <w:spacing w:line="240" w:lineRule="auto"/>
              <w:jc w:val="left"/>
              <w:rPr>
                <w:rFonts w:ascii="Arial Narrow" w:hAnsi="Arial Narrow" w:cs="Arial"/>
                <w:sz w:val="18"/>
                <w:szCs w:val="18"/>
              </w:rPr>
            </w:pPr>
            <w:r w:rsidRPr="00721457">
              <w:rPr>
                <w:rFonts w:ascii="Arial Narrow" w:hAnsi="Arial Narrow" w:cs="Arial"/>
                <w:sz w:val="18"/>
                <w:szCs w:val="18"/>
              </w:rPr>
              <w:t>1,528 adverse events, 318 were not specified</w:t>
            </w:r>
          </w:p>
        </w:tc>
        <w:tc>
          <w:tcPr>
            <w:tcW w:w="5805" w:type="dxa"/>
          </w:tcPr>
          <w:p w14:paraId="07E77C50" w14:textId="698B0D20" w:rsidR="00B363C0" w:rsidRPr="00721457" w:rsidRDefault="00E7269E" w:rsidP="00EB67CC">
            <w:pPr>
              <w:pStyle w:val="BodyText"/>
              <w:keepNext/>
              <w:keepLines/>
              <w:spacing w:line="240" w:lineRule="auto"/>
              <w:jc w:val="left"/>
              <w:rPr>
                <w:rFonts w:ascii="Arial Narrow" w:hAnsi="Arial Narrow" w:cs="Arial"/>
                <w:sz w:val="18"/>
                <w:szCs w:val="18"/>
              </w:rPr>
            </w:pPr>
            <w:r w:rsidRPr="00721457">
              <w:rPr>
                <w:rFonts w:ascii="Arial Narrow" w:hAnsi="Arial Narrow" w:cs="Arial"/>
                <w:sz w:val="18"/>
                <w:szCs w:val="18"/>
              </w:rPr>
              <w:t>C</w:t>
            </w:r>
            <w:r w:rsidR="00B363C0" w:rsidRPr="00721457">
              <w:rPr>
                <w:rFonts w:ascii="Arial Narrow" w:hAnsi="Arial Narrow" w:cs="Arial"/>
                <w:sz w:val="18"/>
                <w:szCs w:val="18"/>
              </w:rPr>
              <w:t xml:space="preserve">ough, dry mouth, laryngeal discomfort, rash, nausea, dyspnoea, pruritus, dizziness, vision blurred and headache. </w:t>
            </w:r>
          </w:p>
        </w:tc>
      </w:tr>
      <w:tr w:rsidR="00B363C0" w:rsidRPr="00721457" w14:paraId="30C6C599" w14:textId="77777777" w:rsidTr="00E7269E">
        <w:tc>
          <w:tcPr>
            <w:tcW w:w="1271" w:type="dxa"/>
          </w:tcPr>
          <w:p w14:paraId="3D04461D" w14:textId="55DA6374" w:rsidR="00B363C0" w:rsidRPr="00721457" w:rsidRDefault="00B363C0" w:rsidP="00EB67CC">
            <w:pPr>
              <w:pStyle w:val="BodyText"/>
              <w:keepNext/>
              <w:keepLines/>
              <w:spacing w:line="240" w:lineRule="auto"/>
              <w:rPr>
                <w:rFonts w:ascii="Arial Narrow" w:hAnsi="Arial Narrow" w:cs="Arial"/>
                <w:sz w:val="18"/>
                <w:szCs w:val="18"/>
              </w:rPr>
            </w:pPr>
            <w:r w:rsidRPr="00721457">
              <w:rPr>
                <w:rFonts w:ascii="Arial Narrow" w:hAnsi="Arial Narrow" w:cs="Arial"/>
                <w:sz w:val="18"/>
                <w:szCs w:val="18"/>
              </w:rPr>
              <w:t>LABA</w:t>
            </w:r>
          </w:p>
        </w:tc>
        <w:tc>
          <w:tcPr>
            <w:tcW w:w="2552" w:type="dxa"/>
          </w:tcPr>
          <w:p w14:paraId="6802AA6A" w14:textId="2A79327D" w:rsidR="00B363C0" w:rsidRPr="00721457" w:rsidRDefault="00B363C0" w:rsidP="00EB67CC">
            <w:pPr>
              <w:pStyle w:val="BodyText"/>
              <w:keepNext/>
              <w:keepLines/>
              <w:spacing w:line="240" w:lineRule="auto"/>
              <w:jc w:val="left"/>
              <w:rPr>
                <w:rFonts w:ascii="Arial Narrow" w:hAnsi="Arial Narrow" w:cs="Arial"/>
                <w:sz w:val="18"/>
                <w:szCs w:val="18"/>
              </w:rPr>
            </w:pPr>
            <w:r w:rsidRPr="00721457">
              <w:rPr>
                <w:rFonts w:ascii="Arial Narrow" w:hAnsi="Arial Narrow" w:cs="Arial"/>
                <w:sz w:val="18"/>
                <w:szCs w:val="18"/>
              </w:rPr>
              <w:t>598 adverse events, 138 were not specified</w:t>
            </w:r>
          </w:p>
        </w:tc>
        <w:tc>
          <w:tcPr>
            <w:tcW w:w="5805" w:type="dxa"/>
          </w:tcPr>
          <w:p w14:paraId="49508338" w14:textId="168373BF" w:rsidR="00B363C0" w:rsidRPr="00721457" w:rsidRDefault="00E7269E" w:rsidP="00EB67CC">
            <w:pPr>
              <w:pStyle w:val="BodyText"/>
              <w:keepNext/>
              <w:keepLines/>
              <w:spacing w:line="240" w:lineRule="auto"/>
              <w:jc w:val="left"/>
              <w:rPr>
                <w:rFonts w:ascii="Arial Narrow" w:hAnsi="Arial Narrow" w:cs="Arial"/>
                <w:sz w:val="18"/>
                <w:szCs w:val="18"/>
              </w:rPr>
            </w:pPr>
            <w:r w:rsidRPr="00721457">
              <w:rPr>
                <w:rFonts w:ascii="Arial Narrow" w:hAnsi="Arial Narrow" w:cs="Arial"/>
                <w:sz w:val="18"/>
                <w:szCs w:val="18"/>
              </w:rPr>
              <w:t>T</w:t>
            </w:r>
            <w:r w:rsidR="00B363C0" w:rsidRPr="00721457">
              <w:rPr>
                <w:rFonts w:ascii="Arial Narrow" w:hAnsi="Arial Narrow" w:cs="Arial"/>
                <w:sz w:val="18"/>
                <w:szCs w:val="18"/>
              </w:rPr>
              <w:t xml:space="preserve">remor, cough, rash, palpitations, muscle spasms, headache, nausea, laryngeal discomfort, tachycardia and dyspnoea. </w:t>
            </w:r>
          </w:p>
        </w:tc>
      </w:tr>
      <w:tr w:rsidR="00B363C0" w:rsidRPr="00721457" w14:paraId="351F4652" w14:textId="77777777" w:rsidTr="00E7269E">
        <w:tc>
          <w:tcPr>
            <w:tcW w:w="1271" w:type="dxa"/>
          </w:tcPr>
          <w:p w14:paraId="549758A5" w14:textId="456F79BC" w:rsidR="00B363C0" w:rsidRPr="00721457" w:rsidRDefault="00B363C0" w:rsidP="00EB67CC">
            <w:pPr>
              <w:pStyle w:val="BodyText"/>
              <w:keepNext/>
              <w:keepLines/>
              <w:spacing w:line="240" w:lineRule="auto"/>
              <w:rPr>
                <w:rFonts w:ascii="Arial Narrow" w:hAnsi="Arial Narrow" w:cs="Arial"/>
                <w:sz w:val="18"/>
                <w:szCs w:val="18"/>
              </w:rPr>
            </w:pPr>
            <w:r w:rsidRPr="00721457">
              <w:rPr>
                <w:rFonts w:ascii="Arial Narrow" w:hAnsi="Arial Narrow" w:cs="Arial"/>
                <w:sz w:val="18"/>
                <w:szCs w:val="18"/>
              </w:rPr>
              <w:t>LAMA+LA</w:t>
            </w:r>
            <w:r w:rsidR="00E7269E" w:rsidRPr="00721457">
              <w:rPr>
                <w:rFonts w:ascii="Arial Narrow" w:hAnsi="Arial Narrow" w:cs="Arial"/>
                <w:sz w:val="18"/>
                <w:szCs w:val="18"/>
              </w:rPr>
              <w:t>B</w:t>
            </w:r>
            <w:r w:rsidRPr="00721457">
              <w:rPr>
                <w:rFonts w:ascii="Arial Narrow" w:hAnsi="Arial Narrow" w:cs="Arial"/>
                <w:sz w:val="18"/>
                <w:szCs w:val="18"/>
              </w:rPr>
              <w:t>A</w:t>
            </w:r>
          </w:p>
        </w:tc>
        <w:tc>
          <w:tcPr>
            <w:tcW w:w="2552" w:type="dxa"/>
          </w:tcPr>
          <w:p w14:paraId="4D309885" w14:textId="1DE68CDD" w:rsidR="00B363C0" w:rsidRPr="00721457" w:rsidRDefault="00B363C0" w:rsidP="00EB67CC">
            <w:pPr>
              <w:pStyle w:val="BodyText"/>
              <w:keepNext/>
              <w:keepLines/>
              <w:spacing w:line="240" w:lineRule="auto"/>
              <w:jc w:val="left"/>
              <w:rPr>
                <w:rFonts w:ascii="Arial Narrow" w:hAnsi="Arial Narrow" w:cs="Arial"/>
                <w:sz w:val="18"/>
                <w:szCs w:val="18"/>
              </w:rPr>
            </w:pPr>
            <w:r w:rsidRPr="00721457">
              <w:rPr>
                <w:rFonts w:ascii="Arial Narrow" w:hAnsi="Arial Narrow" w:cs="Arial"/>
                <w:sz w:val="18"/>
                <w:szCs w:val="18"/>
              </w:rPr>
              <w:t>38 adverse events, 7 were not specified</w:t>
            </w:r>
          </w:p>
        </w:tc>
        <w:tc>
          <w:tcPr>
            <w:tcW w:w="5805" w:type="dxa"/>
          </w:tcPr>
          <w:p w14:paraId="5C57F357" w14:textId="4BFC282C" w:rsidR="00B363C0" w:rsidRPr="00721457" w:rsidRDefault="00E7269E" w:rsidP="00EB67CC">
            <w:pPr>
              <w:pStyle w:val="BodyText"/>
              <w:keepNext/>
              <w:keepLines/>
              <w:spacing w:line="240" w:lineRule="auto"/>
              <w:jc w:val="left"/>
              <w:rPr>
                <w:rFonts w:ascii="Arial Narrow" w:hAnsi="Arial Narrow" w:cs="Arial"/>
                <w:sz w:val="18"/>
                <w:szCs w:val="18"/>
              </w:rPr>
            </w:pPr>
            <w:r w:rsidRPr="00721457">
              <w:rPr>
                <w:rFonts w:ascii="Arial Narrow" w:hAnsi="Arial Narrow" w:cs="Arial"/>
                <w:sz w:val="18"/>
                <w:szCs w:val="18"/>
              </w:rPr>
              <w:t>C</w:t>
            </w:r>
            <w:r w:rsidR="00B363C0" w:rsidRPr="00721457">
              <w:rPr>
                <w:rFonts w:ascii="Arial Narrow" w:hAnsi="Arial Narrow" w:cs="Arial"/>
                <w:sz w:val="18"/>
                <w:szCs w:val="18"/>
              </w:rPr>
              <w:t xml:space="preserve">onstipation, cough, dysphonia, headache, nausea, tachycardia, anxiety, diarrhoea, epistaxis and malaise. </w:t>
            </w:r>
          </w:p>
        </w:tc>
      </w:tr>
      <w:tr w:rsidR="00B363C0" w:rsidRPr="00721457" w14:paraId="61D2C908" w14:textId="77777777" w:rsidTr="00E7269E">
        <w:tc>
          <w:tcPr>
            <w:tcW w:w="1271" w:type="dxa"/>
          </w:tcPr>
          <w:p w14:paraId="0BD978FB" w14:textId="75CE92B4" w:rsidR="00B363C0" w:rsidRPr="00721457" w:rsidRDefault="00B363C0" w:rsidP="00EB67CC">
            <w:pPr>
              <w:pStyle w:val="BodyText"/>
              <w:keepNext/>
              <w:keepLines/>
              <w:spacing w:line="240" w:lineRule="auto"/>
              <w:rPr>
                <w:rFonts w:ascii="Arial Narrow" w:hAnsi="Arial Narrow" w:cs="Arial"/>
                <w:sz w:val="18"/>
                <w:szCs w:val="18"/>
              </w:rPr>
            </w:pPr>
            <w:r w:rsidRPr="00721457">
              <w:rPr>
                <w:rFonts w:ascii="Arial Narrow" w:hAnsi="Arial Narrow" w:cs="Arial"/>
                <w:sz w:val="18"/>
                <w:szCs w:val="18"/>
              </w:rPr>
              <w:t>ICS+LABA</w:t>
            </w:r>
          </w:p>
        </w:tc>
        <w:tc>
          <w:tcPr>
            <w:tcW w:w="2552" w:type="dxa"/>
          </w:tcPr>
          <w:p w14:paraId="3102E9B6" w14:textId="6BAE069A" w:rsidR="00B363C0" w:rsidRPr="00721457" w:rsidRDefault="00B363C0" w:rsidP="00EB67CC">
            <w:pPr>
              <w:pStyle w:val="BodyText"/>
              <w:keepNext/>
              <w:keepLines/>
              <w:spacing w:line="240" w:lineRule="auto"/>
              <w:jc w:val="left"/>
              <w:rPr>
                <w:rFonts w:ascii="Arial Narrow" w:hAnsi="Arial Narrow" w:cs="Arial"/>
                <w:sz w:val="18"/>
                <w:szCs w:val="18"/>
              </w:rPr>
            </w:pPr>
            <w:r w:rsidRPr="00721457">
              <w:rPr>
                <w:rFonts w:ascii="Arial Narrow" w:hAnsi="Arial Narrow" w:cs="Arial"/>
                <w:sz w:val="18"/>
                <w:szCs w:val="18"/>
              </w:rPr>
              <w:t>2,275 adverse events, 499 were not specified.</w:t>
            </w:r>
          </w:p>
        </w:tc>
        <w:tc>
          <w:tcPr>
            <w:tcW w:w="5805" w:type="dxa"/>
          </w:tcPr>
          <w:p w14:paraId="57CCAB41" w14:textId="219587B7" w:rsidR="00B363C0" w:rsidRPr="00721457" w:rsidRDefault="00E7269E" w:rsidP="00EB67CC">
            <w:pPr>
              <w:pStyle w:val="BodyText"/>
              <w:keepNext/>
              <w:keepLines/>
              <w:spacing w:line="240" w:lineRule="auto"/>
              <w:jc w:val="left"/>
              <w:rPr>
                <w:rFonts w:ascii="Arial Narrow" w:hAnsi="Arial Narrow" w:cs="Arial"/>
                <w:sz w:val="18"/>
                <w:szCs w:val="18"/>
              </w:rPr>
            </w:pPr>
            <w:r w:rsidRPr="00721457">
              <w:rPr>
                <w:rFonts w:ascii="Arial Narrow" w:hAnsi="Arial Narrow" w:cs="Arial"/>
                <w:sz w:val="18"/>
                <w:szCs w:val="18"/>
              </w:rPr>
              <w:t>D</w:t>
            </w:r>
            <w:r w:rsidR="00B363C0" w:rsidRPr="00721457">
              <w:rPr>
                <w:rFonts w:ascii="Arial Narrow" w:hAnsi="Arial Narrow" w:cs="Arial"/>
                <w:sz w:val="18"/>
                <w:szCs w:val="18"/>
              </w:rPr>
              <w:t>ysphonia, rash, tremor, laryngeal discomfort, nausea,</w:t>
            </w:r>
            <w:r w:rsidR="00AB2D9A" w:rsidRPr="00721457">
              <w:rPr>
                <w:rFonts w:ascii="Arial Narrow" w:hAnsi="Arial Narrow" w:cs="Arial"/>
                <w:sz w:val="18"/>
                <w:szCs w:val="18"/>
              </w:rPr>
              <w:t xml:space="preserve"> </w:t>
            </w:r>
            <w:r w:rsidR="00B363C0" w:rsidRPr="00721457">
              <w:rPr>
                <w:rFonts w:ascii="Arial Narrow" w:hAnsi="Arial Narrow" w:cs="Arial"/>
                <w:sz w:val="18"/>
                <w:szCs w:val="18"/>
              </w:rPr>
              <w:t>cough, palpitations, oral candidiasis, headache and muscle spasms.</w:t>
            </w:r>
            <w:r w:rsidRPr="00721457">
              <w:rPr>
                <w:rFonts w:ascii="Arial Narrow" w:hAnsi="Arial Narrow" w:cs="Arial"/>
                <w:sz w:val="18"/>
                <w:szCs w:val="18"/>
              </w:rPr>
              <w:t xml:space="preserve"> </w:t>
            </w:r>
          </w:p>
        </w:tc>
      </w:tr>
    </w:tbl>
    <w:p w14:paraId="36B0F777" w14:textId="022FDA6A" w:rsidR="0065511F" w:rsidRDefault="0065511F">
      <w:pPr>
        <w:rPr>
          <w:rFonts w:ascii="Cambria" w:hAnsi="Cambria"/>
        </w:rPr>
      </w:pPr>
    </w:p>
    <w:p w14:paraId="229193E2" w14:textId="51C03A50" w:rsidR="0065511F" w:rsidRDefault="0065511F" w:rsidP="002138F2">
      <w:pPr>
        <w:pStyle w:val="BodyText"/>
        <w:spacing w:line="240" w:lineRule="auto"/>
      </w:pPr>
    </w:p>
    <w:sectPr w:rsidR="0065511F" w:rsidSect="00A60477">
      <w:footerReference w:type="default" r:id="rId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89B60" w14:textId="77777777" w:rsidR="00C43D95" w:rsidRDefault="00C43D95" w:rsidP="00B85972">
      <w:r>
        <w:separator/>
      </w:r>
    </w:p>
  </w:endnote>
  <w:endnote w:type="continuationSeparator" w:id="0">
    <w:p w14:paraId="0E59AC7D" w14:textId="77777777" w:rsidR="00C43D95" w:rsidRDefault="00C43D95" w:rsidP="00B8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95821" w14:textId="77777777" w:rsidR="001736E6" w:rsidRDefault="001736E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822749"/>
      <w:docPartObj>
        <w:docPartGallery w:val="Page Numbers (Bottom of Page)"/>
        <w:docPartUnique/>
      </w:docPartObj>
    </w:sdtPr>
    <w:sdtEndPr>
      <w:rPr>
        <w:noProof/>
      </w:rPr>
    </w:sdtEndPr>
    <w:sdtContent>
      <w:p w14:paraId="71487872" w14:textId="5ECC2FC9" w:rsidR="00DA6395" w:rsidRDefault="00DA6395" w:rsidP="00DA6395">
        <w:pPr>
          <w:pStyle w:val="FooterwithPortrait"/>
          <w:tabs>
            <w:tab w:val="clear" w:pos="9639"/>
            <w:tab w:val="left" w:pos="9180"/>
            <w:tab w:val="right" w:pos="14175"/>
          </w:tabs>
          <w:rPr>
            <w:noProof/>
          </w:rPr>
        </w:pPr>
        <w:r>
          <w:tab/>
        </w:r>
        <w:r>
          <w:tab/>
        </w:r>
        <w:r>
          <w:fldChar w:fldCharType="begin"/>
        </w:r>
        <w:r>
          <w:instrText xml:space="preserve"> PAGE   \* MERGEFORMAT </w:instrText>
        </w:r>
        <w:r>
          <w:fldChar w:fldCharType="separate"/>
        </w:r>
        <w:r w:rsidR="002F450F">
          <w:rPr>
            <w:noProof/>
          </w:rPr>
          <w:t>22</w:t>
        </w:r>
        <w:r>
          <w:rPr>
            <w:noProof/>
          </w:rPr>
          <w:fldChar w:fldCharType="end"/>
        </w:r>
      </w:p>
      <w:p w14:paraId="6438D464" w14:textId="77777777" w:rsidR="00DA6395" w:rsidRPr="00EB67CC" w:rsidRDefault="00DA6395" w:rsidP="00C43D95">
        <w:pPr>
          <w:pStyle w:val="FooterwithPortrait"/>
          <w:rPr>
            <w:noProof/>
          </w:rPr>
        </w:pPr>
        <w:r>
          <w:tab/>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493354"/>
      <w:docPartObj>
        <w:docPartGallery w:val="Page Numbers (Bottom of Page)"/>
        <w:docPartUnique/>
      </w:docPartObj>
    </w:sdtPr>
    <w:sdtEndPr>
      <w:rPr>
        <w:noProof/>
      </w:rPr>
    </w:sdtEndPr>
    <w:sdtContent>
      <w:p w14:paraId="678836B1" w14:textId="63D99AE7" w:rsidR="00DA6395" w:rsidRDefault="00C43D95" w:rsidP="00DA6395">
        <w:pPr>
          <w:pStyle w:val="FooterwithPortrait"/>
          <w:tabs>
            <w:tab w:val="clear" w:pos="9639"/>
            <w:tab w:val="left" w:pos="9210"/>
            <w:tab w:val="right" w:pos="14317"/>
          </w:tabs>
          <w:rPr>
            <w:noProof/>
          </w:rPr>
        </w:pPr>
        <w:r>
          <w:tab/>
        </w:r>
        <w:r w:rsidR="00DA6395">
          <w:fldChar w:fldCharType="begin"/>
        </w:r>
        <w:r w:rsidR="00DA6395">
          <w:instrText xml:space="preserve"> PAGE   \* MERGEFORMAT </w:instrText>
        </w:r>
        <w:r w:rsidR="00DA6395">
          <w:fldChar w:fldCharType="separate"/>
        </w:r>
        <w:r w:rsidR="002F450F">
          <w:rPr>
            <w:noProof/>
          </w:rPr>
          <w:t>26</w:t>
        </w:r>
        <w:r w:rsidR="00DA6395">
          <w:rPr>
            <w:noProof/>
          </w:rPr>
          <w:fldChar w:fldCharType="end"/>
        </w:r>
      </w:p>
      <w:p w14:paraId="6988DD53" w14:textId="0C73E405" w:rsidR="00C43D95" w:rsidRPr="00DA6395" w:rsidRDefault="002F450F" w:rsidP="00DA6395">
        <w:pPr>
          <w:pStyle w:val="Header"/>
          <w:pBdr>
            <w:bottom w:val="none" w:sz="0" w:space="0" w:color="auto"/>
          </w:pBdr>
          <w:spacing w:after="0"/>
          <w:jc w:val="center"/>
          <w:rPr>
            <w:b/>
          </w:rPr>
        </w:pP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933241"/>
      <w:docPartObj>
        <w:docPartGallery w:val="Page Numbers (Bottom of Page)"/>
        <w:docPartUnique/>
      </w:docPartObj>
    </w:sdtPr>
    <w:sdtEndPr>
      <w:rPr>
        <w:noProof/>
      </w:rPr>
    </w:sdtEndPr>
    <w:sdtContent>
      <w:p w14:paraId="50597EB5" w14:textId="5D962CA9" w:rsidR="00DA6395" w:rsidRDefault="00DA6395" w:rsidP="00DA6395">
        <w:pPr>
          <w:pStyle w:val="FooterwithPortrait"/>
          <w:tabs>
            <w:tab w:val="clear" w:pos="9639"/>
            <w:tab w:val="left" w:pos="14175"/>
            <w:tab w:val="right" w:pos="14317"/>
          </w:tabs>
          <w:rPr>
            <w:noProof/>
          </w:rPr>
        </w:pPr>
        <w:r>
          <w:tab/>
        </w:r>
        <w:r>
          <w:fldChar w:fldCharType="begin"/>
        </w:r>
        <w:r>
          <w:instrText xml:space="preserve"> PAGE   \* MERGEFORMAT </w:instrText>
        </w:r>
        <w:r>
          <w:fldChar w:fldCharType="separate"/>
        </w:r>
        <w:r w:rsidR="002F450F">
          <w:rPr>
            <w:noProof/>
          </w:rPr>
          <w:t>27</w:t>
        </w:r>
        <w:r>
          <w:rPr>
            <w:noProof/>
          </w:rPr>
          <w:fldChar w:fldCharType="end"/>
        </w:r>
      </w:p>
      <w:p w14:paraId="145EC73D" w14:textId="6FFA5815" w:rsidR="00DA6395" w:rsidRPr="00DA6395" w:rsidRDefault="002F450F" w:rsidP="00DA6395">
        <w:pPr>
          <w:pStyle w:val="Header"/>
          <w:pBdr>
            <w:bottom w:val="none" w:sz="0" w:space="0" w:color="auto"/>
          </w:pBdr>
          <w:spacing w:after="0"/>
          <w:jc w:val="center"/>
          <w:rPr>
            <w:b/>
          </w:rPr>
        </w:pP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444235"/>
      <w:docPartObj>
        <w:docPartGallery w:val="Page Numbers (Bottom of Page)"/>
        <w:docPartUnique/>
      </w:docPartObj>
    </w:sdtPr>
    <w:sdtEndPr>
      <w:rPr>
        <w:noProof/>
      </w:rPr>
    </w:sdtEndPr>
    <w:sdtContent>
      <w:p w14:paraId="23400063" w14:textId="23E86BD6" w:rsidR="00DA6395" w:rsidRDefault="00DA6395" w:rsidP="00DA6395">
        <w:pPr>
          <w:pStyle w:val="FooterwithPortrait"/>
          <w:tabs>
            <w:tab w:val="clear" w:pos="9639"/>
            <w:tab w:val="left" w:pos="14175"/>
            <w:tab w:val="right" w:pos="14317"/>
          </w:tabs>
          <w:ind w:left="8789" w:hanging="8789"/>
          <w:rPr>
            <w:noProof/>
          </w:rPr>
        </w:pPr>
        <w:r>
          <w:tab/>
        </w:r>
        <w:r>
          <w:fldChar w:fldCharType="begin"/>
        </w:r>
        <w:r>
          <w:instrText xml:space="preserve"> PAGE   \* MERGEFORMAT </w:instrText>
        </w:r>
        <w:r>
          <w:fldChar w:fldCharType="separate"/>
        </w:r>
        <w:r w:rsidR="002F450F">
          <w:rPr>
            <w:noProof/>
          </w:rPr>
          <w:t>33</w:t>
        </w:r>
        <w:r>
          <w:rPr>
            <w:noProof/>
          </w:rPr>
          <w:fldChar w:fldCharType="end"/>
        </w:r>
      </w:p>
      <w:p w14:paraId="695B8C23" w14:textId="7783B9A8" w:rsidR="00DA6395" w:rsidRPr="00DA6395" w:rsidRDefault="002F450F" w:rsidP="00DA6395">
        <w:pPr>
          <w:pStyle w:val="Header"/>
          <w:pBdr>
            <w:bottom w:val="none" w:sz="0" w:space="0" w:color="auto"/>
          </w:pBdr>
          <w:spacing w:after="0"/>
          <w:jc w:val="center"/>
          <w:rPr>
            <w:b/>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8A2F0" w14:textId="77777777" w:rsidR="00C43D95" w:rsidRDefault="00C43D95" w:rsidP="00704EF3">
    <w:pPr>
      <w:pStyle w:val="FooterwithPortrait"/>
    </w:pPr>
    <w:r w:rsidRPr="001C5235">
      <w:t>Post-market Review of COPD Medicines</w:t>
    </w:r>
    <w:r>
      <w:tab/>
    </w:r>
    <w:r>
      <w:fldChar w:fldCharType="begin"/>
    </w:r>
    <w:r>
      <w:instrText xml:space="preserve"> PAGE   \* MERGEFORMAT </w:instrText>
    </w:r>
    <w:r>
      <w:fldChar w:fldCharType="separate"/>
    </w:r>
    <w:r>
      <w:rPr>
        <w:noProof/>
      </w:rPr>
      <w:t>viii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EB3D2" w14:textId="7496E4FA" w:rsidR="00C43D95" w:rsidRDefault="00C43D95" w:rsidP="00C43D95">
    <w:pPr>
      <w:pStyle w:val="Footer"/>
      <w:pBdr>
        <w:top w:val="none" w:sz="0" w:space="0" w:color="auto"/>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390575"/>
      <w:docPartObj>
        <w:docPartGallery w:val="Page Numbers (Bottom of Page)"/>
        <w:docPartUnique/>
      </w:docPartObj>
    </w:sdtPr>
    <w:sdtEndPr>
      <w:rPr>
        <w:noProof/>
      </w:rPr>
    </w:sdtEndPr>
    <w:sdtContent>
      <w:p w14:paraId="7CCEE57A" w14:textId="7088A255" w:rsidR="00C43D95" w:rsidRDefault="00C43D95" w:rsidP="00C43D95">
        <w:pPr>
          <w:pStyle w:val="FooterwithPortrait"/>
          <w:tabs>
            <w:tab w:val="clear" w:pos="9639"/>
            <w:tab w:val="right" w:pos="9214"/>
          </w:tabs>
          <w:spacing w:before="120"/>
          <w:rPr>
            <w:noProof/>
          </w:rPr>
        </w:pPr>
        <w:r>
          <w:tab/>
        </w:r>
        <w:r>
          <w:fldChar w:fldCharType="begin"/>
        </w:r>
        <w:r>
          <w:instrText xml:space="preserve"> PAGE   \* MERGEFORMAT </w:instrText>
        </w:r>
        <w:r>
          <w:fldChar w:fldCharType="separate"/>
        </w:r>
        <w:r w:rsidR="002F450F">
          <w:rPr>
            <w:noProof/>
          </w:rPr>
          <w:t>2</w:t>
        </w:r>
        <w:r>
          <w:rPr>
            <w:noProof/>
          </w:rPr>
          <w:fldChar w:fldCharType="end"/>
        </w:r>
      </w:p>
    </w:sdtContent>
  </w:sdt>
  <w:p w14:paraId="5F861747" w14:textId="37C3E082" w:rsidR="00C43D95" w:rsidRDefault="00C43D95" w:rsidP="00C43D95">
    <w:pPr>
      <w:pStyle w:val="FooterwithPortrait"/>
      <w:tabs>
        <w:tab w:val="clear" w:pos="9639"/>
        <w:tab w:val="right" w:pos="9214"/>
      </w:tabs>
      <w:spacing w:before="0"/>
      <w:jc w:val="center"/>
      <w:rPr>
        <w:noProo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041911"/>
      <w:docPartObj>
        <w:docPartGallery w:val="Page Numbers (Bottom of Page)"/>
        <w:docPartUnique/>
      </w:docPartObj>
    </w:sdtPr>
    <w:sdtEndPr>
      <w:rPr>
        <w:noProof/>
      </w:rPr>
    </w:sdtEndPr>
    <w:sdtContent>
      <w:p w14:paraId="13822FCB" w14:textId="58CE487D" w:rsidR="00C43D95" w:rsidRDefault="00C43D95" w:rsidP="00C43D95">
        <w:pPr>
          <w:pStyle w:val="FooterwithPortrait"/>
          <w:tabs>
            <w:tab w:val="clear" w:pos="9639"/>
            <w:tab w:val="right" w:pos="14317"/>
          </w:tabs>
          <w:spacing w:before="120"/>
          <w:rPr>
            <w:noProof/>
          </w:rPr>
        </w:pPr>
        <w:r>
          <w:tab/>
        </w:r>
        <w:r>
          <w:fldChar w:fldCharType="begin"/>
        </w:r>
        <w:r>
          <w:instrText xml:space="preserve"> PAGE   \* MERGEFORMAT </w:instrText>
        </w:r>
        <w:r>
          <w:fldChar w:fldCharType="separate"/>
        </w:r>
        <w:r w:rsidR="002F450F">
          <w:rPr>
            <w:noProof/>
          </w:rPr>
          <w:t>13</w:t>
        </w:r>
        <w:r>
          <w:rPr>
            <w:noProof/>
          </w:rPr>
          <w:fldChar w:fldCharType="end"/>
        </w:r>
      </w:p>
    </w:sdtContent>
  </w:sdt>
  <w:p w14:paraId="04704A0E" w14:textId="2987C647" w:rsidR="00C43D95" w:rsidRDefault="00C43D95" w:rsidP="00C43D95">
    <w:pPr>
      <w:pStyle w:val="FooterwithPortrait"/>
      <w:tabs>
        <w:tab w:val="clear" w:pos="9639"/>
        <w:tab w:val="right" w:pos="9214"/>
      </w:tabs>
      <w:spacing w:before="0"/>
      <w:jc w:val="center"/>
      <w:rPr>
        <w:noProo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7F30C" w14:textId="49B250DF" w:rsidR="00C43D95" w:rsidRDefault="00C43D95" w:rsidP="005D3504">
    <w:pPr>
      <w:pStyle w:val="FooterwithPortrait"/>
      <w:rPr>
        <w:noProof/>
      </w:rPr>
    </w:pPr>
    <w:r>
      <w:tab/>
    </w:r>
    <w:r>
      <w:fldChar w:fldCharType="begin"/>
    </w:r>
    <w:r>
      <w:instrText xml:space="preserve"> PAGE   \* MERGEFORMAT </w:instrText>
    </w:r>
    <w:r>
      <w:fldChar w:fldCharType="separate"/>
    </w:r>
    <w:r w:rsidR="002F450F">
      <w:rPr>
        <w:noProof/>
      </w:rPr>
      <w:t>14</w:t>
    </w:r>
    <w:r>
      <w:rPr>
        <w:noProof/>
      </w:rPr>
      <w:fldChar w:fldCharType="end"/>
    </w:r>
  </w:p>
  <w:p w14:paraId="68E16C05" w14:textId="2536FDC6" w:rsidR="00C43D95" w:rsidRPr="00894600" w:rsidRDefault="00C43D95" w:rsidP="00C43D95">
    <w:pPr>
      <w:pStyle w:val="FooterwithPortrait"/>
      <w:spacing w:before="0"/>
      <w:jc w:val="center"/>
      <w:rPr>
        <w:noProof/>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73AB1" w14:textId="1868E5B7" w:rsidR="00C43D95" w:rsidRPr="00894600" w:rsidRDefault="00C43D95" w:rsidP="00AA3B67">
    <w:pPr>
      <w:pStyle w:val="FooterwithLandscape"/>
    </w:pPr>
    <w:r>
      <w:tab/>
    </w:r>
    <w:r>
      <w:fldChar w:fldCharType="begin"/>
    </w:r>
    <w:r>
      <w:instrText xml:space="preserve"> PAGE   \* MERGEFORMAT </w:instrText>
    </w:r>
    <w:r>
      <w:fldChar w:fldCharType="separate"/>
    </w:r>
    <w:r w:rsidR="002F450F">
      <w:rPr>
        <w:noProof/>
      </w:rPr>
      <w:t>17</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7BF40" w14:textId="4B9BEA37" w:rsidR="00C43D95" w:rsidRDefault="00C43D95" w:rsidP="005D3504">
    <w:pPr>
      <w:pStyle w:val="FooterwithPortrait"/>
      <w:rPr>
        <w:noProof/>
      </w:rPr>
    </w:pPr>
    <w:r>
      <w:tab/>
    </w:r>
    <w:r>
      <w:fldChar w:fldCharType="begin"/>
    </w:r>
    <w:r>
      <w:instrText xml:space="preserve"> PAGE   \* MERGEFORMAT </w:instrText>
    </w:r>
    <w:r>
      <w:fldChar w:fldCharType="separate"/>
    </w:r>
    <w:r w:rsidR="002F450F">
      <w:rPr>
        <w:noProof/>
      </w:rPr>
      <w:t>19</w:t>
    </w:r>
    <w:r>
      <w:rPr>
        <w:noProof/>
      </w:rPr>
      <w:fldChar w:fldCharType="end"/>
    </w:r>
  </w:p>
  <w:p w14:paraId="273657FC" w14:textId="7B88D68D" w:rsidR="00C43D95" w:rsidRPr="00894600" w:rsidRDefault="00C43D95" w:rsidP="00C43D95">
    <w:pPr>
      <w:pStyle w:val="FooterwithPortrait"/>
      <w:spacing w:before="0"/>
      <w:jc w:val="center"/>
      <w:rPr>
        <w:noProof/>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98252"/>
      <w:docPartObj>
        <w:docPartGallery w:val="Page Numbers (Bottom of Page)"/>
        <w:docPartUnique/>
      </w:docPartObj>
    </w:sdtPr>
    <w:sdtEndPr>
      <w:rPr>
        <w:noProof/>
      </w:rPr>
    </w:sdtEndPr>
    <w:sdtContent>
      <w:p w14:paraId="4D58A90A" w14:textId="6B3E6F63" w:rsidR="00C43D95" w:rsidRDefault="00C43D95" w:rsidP="00DA6395">
        <w:pPr>
          <w:pStyle w:val="FooterwithPortrait"/>
          <w:tabs>
            <w:tab w:val="clear" w:pos="9639"/>
            <w:tab w:val="left" w:pos="9180"/>
            <w:tab w:val="right" w:pos="14175"/>
          </w:tabs>
          <w:rPr>
            <w:noProof/>
          </w:rPr>
        </w:pPr>
        <w:r>
          <w:t xml:space="preserve">Draft Technical </w:t>
        </w:r>
        <w:r w:rsidRPr="00296C04">
          <w:t>Report</w:t>
        </w:r>
        <w:r>
          <w:tab/>
        </w:r>
        <w:r w:rsidR="00DA6395">
          <w:fldChar w:fldCharType="begin"/>
        </w:r>
        <w:r w:rsidR="00DA6395">
          <w:instrText xml:space="preserve"> PAGE   \* MERGEFORMAT </w:instrText>
        </w:r>
        <w:r w:rsidR="00DA6395">
          <w:fldChar w:fldCharType="separate"/>
        </w:r>
        <w:r w:rsidR="002F450F">
          <w:rPr>
            <w:noProof/>
          </w:rPr>
          <w:t>21</w:t>
        </w:r>
        <w:r w:rsidR="00DA6395">
          <w:rPr>
            <w:noProof/>
          </w:rPr>
          <w:fldChar w:fldCharType="end"/>
        </w:r>
        <w:r w:rsidR="00DA6395">
          <w:tab/>
        </w:r>
        <w:r>
          <w:fldChar w:fldCharType="begin"/>
        </w:r>
        <w:r>
          <w:instrText xml:space="preserve"> PAGE   \* MERGEFORMAT </w:instrText>
        </w:r>
        <w:r>
          <w:fldChar w:fldCharType="separate"/>
        </w:r>
        <w:r w:rsidR="002F450F">
          <w:rPr>
            <w:noProof/>
          </w:rPr>
          <w:t>21</w:t>
        </w:r>
        <w:r>
          <w:rPr>
            <w:noProof/>
          </w:rPr>
          <w:fldChar w:fldCharType="end"/>
        </w:r>
      </w:p>
      <w:p w14:paraId="572B68A3" w14:textId="77777777" w:rsidR="00C43D95" w:rsidRPr="00894600" w:rsidRDefault="00C43D95" w:rsidP="00C43D95">
        <w:pPr>
          <w:pStyle w:val="FooterwithPortrait"/>
          <w:spacing w:before="0"/>
          <w:jc w:val="center"/>
          <w:rPr>
            <w:noProof/>
          </w:rPr>
        </w:pPr>
        <w:r>
          <w:rPr>
            <w:b/>
          </w:rPr>
          <w:t>Committee-in-Confidence</w:t>
        </w:r>
      </w:p>
      <w:p w14:paraId="115FAE87" w14:textId="5D59B567" w:rsidR="00C43D95" w:rsidRPr="00EB67CC" w:rsidRDefault="00C43D95" w:rsidP="00C43D95">
        <w:pPr>
          <w:pStyle w:val="FooterwithPortrait"/>
          <w:rPr>
            <w:noProof/>
          </w:rPr>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0BDEA" w14:textId="77777777" w:rsidR="00C43D95" w:rsidRDefault="00C43D95" w:rsidP="00B85972">
      <w:r>
        <w:separator/>
      </w:r>
    </w:p>
  </w:footnote>
  <w:footnote w:type="continuationSeparator" w:id="0">
    <w:p w14:paraId="2B3B420C" w14:textId="77777777" w:rsidR="00C43D95" w:rsidRDefault="00C43D95" w:rsidP="00B85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B6646" w14:textId="77777777" w:rsidR="001736E6" w:rsidRDefault="001736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40ACE" w14:textId="03C2B428" w:rsidR="00C43D95" w:rsidRDefault="00C43D95" w:rsidP="00C43D95">
    <w:pPr>
      <w:pStyle w:val="Header"/>
      <w:spacing w:after="120"/>
    </w:pPr>
    <w:r>
      <w:t>Post-market Review of COPD Medicines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EA434" w14:textId="6FC91565" w:rsidR="00C43D95" w:rsidRDefault="00C43D95" w:rsidP="00704EF3">
    <w:pPr>
      <w:pStyle w:val="Header"/>
      <w:pBdr>
        <w:bottom w:val="none" w:sz="0" w:space="0"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482"/>
    <w:multiLevelType w:val="hybridMultilevel"/>
    <w:tmpl w:val="ED44FCB2"/>
    <w:lvl w:ilvl="0" w:tplc="FFC6DE9E">
      <w:start w:val="1"/>
      <w:numFmt w:val="bullet"/>
      <w:pStyle w:val="08Bulletsseriesofsentenc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4506CF"/>
    <w:multiLevelType w:val="hybridMultilevel"/>
    <w:tmpl w:val="EF42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4951C0"/>
    <w:multiLevelType w:val="hybridMultilevel"/>
    <w:tmpl w:val="DEB2F22A"/>
    <w:lvl w:ilvl="0" w:tplc="7ECA6BCC">
      <w:start w:val="1"/>
      <w:numFmt w:val="bullet"/>
      <w:pStyle w:val="Bullettextsecondlevel"/>
      <w:lvlText w:val=""/>
      <w:lvlJc w:val="left"/>
      <w:pPr>
        <w:ind w:left="814" w:hanging="360"/>
      </w:pPr>
      <w:rPr>
        <w:rFonts w:ascii="Wingdings" w:hAnsi="Wingdings" w:hint="default"/>
        <w:sz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5F28EB"/>
    <w:multiLevelType w:val="hybridMultilevel"/>
    <w:tmpl w:val="8F42767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5D242FF"/>
    <w:multiLevelType w:val="hybridMultilevel"/>
    <w:tmpl w:val="05C6D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1643A3"/>
    <w:multiLevelType w:val="hybridMultilevel"/>
    <w:tmpl w:val="F1027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CA4682"/>
    <w:multiLevelType w:val="hybridMultilevel"/>
    <w:tmpl w:val="95BCC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DD14F8"/>
    <w:multiLevelType w:val="hybridMultilevel"/>
    <w:tmpl w:val="E524431A"/>
    <w:styleLink w:val="Numbered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546A40"/>
    <w:multiLevelType w:val="hybridMultilevel"/>
    <w:tmpl w:val="753E4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C72136"/>
    <w:multiLevelType w:val="hybridMultilevel"/>
    <w:tmpl w:val="902EA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200690"/>
    <w:multiLevelType w:val="hybridMultilevel"/>
    <w:tmpl w:val="CFCC5C68"/>
    <w:lvl w:ilvl="0" w:tplc="3D380E06">
      <w:start w:val="1"/>
      <w:numFmt w:val="bullet"/>
      <w:pStyle w:val="08Tablebulletsecondlevel"/>
      <w:lvlText w:val=""/>
      <w:lvlJc w:val="left"/>
      <w:pPr>
        <w:ind w:left="1117" w:hanging="360"/>
      </w:pPr>
      <w:rPr>
        <w:rFonts w:ascii="Wingdings" w:hAnsi="Wingdings" w:hint="default"/>
        <w:sz w:val="17"/>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1">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0"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2727EDB"/>
    <w:multiLevelType w:val="hybridMultilevel"/>
    <w:tmpl w:val="F8E6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7956D8"/>
    <w:multiLevelType w:val="hybridMultilevel"/>
    <w:tmpl w:val="823CD69E"/>
    <w:lvl w:ilvl="0" w:tplc="E24AE6A4">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FA0F2B"/>
    <w:multiLevelType w:val="hybridMultilevel"/>
    <w:tmpl w:val="8A068968"/>
    <w:lvl w:ilvl="0" w:tplc="ECE0CFFE">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517A5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1E1209"/>
    <w:multiLevelType w:val="hybridMultilevel"/>
    <w:tmpl w:val="2BAA7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510C8E"/>
    <w:multiLevelType w:val="multilevel"/>
    <w:tmpl w:val="526C7668"/>
    <w:styleLink w:val="Numberedlist"/>
    <w:lvl w:ilvl="0">
      <w:start w:val="1"/>
      <w:numFmt w:val="none"/>
      <w:lvlText w:val="(%11)"/>
      <w:lvlJc w:val="left"/>
      <w:pPr>
        <w:ind w:left="0" w:firstLine="0"/>
      </w:pPr>
      <w:rPr>
        <w:rFonts w:hint="default"/>
      </w:rPr>
    </w:lvl>
    <w:lvl w:ilvl="1">
      <w:start w:val="2"/>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nsid w:val="3DB05B79"/>
    <w:multiLevelType w:val="hybridMultilevel"/>
    <w:tmpl w:val="E7FC3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241079D"/>
    <w:multiLevelType w:val="hybridMultilevel"/>
    <w:tmpl w:val="79C2A03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0">
    <w:nsid w:val="45C9616B"/>
    <w:multiLevelType w:val="hybridMultilevel"/>
    <w:tmpl w:val="0046C9B8"/>
    <w:styleLink w:val="1111111"/>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1">
    <w:nsid w:val="470D1241"/>
    <w:multiLevelType w:val="hybridMultilevel"/>
    <w:tmpl w:val="D4C2B5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995142E"/>
    <w:multiLevelType w:val="hybridMultilevel"/>
    <w:tmpl w:val="57220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A2F31A6"/>
    <w:multiLevelType w:val="hybridMultilevel"/>
    <w:tmpl w:val="B7420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B7666E"/>
    <w:multiLevelType w:val="hybridMultilevel"/>
    <w:tmpl w:val="9F56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995678"/>
    <w:multiLevelType w:val="hybridMultilevel"/>
    <w:tmpl w:val="27069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83525B"/>
    <w:multiLevelType w:val="hybridMultilevel"/>
    <w:tmpl w:val="6050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CF14380"/>
    <w:multiLevelType w:val="hybridMultilevel"/>
    <w:tmpl w:val="7BB43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DC6AB8"/>
    <w:multiLevelType w:val="hybridMultilevel"/>
    <w:tmpl w:val="95C6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8E576E"/>
    <w:multiLevelType w:val="hybridMultilevel"/>
    <w:tmpl w:val="5630E5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nsid w:val="6B5856DB"/>
    <w:multiLevelType w:val="hybridMultilevel"/>
    <w:tmpl w:val="8866478C"/>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1">
    <w:nsid w:val="799170CD"/>
    <w:multiLevelType w:val="hybridMultilevel"/>
    <w:tmpl w:val="299A7D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nsid w:val="79AD338D"/>
    <w:multiLevelType w:val="hybridMultilevel"/>
    <w:tmpl w:val="8820D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7"/>
  </w:num>
  <w:num w:numId="5">
    <w:abstractNumId w:val="10"/>
  </w:num>
  <w:num w:numId="6">
    <w:abstractNumId w:val="0"/>
  </w:num>
  <w:num w:numId="7">
    <w:abstractNumId w:val="17"/>
  </w:num>
  <w:num w:numId="8">
    <w:abstractNumId w:val="15"/>
  </w:num>
  <w:num w:numId="9">
    <w:abstractNumId w:val="20"/>
  </w:num>
  <w:num w:numId="10">
    <w:abstractNumId w:val="11"/>
  </w:num>
  <w:num w:numId="11">
    <w:abstractNumId w:val="19"/>
  </w:num>
  <w:num w:numId="12">
    <w:abstractNumId w:val="28"/>
  </w:num>
  <w:num w:numId="13">
    <w:abstractNumId w:val="32"/>
  </w:num>
  <w:num w:numId="14">
    <w:abstractNumId w:val="12"/>
  </w:num>
  <w:num w:numId="15">
    <w:abstractNumId w:val="24"/>
  </w:num>
  <w:num w:numId="16">
    <w:abstractNumId w:val="25"/>
  </w:num>
  <w:num w:numId="17">
    <w:abstractNumId w:val="16"/>
  </w:num>
  <w:num w:numId="18">
    <w:abstractNumId w:val="4"/>
  </w:num>
  <w:num w:numId="19">
    <w:abstractNumId w:val="1"/>
  </w:num>
  <w:num w:numId="20">
    <w:abstractNumId w:val="18"/>
  </w:num>
  <w:num w:numId="21">
    <w:abstractNumId w:val="6"/>
  </w:num>
  <w:num w:numId="22">
    <w:abstractNumId w:val="22"/>
  </w:num>
  <w:num w:numId="23">
    <w:abstractNumId w:val="8"/>
  </w:num>
  <w:num w:numId="24">
    <w:abstractNumId w:val="21"/>
  </w:num>
  <w:num w:numId="25">
    <w:abstractNumId w:val="27"/>
  </w:num>
  <w:num w:numId="26">
    <w:abstractNumId w:val="23"/>
  </w:num>
  <w:num w:numId="27">
    <w:abstractNumId w:val="3"/>
  </w:num>
  <w:num w:numId="28">
    <w:abstractNumId w:val="13"/>
  </w:num>
  <w:num w:numId="29">
    <w:abstractNumId w:val="5"/>
  </w:num>
  <w:num w:numId="30">
    <w:abstractNumId w:val="26"/>
  </w:num>
  <w:num w:numId="31">
    <w:abstractNumId w:val="29"/>
  </w:num>
  <w:num w:numId="32">
    <w:abstractNumId w:val="30"/>
  </w:num>
  <w:num w:numId="33">
    <w:abstractNumId w:val="31"/>
  </w:num>
  <w:num w:numId="3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72"/>
    <w:rsid w:val="000013F1"/>
    <w:rsid w:val="00003743"/>
    <w:rsid w:val="00011B80"/>
    <w:rsid w:val="00013964"/>
    <w:rsid w:val="0001611C"/>
    <w:rsid w:val="0002121E"/>
    <w:rsid w:val="00023F27"/>
    <w:rsid w:val="00030640"/>
    <w:rsid w:val="000373B4"/>
    <w:rsid w:val="00047AA2"/>
    <w:rsid w:val="00050352"/>
    <w:rsid w:val="00050E94"/>
    <w:rsid w:val="000527D0"/>
    <w:rsid w:val="00054730"/>
    <w:rsid w:val="000574D3"/>
    <w:rsid w:val="00062C09"/>
    <w:rsid w:val="00064CA4"/>
    <w:rsid w:val="000656F8"/>
    <w:rsid w:val="00067456"/>
    <w:rsid w:val="00076269"/>
    <w:rsid w:val="00076EBD"/>
    <w:rsid w:val="0008429C"/>
    <w:rsid w:val="00085E0E"/>
    <w:rsid w:val="00093A03"/>
    <w:rsid w:val="00097153"/>
    <w:rsid w:val="000A03AD"/>
    <w:rsid w:val="000A558B"/>
    <w:rsid w:val="000B2625"/>
    <w:rsid w:val="000B4072"/>
    <w:rsid w:val="000B5E75"/>
    <w:rsid w:val="000C24CB"/>
    <w:rsid w:val="000C3295"/>
    <w:rsid w:val="000E09F2"/>
    <w:rsid w:val="000E1DCE"/>
    <w:rsid w:val="000E6EB2"/>
    <w:rsid w:val="000F66AB"/>
    <w:rsid w:val="001041B8"/>
    <w:rsid w:val="001048C7"/>
    <w:rsid w:val="00106EC7"/>
    <w:rsid w:val="00113033"/>
    <w:rsid w:val="00115404"/>
    <w:rsid w:val="00122921"/>
    <w:rsid w:val="001229CE"/>
    <w:rsid w:val="00131B6C"/>
    <w:rsid w:val="00137DE1"/>
    <w:rsid w:val="001412B8"/>
    <w:rsid w:val="00147763"/>
    <w:rsid w:val="001563B4"/>
    <w:rsid w:val="00160D80"/>
    <w:rsid w:val="00161761"/>
    <w:rsid w:val="001638E3"/>
    <w:rsid w:val="00165379"/>
    <w:rsid w:val="00165EA8"/>
    <w:rsid w:val="0016687F"/>
    <w:rsid w:val="00166C3F"/>
    <w:rsid w:val="001736E6"/>
    <w:rsid w:val="001775E8"/>
    <w:rsid w:val="00184944"/>
    <w:rsid w:val="00184DA3"/>
    <w:rsid w:val="00186975"/>
    <w:rsid w:val="00187358"/>
    <w:rsid w:val="0019085B"/>
    <w:rsid w:val="0019239C"/>
    <w:rsid w:val="001B309C"/>
    <w:rsid w:val="001B3443"/>
    <w:rsid w:val="001B4E87"/>
    <w:rsid w:val="001C07F6"/>
    <w:rsid w:val="001C35EE"/>
    <w:rsid w:val="001C47F5"/>
    <w:rsid w:val="001D1257"/>
    <w:rsid w:val="001D4BC6"/>
    <w:rsid w:val="001D6844"/>
    <w:rsid w:val="001E6074"/>
    <w:rsid w:val="001E6B69"/>
    <w:rsid w:val="001F1F1E"/>
    <w:rsid w:val="001F58E9"/>
    <w:rsid w:val="0020630E"/>
    <w:rsid w:val="002138F2"/>
    <w:rsid w:val="0021626D"/>
    <w:rsid w:val="00222696"/>
    <w:rsid w:val="00223F1E"/>
    <w:rsid w:val="002325FE"/>
    <w:rsid w:val="00236EAE"/>
    <w:rsid w:val="00242AE9"/>
    <w:rsid w:val="00243338"/>
    <w:rsid w:val="00253C2E"/>
    <w:rsid w:val="00257875"/>
    <w:rsid w:val="00261CF3"/>
    <w:rsid w:val="0026487B"/>
    <w:rsid w:val="0026535A"/>
    <w:rsid w:val="002716D9"/>
    <w:rsid w:val="00274521"/>
    <w:rsid w:val="002A05DE"/>
    <w:rsid w:val="002B1EAA"/>
    <w:rsid w:val="002C351B"/>
    <w:rsid w:val="002C4B2B"/>
    <w:rsid w:val="002D2EBD"/>
    <w:rsid w:val="002D73E1"/>
    <w:rsid w:val="002E0754"/>
    <w:rsid w:val="002E28E4"/>
    <w:rsid w:val="002E4D5E"/>
    <w:rsid w:val="002F06DC"/>
    <w:rsid w:val="002F3AE3"/>
    <w:rsid w:val="002F450F"/>
    <w:rsid w:val="0030240C"/>
    <w:rsid w:val="0030786C"/>
    <w:rsid w:val="00312228"/>
    <w:rsid w:val="003153CF"/>
    <w:rsid w:val="003251DE"/>
    <w:rsid w:val="0033034B"/>
    <w:rsid w:val="00345363"/>
    <w:rsid w:val="00345A80"/>
    <w:rsid w:val="00345FCE"/>
    <w:rsid w:val="00360813"/>
    <w:rsid w:val="00360DFB"/>
    <w:rsid w:val="00362F0E"/>
    <w:rsid w:val="00377EEA"/>
    <w:rsid w:val="003845AC"/>
    <w:rsid w:val="0038769B"/>
    <w:rsid w:val="00394E82"/>
    <w:rsid w:val="003B67B3"/>
    <w:rsid w:val="003C385C"/>
    <w:rsid w:val="003D17F9"/>
    <w:rsid w:val="003E2F72"/>
    <w:rsid w:val="004006D7"/>
    <w:rsid w:val="00405C98"/>
    <w:rsid w:val="0041324E"/>
    <w:rsid w:val="00413B05"/>
    <w:rsid w:val="0041494E"/>
    <w:rsid w:val="004164A1"/>
    <w:rsid w:val="00423C1F"/>
    <w:rsid w:val="0043011D"/>
    <w:rsid w:val="004315F9"/>
    <w:rsid w:val="004377F5"/>
    <w:rsid w:val="004525D1"/>
    <w:rsid w:val="00456902"/>
    <w:rsid w:val="00457C58"/>
    <w:rsid w:val="00463871"/>
    <w:rsid w:val="004674D9"/>
    <w:rsid w:val="0046762F"/>
    <w:rsid w:val="00470021"/>
    <w:rsid w:val="004707DE"/>
    <w:rsid w:val="004867E2"/>
    <w:rsid w:val="004A114A"/>
    <w:rsid w:val="004B2276"/>
    <w:rsid w:val="004C3AEF"/>
    <w:rsid w:val="004C7315"/>
    <w:rsid w:val="004D6C8D"/>
    <w:rsid w:val="004F1518"/>
    <w:rsid w:val="004F53B7"/>
    <w:rsid w:val="004F6008"/>
    <w:rsid w:val="00505202"/>
    <w:rsid w:val="005150AC"/>
    <w:rsid w:val="00531771"/>
    <w:rsid w:val="00535F36"/>
    <w:rsid w:val="0054495E"/>
    <w:rsid w:val="00547B27"/>
    <w:rsid w:val="005504EA"/>
    <w:rsid w:val="005513E4"/>
    <w:rsid w:val="00553341"/>
    <w:rsid w:val="00555CCB"/>
    <w:rsid w:val="00573EC3"/>
    <w:rsid w:val="00583DFC"/>
    <w:rsid w:val="00587F24"/>
    <w:rsid w:val="005A1F22"/>
    <w:rsid w:val="005A6706"/>
    <w:rsid w:val="005A7139"/>
    <w:rsid w:val="005B235E"/>
    <w:rsid w:val="005B3207"/>
    <w:rsid w:val="005B3478"/>
    <w:rsid w:val="005B6307"/>
    <w:rsid w:val="005B7F33"/>
    <w:rsid w:val="005C4296"/>
    <w:rsid w:val="005D05F5"/>
    <w:rsid w:val="005D3504"/>
    <w:rsid w:val="005D5B65"/>
    <w:rsid w:val="005D78DC"/>
    <w:rsid w:val="005D7FCE"/>
    <w:rsid w:val="005E0D10"/>
    <w:rsid w:val="005F1D52"/>
    <w:rsid w:val="005F6081"/>
    <w:rsid w:val="00607730"/>
    <w:rsid w:val="006156B2"/>
    <w:rsid w:val="0062722F"/>
    <w:rsid w:val="006311C2"/>
    <w:rsid w:val="006359F4"/>
    <w:rsid w:val="00651525"/>
    <w:rsid w:val="00653571"/>
    <w:rsid w:val="0065511F"/>
    <w:rsid w:val="0065539E"/>
    <w:rsid w:val="00655D21"/>
    <w:rsid w:val="00664CDA"/>
    <w:rsid w:val="00674365"/>
    <w:rsid w:val="006762CD"/>
    <w:rsid w:val="00677DE5"/>
    <w:rsid w:val="006832E5"/>
    <w:rsid w:val="00686EC8"/>
    <w:rsid w:val="00687947"/>
    <w:rsid w:val="006A18A5"/>
    <w:rsid w:val="006A7169"/>
    <w:rsid w:val="006B0934"/>
    <w:rsid w:val="006B2D19"/>
    <w:rsid w:val="006B63F7"/>
    <w:rsid w:val="006D28EA"/>
    <w:rsid w:val="006E195E"/>
    <w:rsid w:val="006F0FB4"/>
    <w:rsid w:val="00704EF3"/>
    <w:rsid w:val="0071143D"/>
    <w:rsid w:val="00714C0B"/>
    <w:rsid w:val="00717157"/>
    <w:rsid w:val="00721457"/>
    <w:rsid w:val="00730670"/>
    <w:rsid w:val="00742A10"/>
    <w:rsid w:val="00745D10"/>
    <w:rsid w:val="0074776B"/>
    <w:rsid w:val="0074779D"/>
    <w:rsid w:val="00751775"/>
    <w:rsid w:val="007627E3"/>
    <w:rsid w:val="007634CF"/>
    <w:rsid w:val="00763992"/>
    <w:rsid w:val="0076412C"/>
    <w:rsid w:val="0077015B"/>
    <w:rsid w:val="00770961"/>
    <w:rsid w:val="00784C6A"/>
    <w:rsid w:val="00785B3E"/>
    <w:rsid w:val="00786DA4"/>
    <w:rsid w:val="00792C69"/>
    <w:rsid w:val="007A00B1"/>
    <w:rsid w:val="007A3695"/>
    <w:rsid w:val="007C1840"/>
    <w:rsid w:val="007C253E"/>
    <w:rsid w:val="007E5CEB"/>
    <w:rsid w:val="007E6A90"/>
    <w:rsid w:val="007F0AAB"/>
    <w:rsid w:val="007F29A3"/>
    <w:rsid w:val="0080674D"/>
    <w:rsid w:val="0081172E"/>
    <w:rsid w:val="0081540C"/>
    <w:rsid w:val="00820FAD"/>
    <w:rsid w:val="008264EB"/>
    <w:rsid w:val="00826E48"/>
    <w:rsid w:val="00840CA6"/>
    <w:rsid w:val="0084128E"/>
    <w:rsid w:val="0084308F"/>
    <w:rsid w:val="00846B10"/>
    <w:rsid w:val="008476F7"/>
    <w:rsid w:val="00855E72"/>
    <w:rsid w:val="00856E47"/>
    <w:rsid w:val="0086310F"/>
    <w:rsid w:val="008667F7"/>
    <w:rsid w:val="00873D47"/>
    <w:rsid w:val="00892EB2"/>
    <w:rsid w:val="00894146"/>
    <w:rsid w:val="008954B8"/>
    <w:rsid w:val="00895693"/>
    <w:rsid w:val="008A0506"/>
    <w:rsid w:val="008A31FD"/>
    <w:rsid w:val="008A77F1"/>
    <w:rsid w:val="008A7F43"/>
    <w:rsid w:val="008B2726"/>
    <w:rsid w:val="008B2F4D"/>
    <w:rsid w:val="008B3393"/>
    <w:rsid w:val="008C073B"/>
    <w:rsid w:val="008C25D5"/>
    <w:rsid w:val="008C4B75"/>
    <w:rsid w:val="008C7779"/>
    <w:rsid w:val="008D536B"/>
    <w:rsid w:val="008D5CE6"/>
    <w:rsid w:val="008D66C4"/>
    <w:rsid w:val="008D6B5F"/>
    <w:rsid w:val="008E5E25"/>
    <w:rsid w:val="008E65BC"/>
    <w:rsid w:val="008E73B7"/>
    <w:rsid w:val="008F7B11"/>
    <w:rsid w:val="00900C43"/>
    <w:rsid w:val="0090759D"/>
    <w:rsid w:val="0090763F"/>
    <w:rsid w:val="0090782E"/>
    <w:rsid w:val="00916803"/>
    <w:rsid w:val="00921EB9"/>
    <w:rsid w:val="009242DE"/>
    <w:rsid w:val="00934D27"/>
    <w:rsid w:val="0094066B"/>
    <w:rsid w:val="00940DF4"/>
    <w:rsid w:val="00942486"/>
    <w:rsid w:val="00950133"/>
    <w:rsid w:val="00954773"/>
    <w:rsid w:val="00963E63"/>
    <w:rsid w:val="00967804"/>
    <w:rsid w:val="00972D63"/>
    <w:rsid w:val="00975CB4"/>
    <w:rsid w:val="00993887"/>
    <w:rsid w:val="00993CA0"/>
    <w:rsid w:val="009A2144"/>
    <w:rsid w:val="009C12A1"/>
    <w:rsid w:val="009D302F"/>
    <w:rsid w:val="009E1DB1"/>
    <w:rsid w:val="009F0ACA"/>
    <w:rsid w:val="009F0CBD"/>
    <w:rsid w:val="009F4653"/>
    <w:rsid w:val="009F74FB"/>
    <w:rsid w:val="00A0386E"/>
    <w:rsid w:val="00A05161"/>
    <w:rsid w:val="00A21EC0"/>
    <w:rsid w:val="00A23526"/>
    <w:rsid w:val="00A24683"/>
    <w:rsid w:val="00A30CAA"/>
    <w:rsid w:val="00A4512D"/>
    <w:rsid w:val="00A45499"/>
    <w:rsid w:val="00A45DFD"/>
    <w:rsid w:val="00A47DC1"/>
    <w:rsid w:val="00A52DE8"/>
    <w:rsid w:val="00A53624"/>
    <w:rsid w:val="00A574D2"/>
    <w:rsid w:val="00A60477"/>
    <w:rsid w:val="00A6664D"/>
    <w:rsid w:val="00A67954"/>
    <w:rsid w:val="00A705AF"/>
    <w:rsid w:val="00A82376"/>
    <w:rsid w:val="00A87877"/>
    <w:rsid w:val="00A9177D"/>
    <w:rsid w:val="00A944BF"/>
    <w:rsid w:val="00A97363"/>
    <w:rsid w:val="00AA27E7"/>
    <w:rsid w:val="00AA3B67"/>
    <w:rsid w:val="00AA6A49"/>
    <w:rsid w:val="00AA6F0E"/>
    <w:rsid w:val="00AB2D9A"/>
    <w:rsid w:val="00AB4B0A"/>
    <w:rsid w:val="00AB7E2E"/>
    <w:rsid w:val="00AC2D69"/>
    <w:rsid w:val="00AC63AD"/>
    <w:rsid w:val="00AC6B39"/>
    <w:rsid w:val="00AF4C6D"/>
    <w:rsid w:val="00AF559F"/>
    <w:rsid w:val="00B01935"/>
    <w:rsid w:val="00B02D2A"/>
    <w:rsid w:val="00B03939"/>
    <w:rsid w:val="00B04215"/>
    <w:rsid w:val="00B1573D"/>
    <w:rsid w:val="00B1647B"/>
    <w:rsid w:val="00B16E2A"/>
    <w:rsid w:val="00B2734F"/>
    <w:rsid w:val="00B27FE4"/>
    <w:rsid w:val="00B34210"/>
    <w:rsid w:val="00B363C0"/>
    <w:rsid w:val="00B37304"/>
    <w:rsid w:val="00B37864"/>
    <w:rsid w:val="00B42851"/>
    <w:rsid w:val="00B44F29"/>
    <w:rsid w:val="00B510B6"/>
    <w:rsid w:val="00B52B0B"/>
    <w:rsid w:val="00B53480"/>
    <w:rsid w:val="00B648CF"/>
    <w:rsid w:val="00B67E44"/>
    <w:rsid w:val="00B7140E"/>
    <w:rsid w:val="00B7323F"/>
    <w:rsid w:val="00B85972"/>
    <w:rsid w:val="00B859CB"/>
    <w:rsid w:val="00BA584F"/>
    <w:rsid w:val="00BB2E3E"/>
    <w:rsid w:val="00BB41C6"/>
    <w:rsid w:val="00BC59E4"/>
    <w:rsid w:val="00BD0607"/>
    <w:rsid w:val="00BD1C50"/>
    <w:rsid w:val="00BD2F13"/>
    <w:rsid w:val="00BD78DA"/>
    <w:rsid w:val="00BE1830"/>
    <w:rsid w:val="00BE4B15"/>
    <w:rsid w:val="00BF1EF7"/>
    <w:rsid w:val="00BF415C"/>
    <w:rsid w:val="00BF5A5E"/>
    <w:rsid w:val="00C02A5F"/>
    <w:rsid w:val="00C10F0D"/>
    <w:rsid w:val="00C11D45"/>
    <w:rsid w:val="00C12C0E"/>
    <w:rsid w:val="00C21A81"/>
    <w:rsid w:val="00C25370"/>
    <w:rsid w:val="00C30AA4"/>
    <w:rsid w:val="00C402F7"/>
    <w:rsid w:val="00C40DB0"/>
    <w:rsid w:val="00C43D95"/>
    <w:rsid w:val="00C52F71"/>
    <w:rsid w:val="00C5347F"/>
    <w:rsid w:val="00C5437F"/>
    <w:rsid w:val="00C56F13"/>
    <w:rsid w:val="00C632A3"/>
    <w:rsid w:val="00C66259"/>
    <w:rsid w:val="00C73269"/>
    <w:rsid w:val="00C734C2"/>
    <w:rsid w:val="00C87A3E"/>
    <w:rsid w:val="00C91632"/>
    <w:rsid w:val="00C91D70"/>
    <w:rsid w:val="00C92725"/>
    <w:rsid w:val="00C960E5"/>
    <w:rsid w:val="00CA30A2"/>
    <w:rsid w:val="00CA680D"/>
    <w:rsid w:val="00CB027C"/>
    <w:rsid w:val="00CB1B58"/>
    <w:rsid w:val="00CB22DE"/>
    <w:rsid w:val="00CB3CE6"/>
    <w:rsid w:val="00CB5B1A"/>
    <w:rsid w:val="00CB7191"/>
    <w:rsid w:val="00CB7B52"/>
    <w:rsid w:val="00CD2147"/>
    <w:rsid w:val="00CD39F9"/>
    <w:rsid w:val="00CD42F5"/>
    <w:rsid w:val="00CE1BDF"/>
    <w:rsid w:val="00CE35AA"/>
    <w:rsid w:val="00CE59D9"/>
    <w:rsid w:val="00CF3B02"/>
    <w:rsid w:val="00D00149"/>
    <w:rsid w:val="00D143DB"/>
    <w:rsid w:val="00D144F9"/>
    <w:rsid w:val="00D14F3F"/>
    <w:rsid w:val="00D31764"/>
    <w:rsid w:val="00D34711"/>
    <w:rsid w:val="00D4307D"/>
    <w:rsid w:val="00D443B9"/>
    <w:rsid w:val="00D55C3A"/>
    <w:rsid w:val="00D62842"/>
    <w:rsid w:val="00D6538A"/>
    <w:rsid w:val="00D72813"/>
    <w:rsid w:val="00D739EB"/>
    <w:rsid w:val="00D83DD9"/>
    <w:rsid w:val="00D87CB9"/>
    <w:rsid w:val="00D90DD2"/>
    <w:rsid w:val="00D930DF"/>
    <w:rsid w:val="00D94970"/>
    <w:rsid w:val="00DA1EB9"/>
    <w:rsid w:val="00DA312B"/>
    <w:rsid w:val="00DA6077"/>
    <w:rsid w:val="00DA6395"/>
    <w:rsid w:val="00DB10B5"/>
    <w:rsid w:val="00DB6B99"/>
    <w:rsid w:val="00DB77BA"/>
    <w:rsid w:val="00DC080C"/>
    <w:rsid w:val="00DC66C6"/>
    <w:rsid w:val="00DD01E4"/>
    <w:rsid w:val="00DD4C0A"/>
    <w:rsid w:val="00DE3FE6"/>
    <w:rsid w:val="00DE6735"/>
    <w:rsid w:val="00DF75BF"/>
    <w:rsid w:val="00E00415"/>
    <w:rsid w:val="00E03983"/>
    <w:rsid w:val="00E045F9"/>
    <w:rsid w:val="00E1257C"/>
    <w:rsid w:val="00E177CD"/>
    <w:rsid w:val="00E22F5C"/>
    <w:rsid w:val="00E2306F"/>
    <w:rsid w:val="00E33FA8"/>
    <w:rsid w:val="00E3713C"/>
    <w:rsid w:val="00E465DA"/>
    <w:rsid w:val="00E531CD"/>
    <w:rsid w:val="00E7269E"/>
    <w:rsid w:val="00E77F61"/>
    <w:rsid w:val="00E80ED2"/>
    <w:rsid w:val="00E8328B"/>
    <w:rsid w:val="00E87AAA"/>
    <w:rsid w:val="00E9194F"/>
    <w:rsid w:val="00EA1D79"/>
    <w:rsid w:val="00EB67CC"/>
    <w:rsid w:val="00EC1106"/>
    <w:rsid w:val="00EC21F9"/>
    <w:rsid w:val="00EC24B3"/>
    <w:rsid w:val="00EC731C"/>
    <w:rsid w:val="00EC7E05"/>
    <w:rsid w:val="00ED2E42"/>
    <w:rsid w:val="00ED4D1A"/>
    <w:rsid w:val="00ED75C2"/>
    <w:rsid w:val="00EF7670"/>
    <w:rsid w:val="00F00C39"/>
    <w:rsid w:val="00F0261C"/>
    <w:rsid w:val="00F06649"/>
    <w:rsid w:val="00F10EF6"/>
    <w:rsid w:val="00F11D66"/>
    <w:rsid w:val="00F2655D"/>
    <w:rsid w:val="00F32172"/>
    <w:rsid w:val="00F463E7"/>
    <w:rsid w:val="00F745CA"/>
    <w:rsid w:val="00F75521"/>
    <w:rsid w:val="00F76863"/>
    <w:rsid w:val="00F76EDF"/>
    <w:rsid w:val="00F83BB3"/>
    <w:rsid w:val="00F90894"/>
    <w:rsid w:val="00F90D90"/>
    <w:rsid w:val="00F918DC"/>
    <w:rsid w:val="00F93323"/>
    <w:rsid w:val="00F94042"/>
    <w:rsid w:val="00F94999"/>
    <w:rsid w:val="00F97034"/>
    <w:rsid w:val="00FA0E74"/>
    <w:rsid w:val="00FA1142"/>
    <w:rsid w:val="00FB19AF"/>
    <w:rsid w:val="00FB4D32"/>
    <w:rsid w:val="00FC0318"/>
    <w:rsid w:val="00FC3FD2"/>
    <w:rsid w:val="00FC4126"/>
    <w:rsid w:val="00FC4EED"/>
    <w:rsid w:val="00FD2983"/>
    <w:rsid w:val="00FE6342"/>
    <w:rsid w:val="00FF0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BF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24"/>
    <w:rPr>
      <w:rFonts w:eastAsia="Calibri"/>
      <w:sz w:val="24"/>
      <w:szCs w:val="24"/>
      <w:lang w:eastAsia="en-US"/>
    </w:rPr>
  </w:style>
  <w:style w:type="paragraph" w:styleId="Heading1">
    <w:name w:val="heading 1"/>
    <w:basedOn w:val="Normal"/>
    <w:next w:val="Normal"/>
    <w:link w:val="Heading1Char"/>
    <w:uiPriority w:val="9"/>
    <w:qFormat/>
    <w:rsid w:val="00587F24"/>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DA6395"/>
    <w:pPr>
      <w:keepNext/>
      <w:tabs>
        <w:tab w:val="num" w:pos="851"/>
      </w:tabs>
      <w:spacing w:before="360" w:line="276" w:lineRule="auto"/>
      <w:jc w:val="both"/>
      <w:outlineLvl w:val="1"/>
    </w:pPr>
    <w:rPr>
      <w:rFonts w:ascii="Cambria" w:eastAsia="Times New Roman" w:hAnsi="Cambria"/>
      <w:b/>
      <w:color w:val="4F81BD"/>
      <w:sz w:val="32"/>
      <w:szCs w:val="32"/>
    </w:rPr>
  </w:style>
  <w:style w:type="paragraph" w:styleId="Heading3">
    <w:name w:val="heading 3"/>
    <w:basedOn w:val="Heading5"/>
    <w:next w:val="Normal"/>
    <w:link w:val="Heading3Char"/>
    <w:uiPriority w:val="9"/>
    <w:qFormat/>
    <w:rsid w:val="005D3504"/>
    <w:pPr>
      <w:outlineLvl w:val="2"/>
    </w:pPr>
    <w:rPr>
      <w:rFonts w:ascii="Cambria" w:hAnsi="Cambria"/>
      <w:i/>
      <w:sz w:val="28"/>
      <w:szCs w:val="28"/>
    </w:rPr>
  </w:style>
  <w:style w:type="paragraph" w:styleId="Heading4">
    <w:name w:val="heading 4"/>
    <w:basedOn w:val="Normal"/>
    <w:next w:val="Normal"/>
    <w:link w:val="Heading4Char"/>
    <w:qFormat/>
    <w:rsid w:val="005D3504"/>
    <w:pPr>
      <w:keepNext/>
      <w:spacing w:before="240" w:after="60"/>
      <w:outlineLvl w:val="3"/>
    </w:pPr>
    <w:rPr>
      <w:rFonts w:asciiTheme="majorHAnsi" w:hAnsiTheme="majorHAnsi"/>
      <w:b/>
      <w:bCs/>
    </w:rPr>
  </w:style>
  <w:style w:type="paragraph" w:styleId="Heading5">
    <w:name w:val="heading 5"/>
    <w:basedOn w:val="Normal"/>
    <w:next w:val="Normal"/>
    <w:link w:val="Heading5Char"/>
    <w:qFormat/>
    <w:rsid w:val="00587F24"/>
    <w:pPr>
      <w:keepNext/>
      <w:spacing w:before="240" w:after="60"/>
      <w:outlineLvl w:val="4"/>
    </w:pPr>
    <w:rPr>
      <w:b/>
      <w:bCs/>
      <w:iCs/>
      <w:szCs w:val="26"/>
    </w:rPr>
  </w:style>
  <w:style w:type="paragraph" w:styleId="Heading6">
    <w:name w:val="heading 6"/>
    <w:basedOn w:val="Normal"/>
    <w:next w:val="Normal"/>
    <w:link w:val="Heading6Char"/>
    <w:qFormat/>
    <w:rsid w:val="00A67954"/>
    <w:pPr>
      <w:keepNext/>
      <w:spacing w:before="240" w:after="60"/>
      <w:outlineLvl w:val="5"/>
    </w:pPr>
    <w:rPr>
      <w:rFonts w:ascii="Cambria" w:hAnsi="Cambria"/>
      <w:b/>
      <w:bCs/>
      <w:i/>
      <w:szCs w:val="22"/>
    </w:rPr>
  </w:style>
  <w:style w:type="paragraph" w:styleId="Heading7">
    <w:name w:val="heading 7"/>
    <w:aliases w:val="App Heading 1"/>
    <w:next w:val="BodyText"/>
    <w:link w:val="Heading7Char"/>
    <w:semiHidden/>
    <w:unhideWhenUsed/>
    <w:qFormat/>
    <w:rsid w:val="00B85972"/>
    <w:pPr>
      <w:keepNext/>
      <w:keepLines/>
      <w:spacing w:before="200"/>
      <w:outlineLvl w:val="6"/>
    </w:pPr>
    <w:rPr>
      <w:rFonts w:asciiTheme="majorHAnsi" w:eastAsiaTheme="majorEastAsia" w:hAnsiTheme="majorHAnsi" w:cstheme="majorBidi"/>
      <w:i/>
      <w:iCs/>
      <w:color w:val="404040" w:themeColor="text1" w:themeTint="BF"/>
      <w:sz w:val="24"/>
      <w:szCs w:val="24"/>
      <w:lang w:eastAsia="en-US"/>
    </w:rPr>
  </w:style>
  <w:style w:type="paragraph" w:styleId="Heading8">
    <w:name w:val="heading 8"/>
    <w:aliases w:val="App Heading 2"/>
    <w:next w:val="BodyText"/>
    <w:link w:val="Heading8Char"/>
    <w:semiHidden/>
    <w:unhideWhenUsed/>
    <w:qFormat/>
    <w:rsid w:val="00B85972"/>
    <w:pPr>
      <w:keepNext/>
      <w:keepLines/>
      <w:spacing w:before="200"/>
      <w:outlineLvl w:val="7"/>
    </w:pPr>
    <w:rPr>
      <w:rFonts w:asciiTheme="majorHAnsi" w:eastAsiaTheme="majorEastAsia" w:hAnsiTheme="majorHAnsi" w:cstheme="majorBidi"/>
      <w:color w:val="404040" w:themeColor="text1" w:themeTint="BF"/>
      <w:lang w:eastAsia="en-US"/>
    </w:rPr>
  </w:style>
  <w:style w:type="paragraph" w:styleId="Heading9">
    <w:name w:val="heading 9"/>
    <w:aliases w:val="App Heading 3"/>
    <w:next w:val="BodyText"/>
    <w:link w:val="Heading9Char"/>
    <w:semiHidden/>
    <w:unhideWhenUsed/>
    <w:qFormat/>
    <w:rsid w:val="00B85972"/>
    <w:pPr>
      <w:keepNext/>
      <w:keepLines/>
      <w:spacing w:before="200"/>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87F24"/>
    <w:rPr>
      <w:i/>
      <w:iCs/>
    </w:rPr>
  </w:style>
  <w:style w:type="character" w:styleId="Strong">
    <w:name w:val="Strong"/>
    <w:basedOn w:val="DefaultParagraphFont"/>
    <w:qFormat/>
    <w:rsid w:val="00587F24"/>
    <w:rPr>
      <w:b/>
      <w:bCs/>
    </w:rPr>
  </w:style>
  <w:style w:type="paragraph" w:styleId="Subtitle">
    <w:name w:val="Subtitle"/>
    <w:basedOn w:val="Normal"/>
    <w:next w:val="Normal"/>
    <w:link w:val="SubtitleChar"/>
    <w:qFormat/>
    <w:rsid w:val="00587F24"/>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587F24"/>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587F24"/>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587F24"/>
    <w:rPr>
      <w:rFonts w:ascii="Arial" w:eastAsiaTheme="majorEastAsia" w:hAnsi="Arial" w:cstheme="majorBidi"/>
      <w:b/>
      <w:kern w:val="28"/>
      <w:sz w:val="32"/>
      <w:szCs w:val="52"/>
      <w:lang w:eastAsia="en-US"/>
    </w:rPr>
  </w:style>
  <w:style w:type="paragraph" w:styleId="NoSpacing">
    <w:name w:val="No Spacing"/>
    <w:uiPriority w:val="1"/>
    <w:qFormat/>
    <w:rsid w:val="00587F24"/>
    <w:rPr>
      <w:sz w:val="24"/>
      <w:szCs w:val="24"/>
      <w:lang w:eastAsia="en-US"/>
    </w:rPr>
  </w:style>
  <w:style w:type="character" w:styleId="SubtleEmphasis">
    <w:name w:val="Subtle Emphasis"/>
    <w:basedOn w:val="DefaultParagraphFont"/>
    <w:uiPriority w:val="19"/>
    <w:qFormat/>
    <w:rsid w:val="00587F24"/>
    <w:rPr>
      <w:i/>
      <w:iCs/>
      <w:color w:val="808080" w:themeColor="text1" w:themeTint="7F"/>
    </w:rPr>
  </w:style>
  <w:style w:type="character" w:styleId="IntenseEmphasis">
    <w:name w:val="Intense Emphasis"/>
    <w:basedOn w:val="DefaultParagraphFont"/>
    <w:uiPriority w:val="21"/>
    <w:qFormat/>
    <w:rsid w:val="00587F24"/>
    <w:rPr>
      <w:b/>
      <w:bCs/>
      <w:i/>
      <w:iCs/>
      <w:color w:val="4F81BD" w:themeColor="accent1"/>
    </w:rPr>
  </w:style>
  <w:style w:type="paragraph" w:styleId="Quote">
    <w:name w:val="Quote"/>
    <w:basedOn w:val="Normal"/>
    <w:next w:val="Normal"/>
    <w:link w:val="QuoteChar"/>
    <w:uiPriority w:val="29"/>
    <w:qFormat/>
    <w:rsid w:val="00587F24"/>
    <w:rPr>
      <w:i/>
      <w:iCs/>
      <w:color w:val="000000" w:themeColor="text1"/>
    </w:rPr>
  </w:style>
  <w:style w:type="character" w:customStyle="1" w:styleId="QuoteChar">
    <w:name w:val="Quote Char"/>
    <w:basedOn w:val="DefaultParagraphFont"/>
    <w:link w:val="Quote"/>
    <w:uiPriority w:val="29"/>
    <w:rsid w:val="00587F24"/>
    <w:rPr>
      <w:rFonts w:eastAsia="Calibri"/>
      <w:i/>
      <w:iCs/>
      <w:color w:val="000000" w:themeColor="text1"/>
      <w:sz w:val="24"/>
      <w:szCs w:val="24"/>
      <w:lang w:eastAsia="en-US"/>
    </w:rPr>
  </w:style>
  <w:style w:type="paragraph" w:styleId="IntenseQuote">
    <w:name w:val="Intense Quote"/>
    <w:basedOn w:val="Normal"/>
    <w:next w:val="Normal"/>
    <w:link w:val="IntenseQuoteChar"/>
    <w:uiPriority w:val="30"/>
    <w:qFormat/>
    <w:rsid w:val="00587F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87F24"/>
    <w:rPr>
      <w:rFonts w:eastAsia="Calibri"/>
      <w:b/>
      <w:bCs/>
      <w:i/>
      <w:iCs/>
      <w:color w:val="4F81BD" w:themeColor="accent1"/>
      <w:sz w:val="24"/>
      <w:szCs w:val="24"/>
      <w:lang w:eastAsia="en-US"/>
    </w:rPr>
  </w:style>
  <w:style w:type="character" w:styleId="SubtleReference">
    <w:name w:val="Subtle Reference"/>
    <w:basedOn w:val="DefaultParagraphFont"/>
    <w:uiPriority w:val="31"/>
    <w:qFormat/>
    <w:rsid w:val="00587F24"/>
    <w:rPr>
      <w:smallCaps/>
      <w:color w:val="C0504D" w:themeColor="accent2"/>
      <w:u w:val="single"/>
    </w:rPr>
  </w:style>
  <w:style w:type="character" w:styleId="IntenseReference">
    <w:name w:val="Intense Reference"/>
    <w:basedOn w:val="DefaultParagraphFont"/>
    <w:uiPriority w:val="32"/>
    <w:qFormat/>
    <w:rsid w:val="00587F24"/>
    <w:rPr>
      <w:b/>
      <w:bCs/>
      <w:i/>
      <w:smallCaps/>
      <w:color w:val="C0504D" w:themeColor="accent2"/>
      <w:spacing w:val="5"/>
      <w:u w:val="none"/>
    </w:rPr>
  </w:style>
  <w:style w:type="character" w:styleId="BookTitle">
    <w:name w:val="Book Title"/>
    <w:basedOn w:val="DefaultParagraphFont"/>
    <w:uiPriority w:val="33"/>
    <w:qFormat/>
    <w:rsid w:val="00587F24"/>
    <w:rPr>
      <w:b/>
      <w:bCs/>
      <w:smallCaps/>
      <w:spacing w:val="5"/>
    </w:rPr>
  </w:style>
  <w:style w:type="paragraph" w:styleId="ListParagraph">
    <w:name w:val="List Paragraph"/>
    <w:aliases w:val="Footnote,BulletPoints"/>
    <w:basedOn w:val="Normal"/>
    <w:link w:val="ListParagraphChar"/>
    <w:uiPriority w:val="34"/>
    <w:qFormat/>
    <w:rsid w:val="00587F24"/>
    <w:pPr>
      <w:ind w:left="720"/>
      <w:contextualSpacing/>
    </w:pPr>
  </w:style>
  <w:style w:type="character" w:customStyle="1" w:styleId="Heading7Char">
    <w:name w:val="Heading 7 Char"/>
    <w:aliases w:val="App Heading 1 Char"/>
    <w:basedOn w:val="DefaultParagraphFont"/>
    <w:link w:val="Heading7"/>
    <w:semiHidden/>
    <w:rsid w:val="00B85972"/>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aliases w:val="App Heading 2 Char"/>
    <w:basedOn w:val="DefaultParagraphFont"/>
    <w:link w:val="Heading8"/>
    <w:semiHidden/>
    <w:rsid w:val="00B85972"/>
    <w:rPr>
      <w:rFonts w:asciiTheme="majorHAnsi" w:eastAsiaTheme="majorEastAsia" w:hAnsiTheme="majorHAnsi" w:cstheme="majorBidi"/>
      <w:color w:val="404040" w:themeColor="text1" w:themeTint="BF"/>
      <w:lang w:eastAsia="en-US"/>
    </w:rPr>
  </w:style>
  <w:style w:type="character" w:customStyle="1" w:styleId="Heading9Char">
    <w:name w:val="Heading 9 Char"/>
    <w:aliases w:val="App Heading 3 Char"/>
    <w:basedOn w:val="DefaultParagraphFont"/>
    <w:link w:val="Heading9"/>
    <w:semiHidden/>
    <w:rsid w:val="00B85972"/>
    <w:rPr>
      <w:rFonts w:asciiTheme="majorHAnsi" w:eastAsiaTheme="majorEastAsia" w:hAnsiTheme="majorHAnsi" w:cstheme="majorBidi"/>
      <w:i/>
      <w:iCs/>
      <w:color w:val="404040" w:themeColor="text1" w:themeTint="BF"/>
      <w:lang w:eastAsia="en-US"/>
    </w:rPr>
  </w:style>
  <w:style w:type="character" w:customStyle="1" w:styleId="Heading1Char">
    <w:name w:val="Heading 1 Char"/>
    <w:link w:val="Heading1"/>
    <w:uiPriority w:val="9"/>
    <w:rsid w:val="00B85972"/>
    <w:rPr>
      <w:rFonts w:ascii="Arial" w:eastAsia="Calibri" w:hAnsi="Arial" w:cs="Arial"/>
      <w:b/>
      <w:bCs/>
      <w:kern w:val="28"/>
      <w:sz w:val="28"/>
      <w:szCs w:val="32"/>
      <w:lang w:eastAsia="en-US"/>
    </w:rPr>
  </w:style>
  <w:style w:type="paragraph" w:customStyle="1" w:styleId="ToR">
    <w:name w:val="ToR"/>
    <w:next w:val="BodyText"/>
    <w:rsid w:val="00B85972"/>
    <w:pPr>
      <w:tabs>
        <w:tab w:val="left" w:pos="794"/>
      </w:tabs>
      <w:spacing w:before="240" w:line="276" w:lineRule="auto"/>
      <w:jc w:val="both"/>
    </w:pPr>
    <w:rPr>
      <w:rFonts w:ascii="Cambria" w:eastAsia="Calibri" w:hAnsi="Cambria"/>
      <w:i/>
      <w:sz w:val="24"/>
      <w:szCs w:val="24"/>
      <w:lang w:eastAsia="en-US"/>
    </w:rPr>
  </w:style>
  <w:style w:type="paragraph" w:styleId="BodyText">
    <w:name w:val="Body Text"/>
    <w:link w:val="BodyTextChar"/>
    <w:uiPriority w:val="99"/>
    <w:unhideWhenUsed/>
    <w:rsid w:val="00B85972"/>
    <w:pPr>
      <w:spacing w:before="240" w:line="276" w:lineRule="auto"/>
      <w:jc w:val="both"/>
    </w:pPr>
    <w:rPr>
      <w:rFonts w:ascii="Cambria" w:eastAsia="Calibri" w:hAnsi="Cambria"/>
      <w:sz w:val="24"/>
      <w:szCs w:val="24"/>
      <w:lang w:eastAsia="en-US"/>
    </w:rPr>
  </w:style>
  <w:style w:type="character" w:customStyle="1" w:styleId="BodyTextChar">
    <w:name w:val="Body Text Char"/>
    <w:basedOn w:val="DefaultParagraphFont"/>
    <w:link w:val="BodyText"/>
    <w:uiPriority w:val="99"/>
    <w:rsid w:val="00B85972"/>
    <w:rPr>
      <w:rFonts w:ascii="Cambria" w:eastAsia="Calibri" w:hAnsi="Cambria"/>
      <w:sz w:val="24"/>
      <w:szCs w:val="24"/>
      <w:lang w:eastAsia="en-US"/>
    </w:rPr>
  </w:style>
  <w:style w:type="paragraph" w:customStyle="1" w:styleId="ToRsinboxwithhangingindent">
    <w:name w:val="ToRs in box with hanging indent"/>
    <w:rsid w:val="00B85972"/>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rFonts w:ascii="Cambria" w:eastAsia="Calibri" w:hAnsi="Cambria"/>
      <w:sz w:val="24"/>
      <w:szCs w:val="24"/>
      <w:lang w:eastAsia="en-US"/>
    </w:rPr>
  </w:style>
  <w:style w:type="character" w:customStyle="1" w:styleId="Heading2Char">
    <w:name w:val="Heading 2 Char"/>
    <w:link w:val="Heading2"/>
    <w:uiPriority w:val="9"/>
    <w:rsid w:val="00DA6395"/>
    <w:rPr>
      <w:rFonts w:ascii="Cambria" w:hAnsi="Cambria"/>
      <w:b/>
      <w:color w:val="4F81BD"/>
      <w:sz w:val="32"/>
      <w:szCs w:val="32"/>
      <w:lang w:eastAsia="en-US"/>
    </w:rPr>
  </w:style>
  <w:style w:type="paragraph" w:customStyle="1" w:styleId="ToRinbox">
    <w:name w:val="ToR in box"/>
    <w:basedOn w:val="ToRsinboxwithhangingindent"/>
    <w:qFormat/>
    <w:rsid w:val="00B85972"/>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5D3504"/>
    <w:rPr>
      <w:rFonts w:ascii="Cambria" w:eastAsia="Calibri" w:hAnsi="Cambria"/>
      <w:b/>
      <w:bCs/>
      <w:i/>
      <w:iCs/>
      <w:sz w:val="28"/>
      <w:szCs w:val="28"/>
      <w:lang w:eastAsia="en-US"/>
    </w:rPr>
  </w:style>
  <w:style w:type="paragraph" w:customStyle="1" w:styleId="Bullettext">
    <w:name w:val="Bullet text"/>
    <w:link w:val="BullettextChar"/>
    <w:qFormat/>
    <w:rsid w:val="00B85972"/>
    <w:pPr>
      <w:numPr>
        <w:numId w:val="1"/>
      </w:numPr>
      <w:spacing w:before="120" w:line="276" w:lineRule="auto"/>
      <w:contextualSpacing/>
      <w:jc w:val="both"/>
    </w:pPr>
    <w:rPr>
      <w:rFonts w:ascii="Cambria" w:eastAsia="Calibri" w:hAnsi="Cambria"/>
      <w:sz w:val="24"/>
      <w:szCs w:val="24"/>
      <w:lang w:eastAsia="en-US"/>
    </w:rPr>
  </w:style>
  <w:style w:type="paragraph" w:customStyle="1" w:styleId="Bullettextsecondlevel">
    <w:name w:val="Bullet text second level"/>
    <w:qFormat/>
    <w:rsid w:val="00B85972"/>
    <w:pPr>
      <w:numPr>
        <w:numId w:val="2"/>
      </w:numPr>
      <w:spacing w:line="276" w:lineRule="auto"/>
      <w:ind w:left="851" w:hanging="284"/>
      <w:jc w:val="both"/>
    </w:pPr>
    <w:rPr>
      <w:rFonts w:ascii="Cambria" w:eastAsia="Calibri" w:hAnsi="Cambria"/>
      <w:sz w:val="24"/>
      <w:szCs w:val="24"/>
      <w:lang w:eastAsia="en-US"/>
    </w:rPr>
  </w:style>
  <w:style w:type="character" w:customStyle="1" w:styleId="Heading4Char">
    <w:name w:val="Heading 4 Char"/>
    <w:link w:val="Heading4"/>
    <w:rsid w:val="005D3504"/>
    <w:rPr>
      <w:rFonts w:asciiTheme="majorHAnsi" w:eastAsia="Calibri" w:hAnsiTheme="majorHAnsi"/>
      <w:b/>
      <w:bCs/>
      <w:sz w:val="24"/>
      <w:szCs w:val="24"/>
      <w:lang w:eastAsia="en-US"/>
    </w:rPr>
  </w:style>
  <w:style w:type="character" w:customStyle="1" w:styleId="Heading5Char">
    <w:name w:val="Heading 5 Char"/>
    <w:link w:val="Heading5"/>
    <w:rsid w:val="00B85972"/>
    <w:rPr>
      <w:rFonts w:eastAsia="Calibri"/>
      <w:b/>
      <w:bCs/>
      <w:iCs/>
      <w:sz w:val="24"/>
      <w:szCs w:val="26"/>
      <w:lang w:eastAsia="en-US"/>
    </w:rPr>
  </w:style>
  <w:style w:type="paragraph" w:customStyle="1" w:styleId="BodyTextnospacebefore">
    <w:name w:val="Body Text – no space before"/>
    <w:next w:val="BodyText"/>
    <w:qFormat/>
    <w:rsid w:val="00B85972"/>
    <w:pPr>
      <w:spacing w:line="276" w:lineRule="auto"/>
      <w:jc w:val="both"/>
    </w:pPr>
    <w:rPr>
      <w:rFonts w:ascii="Cambria" w:eastAsia="Calibri" w:hAnsi="Cambria"/>
      <w:sz w:val="24"/>
      <w:szCs w:val="24"/>
      <w:lang w:eastAsia="en-US"/>
    </w:rPr>
  </w:style>
  <w:style w:type="paragraph" w:styleId="TableofAuthorities">
    <w:name w:val="table of authorities"/>
    <w:basedOn w:val="Normal"/>
    <w:next w:val="Normal"/>
    <w:uiPriority w:val="99"/>
    <w:unhideWhenUsed/>
    <w:rsid w:val="00B85972"/>
    <w:pPr>
      <w:ind w:left="240" w:hanging="240"/>
    </w:pPr>
  </w:style>
  <w:style w:type="paragraph" w:customStyle="1" w:styleId="05Tabletext">
    <w:name w:val="05 Table text"/>
    <w:next w:val="06Tabletextspacebefore"/>
    <w:qFormat/>
    <w:rsid w:val="00B85972"/>
    <w:pPr>
      <w:spacing w:before="20"/>
      <w:ind w:left="57" w:right="57"/>
    </w:pPr>
    <w:rPr>
      <w:rFonts w:ascii="Arial Narrow" w:eastAsia="Calibri" w:hAnsi="Arial Narrow"/>
      <w:sz w:val="18"/>
      <w:szCs w:val="24"/>
      <w:lang w:eastAsia="en-US"/>
    </w:rPr>
  </w:style>
  <w:style w:type="table" w:styleId="TableGrid">
    <w:name w:val="Table Grid"/>
    <w:basedOn w:val="TableNormal"/>
    <w:uiPriority w:val="59"/>
    <w:rsid w:val="00B85972"/>
    <w:rPr>
      <w:rFonts w:ascii="Arial Narrow" w:eastAsia="Calibri"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link w:val="CaptionChar"/>
    <w:uiPriority w:val="35"/>
    <w:unhideWhenUsed/>
    <w:qFormat/>
    <w:rsid w:val="00B85972"/>
    <w:pPr>
      <w:spacing w:after="200"/>
    </w:pPr>
    <w:rPr>
      <w:rFonts w:eastAsia="Calibri"/>
      <w:b/>
      <w:bCs/>
      <w:color w:val="4F81BD" w:themeColor="accent1"/>
      <w:sz w:val="18"/>
      <w:szCs w:val="18"/>
      <w:lang w:eastAsia="en-US"/>
    </w:rPr>
  </w:style>
  <w:style w:type="paragraph" w:customStyle="1" w:styleId="06Tabletextspacebefore">
    <w:name w:val="06 Table text space before"/>
    <w:qFormat/>
    <w:rsid w:val="00B85972"/>
    <w:pPr>
      <w:spacing w:before="80"/>
      <w:ind w:left="57" w:right="57"/>
    </w:pPr>
    <w:rPr>
      <w:rFonts w:ascii="Arial Narrow" w:eastAsia="Calibri" w:hAnsi="Arial Narrow"/>
      <w:sz w:val="18"/>
      <w:szCs w:val="24"/>
      <w:lang w:eastAsia="en-US"/>
    </w:rPr>
  </w:style>
  <w:style w:type="paragraph" w:customStyle="1" w:styleId="10TableorFigurefootnote">
    <w:name w:val="10 Table or Figure footnote"/>
    <w:qFormat/>
    <w:rsid w:val="00B85972"/>
    <w:pPr>
      <w:keepNext/>
    </w:pPr>
    <w:rPr>
      <w:rFonts w:ascii="Arial Narrow" w:eastAsia="Calibri" w:hAnsi="Arial Narrow"/>
      <w:sz w:val="16"/>
      <w:szCs w:val="24"/>
      <w:lang w:eastAsia="en-US"/>
    </w:rPr>
  </w:style>
  <w:style w:type="paragraph" w:customStyle="1" w:styleId="11TableorFigurefootnotenostick">
    <w:name w:val="11 Table or Figure footnote – no stick"/>
    <w:next w:val="BodyText"/>
    <w:qFormat/>
    <w:rsid w:val="00B85972"/>
    <w:pPr>
      <w:spacing w:after="360"/>
    </w:pPr>
    <w:rPr>
      <w:rFonts w:ascii="Arial Narrow" w:eastAsia="Calibri" w:hAnsi="Arial Narrow"/>
      <w:sz w:val="16"/>
      <w:szCs w:val="24"/>
      <w:lang w:eastAsia="en-US"/>
    </w:rPr>
  </w:style>
  <w:style w:type="paragraph" w:customStyle="1" w:styleId="01TableHEADINGleftaligned">
    <w:name w:val="01 Table HEADING left aligned"/>
    <w:basedOn w:val="BodyText"/>
    <w:qFormat/>
    <w:rsid w:val="00B85972"/>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B85972"/>
    <w:pPr>
      <w:keepNext/>
      <w:spacing w:before="60"/>
      <w:ind w:left="57" w:right="57"/>
      <w:jc w:val="center"/>
    </w:pPr>
    <w:rPr>
      <w:rFonts w:ascii="Arial Narrow" w:eastAsia="Calibri" w:hAnsi="Arial Narrow"/>
      <w:b/>
      <w:sz w:val="18"/>
      <w:szCs w:val="24"/>
      <w:lang w:eastAsia="en-US"/>
    </w:rPr>
  </w:style>
  <w:style w:type="paragraph" w:customStyle="1" w:styleId="09Tablerightaligned">
    <w:name w:val="09 Table right aligned ($)"/>
    <w:rsid w:val="00B85972"/>
    <w:pPr>
      <w:spacing w:before="20"/>
      <w:ind w:left="57" w:right="170"/>
      <w:jc w:val="right"/>
    </w:pPr>
    <w:rPr>
      <w:rFonts w:ascii="Arial Narrow" w:eastAsia="Calibri" w:hAnsi="Arial Narrow"/>
      <w:sz w:val="18"/>
      <w:szCs w:val="24"/>
      <w:lang w:eastAsia="en-US"/>
    </w:rPr>
  </w:style>
  <w:style w:type="paragraph" w:customStyle="1" w:styleId="07Tablebullet">
    <w:name w:val="07 Table bullet"/>
    <w:rsid w:val="00B85972"/>
    <w:pPr>
      <w:numPr>
        <w:numId w:val="3"/>
      </w:numPr>
      <w:ind w:left="227" w:right="57" w:hanging="170"/>
    </w:pPr>
    <w:rPr>
      <w:rFonts w:ascii="Arial Narrow" w:eastAsia="Calibri" w:hAnsi="Arial Narrow"/>
      <w:sz w:val="18"/>
      <w:szCs w:val="24"/>
      <w:lang w:eastAsia="en-US"/>
    </w:rPr>
  </w:style>
  <w:style w:type="numbering" w:customStyle="1" w:styleId="Headings">
    <w:name w:val="Headings"/>
    <w:uiPriority w:val="99"/>
    <w:rsid w:val="00B85972"/>
    <w:pPr>
      <w:numPr>
        <w:numId w:val="10"/>
      </w:numPr>
    </w:pPr>
  </w:style>
  <w:style w:type="paragraph" w:styleId="TOC2">
    <w:name w:val="toc 2"/>
    <w:basedOn w:val="Normal"/>
    <w:next w:val="Normal"/>
    <w:autoRedefine/>
    <w:uiPriority w:val="39"/>
    <w:unhideWhenUsed/>
    <w:rsid w:val="00B85972"/>
    <w:pPr>
      <w:tabs>
        <w:tab w:val="left" w:pos="1134"/>
        <w:tab w:val="right" w:leader="dot" w:pos="9628"/>
      </w:tabs>
      <w:spacing w:before="60"/>
      <w:ind w:left="1134" w:right="567" w:hanging="567"/>
    </w:pPr>
  </w:style>
  <w:style w:type="paragraph" w:styleId="TOC1">
    <w:name w:val="toc 1"/>
    <w:autoRedefine/>
    <w:uiPriority w:val="39"/>
    <w:unhideWhenUsed/>
    <w:rsid w:val="00B85972"/>
    <w:pPr>
      <w:tabs>
        <w:tab w:val="right" w:leader="dot" w:pos="9628"/>
      </w:tabs>
      <w:spacing w:before="120" w:line="276" w:lineRule="auto"/>
      <w:ind w:left="1134" w:right="567" w:hanging="1134"/>
    </w:pPr>
    <w:rPr>
      <w:rFonts w:ascii="Cambria" w:eastAsia="Calibri" w:hAnsi="Cambria"/>
      <w:noProof/>
      <w:sz w:val="24"/>
      <w:szCs w:val="24"/>
      <w:lang w:eastAsia="en-US"/>
    </w:rPr>
  </w:style>
  <w:style w:type="paragraph" w:styleId="TOC3">
    <w:name w:val="toc 3"/>
    <w:basedOn w:val="Normal"/>
    <w:next w:val="Normal"/>
    <w:autoRedefine/>
    <w:uiPriority w:val="39"/>
    <w:unhideWhenUsed/>
    <w:rsid w:val="00B85972"/>
    <w:pPr>
      <w:tabs>
        <w:tab w:val="left" w:pos="1320"/>
        <w:tab w:val="right" w:leader="dot" w:pos="9628"/>
      </w:tabs>
      <w:ind w:left="1701" w:right="567" w:hanging="567"/>
    </w:pPr>
  </w:style>
  <w:style w:type="character" w:styleId="Hyperlink">
    <w:name w:val="Hyperlink"/>
    <w:uiPriority w:val="99"/>
    <w:unhideWhenUsed/>
    <w:rsid w:val="00B85972"/>
    <w:rPr>
      <w:color w:val="0000FF"/>
      <w:u w:val="single"/>
    </w:rPr>
  </w:style>
  <w:style w:type="paragraph" w:styleId="TOCHeading">
    <w:name w:val="TOC Heading"/>
    <w:next w:val="BodyText"/>
    <w:uiPriority w:val="39"/>
    <w:semiHidden/>
    <w:unhideWhenUsed/>
    <w:qFormat/>
    <w:rsid w:val="00B85972"/>
    <w:pPr>
      <w:keepNext/>
      <w:keepLines/>
      <w:spacing w:before="480"/>
    </w:pPr>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uiPriority w:val="99"/>
    <w:unhideWhenUsed/>
    <w:rsid w:val="00B85972"/>
    <w:rPr>
      <w:sz w:val="16"/>
      <w:szCs w:val="16"/>
    </w:rPr>
  </w:style>
  <w:style w:type="paragraph" w:styleId="CommentText">
    <w:name w:val="annotation text"/>
    <w:basedOn w:val="Normal"/>
    <w:link w:val="CommentTextChar"/>
    <w:uiPriority w:val="99"/>
    <w:unhideWhenUsed/>
    <w:rsid w:val="00B85972"/>
    <w:rPr>
      <w:sz w:val="20"/>
      <w:szCs w:val="20"/>
    </w:rPr>
  </w:style>
  <w:style w:type="character" w:customStyle="1" w:styleId="CommentTextChar">
    <w:name w:val="Comment Text Char"/>
    <w:basedOn w:val="DefaultParagraphFont"/>
    <w:link w:val="CommentText"/>
    <w:uiPriority w:val="99"/>
    <w:rsid w:val="00B85972"/>
    <w:rPr>
      <w:rFonts w:ascii="Cambria" w:eastAsia="Calibri" w:hAnsi="Cambria"/>
      <w:lang w:eastAsia="en-US"/>
    </w:rPr>
  </w:style>
  <w:style w:type="paragraph" w:styleId="CommentSubject">
    <w:name w:val="annotation subject"/>
    <w:basedOn w:val="CommentText"/>
    <w:next w:val="CommentText"/>
    <w:link w:val="CommentSubjectChar"/>
    <w:uiPriority w:val="99"/>
    <w:unhideWhenUsed/>
    <w:rsid w:val="00B85972"/>
    <w:rPr>
      <w:b/>
      <w:bCs/>
    </w:rPr>
  </w:style>
  <w:style w:type="character" w:customStyle="1" w:styleId="CommentSubjectChar">
    <w:name w:val="Comment Subject Char"/>
    <w:basedOn w:val="CommentTextChar"/>
    <w:link w:val="CommentSubject"/>
    <w:uiPriority w:val="99"/>
    <w:rsid w:val="00B85972"/>
    <w:rPr>
      <w:rFonts w:ascii="Cambria" w:eastAsia="Calibri" w:hAnsi="Cambria"/>
      <w:b/>
      <w:bCs/>
      <w:lang w:eastAsia="en-US"/>
    </w:rPr>
  </w:style>
  <w:style w:type="paragraph" w:styleId="BalloonText">
    <w:name w:val="Balloon Text"/>
    <w:basedOn w:val="Normal"/>
    <w:link w:val="BalloonTextChar"/>
    <w:uiPriority w:val="99"/>
    <w:unhideWhenUsed/>
    <w:rsid w:val="00B85972"/>
    <w:rPr>
      <w:rFonts w:ascii="Segoe UI" w:hAnsi="Segoe UI" w:cs="Segoe UI"/>
      <w:sz w:val="18"/>
      <w:szCs w:val="18"/>
    </w:rPr>
  </w:style>
  <w:style w:type="character" w:customStyle="1" w:styleId="BalloonTextChar">
    <w:name w:val="Balloon Text Char"/>
    <w:basedOn w:val="DefaultParagraphFont"/>
    <w:link w:val="BalloonText"/>
    <w:uiPriority w:val="99"/>
    <w:rsid w:val="00B85972"/>
    <w:rPr>
      <w:rFonts w:ascii="Segoe UI" w:eastAsia="Calibri" w:hAnsi="Segoe UI" w:cs="Segoe UI"/>
      <w:sz w:val="18"/>
      <w:szCs w:val="18"/>
      <w:lang w:eastAsia="en-US"/>
    </w:rPr>
  </w:style>
  <w:style w:type="paragraph" w:customStyle="1" w:styleId="Picturewithbox">
    <w:name w:val="Picture with box"/>
    <w:next w:val="11TableorFigurefootnotenostick"/>
    <w:qFormat/>
    <w:rsid w:val="00B85972"/>
    <w:pPr>
      <w:pBdr>
        <w:top w:val="single" w:sz="4" w:space="4" w:color="auto"/>
        <w:left w:val="single" w:sz="4" w:space="0" w:color="auto"/>
        <w:bottom w:val="single" w:sz="4" w:space="4" w:color="auto"/>
        <w:right w:val="single" w:sz="4" w:space="0" w:color="auto"/>
      </w:pBdr>
      <w:jc w:val="center"/>
    </w:pPr>
    <w:rPr>
      <w:rFonts w:ascii="Cambria" w:eastAsia="Calibri" w:hAnsi="Cambria"/>
      <w:sz w:val="24"/>
      <w:szCs w:val="24"/>
      <w:lang w:eastAsia="en-US"/>
    </w:rPr>
  </w:style>
  <w:style w:type="paragraph" w:styleId="TableofFigures">
    <w:name w:val="table of figures"/>
    <w:aliases w:val="- TOC for list of Figures or Tables"/>
    <w:uiPriority w:val="99"/>
    <w:unhideWhenUsed/>
    <w:rsid w:val="00B85972"/>
    <w:pPr>
      <w:ind w:left="1418" w:right="567" w:hanging="1418"/>
    </w:pPr>
    <w:rPr>
      <w:rFonts w:ascii="Cambria" w:eastAsia="Calibri" w:hAnsi="Cambria"/>
      <w:sz w:val="24"/>
      <w:szCs w:val="24"/>
      <w:lang w:eastAsia="en-US"/>
    </w:rPr>
  </w:style>
  <w:style w:type="paragraph" w:customStyle="1" w:styleId="Titlepage">
    <w:name w:val="Title page"/>
    <w:qFormat/>
    <w:rsid w:val="00B85972"/>
    <w:pPr>
      <w:spacing w:before="120" w:line="276" w:lineRule="auto"/>
      <w:jc w:val="center"/>
    </w:pPr>
    <w:rPr>
      <w:rFonts w:ascii="Cambria" w:eastAsia="Calibri" w:hAnsi="Cambria"/>
      <w:sz w:val="40"/>
      <w:szCs w:val="40"/>
      <w:lang w:eastAsia="en-US"/>
    </w:rPr>
  </w:style>
  <w:style w:type="character" w:customStyle="1" w:styleId="Heading6Char">
    <w:name w:val="Heading 6 Char"/>
    <w:link w:val="Heading6"/>
    <w:rsid w:val="00A67954"/>
    <w:rPr>
      <w:rFonts w:ascii="Cambria" w:eastAsia="Calibri" w:hAnsi="Cambria"/>
      <w:b/>
      <w:bCs/>
      <w:i/>
      <w:sz w:val="24"/>
      <w:szCs w:val="22"/>
      <w:lang w:eastAsia="en-US"/>
    </w:rPr>
  </w:style>
  <w:style w:type="paragraph" w:styleId="Footer">
    <w:name w:val="footer"/>
    <w:link w:val="FooterChar"/>
    <w:uiPriority w:val="99"/>
    <w:unhideWhenUsed/>
    <w:rsid w:val="00B85972"/>
    <w:pPr>
      <w:pBdr>
        <w:top w:val="single" w:sz="4" w:space="1" w:color="auto"/>
      </w:pBdr>
    </w:pPr>
    <w:rPr>
      <w:rFonts w:ascii="Cambria" w:eastAsia="Calibri" w:hAnsi="Cambria"/>
      <w:szCs w:val="24"/>
      <w:lang w:eastAsia="en-US"/>
    </w:rPr>
  </w:style>
  <w:style w:type="character" w:customStyle="1" w:styleId="FooterChar">
    <w:name w:val="Footer Char"/>
    <w:basedOn w:val="DefaultParagraphFont"/>
    <w:link w:val="Footer"/>
    <w:uiPriority w:val="99"/>
    <w:rsid w:val="00B85972"/>
    <w:rPr>
      <w:rFonts w:ascii="Cambria" w:eastAsia="Calibri" w:hAnsi="Cambria"/>
      <w:szCs w:val="24"/>
      <w:lang w:eastAsia="en-US"/>
    </w:rPr>
  </w:style>
  <w:style w:type="paragraph" w:styleId="Header">
    <w:name w:val="header"/>
    <w:link w:val="HeaderChar"/>
    <w:uiPriority w:val="99"/>
    <w:unhideWhenUsed/>
    <w:rsid w:val="00B85972"/>
    <w:pPr>
      <w:pBdr>
        <w:bottom w:val="single" w:sz="4" w:space="1" w:color="auto"/>
      </w:pBdr>
      <w:tabs>
        <w:tab w:val="center" w:pos="4513"/>
        <w:tab w:val="right" w:pos="9026"/>
      </w:tabs>
      <w:spacing w:after="240"/>
    </w:pPr>
    <w:rPr>
      <w:rFonts w:ascii="Cambria" w:eastAsia="Calibri" w:hAnsi="Cambria"/>
      <w:szCs w:val="24"/>
      <w:lang w:eastAsia="en-US"/>
    </w:rPr>
  </w:style>
  <w:style w:type="character" w:customStyle="1" w:styleId="HeaderChar">
    <w:name w:val="Header Char"/>
    <w:basedOn w:val="DefaultParagraphFont"/>
    <w:link w:val="Header"/>
    <w:uiPriority w:val="99"/>
    <w:rsid w:val="00B85972"/>
    <w:rPr>
      <w:rFonts w:ascii="Cambria" w:eastAsia="Calibri" w:hAnsi="Cambria"/>
      <w:szCs w:val="24"/>
      <w:lang w:eastAsia="en-US"/>
    </w:rPr>
  </w:style>
  <w:style w:type="character" w:customStyle="1" w:styleId="BullettextChar">
    <w:name w:val="Bullet text Char"/>
    <w:link w:val="Bullettext"/>
    <w:rsid w:val="00B85972"/>
    <w:rPr>
      <w:rFonts w:ascii="Cambria" w:eastAsia="Calibri" w:hAnsi="Cambria"/>
      <w:sz w:val="24"/>
      <w:szCs w:val="24"/>
      <w:lang w:eastAsia="en-US"/>
    </w:rPr>
  </w:style>
  <w:style w:type="paragraph" w:styleId="FootnoteText">
    <w:name w:val="footnote text"/>
    <w:basedOn w:val="Normal"/>
    <w:link w:val="FootnoteTextChar"/>
    <w:uiPriority w:val="99"/>
    <w:unhideWhenUsed/>
    <w:rsid w:val="00B85972"/>
    <w:rPr>
      <w:rFonts w:ascii="Arial Narrow" w:hAnsi="Arial Narrow"/>
      <w:sz w:val="18"/>
      <w:szCs w:val="20"/>
    </w:rPr>
  </w:style>
  <w:style w:type="character" w:customStyle="1" w:styleId="FootnoteTextChar">
    <w:name w:val="Footnote Text Char"/>
    <w:basedOn w:val="DefaultParagraphFont"/>
    <w:link w:val="FootnoteText"/>
    <w:uiPriority w:val="99"/>
    <w:rsid w:val="00B85972"/>
    <w:rPr>
      <w:rFonts w:ascii="Arial Narrow" w:eastAsia="Calibri" w:hAnsi="Arial Narrow"/>
      <w:sz w:val="18"/>
      <w:lang w:eastAsia="en-US"/>
    </w:rPr>
  </w:style>
  <w:style w:type="paragraph" w:styleId="TOAHeading">
    <w:name w:val="toa heading"/>
    <w:basedOn w:val="Normal"/>
    <w:next w:val="Normal"/>
    <w:uiPriority w:val="99"/>
    <w:unhideWhenUsed/>
    <w:rsid w:val="00B85972"/>
    <w:rPr>
      <w:rFonts w:asciiTheme="majorHAnsi" w:eastAsiaTheme="majorEastAsia" w:hAnsiTheme="majorHAnsi" w:cstheme="majorBidi"/>
      <w:b/>
      <w:bCs/>
    </w:rPr>
  </w:style>
  <w:style w:type="paragraph" w:customStyle="1" w:styleId="TableorFigurefootnote">
    <w:name w:val="Table or Figure footnote"/>
    <w:next w:val="BodyText"/>
    <w:rsid w:val="00B85972"/>
    <w:pPr>
      <w:spacing w:after="240"/>
      <w:contextualSpacing/>
    </w:pPr>
    <w:rPr>
      <w:rFonts w:ascii="Garamond" w:eastAsia="Calibri" w:hAnsi="Garamond"/>
      <w:sz w:val="16"/>
      <w:szCs w:val="22"/>
      <w:lang w:eastAsia="en-US"/>
    </w:rPr>
  </w:style>
  <w:style w:type="character" w:styleId="FootnoteReference">
    <w:name w:val="footnote reference"/>
    <w:uiPriority w:val="99"/>
    <w:unhideWhenUsed/>
    <w:rsid w:val="00B85972"/>
    <w:rPr>
      <w:vertAlign w:val="superscript"/>
    </w:rPr>
  </w:style>
  <w:style w:type="paragraph" w:customStyle="1" w:styleId="08Tablebulletsecondlevel">
    <w:name w:val="08 Table bullet second level"/>
    <w:rsid w:val="00B85972"/>
    <w:pPr>
      <w:numPr>
        <w:numId w:val="5"/>
      </w:numPr>
      <w:ind w:left="397" w:hanging="170"/>
    </w:pPr>
    <w:rPr>
      <w:rFonts w:ascii="Arial Narrow" w:eastAsia="Calibri" w:hAnsi="Arial Narrow"/>
      <w:sz w:val="18"/>
      <w:szCs w:val="24"/>
      <w:lang w:eastAsia="en-US"/>
    </w:rPr>
  </w:style>
  <w:style w:type="paragraph" w:customStyle="1" w:styleId="03TableHEADINGrightaligned">
    <w:name w:val="03 Table HEADING right aligned ($)"/>
    <w:rsid w:val="00B85972"/>
    <w:pPr>
      <w:keepNext/>
      <w:spacing w:before="60"/>
      <w:ind w:left="57" w:right="170"/>
      <w:jc w:val="right"/>
    </w:pPr>
    <w:rPr>
      <w:rFonts w:ascii="Arial Narrow" w:eastAsia="Calibri" w:hAnsi="Arial Narrow"/>
      <w:b/>
      <w:sz w:val="18"/>
      <w:szCs w:val="24"/>
      <w:lang w:eastAsia="en-US"/>
    </w:rPr>
  </w:style>
  <w:style w:type="paragraph" w:styleId="Revision">
    <w:name w:val="Revision"/>
    <w:hidden/>
    <w:uiPriority w:val="99"/>
    <w:semiHidden/>
    <w:rsid w:val="00B85972"/>
    <w:rPr>
      <w:rFonts w:ascii="Cambria" w:eastAsia="Calibri" w:hAnsi="Cambria"/>
      <w:sz w:val="24"/>
      <w:szCs w:val="24"/>
      <w:lang w:eastAsia="en-US"/>
    </w:rPr>
  </w:style>
  <w:style w:type="paragraph" w:styleId="EndnoteText">
    <w:name w:val="endnote text"/>
    <w:basedOn w:val="Normal"/>
    <w:link w:val="EndnoteTextChar"/>
    <w:uiPriority w:val="99"/>
    <w:unhideWhenUsed/>
    <w:rsid w:val="00B85972"/>
    <w:rPr>
      <w:sz w:val="20"/>
      <w:szCs w:val="20"/>
    </w:rPr>
  </w:style>
  <w:style w:type="character" w:customStyle="1" w:styleId="EndnoteTextChar">
    <w:name w:val="Endnote Text Char"/>
    <w:basedOn w:val="DefaultParagraphFont"/>
    <w:link w:val="EndnoteText"/>
    <w:uiPriority w:val="99"/>
    <w:rsid w:val="00B85972"/>
    <w:rPr>
      <w:rFonts w:ascii="Cambria" w:eastAsia="Calibri" w:hAnsi="Cambria"/>
      <w:lang w:eastAsia="en-US"/>
    </w:rPr>
  </w:style>
  <w:style w:type="character" w:styleId="EndnoteReference">
    <w:name w:val="endnote reference"/>
    <w:uiPriority w:val="99"/>
    <w:unhideWhenUsed/>
    <w:rsid w:val="00B85972"/>
    <w:rPr>
      <w:vertAlign w:val="superscript"/>
    </w:rPr>
  </w:style>
  <w:style w:type="paragraph" w:customStyle="1" w:styleId="Default">
    <w:name w:val="Default"/>
    <w:rsid w:val="00B85972"/>
    <w:pPr>
      <w:autoSpaceDE w:val="0"/>
      <w:autoSpaceDN w:val="0"/>
      <w:adjustRightInd w:val="0"/>
    </w:pPr>
    <w:rPr>
      <w:rFonts w:ascii="Calibri" w:eastAsia="Calibri" w:hAnsi="Calibri" w:cs="Calibri"/>
      <w:color w:val="000000"/>
      <w:sz w:val="24"/>
      <w:szCs w:val="24"/>
      <w:lang w:eastAsia="en-US"/>
    </w:rPr>
  </w:style>
  <w:style w:type="paragraph" w:customStyle="1" w:styleId="04Tablesubheading">
    <w:name w:val="04 Table subheading"/>
    <w:rsid w:val="00B85972"/>
    <w:pPr>
      <w:keepNext/>
      <w:spacing w:before="20"/>
      <w:ind w:left="57" w:right="57"/>
    </w:pPr>
    <w:rPr>
      <w:rFonts w:ascii="Arial Narrow" w:eastAsia="Calibri" w:hAnsi="Arial Narrow"/>
      <w:b/>
      <w:sz w:val="18"/>
      <w:szCs w:val="24"/>
      <w:lang w:eastAsia="en-US"/>
    </w:rPr>
  </w:style>
  <w:style w:type="paragraph" w:customStyle="1" w:styleId="FooterwithLandscape">
    <w:name w:val="Footer with # Landscape"/>
    <w:qFormat/>
    <w:rsid w:val="00B85972"/>
    <w:pPr>
      <w:pBdr>
        <w:top w:val="single" w:sz="4" w:space="1" w:color="auto"/>
      </w:pBdr>
      <w:tabs>
        <w:tab w:val="right" w:pos="14572"/>
      </w:tabs>
      <w:spacing w:before="240"/>
    </w:pPr>
    <w:rPr>
      <w:rFonts w:ascii="Cambria" w:eastAsia="Calibri" w:hAnsi="Cambria"/>
      <w:szCs w:val="24"/>
      <w:lang w:eastAsia="en-US"/>
    </w:rPr>
  </w:style>
  <w:style w:type="paragraph" w:customStyle="1" w:styleId="FooterwithPortrait">
    <w:name w:val="Footer with # Portrait"/>
    <w:basedOn w:val="FooterwithLandscape"/>
    <w:qFormat/>
    <w:rsid w:val="00B85972"/>
    <w:pPr>
      <w:tabs>
        <w:tab w:val="clear" w:pos="14572"/>
        <w:tab w:val="right" w:pos="9639"/>
      </w:tabs>
    </w:pPr>
  </w:style>
  <w:style w:type="character" w:styleId="FollowedHyperlink">
    <w:name w:val="FollowedHyperlink"/>
    <w:uiPriority w:val="99"/>
    <w:unhideWhenUsed/>
    <w:rsid w:val="00B85972"/>
    <w:rPr>
      <w:color w:val="800080"/>
      <w:u w:val="single"/>
    </w:rPr>
  </w:style>
  <w:style w:type="paragraph" w:customStyle="1" w:styleId="08Bulletsseriesofsentences">
    <w:name w:val="08. Bullets – series of sentences"/>
    <w:link w:val="08BulletsseriesofsentencesChar"/>
    <w:rsid w:val="00B85972"/>
    <w:pPr>
      <w:numPr>
        <w:numId w:val="6"/>
      </w:numPr>
      <w:spacing w:before="120"/>
      <w:ind w:left="357" w:hanging="357"/>
    </w:pPr>
    <w:rPr>
      <w:rFonts w:ascii="Garamond" w:eastAsia="Calibri" w:hAnsi="Garamond"/>
      <w:sz w:val="24"/>
      <w:szCs w:val="22"/>
      <w:lang w:eastAsia="en-US"/>
    </w:rPr>
  </w:style>
  <w:style w:type="character" w:customStyle="1" w:styleId="08BulletsseriesofsentencesChar">
    <w:name w:val="08. Bullets – series of sentences Char"/>
    <w:link w:val="08Bulletsseriesofsentences"/>
    <w:rsid w:val="00B85972"/>
    <w:rPr>
      <w:rFonts w:ascii="Garamond" w:eastAsia="Calibri" w:hAnsi="Garamond"/>
      <w:sz w:val="24"/>
      <w:szCs w:val="22"/>
      <w:lang w:eastAsia="en-US"/>
    </w:rPr>
  </w:style>
  <w:style w:type="numbering" w:customStyle="1" w:styleId="NoList1">
    <w:name w:val="No List1"/>
    <w:next w:val="NoList"/>
    <w:uiPriority w:val="99"/>
    <w:semiHidden/>
    <w:unhideWhenUsed/>
    <w:rsid w:val="00B85972"/>
  </w:style>
  <w:style w:type="table" w:customStyle="1" w:styleId="TableGrid1">
    <w:name w:val="Table Grid1"/>
    <w:basedOn w:val="TableNormal"/>
    <w:next w:val="TableGrid"/>
    <w:uiPriority w:val="59"/>
    <w:rsid w:val="00B85972"/>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85972"/>
    <w:pPr>
      <w:numPr>
        <w:numId w:val="7"/>
      </w:numPr>
    </w:pPr>
  </w:style>
  <w:style w:type="numbering" w:styleId="111111">
    <w:name w:val="Outline List 2"/>
    <w:basedOn w:val="NoList"/>
    <w:uiPriority w:val="99"/>
    <w:unhideWhenUsed/>
    <w:rsid w:val="00B85972"/>
    <w:pPr>
      <w:numPr>
        <w:numId w:val="8"/>
      </w:numPr>
    </w:pPr>
  </w:style>
  <w:style w:type="numbering" w:customStyle="1" w:styleId="NoList2">
    <w:name w:val="No List2"/>
    <w:next w:val="NoList"/>
    <w:uiPriority w:val="99"/>
    <w:semiHidden/>
    <w:unhideWhenUsed/>
    <w:rsid w:val="00B85972"/>
  </w:style>
  <w:style w:type="table" w:customStyle="1" w:styleId="TableGrid2">
    <w:name w:val="Table Grid2"/>
    <w:basedOn w:val="TableNormal"/>
    <w:next w:val="TableGrid"/>
    <w:uiPriority w:val="59"/>
    <w:rsid w:val="00B85972"/>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B85972"/>
    <w:pPr>
      <w:numPr>
        <w:numId w:val="4"/>
      </w:numPr>
    </w:pPr>
  </w:style>
  <w:style w:type="numbering" w:customStyle="1" w:styleId="1111111">
    <w:name w:val="1 / 1.1 / 1.1.11"/>
    <w:basedOn w:val="NoList"/>
    <w:next w:val="111111"/>
    <w:uiPriority w:val="99"/>
    <w:semiHidden/>
    <w:unhideWhenUsed/>
    <w:rsid w:val="00B85972"/>
    <w:pPr>
      <w:numPr>
        <w:numId w:val="9"/>
      </w:numPr>
    </w:pPr>
  </w:style>
  <w:style w:type="paragraph" w:styleId="TOC4">
    <w:name w:val="toc 4"/>
    <w:basedOn w:val="Normal"/>
    <w:next w:val="Normal"/>
    <w:autoRedefine/>
    <w:uiPriority w:val="39"/>
    <w:unhideWhenUsed/>
    <w:rsid w:val="00B85972"/>
    <w:pPr>
      <w:tabs>
        <w:tab w:val="left" w:pos="1588"/>
        <w:tab w:val="right" w:leader="dot" w:pos="9639"/>
      </w:tabs>
      <w:ind w:left="680" w:right="567" w:hanging="680"/>
    </w:pPr>
    <w:rPr>
      <w:rFonts w:eastAsia="Times New Roman"/>
      <w:szCs w:val="22"/>
      <w:lang w:eastAsia="en-AU"/>
    </w:rPr>
  </w:style>
  <w:style w:type="paragraph" w:styleId="TOC5">
    <w:name w:val="toc 5"/>
    <w:basedOn w:val="Normal"/>
    <w:next w:val="Normal"/>
    <w:autoRedefine/>
    <w:uiPriority w:val="39"/>
    <w:unhideWhenUsed/>
    <w:rsid w:val="00B85972"/>
    <w:pPr>
      <w:spacing w:after="100" w:line="259"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B85972"/>
    <w:pPr>
      <w:spacing w:after="100" w:line="259"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B85972"/>
    <w:pPr>
      <w:spacing w:after="100" w:line="259"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B85972"/>
    <w:pPr>
      <w:spacing w:after="100" w:line="259"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B85972"/>
    <w:pPr>
      <w:spacing w:after="100" w:line="259" w:lineRule="auto"/>
      <w:ind w:left="1760"/>
    </w:pPr>
    <w:rPr>
      <w:rFonts w:ascii="Calibri" w:eastAsia="Times New Roman" w:hAnsi="Calibri"/>
      <w:sz w:val="22"/>
      <w:szCs w:val="22"/>
      <w:lang w:eastAsia="en-AU"/>
    </w:rPr>
  </w:style>
  <w:style w:type="paragraph" w:customStyle="1" w:styleId="References">
    <w:name w:val="References"/>
    <w:rsid w:val="00B85972"/>
    <w:pPr>
      <w:spacing w:before="80"/>
      <w:ind w:left="284" w:hanging="284"/>
    </w:pPr>
    <w:rPr>
      <w:rFonts w:ascii="Cambria" w:eastAsia="Calibri" w:hAnsi="Cambria"/>
      <w:sz w:val="18"/>
      <w:szCs w:val="24"/>
      <w:lang w:eastAsia="en-US"/>
    </w:rPr>
  </w:style>
  <w:style w:type="paragraph" w:styleId="NormalWeb">
    <w:name w:val="Normal (Web)"/>
    <w:basedOn w:val="Normal"/>
    <w:uiPriority w:val="99"/>
    <w:unhideWhenUsed/>
    <w:rsid w:val="00B85972"/>
    <w:pPr>
      <w:spacing w:before="100" w:beforeAutospacing="1" w:after="100" w:afterAutospacing="1"/>
    </w:pPr>
    <w:rPr>
      <w:rFonts w:eastAsia="Times New Roman"/>
      <w:lang w:eastAsia="en-AU"/>
    </w:rPr>
  </w:style>
  <w:style w:type="character" w:customStyle="1" w:styleId="ListParagraphChar">
    <w:name w:val="List Paragraph Char"/>
    <w:aliases w:val="Footnote Char,BulletPoints Char"/>
    <w:basedOn w:val="DefaultParagraphFont"/>
    <w:link w:val="ListParagraph"/>
    <w:uiPriority w:val="34"/>
    <w:rsid w:val="007A00B1"/>
    <w:rPr>
      <w:rFonts w:eastAsia="Calibri"/>
      <w:sz w:val="24"/>
      <w:szCs w:val="24"/>
      <w:lang w:eastAsia="en-US"/>
    </w:rPr>
  </w:style>
  <w:style w:type="paragraph" w:customStyle="1" w:styleId="TR5TableHeader">
    <w:name w:val="TR5 Table Header"/>
    <w:basedOn w:val="Caption"/>
    <w:link w:val="TR5TableHeaderChar"/>
    <w:qFormat/>
    <w:rsid w:val="0026487B"/>
    <w:pPr>
      <w:keepNext/>
      <w:keepLines/>
      <w:tabs>
        <w:tab w:val="left" w:pos="1134"/>
      </w:tabs>
      <w:spacing w:before="240" w:after="40"/>
      <w:ind w:left="1134" w:hanging="1134"/>
      <w:jc w:val="both"/>
    </w:pPr>
    <w:rPr>
      <w:rFonts w:ascii="Arial" w:hAnsi="Arial"/>
      <w:bCs w:val="0"/>
      <w:iCs/>
      <w:color w:val="auto"/>
      <w:sz w:val="20"/>
    </w:rPr>
  </w:style>
  <w:style w:type="paragraph" w:customStyle="1" w:styleId="ToR5FigureHeader">
    <w:name w:val="ToR 5 Figure Header"/>
    <w:basedOn w:val="Caption"/>
    <w:link w:val="ToR5FigureHeaderChar"/>
    <w:qFormat/>
    <w:rsid w:val="0026487B"/>
    <w:pPr>
      <w:keepNext/>
      <w:tabs>
        <w:tab w:val="left" w:pos="1134"/>
      </w:tabs>
      <w:spacing w:before="240" w:after="40"/>
      <w:ind w:left="1134" w:hanging="1134"/>
      <w:jc w:val="both"/>
    </w:pPr>
    <w:rPr>
      <w:rFonts w:ascii="Arial" w:hAnsi="Arial"/>
      <w:bCs w:val="0"/>
      <w:iCs/>
      <w:color w:val="auto"/>
      <w:sz w:val="20"/>
    </w:rPr>
  </w:style>
  <w:style w:type="character" w:customStyle="1" w:styleId="CaptionChar">
    <w:name w:val="Caption Char"/>
    <w:basedOn w:val="DefaultParagraphFont"/>
    <w:link w:val="Caption"/>
    <w:uiPriority w:val="35"/>
    <w:rsid w:val="0026487B"/>
    <w:rPr>
      <w:rFonts w:eastAsia="Calibri"/>
      <w:b/>
      <w:bCs/>
      <w:color w:val="4F81BD" w:themeColor="accent1"/>
      <w:sz w:val="18"/>
      <w:szCs w:val="18"/>
      <w:lang w:eastAsia="en-US"/>
    </w:rPr>
  </w:style>
  <w:style w:type="character" w:customStyle="1" w:styleId="TR5TableHeaderChar">
    <w:name w:val="TR5 Table Header Char"/>
    <w:basedOn w:val="CaptionChar"/>
    <w:link w:val="TR5TableHeader"/>
    <w:rsid w:val="0026487B"/>
    <w:rPr>
      <w:rFonts w:ascii="Arial" w:eastAsia="Calibri" w:hAnsi="Arial"/>
      <w:b/>
      <w:bCs w:val="0"/>
      <w:iCs/>
      <w:color w:val="4F81BD" w:themeColor="accent1"/>
      <w:sz w:val="18"/>
      <w:szCs w:val="18"/>
      <w:lang w:eastAsia="en-US"/>
    </w:rPr>
  </w:style>
  <w:style w:type="character" w:customStyle="1" w:styleId="ToR5FigureHeaderChar">
    <w:name w:val="ToR 5 Figure Header Char"/>
    <w:basedOn w:val="CaptionChar"/>
    <w:link w:val="ToR5FigureHeader"/>
    <w:rsid w:val="0026487B"/>
    <w:rPr>
      <w:rFonts w:ascii="Arial" w:eastAsia="Calibri" w:hAnsi="Arial"/>
      <w:b/>
      <w:bCs w:val="0"/>
      <w:i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F24"/>
    <w:rPr>
      <w:rFonts w:eastAsia="Calibri"/>
      <w:sz w:val="24"/>
      <w:szCs w:val="24"/>
      <w:lang w:eastAsia="en-US"/>
    </w:rPr>
  </w:style>
  <w:style w:type="paragraph" w:styleId="Heading1">
    <w:name w:val="heading 1"/>
    <w:basedOn w:val="Normal"/>
    <w:next w:val="Normal"/>
    <w:link w:val="Heading1Char"/>
    <w:uiPriority w:val="9"/>
    <w:qFormat/>
    <w:rsid w:val="00587F24"/>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DA6395"/>
    <w:pPr>
      <w:keepNext/>
      <w:tabs>
        <w:tab w:val="num" w:pos="851"/>
      </w:tabs>
      <w:spacing w:before="360" w:line="276" w:lineRule="auto"/>
      <w:jc w:val="both"/>
      <w:outlineLvl w:val="1"/>
    </w:pPr>
    <w:rPr>
      <w:rFonts w:ascii="Cambria" w:eastAsia="Times New Roman" w:hAnsi="Cambria"/>
      <w:b/>
      <w:color w:val="4F81BD"/>
      <w:sz w:val="32"/>
      <w:szCs w:val="32"/>
    </w:rPr>
  </w:style>
  <w:style w:type="paragraph" w:styleId="Heading3">
    <w:name w:val="heading 3"/>
    <w:basedOn w:val="Heading5"/>
    <w:next w:val="Normal"/>
    <w:link w:val="Heading3Char"/>
    <w:uiPriority w:val="9"/>
    <w:qFormat/>
    <w:rsid w:val="005D3504"/>
    <w:pPr>
      <w:outlineLvl w:val="2"/>
    </w:pPr>
    <w:rPr>
      <w:rFonts w:ascii="Cambria" w:hAnsi="Cambria"/>
      <w:i/>
      <w:sz w:val="28"/>
      <w:szCs w:val="28"/>
    </w:rPr>
  </w:style>
  <w:style w:type="paragraph" w:styleId="Heading4">
    <w:name w:val="heading 4"/>
    <w:basedOn w:val="Normal"/>
    <w:next w:val="Normal"/>
    <w:link w:val="Heading4Char"/>
    <w:qFormat/>
    <w:rsid w:val="005D3504"/>
    <w:pPr>
      <w:keepNext/>
      <w:spacing w:before="240" w:after="60"/>
      <w:outlineLvl w:val="3"/>
    </w:pPr>
    <w:rPr>
      <w:rFonts w:asciiTheme="majorHAnsi" w:hAnsiTheme="majorHAnsi"/>
      <w:b/>
      <w:bCs/>
    </w:rPr>
  </w:style>
  <w:style w:type="paragraph" w:styleId="Heading5">
    <w:name w:val="heading 5"/>
    <w:basedOn w:val="Normal"/>
    <w:next w:val="Normal"/>
    <w:link w:val="Heading5Char"/>
    <w:qFormat/>
    <w:rsid w:val="00587F24"/>
    <w:pPr>
      <w:keepNext/>
      <w:spacing w:before="240" w:after="60"/>
      <w:outlineLvl w:val="4"/>
    </w:pPr>
    <w:rPr>
      <w:b/>
      <w:bCs/>
      <w:iCs/>
      <w:szCs w:val="26"/>
    </w:rPr>
  </w:style>
  <w:style w:type="paragraph" w:styleId="Heading6">
    <w:name w:val="heading 6"/>
    <w:basedOn w:val="Normal"/>
    <w:next w:val="Normal"/>
    <w:link w:val="Heading6Char"/>
    <w:qFormat/>
    <w:rsid w:val="00A67954"/>
    <w:pPr>
      <w:keepNext/>
      <w:spacing w:before="240" w:after="60"/>
      <w:outlineLvl w:val="5"/>
    </w:pPr>
    <w:rPr>
      <w:rFonts w:ascii="Cambria" w:hAnsi="Cambria"/>
      <w:b/>
      <w:bCs/>
      <w:i/>
      <w:szCs w:val="22"/>
    </w:rPr>
  </w:style>
  <w:style w:type="paragraph" w:styleId="Heading7">
    <w:name w:val="heading 7"/>
    <w:aliases w:val="App Heading 1"/>
    <w:next w:val="BodyText"/>
    <w:link w:val="Heading7Char"/>
    <w:semiHidden/>
    <w:unhideWhenUsed/>
    <w:qFormat/>
    <w:rsid w:val="00B85972"/>
    <w:pPr>
      <w:keepNext/>
      <w:keepLines/>
      <w:spacing w:before="200"/>
      <w:outlineLvl w:val="6"/>
    </w:pPr>
    <w:rPr>
      <w:rFonts w:asciiTheme="majorHAnsi" w:eastAsiaTheme="majorEastAsia" w:hAnsiTheme="majorHAnsi" w:cstheme="majorBidi"/>
      <w:i/>
      <w:iCs/>
      <w:color w:val="404040" w:themeColor="text1" w:themeTint="BF"/>
      <w:sz w:val="24"/>
      <w:szCs w:val="24"/>
      <w:lang w:eastAsia="en-US"/>
    </w:rPr>
  </w:style>
  <w:style w:type="paragraph" w:styleId="Heading8">
    <w:name w:val="heading 8"/>
    <w:aliases w:val="App Heading 2"/>
    <w:next w:val="BodyText"/>
    <w:link w:val="Heading8Char"/>
    <w:semiHidden/>
    <w:unhideWhenUsed/>
    <w:qFormat/>
    <w:rsid w:val="00B85972"/>
    <w:pPr>
      <w:keepNext/>
      <w:keepLines/>
      <w:spacing w:before="200"/>
      <w:outlineLvl w:val="7"/>
    </w:pPr>
    <w:rPr>
      <w:rFonts w:asciiTheme="majorHAnsi" w:eastAsiaTheme="majorEastAsia" w:hAnsiTheme="majorHAnsi" w:cstheme="majorBidi"/>
      <w:color w:val="404040" w:themeColor="text1" w:themeTint="BF"/>
      <w:lang w:eastAsia="en-US"/>
    </w:rPr>
  </w:style>
  <w:style w:type="paragraph" w:styleId="Heading9">
    <w:name w:val="heading 9"/>
    <w:aliases w:val="App Heading 3"/>
    <w:next w:val="BodyText"/>
    <w:link w:val="Heading9Char"/>
    <w:semiHidden/>
    <w:unhideWhenUsed/>
    <w:qFormat/>
    <w:rsid w:val="00B85972"/>
    <w:pPr>
      <w:keepNext/>
      <w:keepLines/>
      <w:spacing w:before="200"/>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87F24"/>
    <w:rPr>
      <w:i/>
      <w:iCs/>
    </w:rPr>
  </w:style>
  <w:style w:type="character" w:styleId="Strong">
    <w:name w:val="Strong"/>
    <w:basedOn w:val="DefaultParagraphFont"/>
    <w:qFormat/>
    <w:rsid w:val="00587F24"/>
    <w:rPr>
      <w:b/>
      <w:bCs/>
    </w:rPr>
  </w:style>
  <w:style w:type="paragraph" w:styleId="Subtitle">
    <w:name w:val="Subtitle"/>
    <w:basedOn w:val="Normal"/>
    <w:next w:val="Normal"/>
    <w:link w:val="SubtitleChar"/>
    <w:qFormat/>
    <w:rsid w:val="00587F24"/>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587F24"/>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587F24"/>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587F24"/>
    <w:rPr>
      <w:rFonts w:ascii="Arial" w:eastAsiaTheme="majorEastAsia" w:hAnsi="Arial" w:cstheme="majorBidi"/>
      <w:b/>
      <w:kern w:val="28"/>
      <w:sz w:val="32"/>
      <w:szCs w:val="52"/>
      <w:lang w:eastAsia="en-US"/>
    </w:rPr>
  </w:style>
  <w:style w:type="paragraph" w:styleId="NoSpacing">
    <w:name w:val="No Spacing"/>
    <w:uiPriority w:val="1"/>
    <w:qFormat/>
    <w:rsid w:val="00587F24"/>
    <w:rPr>
      <w:sz w:val="24"/>
      <w:szCs w:val="24"/>
      <w:lang w:eastAsia="en-US"/>
    </w:rPr>
  </w:style>
  <w:style w:type="character" w:styleId="SubtleEmphasis">
    <w:name w:val="Subtle Emphasis"/>
    <w:basedOn w:val="DefaultParagraphFont"/>
    <w:uiPriority w:val="19"/>
    <w:qFormat/>
    <w:rsid w:val="00587F24"/>
    <w:rPr>
      <w:i/>
      <w:iCs/>
      <w:color w:val="808080" w:themeColor="text1" w:themeTint="7F"/>
    </w:rPr>
  </w:style>
  <w:style w:type="character" w:styleId="IntenseEmphasis">
    <w:name w:val="Intense Emphasis"/>
    <w:basedOn w:val="DefaultParagraphFont"/>
    <w:uiPriority w:val="21"/>
    <w:qFormat/>
    <w:rsid w:val="00587F24"/>
    <w:rPr>
      <w:b/>
      <w:bCs/>
      <w:i/>
      <w:iCs/>
      <w:color w:val="4F81BD" w:themeColor="accent1"/>
    </w:rPr>
  </w:style>
  <w:style w:type="paragraph" w:styleId="Quote">
    <w:name w:val="Quote"/>
    <w:basedOn w:val="Normal"/>
    <w:next w:val="Normal"/>
    <w:link w:val="QuoteChar"/>
    <w:uiPriority w:val="29"/>
    <w:qFormat/>
    <w:rsid w:val="00587F24"/>
    <w:rPr>
      <w:i/>
      <w:iCs/>
      <w:color w:val="000000" w:themeColor="text1"/>
    </w:rPr>
  </w:style>
  <w:style w:type="character" w:customStyle="1" w:styleId="QuoteChar">
    <w:name w:val="Quote Char"/>
    <w:basedOn w:val="DefaultParagraphFont"/>
    <w:link w:val="Quote"/>
    <w:uiPriority w:val="29"/>
    <w:rsid w:val="00587F24"/>
    <w:rPr>
      <w:rFonts w:eastAsia="Calibri"/>
      <w:i/>
      <w:iCs/>
      <w:color w:val="000000" w:themeColor="text1"/>
      <w:sz w:val="24"/>
      <w:szCs w:val="24"/>
      <w:lang w:eastAsia="en-US"/>
    </w:rPr>
  </w:style>
  <w:style w:type="paragraph" w:styleId="IntenseQuote">
    <w:name w:val="Intense Quote"/>
    <w:basedOn w:val="Normal"/>
    <w:next w:val="Normal"/>
    <w:link w:val="IntenseQuoteChar"/>
    <w:uiPriority w:val="30"/>
    <w:qFormat/>
    <w:rsid w:val="00587F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87F24"/>
    <w:rPr>
      <w:rFonts w:eastAsia="Calibri"/>
      <w:b/>
      <w:bCs/>
      <w:i/>
      <w:iCs/>
      <w:color w:val="4F81BD" w:themeColor="accent1"/>
      <w:sz w:val="24"/>
      <w:szCs w:val="24"/>
      <w:lang w:eastAsia="en-US"/>
    </w:rPr>
  </w:style>
  <w:style w:type="character" w:styleId="SubtleReference">
    <w:name w:val="Subtle Reference"/>
    <w:basedOn w:val="DefaultParagraphFont"/>
    <w:uiPriority w:val="31"/>
    <w:qFormat/>
    <w:rsid w:val="00587F24"/>
    <w:rPr>
      <w:smallCaps/>
      <w:color w:val="C0504D" w:themeColor="accent2"/>
      <w:u w:val="single"/>
    </w:rPr>
  </w:style>
  <w:style w:type="character" w:styleId="IntenseReference">
    <w:name w:val="Intense Reference"/>
    <w:basedOn w:val="DefaultParagraphFont"/>
    <w:uiPriority w:val="32"/>
    <w:qFormat/>
    <w:rsid w:val="00587F24"/>
    <w:rPr>
      <w:b/>
      <w:bCs/>
      <w:i/>
      <w:smallCaps/>
      <w:color w:val="C0504D" w:themeColor="accent2"/>
      <w:spacing w:val="5"/>
      <w:u w:val="none"/>
    </w:rPr>
  </w:style>
  <w:style w:type="character" w:styleId="BookTitle">
    <w:name w:val="Book Title"/>
    <w:basedOn w:val="DefaultParagraphFont"/>
    <w:uiPriority w:val="33"/>
    <w:qFormat/>
    <w:rsid w:val="00587F24"/>
    <w:rPr>
      <w:b/>
      <w:bCs/>
      <w:smallCaps/>
      <w:spacing w:val="5"/>
    </w:rPr>
  </w:style>
  <w:style w:type="paragraph" w:styleId="ListParagraph">
    <w:name w:val="List Paragraph"/>
    <w:aliases w:val="Footnote,BulletPoints"/>
    <w:basedOn w:val="Normal"/>
    <w:link w:val="ListParagraphChar"/>
    <w:uiPriority w:val="34"/>
    <w:qFormat/>
    <w:rsid w:val="00587F24"/>
    <w:pPr>
      <w:ind w:left="720"/>
      <w:contextualSpacing/>
    </w:pPr>
  </w:style>
  <w:style w:type="character" w:customStyle="1" w:styleId="Heading7Char">
    <w:name w:val="Heading 7 Char"/>
    <w:aliases w:val="App Heading 1 Char"/>
    <w:basedOn w:val="DefaultParagraphFont"/>
    <w:link w:val="Heading7"/>
    <w:semiHidden/>
    <w:rsid w:val="00B85972"/>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aliases w:val="App Heading 2 Char"/>
    <w:basedOn w:val="DefaultParagraphFont"/>
    <w:link w:val="Heading8"/>
    <w:semiHidden/>
    <w:rsid w:val="00B85972"/>
    <w:rPr>
      <w:rFonts w:asciiTheme="majorHAnsi" w:eastAsiaTheme="majorEastAsia" w:hAnsiTheme="majorHAnsi" w:cstheme="majorBidi"/>
      <w:color w:val="404040" w:themeColor="text1" w:themeTint="BF"/>
      <w:lang w:eastAsia="en-US"/>
    </w:rPr>
  </w:style>
  <w:style w:type="character" w:customStyle="1" w:styleId="Heading9Char">
    <w:name w:val="Heading 9 Char"/>
    <w:aliases w:val="App Heading 3 Char"/>
    <w:basedOn w:val="DefaultParagraphFont"/>
    <w:link w:val="Heading9"/>
    <w:semiHidden/>
    <w:rsid w:val="00B85972"/>
    <w:rPr>
      <w:rFonts w:asciiTheme="majorHAnsi" w:eastAsiaTheme="majorEastAsia" w:hAnsiTheme="majorHAnsi" w:cstheme="majorBidi"/>
      <w:i/>
      <w:iCs/>
      <w:color w:val="404040" w:themeColor="text1" w:themeTint="BF"/>
      <w:lang w:eastAsia="en-US"/>
    </w:rPr>
  </w:style>
  <w:style w:type="character" w:customStyle="1" w:styleId="Heading1Char">
    <w:name w:val="Heading 1 Char"/>
    <w:link w:val="Heading1"/>
    <w:uiPriority w:val="9"/>
    <w:rsid w:val="00B85972"/>
    <w:rPr>
      <w:rFonts w:ascii="Arial" w:eastAsia="Calibri" w:hAnsi="Arial" w:cs="Arial"/>
      <w:b/>
      <w:bCs/>
      <w:kern w:val="28"/>
      <w:sz w:val="28"/>
      <w:szCs w:val="32"/>
      <w:lang w:eastAsia="en-US"/>
    </w:rPr>
  </w:style>
  <w:style w:type="paragraph" w:customStyle="1" w:styleId="ToR">
    <w:name w:val="ToR"/>
    <w:next w:val="BodyText"/>
    <w:rsid w:val="00B85972"/>
    <w:pPr>
      <w:tabs>
        <w:tab w:val="left" w:pos="794"/>
      </w:tabs>
      <w:spacing w:before="240" w:line="276" w:lineRule="auto"/>
      <w:jc w:val="both"/>
    </w:pPr>
    <w:rPr>
      <w:rFonts w:ascii="Cambria" w:eastAsia="Calibri" w:hAnsi="Cambria"/>
      <w:i/>
      <w:sz w:val="24"/>
      <w:szCs w:val="24"/>
      <w:lang w:eastAsia="en-US"/>
    </w:rPr>
  </w:style>
  <w:style w:type="paragraph" w:styleId="BodyText">
    <w:name w:val="Body Text"/>
    <w:link w:val="BodyTextChar"/>
    <w:uiPriority w:val="99"/>
    <w:unhideWhenUsed/>
    <w:rsid w:val="00B85972"/>
    <w:pPr>
      <w:spacing w:before="240" w:line="276" w:lineRule="auto"/>
      <w:jc w:val="both"/>
    </w:pPr>
    <w:rPr>
      <w:rFonts w:ascii="Cambria" w:eastAsia="Calibri" w:hAnsi="Cambria"/>
      <w:sz w:val="24"/>
      <w:szCs w:val="24"/>
      <w:lang w:eastAsia="en-US"/>
    </w:rPr>
  </w:style>
  <w:style w:type="character" w:customStyle="1" w:styleId="BodyTextChar">
    <w:name w:val="Body Text Char"/>
    <w:basedOn w:val="DefaultParagraphFont"/>
    <w:link w:val="BodyText"/>
    <w:uiPriority w:val="99"/>
    <w:rsid w:val="00B85972"/>
    <w:rPr>
      <w:rFonts w:ascii="Cambria" w:eastAsia="Calibri" w:hAnsi="Cambria"/>
      <w:sz w:val="24"/>
      <w:szCs w:val="24"/>
      <w:lang w:eastAsia="en-US"/>
    </w:rPr>
  </w:style>
  <w:style w:type="paragraph" w:customStyle="1" w:styleId="ToRsinboxwithhangingindent">
    <w:name w:val="ToRs in box with hanging indent"/>
    <w:rsid w:val="00B85972"/>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rFonts w:ascii="Cambria" w:eastAsia="Calibri" w:hAnsi="Cambria"/>
      <w:sz w:val="24"/>
      <w:szCs w:val="24"/>
      <w:lang w:eastAsia="en-US"/>
    </w:rPr>
  </w:style>
  <w:style w:type="character" w:customStyle="1" w:styleId="Heading2Char">
    <w:name w:val="Heading 2 Char"/>
    <w:link w:val="Heading2"/>
    <w:uiPriority w:val="9"/>
    <w:rsid w:val="00DA6395"/>
    <w:rPr>
      <w:rFonts w:ascii="Cambria" w:hAnsi="Cambria"/>
      <w:b/>
      <w:color w:val="4F81BD"/>
      <w:sz w:val="32"/>
      <w:szCs w:val="32"/>
      <w:lang w:eastAsia="en-US"/>
    </w:rPr>
  </w:style>
  <w:style w:type="paragraph" w:customStyle="1" w:styleId="ToRinbox">
    <w:name w:val="ToR in box"/>
    <w:basedOn w:val="ToRsinboxwithhangingindent"/>
    <w:qFormat/>
    <w:rsid w:val="00B85972"/>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5D3504"/>
    <w:rPr>
      <w:rFonts w:ascii="Cambria" w:eastAsia="Calibri" w:hAnsi="Cambria"/>
      <w:b/>
      <w:bCs/>
      <w:i/>
      <w:iCs/>
      <w:sz w:val="28"/>
      <w:szCs w:val="28"/>
      <w:lang w:eastAsia="en-US"/>
    </w:rPr>
  </w:style>
  <w:style w:type="paragraph" w:customStyle="1" w:styleId="Bullettext">
    <w:name w:val="Bullet text"/>
    <w:link w:val="BullettextChar"/>
    <w:qFormat/>
    <w:rsid w:val="00B85972"/>
    <w:pPr>
      <w:numPr>
        <w:numId w:val="1"/>
      </w:numPr>
      <w:spacing w:before="120" w:line="276" w:lineRule="auto"/>
      <w:contextualSpacing/>
      <w:jc w:val="both"/>
    </w:pPr>
    <w:rPr>
      <w:rFonts w:ascii="Cambria" w:eastAsia="Calibri" w:hAnsi="Cambria"/>
      <w:sz w:val="24"/>
      <w:szCs w:val="24"/>
      <w:lang w:eastAsia="en-US"/>
    </w:rPr>
  </w:style>
  <w:style w:type="paragraph" w:customStyle="1" w:styleId="Bullettextsecondlevel">
    <w:name w:val="Bullet text second level"/>
    <w:qFormat/>
    <w:rsid w:val="00B85972"/>
    <w:pPr>
      <w:numPr>
        <w:numId w:val="2"/>
      </w:numPr>
      <w:spacing w:line="276" w:lineRule="auto"/>
      <w:ind w:left="851" w:hanging="284"/>
      <w:jc w:val="both"/>
    </w:pPr>
    <w:rPr>
      <w:rFonts w:ascii="Cambria" w:eastAsia="Calibri" w:hAnsi="Cambria"/>
      <w:sz w:val="24"/>
      <w:szCs w:val="24"/>
      <w:lang w:eastAsia="en-US"/>
    </w:rPr>
  </w:style>
  <w:style w:type="character" w:customStyle="1" w:styleId="Heading4Char">
    <w:name w:val="Heading 4 Char"/>
    <w:link w:val="Heading4"/>
    <w:rsid w:val="005D3504"/>
    <w:rPr>
      <w:rFonts w:asciiTheme="majorHAnsi" w:eastAsia="Calibri" w:hAnsiTheme="majorHAnsi"/>
      <w:b/>
      <w:bCs/>
      <w:sz w:val="24"/>
      <w:szCs w:val="24"/>
      <w:lang w:eastAsia="en-US"/>
    </w:rPr>
  </w:style>
  <w:style w:type="character" w:customStyle="1" w:styleId="Heading5Char">
    <w:name w:val="Heading 5 Char"/>
    <w:link w:val="Heading5"/>
    <w:rsid w:val="00B85972"/>
    <w:rPr>
      <w:rFonts w:eastAsia="Calibri"/>
      <w:b/>
      <w:bCs/>
      <w:iCs/>
      <w:sz w:val="24"/>
      <w:szCs w:val="26"/>
      <w:lang w:eastAsia="en-US"/>
    </w:rPr>
  </w:style>
  <w:style w:type="paragraph" w:customStyle="1" w:styleId="BodyTextnospacebefore">
    <w:name w:val="Body Text – no space before"/>
    <w:next w:val="BodyText"/>
    <w:qFormat/>
    <w:rsid w:val="00B85972"/>
    <w:pPr>
      <w:spacing w:line="276" w:lineRule="auto"/>
      <w:jc w:val="both"/>
    </w:pPr>
    <w:rPr>
      <w:rFonts w:ascii="Cambria" w:eastAsia="Calibri" w:hAnsi="Cambria"/>
      <w:sz w:val="24"/>
      <w:szCs w:val="24"/>
      <w:lang w:eastAsia="en-US"/>
    </w:rPr>
  </w:style>
  <w:style w:type="paragraph" w:styleId="TableofAuthorities">
    <w:name w:val="table of authorities"/>
    <w:basedOn w:val="Normal"/>
    <w:next w:val="Normal"/>
    <w:uiPriority w:val="99"/>
    <w:unhideWhenUsed/>
    <w:rsid w:val="00B85972"/>
    <w:pPr>
      <w:ind w:left="240" w:hanging="240"/>
    </w:pPr>
  </w:style>
  <w:style w:type="paragraph" w:customStyle="1" w:styleId="05Tabletext">
    <w:name w:val="05 Table text"/>
    <w:next w:val="06Tabletextspacebefore"/>
    <w:qFormat/>
    <w:rsid w:val="00B85972"/>
    <w:pPr>
      <w:spacing w:before="20"/>
      <w:ind w:left="57" w:right="57"/>
    </w:pPr>
    <w:rPr>
      <w:rFonts w:ascii="Arial Narrow" w:eastAsia="Calibri" w:hAnsi="Arial Narrow"/>
      <w:sz w:val="18"/>
      <w:szCs w:val="24"/>
      <w:lang w:eastAsia="en-US"/>
    </w:rPr>
  </w:style>
  <w:style w:type="table" w:styleId="TableGrid">
    <w:name w:val="Table Grid"/>
    <w:basedOn w:val="TableNormal"/>
    <w:uiPriority w:val="59"/>
    <w:rsid w:val="00B85972"/>
    <w:rPr>
      <w:rFonts w:ascii="Arial Narrow" w:eastAsia="Calibri"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link w:val="CaptionChar"/>
    <w:uiPriority w:val="35"/>
    <w:unhideWhenUsed/>
    <w:qFormat/>
    <w:rsid w:val="00B85972"/>
    <w:pPr>
      <w:spacing w:after="200"/>
    </w:pPr>
    <w:rPr>
      <w:rFonts w:eastAsia="Calibri"/>
      <w:b/>
      <w:bCs/>
      <w:color w:val="4F81BD" w:themeColor="accent1"/>
      <w:sz w:val="18"/>
      <w:szCs w:val="18"/>
      <w:lang w:eastAsia="en-US"/>
    </w:rPr>
  </w:style>
  <w:style w:type="paragraph" w:customStyle="1" w:styleId="06Tabletextspacebefore">
    <w:name w:val="06 Table text space before"/>
    <w:qFormat/>
    <w:rsid w:val="00B85972"/>
    <w:pPr>
      <w:spacing w:before="80"/>
      <w:ind w:left="57" w:right="57"/>
    </w:pPr>
    <w:rPr>
      <w:rFonts w:ascii="Arial Narrow" w:eastAsia="Calibri" w:hAnsi="Arial Narrow"/>
      <w:sz w:val="18"/>
      <w:szCs w:val="24"/>
      <w:lang w:eastAsia="en-US"/>
    </w:rPr>
  </w:style>
  <w:style w:type="paragraph" w:customStyle="1" w:styleId="10TableorFigurefootnote">
    <w:name w:val="10 Table or Figure footnote"/>
    <w:qFormat/>
    <w:rsid w:val="00B85972"/>
    <w:pPr>
      <w:keepNext/>
    </w:pPr>
    <w:rPr>
      <w:rFonts w:ascii="Arial Narrow" w:eastAsia="Calibri" w:hAnsi="Arial Narrow"/>
      <w:sz w:val="16"/>
      <w:szCs w:val="24"/>
      <w:lang w:eastAsia="en-US"/>
    </w:rPr>
  </w:style>
  <w:style w:type="paragraph" w:customStyle="1" w:styleId="11TableorFigurefootnotenostick">
    <w:name w:val="11 Table or Figure footnote – no stick"/>
    <w:next w:val="BodyText"/>
    <w:qFormat/>
    <w:rsid w:val="00B85972"/>
    <w:pPr>
      <w:spacing w:after="360"/>
    </w:pPr>
    <w:rPr>
      <w:rFonts w:ascii="Arial Narrow" w:eastAsia="Calibri" w:hAnsi="Arial Narrow"/>
      <w:sz w:val="16"/>
      <w:szCs w:val="24"/>
      <w:lang w:eastAsia="en-US"/>
    </w:rPr>
  </w:style>
  <w:style w:type="paragraph" w:customStyle="1" w:styleId="01TableHEADINGleftaligned">
    <w:name w:val="01 Table HEADING left aligned"/>
    <w:basedOn w:val="BodyText"/>
    <w:qFormat/>
    <w:rsid w:val="00B85972"/>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B85972"/>
    <w:pPr>
      <w:keepNext/>
      <w:spacing w:before="60"/>
      <w:ind w:left="57" w:right="57"/>
      <w:jc w:val="center"/>
    </w:pPr>
    <w:rPr>
      <w:rFonts w:ascii="Arial Narrow" w:eastAsia="Calibri" w:hAnsi="Arial Narrow"/>
      <w:b/>
      <w:sz w:val="18"/>
      <w:szCs w:val="24"/>
      <w:lang w:eastAsia="en-US"/>
    </w:rPr>
  </w:style>
  <w:style w:type="paragraph" w:customStyle="1" w:styleId="09Tablerightaligned">
    <w:name w:val="09 Table right aligned ($)"/>
    <w:rsid w:val="00B85972"/>
    <w:pPr>
      <w:spacing w:before="20"/>
      <w:ind w:left="57" w:right="170"/>
      <w:jc w:val="right"/>
    </w:pPr>
    <w:rPr>
      <w:rFonts w:ascii="Arial Narrow" w:eastAsia="Calibri" w:hAnsi="Arial Narrow"/>
      <w:sz w:val="18"/>
      <w:szCs w:val="24"/>
      <w:lang w:eastAsia="en-US"/>
    </w:rPr>
  </w:style>
  <w:style w:type="paragraph" w:customStyle="1" w:styleId="07Tablebullet">
    <w:name w:val="07 Table bullet"/>
    <w:rsid w:val="00B85972"/>
    <w:pPr>
      <w:numPr>
        <w:numId w:val="3"/>
      </w:numPr>
      <w:ind w:left="227" w:right="57" w:hanging="170"/>
    </w:pPr>
    <w:rPr>
      <w:rFonts w:ascii="Arial Narrow" w:eastAsia="Calibri" w:hAnsi="Arial Narrow"/>
      <w:sz w:val="18"/>
      <w:szCs w:val="24"/>
      <w:lang w:eastAsia="en-US"/>
    </w:rPr>
  </w:style>
  <w:style w:type="numbering" w:customStyle="1" w:styleId="Headings">
    <w:name w:val="Headings"/>
    <w:uiPriority w:val="99"/>
    <w:rsid w:val="00B85972"/>
    <w:pPr>
      <w:numPr>
        <w:numId w:val="10"/>
      </w:numPr>
    </w:pPr>
  </w:style>
  <w:style w:type="paragraph" w:styleId="TOC2">
    <w:name w:val="toc 2"/>
    <w:basedOn w:val="Normal"/>
    <w:next w:val="Normal"/>
    <w:autoRedefine/>
    <w:uiPriority w:val="39"/>
    <w:unhideWhenUsed/>
    <w:rsid w:val="00B85972"/>
    <w:pPr>
      <w:tabs>
        <w:tab w:val="left" w:pos="1134"/>
        <w:tab w:val="right" w:leader="dot" w:pos="9628"/>
      </w:tabs>
      <w:spacing w:before="60"/>
      <w:ind w:left="1134" w:right="567" w:hanging="567"/>
    </w:pPr>
  </w:style>
  <w:style w:type="paragraph" w:styleId="TOC1">
    <w:name w:val="toc 1"/>
    <w:autoRedefine/>
    <w:uiPriority w:val="39"/>
    <w:unhideWhenUsed/>
    <w:rsid w:val="00B85972"/>
    <w:pPr>
      <w:tabs>
        <w:tab w:val="right" w:leader="dot" w:pos="9628"/>
      </w:tabs>
      <w:spacing w:before="120" w:line="276" w:lineRule="auto"/>
      <w:ind w:left="1134" w:right="567" w:hanging="1134"/>
    </w:pPr>
    <w:rPr>
      <w:rFonts w:ascii="Cambria" w:eastAsia="Calibri" w:hAnsi="Cambria"/>
      <w:noProof/>
      <w:sz w:val="24"/>
      <w:szCs w:val="24"/>
      <w:lang w:eastAsia="en-US"/>
    </w:rPr>
  </w:style>
  <w:style w:type="paragraph" w:styleId="TOC3">
    <w:name w:val="toc 3"/>
    <w:basedOn w:val="Normal"/>
    <w:next w:val="Normal"/>
    <w:autoRedefine/>
    <w:uiPriority w:val="39"/>
    <w:unhideWhenUsed/>
    <w:rsid w:val="00B85972"/>
    <w:pPr>
      <w:tabs>
        <w:tab w:val="left" w:pos="1320"/>
        <w:tab w:val="right" w:leader="dot" w:pos="9628"/>
      </w:tabs>
      <w:ind w:left="1701" w:right="567" w:hanging="567"/>
    </w:pPr>
  </w:style>
  <w:style w:type="character" w:styleId="Hyperlink">
    <w:name w:val="Hyperlink"/>
    <w:uiPriority w:val="99"/>
    <w:unhideWhenUsed/>
    <w:rsid w:val="00B85972"/>
    <w:rPr>
      <w:color w:val="0000FF"/>
      <w:u w:val="single"/>
    </w:rPr>
  </w:style>
  <w:style w:type="paragraph" w:styleId="TOCHeading">
    <w:name w:val="TOC Heading"/>
    <w:next w:val="BodyText"/>
    <w:uiPriority w:val="39"/>
    <w:semiHidden/>
    <w:unhideWhenUsed/>
    <w:qFormat/>
    <w:rsid w:val="00B85972"/>
    <w:pPr>
      <w:keepNext/>
      <w:keepLines/>
      <w:spacing w:before="480"/>
    </w:pPr>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uiPriority w:val="99"/>
    <w:unhideWhenUsed/>
    <w:rsid w:val="00B85972"/>
    <w:rPr>
      <w:sz w:val="16"/>
      <w:szCs w:val="16"/>
    </w:rPr>
  </w:style>
  <w:style w:type="paragraph" w:styleId="CommentText">
    <w:name w:val="annotation text"/>
    <w:basedOn w:val="Normal"/>
    <w:link w:val="CommentTextChar"/>
    <w:uiPriority w:val="99"/>
    <w:unhideWhenUsed/>
    <w:rsid w:val="00B85972"/>
    <w:rPr>
      <w:sz w:val="20"/>
      <w:szCs w:val="20"/>
    </w:rPr>
  </w:style>
  <w:style w:type="character" w:customStyle="1" w:styleId="CommentTextChar">
    <w:name w:val="Comment Text Char"/>
    <w:basedOn w:val="DefaultParagraphFont"/>
    <w:link w:val="CommentText"/>
    <w:uiPriority w:val="99"/>
    <w:rsid w:val="00B85972"/>
    <w:rPr>
      <w:rFonts w:ascii="Cambria" w:eastAsia="Calibri" w:hAnsi="Cambria"/>
      <w:lang w:eastAsia="en-US"/>
    </w:rPr>
  </w:style>
  <w:style w:type="paragraph" w:styleId="CommentSubject">
    <w:name w:val="annotation subject"/>
    <w:basedOn w:val="CommentText"/>
    <w:next w:val="CommentText"/>
    <w:link w:val="CommentSubjectChar"/>
    <w:uiPriority w:val="99"/>
    <w:unhideWhenUsed/>
    <w:rsid w:val="00B85972"/>
    <w:rPr>
      <w:b/>
      <w:bCs/>
    </w:rPr>
  </w:style>
  <w:style w:type="character" w:customStyle="1" w:styleId="CommentSubjectChar">
    <w:name w:val="Comment Subject Char"/>
    <w:basedOn w:val="CommentTextChar"/>
    <w:link w:val="CommentSubject"/>
    <w:uiPriority w:val="99"/>
    <w:rsid w:val="00B85972"/>
    <w:rPr>
      <w:rFonts w:ascii="Cambria" w:eastAsia="Calibri" w:hAnsi="Cambria"/>
      <w:b/>
      <w:bCs/>
      <w:lang w:eastAsia="en-US"/>
    </w:rPr>
  </w:style>
  <w:style w:type="paragraph" w:styleId="BalloonText">
    <w:name w:val="Balloon Text"/>
    <w:basedOn w:val="Normal"/>
    <w:link w:val="BalloonTextChar"/>
    <w:uiPriority w:val="99"/>
    <w:unhideWhenUsed/>
    <w:rsid w:val="00B85972"/>
    <w:rPr>
      <w:rFonts w:ascii="Segoe UI" w:hAnsi="Segoe UI" w:cs="Segoe UI"/>
      <w:sz w:val="18"/>
      <w:szCs w:val="18"/>
    </w:rPr>
  </w:style>
  <w:style w:type="character" w:customStyle="1" w:styleId="BalloonTextChar">
    <w:name w:val="Balloon Text Char"/>
    <w:basedOn w:val="DefaultParagraphFont"/>
    <w:link w:val="BalloonText"/>
    <w:uiPriority w:val="99"/>
    <w:rsid w:val="00B85972"/>
    <w:rPr>
      <w:rFonts w:ascii="Segoe UI" w:eastAsia="Calibri" w:hAnsi="Segoe UI" w:cs="Segoe UI"/>
      <w:sz w:val="18"/>
      <w:szCs w:val="18"/>
      <w:lang w:eastAsia="en-US"/>
    </w:rPr>
  </w:style>
  <w:style w:type="paragraph" w:customStyle="1" w:styleId="Picturewithbox">
    <w:name w:val="Picture with box"/>
    <w:next w:val="11TableorFigurefootnotenostick"/>
    <w:qFormat/>
    <w:rsid w:val="00B85972"/>
    <w:pPr>
      <w:pBdr>
        <w:top w:val="single" w:sz="4" w:space="4" w:color="auto"/>
        <w:left w:val="single" w:sz="4" w:space="0" w:color="auto"/>
        <w:bottom w:val="single" w:sz="4" w:space="4" w:color="auto"/>
        <w:right w:val="single" w:sz="4" w:space="0" w:color="auto"/>
      </w:pBdr>
      <w:jc w:val="center"/>
    </w:pPr>
    <w:rPr>
      <w:rFonts w:ascii="Cambria" w:eastAsia="Calibri" w:hAnsi="Cambria"/>
      <w:sz w:val="24"/>
      <w:szCs w:val="24"/>
      <w:lang w:eastAsia="en-US"/>
    </w:rPr>
  </w:style>
  <w:style w:type="paragraph" w:styleId="TableofFigures">
    <w:name w:val="table of figures"/>
    <w:aliases w:val="- TOC for list of Figures or Tables"/>
    <w:uiPriority w:val="99"/>
    <w:unhideWhenUsed/>
    <w:rsid w:val="00B85972"/>
    <w:pPr>
      <w:ind w:left="1418" w:right="567" w:hanging="1418"/>
    </w:pPr>
    <w:rPr>
      <w:rFonts w:ascii="Cambria" w:eastAsia="Calibri" w:hAnsi="Cambria"/>
      <w:sz w:val="24"/>
      <w:szCs w:val="24"/>
      <w:lang w:eastAsia="en-US"/>
    </w:rPr>
  </w:style>
  <w:style w:type="paragraph" w:customStyle="1" w:styleId="Titlepage">
    <w:name w:val="Title page"/>
    <w:qFormat/>
    <w:rsid w:val="00B85972"/>
    <w:pPr>
      <w:spacing w:before="120" w:line="276" w:lineRule="auto"/>
      <w:jc w:val="center"/>
    </w:pPr>
    <w:rPr>
      <w:rFonts w:ascii="Cambria" w:eastAsia="Calibri" w:hAnsi="Cambria"/>
      <w:sz w:val="40"/>
      <w:szCs w:val="40"/>
      <w:lang w:eastAsia="en-US"/>
    </w:rPr>
  </w:style>
  <w:style w:type="character" w:customStyle="1" w:styleId="Heading6Char">
    <w:name w:val="Heading 6 Char"/>
    <w:link w:val="Heading6"/>
    <w:rsid w:val="00A67954"/>
    <w:rPr>
      <w:rFonts w:ascii="Cambria" w:eastAsia="Calibri" w:hAnsi="Cambria"/>
      <w:b/>
      <w:bCs/>
      <w:i/>
      <w:sz w:val="24"/>
      <w:szCs w:val="22"/>
      <w:lang w:eastAsia="en-US"/>
    </w:rPr>
  </w:style>
  <w:style w:type="paragraph" w:styleId="Footer">
    <w:name w:val="footer"/>
    <w:link w:val="FooterChar"/>
    <w:uiPriority w:val="99"/>
    <w:unhideWhenUsed/>
    <w:rsid w:val="00B85972"/>
    <w:pPr>
      <w:pBdr>
        <w:top w:val="single" w:sz="4" w:space="1" w:color="auto"/>
      </w:pBdr>
    </w:pPr>
    <w:rPr>
      <w:rFonts w:ascii="Cambria" w:eastAsia="Calibri" w:hAnsi="Cambria"/>
      <w:szCs w:val="24"/>
      <w:lang w:eastAsia="en-US"/>
    </w:rPr>
  </w:style>
  <w:style w:type="character" w:customStyle="1" w:styleId="FooterChar">
    <w:name w:val="Footer Char"/>
    <w:basedOn w:val="DefaultParagraphFont"/>
    <w:link w:val="Footer"/>
    <w:uiPriority w:val="99"/>
    <w:rsid w:val="00B85972"/>
    <w:rPr>
      <w:rFonts w:ascii="Cambria" w:eastAsia="Calibri" w:hAnsi="Cambria"/>
      <w:szCs w:val="24"/>
      <w:lang w:eastAsia="en-US"/>
    </w:rPr>
  </w:style>
  <w:style w:type="paragraph" w:styleId="Header">
    <w:name w:val="header"/>
    <w:link w:val="HeaderChar"/>
    <w:uiPriority w:val="99"/>
    <w:unhideWhenUsed/>
    <w:rsid w:val="00B85972"/>
    <w:pPr>
      <w:pBdr>
        <w:bottom w:val="single" w:sz="4" w:space="1" w:color="auto"/>
      </w:pBdr>
      <w:tabs>
        <w:tab w:val="center" w:pos="4513"/>
        <w:tab w:val="right" w:pos="9026"/>
      </w:tabs>
      <w:spacing w:after="240"/>
    </w:pPr>
    <w:rPr>
      <w:rFonts w:ascii="Cambria" w:eastAsia="Calibri" w:hAnsi="Cambria"/>
      <w:szCs w:val="24"/>
      <w:lang w:eastAsia="en-US"/>
    </w:rPr>
  </w:style>
  <w:style w:type="character" w:customStyle="1" w:styleId="HeaderChar">
    <w:name w:val="Header Char"/>
    <w:basedOn w:val="DefaultParagraphFont"/>
    <w:link w:val="Header"/>
    <w:uiPriority w:val="99"/>
    <w:rsid w:val="00B85972"/>
    <w:rPr>
      <w:rFonts w:ascii="Cambria" w:eastAsia="Calibri" w:hAnsi="Cambria"/>
      <w:szCs w:val="24"/>
      <w:lang w:eastAsia="en-US"/>
    </w:rPr>
  </w:style>
  <w:style w:type="character" w:customStyle="1" w:styleId="BullettextChar">
    <w:name w:val="Bullet text Char"/>
    <w:link w:val="Bullettext"/>
    <w:rsid w:val="00B85972"/>
    <w:rPr>
      <w:rFonts w:ascii="Cambria" w:eastAsia="Calibri" w:hAnsi="Cambria"/>
      <w:sz w:val="24"/>
      <w:szCs w:val="24"/>
      <w:lang w:eastAsia="en-US"/>
    </w:rPr>
  </w:style>
  <w:style w:type="paragraph" w:styleId="FootnoteText">
    <w:name w:val="footnote text"/>
    <w:basedOn w:val="Normal"/>
    <w:link w:val="FootnoteTextChar"/>
    <w:uiPriority w:val="99"/>
    <w:unhideWhenUsed/>
    <w:rsid w:val="00B85972"/>
    <w:rPr>
      <w:rFonts w:ascii="Arial Narrow" w:hAnsi="Arial Narrow"/>
      <w:sz w:val="18"/>
      <w:szCs w:val="20"/>
    </w:rPr>
  </w:style>
  <w:style w:type="character" w:customStyle="1" w:styleId="FootnoteTextChar">
    <w:name w:val="Footnote Text Char"/>
    <w:basedOn w:val="DefaultParagraphFont"/>
    <w:link w:val="FootnoteText"/>
    <w:uiPriority w:val="99"/>
    <w:rsid w:val="00B85972"/>
    <w:rPr>
      <w:rFonts w:ascii="Arial Narrow" w:eastAsia="Calibri" w:hAnsi="Arial Narrow"/>
      <w:sz w:val="18"/>
      <w:lang w:eastAsia="en-US"/>
    </w:rPr>
  </w:style>
  <w:style w:type="paragraph" w:styleId="TOAHeading">
    <w:name w:val="toa heading"/>
    <w:basedOn w:val="Normal"/>
    <w:next w:val="Normal"/>
    <w:uiPriority w:val="99"/>
    <w:unhideWhenUsed/>
    <w:rsid w:val="00B85972"/>
    <w:rPr>
      <w:rFonts w:asciiTheme="majorHAnsi" w:eastAsiaTheme="majorEastAsia" w:hAnsiTheme="majorHAnsi" w:cstheme="majorBidi"/>
      <w:b/>
      <w:bCs/>
    </w:rPr>
  </w:style>
  <w:style w:type="paragraph" w:customStyle="1" w:styleId="TableorFigurefootnote">
    <w:name w:val="Table or Figure footnote"/>
    <w:next w:val="BodyText"/>
    <w:rsid w:val="00B85972"/>
    <w:pPr>
      <w:spacing w:after="240"/>
      <w:contextualSpacing/>
    </w:pPr>
    <w:rPr>
      <w:rFonts w:ascii="Garamond" w:eastAsia="Calibri" w:hAnsi="Garamond"/>
      <w:sz w:val="16"/>
      <w:szCs w:val="22"/>
      <w:lang w:eastAsia="en-US"/>
    </w:rPr>
  </w:style>
  <w:style w:type="character" w:styleId="FootnoteReference">
    <w:name w:val="footnote reference"/>
    <w:uiPriority w:val="99"/>
    <w:unhideWhenUsed/>
    <w:rsid w:val="00B85972"/>
    <w:rPr>
      <w:vertAlign w:val="superscript"/>
    </w:rPr>
  </w:style>
  <w:style w:type="paragraph" w:customStyle="1" w:styleId="08Tablebulletsecondlevel">
    <w:name w:val="08 Table bullet second level"/>
    <w:rsid w:val="00B85972"/>
    <w:pPr>
      <w:numPr>
        <w:numId w:val="5"/>
      </w:numPr>
      <w:ind w:left="397" w:hanging="170"/>
    </w:pPr>
    <w:rPr>
      <w:rFonts w:ascii="Arial Narrow" w:eastAsia="Calibri" w:hAnsi="Arial Narrow"/>
      <w:sz w:val="18"/>
      <w:szCs w:val="24"/>
      <w:lang w:eastAsia="en-US"/>
    </w:rPr>
  </w:style>
  <w:style w:type="paragraph" w:customStyle="1" w:styleId="03TableHEADINGrightaligned">
    <w:name w:val="03 Table HEADING right aligned ($)"/>
    <w:rsid w:val="00B85972"/>
    <w:pPr>
      <w:keepNext/>
      <w:spacing w:before="60"/>
      <w:ind w:left="57" w:right="170"/>
      <w:jc w:val="right"/>
    </w:pPr>
    <w:rPr>
      <w:rFonts w:ascii="Arial Narrow" w:eastAsia="Calibri" w:hAnsi="Arial Narrow"/>
      <w:b/>
      <w:sz w:val="18"/>
      <w:szCs w:val="24"/>
      <w:lang w:eastAsia="en-US"/>
    </w:rPr>
  </w:style>
  <w:style w:type="paragraph" w:styleId="Revision">
    <w:name w:val="Revision"/>
    <w:hidden/>
    <w:uiPriority w:val="99"/>
    <w:semiHidden/>
    <w:rsid w:val="00B85972"/>
    <w:rPr>
      <w:rFonts w:ascii="Cambria" w:eastAsia="Calibri" w:hAnsi="Cambria"/>
      <w:sz w:val="24"/>
      <w:szCs w:val="24"/>
      <w:lang w:eastAsia="en-US"/>
    </w:rPr>
  </w:style>
  <w:style w:type="paragraph" w:styleId="EndnoteText">
    <w:name w:val="endnote text"/>
    <w:basedOn w:val="Normal"/>
    <w:link w:val="EndnoteTextChar"/>
    <w:uiPriority w:val="99"/>
    <w:unhideWhenUsed/>
    <w:rsid w:val="00B85972"/>
    <w:rPr>
      <w:sz w:val="20"/>
      <w:szCs w:val="20"/>
    </w:rPr>
  </w:style>
  <w:style w:type="character" w:customStyle="1" w:styleId="EndnoteTextChar">
    <w:name w:val="Endnote Text Char"/>
    <w:basedOn w:val="DefaultParagraphFont"/>
    <w:link w:val="EndnoteText"/>
    <w:uiPriority w:val="99"/>
    <w:rsid w:val="00B85972"/>
    <w:rPr>
      <w:rFonts w:ascii="Cambria" w:eastAsia="Calibri" w:hAnsi="Cambria"/>
      <w:lang w:eastAsia="en-US"/>
    </w:rPr>
  </w:style>
  <w:style w:type="character" w:styleId="EndnoteReference">
    <w:name w:val="endnote reference"/>
    <w:uiPriority w:val="99"/>
    <w:unhideWhenUsed/>
    <w:rsid w:val="00B85972"/>
    <w:rPr>
      <w:vertAlign w:val="superscript"/>
    </w:rPr>
  </w:style>
  <w:style w:type="paragraph" w:customStyle="1" w:styleId="Default">
    <w:name w:val="Default"/>
    <w:rsid w:val="00B85972"/>
    <w:pPr>
      <w:autoSpaceDE w:val="0"/>
      <w:autoSpaceDN w:val="0"/>
      <w:adjustRightInd w:val="0"/>
    </w:pPr>
    <w:rPr>
      <w:rFonts w:ascii="Calibri" w:eastAsia="Calibri" w:hAnsi="Calibri" w:cs="Calibri"/>
      <w:color w:val="000000"/>
      <w:sz w:val="24"/>
      <w:szCs w:val="24"/>
      <w:lang w:eastAsia="en-US"/>
    </w:rPr>
  </w:style>
  <w:style w:type="paragraph" w:customStyle="1" w:styleId="04Tablesubheading">
    <w:name w:val="04 Table subheading"/>
    <w:rsid w:val="00B85972"/>
    <w:pPr>
      <w:keepNext/>
      <w:spacing w:before="20"/>
      <w:ind w:left="57" w:right="57"/>
    </w:pPr>
    <w:rPr>
      <w:rFonts w:ascii="Arial Narrow" w:eastAsia="Calibri" w:hAnsi="Arial Narrow"/>
      <w:b/>
      <w:sz w:val="18"/>
      <w:szCs w:val="24"/>
      <w:lang w:eastAsia="en-US"/>
    </w:rPr>
  </w:style>
  <w:style w:type="paragraph" w:customStyle="1" w:styleId="FooterwithLandscape">
    <w:name w:val="Footer with # Landscape"/>
    <w:qFormat/>
    <w:rsid w:val="00B85972"/>
    <w:pPr>
      <w:pBdr>
        <w:top w:val="single" w:sz="4" w:space="1" w:color="auto"/>
      </w:pBdr>
      <w:tabs>
        <w:tab w:val="right" w:pos="14572"/>
      </w:tabs>
      <w:spacing w:before="240"/>
    </w:pPr>
    <w:rPr>
      <w:rFonts w:ascii="Cambria" w:eastAsia="Calibri" w:hAnsi="Cambria"/>
      <w:szCs w:val="24"/>
      <w:lang w:eastAsia="en-US"/>
    </w:rPr>
  </w:style>
  <w:style w:type="paragraph" w:customStyle="1" w:styleId="FooterwithPortrait">
    <w:name w:val="Footer with # Portrait"/>
    <w:basedOn w:val="FooterwithLandscape"/>
    <w:qFormat/>
    <w:rsid w:val="00B85972"/>
    <w:pPr>
      <w:tabs>
        <w:tab w:val="clear" w:pos="14572"/>
        <w:tab w:val="right" w:pos="9639"/>
      </w:tabs>
    </w:pPr>
  </w:style>
  <w:style w:type="character" w:styleId="FollowedHyperlink">
    <w:name w:val="FollowedHyperlink"/>
    <w:uiPriority w:val="99"/>
    <w:unhideWhenUsed/>
    <w:rsid w:val="00B85972"/>
    <w:rPr>
      <w:color w:val="800080"/>
      <w:u w:val="single"/>
    </w:rPr>
  </w:style>
  <w:style w:type="paragraph" w:customStyle="1" w:styleId="08Bulletsseriesofsentences">
    <w:name w:val="08. Bullets – series of sentences"/>
    <w:link w:val="08BulletsseriesofsentencesChar"/>
    <w:rsid w:val="00B85972"/>
    <w:pPr>
      <w:numPr>
        <w:numId w:val="6"/>
      </w:numPr>
      <w:spacing w:before="120"/>
      <w:ind w:left="357" w:hanging="357"/>
    </w:pPr>
    <w:rPr>
      <w:rFonts w:ascii="Garamond" w:eastAsia="Calibri" w:hAnsi="Garamond"/>
      <w:sz w:val="24"/>
      <w:szCs w:val="22"/>
      <w:lang w:eastAsia="en-US"/>
    </w:rPr>
  </w:style>
  <w:style w:type="character" w:customStyle="1" w:styleId="08BulletsseriesofsentencesChar">
    <w:name w:val="08. Bullets – series of sentences Char"/>
    <w:link w:val="08Bulletsseriesofsentences"/>
    <w:rsid w:val="00B85972"/>
    <w:rPr>
      <w:rFonts w:ascii="Garamond" w:eastAsia="Calibri" w:hAnsi="Garamond"/>
      <w:sz w:val="24"/>
      <w:szCs w:val="22"/>
      <w:lang w:eastAsia="en-US"/>
    </w:rPr>
  </w:style>
  <w:style w:type="numbering" w:customStyle="1" w:styleId="NoList1">
    <w:name w:val="No List1"/>
    <w:next w:val="NoList"/>
    <w:uiPriority w:val="99"/>
    <w:semiHidden/>
    <w:unhideWhenUsed/>
    <w:rsid w:val="00B85972"/>
  </w:style>
  <w:style w:type="table" w:customStyle="1" w:styleId="TableGrid1">
    <w:name w:val="Table Grid1"/>
    <w:basedOn w:val="TableNormal"/>
    <w:next w:val="TableGrid"/>
    <w:uiPriority w:val="59"/>
    <w:rsid w:val="00B85972"/>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85972"/>
    <w:pPr>
      <w:numPr>
        <w:numId w:val="7"/>
      </w:numPr>
    </w:pPr>
  </w:style>
  <w:style w:type="numbering" w:styleId="111111">
    <w:name w:val="Outline List 2"/>
    <w:basedOn w:val="NoList"/>
    <w:uiPriority w:val="99"/>
    <w:unhideWhenUsed/>
    <w:rsid w:val="00B85972"/>
    <w:pPr>
      <w:numPr>
        <w:numId w:val="8"/>
      </w:numPr>
    </w:pPr>
  </w:style>
  <w:style w:type="numbering" w:customStyle="1" w:styleId="NoList2">
    <w:name w:val="No List2"/>
    <w:next w:val="NoList"/>
    <w:uiPriority w:val="99"/>
    <w:semiHidden/>
    <w:unhideWhenUsed/>
    <w:rsid w:val="00B85972"/>
  </w:style>
  <w:style w:type="table" w:customStyle="1" w:styleId="TableGrid2">
    <w:name w:val="Table Grid2"/>
    <w:basedOn w:val="TableNormal"/>
    <w:next w:val="TableGrid"/>
    <w:uiPriority w:val="59"/>
    <w:rsid w:val="00B85972"/>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B85972"/>
    <w:pPr>
      <w:numPr>
        <w:numId w:val="4"/>
      </w:numPr>
    </w:pPr>
  </w:style>
  <w:style w:type="numbering" w:customStyle="1" w:styleId="1111111">
    <w:name w:val="1 / 1.1 / 1.1.11"/>
    <w:basedOn w:val="NoList"/>
    <w:next w:val="111111"/>
    <w:uiPriority w:val="99"/>
    <w:semiHidden/>
    <w:unhideWhenUsed/>
    <w:rsid w:val="00B85972"/>
    <w:pPr>
      <w:numPr>
        <w:numId w:val="9"/>
      </w:numPr>
    </w:pPr>
  </w:style>
  <w:style w:type="paragraph" w:styleId="TOC4">
    <w:name w:val="toc 4"/>
    <w:basedOn w:val="Normal"/>
    <w:next w:val="Normal"/>
    <w:autoRedefine/>
    <w:uiPriority w:val="39"/>
    <w:unhideWhenUsed/>
    <w:rsid w:val="00B85972"/>
    <w:pPr>
      <w:tabs>
        <w:tab w:val="left" w:pos="1588"/>
        <w:tab w:val="right" w:leader="dot" w:pos="9639"/>
      </w:tabs>
      <w:ind w:left="680" w:right="567" w:hanging="680"/>
    </w:pPr>
    <w:rPr>
      <w:rFonts w:eastAsia="Times New Roman"/>
      <w:szCs w:val="22"/>
      <w:lang w:eastAsia="en-AU"/>
    </w:rPr>
  </w:style>
  <w:style w:type="paragraph" w:styleId="TOC5">
    <w:name w:val="toc 5"/>
    <w:basedOn w:val="Normal"/>
    <w:next w:val="Normal"/>
    <w:autoRedefine/>
    <w:uiPriority w:val="39"/>
    <w:unhideWhenUsed/>
    <w:rsid w:val="00B85972"/>
    <w:pPr>
      <w:spacing w:after="100" w:line="259"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B85972"/>
    <w:pPr>
      <w:spacing w:after="100" w:line="259"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B85972"/>
    <w:pPr>
      <w:spacing w:after="100" w:line="259"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B85972"/>
    <w:pPr>
      <w:spacing w:after="100" w:line="259"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B85972"/>
    <w:pPr>
      <w:spacing w:after="100" w:line="259" w:lineRule="auto"/>
      <w:ind w:left="1760"/>
    </w:pPr>
    <w:rPr>
      <w:rFonts w:ascii="Calibri" w:eastAsia="Times New Roman" w:hAnsi="Calibri"/>
      <w:sz w:val="22"/>
      <w:szCs w:val="22"/>
      <w:lang w:eastAsia="en-AU"/>
    </w:rPr>
  </w:style>
  <w:style w:type="paragraph" w:customStyle="1" w:styleId="References">
    <w:name w:val="References"/>
    <w:rsid w:val="00B85972"/>
    <w:pPr>
      <w:spacing w:before="80"/>
      <w:ind w:left="284" w:hanging="284"/>
    </w:pPr>
    <w:rPr>
      <w:rFonts w:ascii="Cambria" w:eastAsia="Calibri" w:hAnsi="Cambria"/>
      <w:sz w:val="18"/>
      <w:szCs w:val="24"/>
      <w:lang w:eastAsia="en-US"/>
    </w:rPr>
  </w:style>
  <w:style w:type="paragraph" w:styleId="NormalWeb">
    <w:name w:val="Normal (Web)"/>
    <w:basedOn w:val="Normal"/>
    <w:uiPriority w:val="99"/>
    <w:unhideWhenUsed/>
    <w:rsid w:val="00B85972"/>
    <w:pPr>
      <w:spacing w:before="100" w:beforeAutospacing="1" w:after="100" w:afterAutospacing="1"/>
    </w:pPr>
    <w:rPr>
      <w:rFonts w:eastAsia="Times New Roman"/>
      <w:lang w:eastAsia="en-AU"/>
    </w:rPr>
  </w:style>
  <w:style w:type="character" w:customStyle="1" w:styleId="ListParagraphChar">
    <w:name w:val="List Paragraph Char"/>
    <w:aliases w:val="Footnote Char,BulletPoints Char"/>
    <w:basedOn w:val="DefaultParagraphFont"/>
    <w:link w:val="ListParagraph"/>
    <w:uiPriority w:val="34"/>
    <w:rsid w:val="007A00B1"/>
    <w:rPr>
      <w:rFonts w:eastAsia="Calibri"/>
      <w:sz w:val="24"/>
      <w:szCs w:val="24"/>
      <w:lang w:eastAsia="en-US"/>
    </w:rPr>
  </w:style>
  <w:style w:type="paragraph" w:customStyle="1" w:styleId="TR5TableHeader">
    <w:name w:val="TR5 Table Header"/>
    <w:basedOn w:val="Caption"/>
    <w:link w:val="TR5TableHeaderChar"/>
    <w:qFormat/>
    <w:rsid w:val="0026487B"/>
    <w:pPr>
      <w:keepNext/>
      <w:keepLines/>
      <w:tabs>
        <w:tab w:val="left" w:pos="1134"/>
      </w:tabs>
      <w:spacing w:before="240" w:after="40"/>
      <w:ind w:left="1134" w:hanging="1134"/>
      <w:jc w:val="both"/>
    </w:pPr>
    <w:rPr>
      <w:rFonts w:ascii="Arial" w:hAnsi="Arial"/>
      <w:bCs w:val="0"/>
      <w:iCs/>
      <w:color w:val="auto"/>
      <w:sz w:val="20"/>
    </w:rPr>
  </w:style>
  <w:style w:type="paragraph" w:customStyle="1" w:styleId="ToR5FigureHeader">
    <w:name w:val="ToR 5 Figure Header"/>
    <w:basedOn w:val="Caption"/>
    <w:link w:val="ToR5FigureHeaderChar"/>
    <w:qFormat/>
    <w:rsid w:val="0026487B"/>
    <w:pPr>
      <w:keepNext/>
      <w:tabs>
        <w:tab w:val="left" w:pos="1134"/>
      </w:tabs>
      <w:spacing w:before="240" w:after="40"/>
      <w:ind w:left="1134" w:hanging="1134"/>
      <w:jc w:val="both"/>
    </w:pPr>
    <w:rPr>
      <w:rFonts w:ascii="Arial" w:hAnsi="Arial"/>
      <w:bCs w:val="0"/>
      <w:iCs/>
      <w:color w:val="auto"/>
      <w:sz w:val="20"/>
    </w:rPr>
  </w:style>
  <w:style w:type="character" w:customStyle="1" w:styleId="CaptionChar">
    <w:name w:val="Caption Char"/>
    <w:basedOn w:val="DefaultParagraphFont"/>
    <w:link w:val="Caption"/>
    <w:uiPriority w:val="35"/>
    <w:rsid w:val="0026487B"/>
    <w:rPr>
      <w:rFonts w:eastAsia="Calibri"/>
      <w:b/>
      <w:bCs/>
      <w:color w:val="4F81BD" w:themeColor="accent1"/>
      <w:sz w:val="18"/>
      <w:szCs w:val="18"/>
      <w:lang w:eastAsia="en-US"/>
    </w:rPr>
  </w:style>
  <w:style w:type="character" w:customStyle="1" w:styleId="TR5TableHeaderChar">
    <w:name w:val="TR5 Table Header Char"/>
    <w:basedOn w:val="CaptionChar"/>
    <w:link w:val="TR5TableHeader"/>
    <w:rsid w:val="0026487B"/>
    <w:rPr>
      <w:rFonts w:ascii="Arial" w:eastAsia="Calibri" w:hAnsi="Arial"/>
      <w:b/>
      <w:bCs w:val="0"/>
      <w:iCs/>
      <w:color w:val="4F81BD" w:themeColor="accent1"/>
      <w:sz w:val="18"/>
      <w:szCs w:val="18"/>
      <w:lang w:eastAsia="en-US"/>
    </w:rPr>
  </w:style>
  <w:style w:type="character" w:customStyle="1" w:styleId="ToR5FigureHeaderChar">
    <w:name w:val="ToR 5 Figure Header Char"/>
    <w:basedOn w:val="CaptionChar"/>
    <w:link w:val="ToR5FigureHeader"/>
    <w:rsid w:val="0026487B"/>
    <w:rPr>
      <w:rFonts w:ascii="Arial" w:eastAsia="Calibri" w:hAnsi="Arial"/>
      <w:b/>
      <w:bCs w:val="0"/>
      <w:i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3732">
      <w:bodyDiv w:val="1"/>
      <w:marLeft w:val="0"/>
      <w:marRight w:val="0"/>
      <w:marTop w:val="0"/>
      <w:marBottom w:val="0"/>
      <w:divBdr>
        <w:top w:val="none" w:sz="0" w:space="0" w:color="auto"/>
        <w:left w:val="none" w:sz="0" w:space="0" w:color="auto"/>
        <w:bottom w:val="none" w:sz="0" w:space="0" w:color="auto"/>
        <w:right w:val="none" w:sz="0" w:space="0" w:color="auto"/>
      </w:divBdr>
    </w:div>
    <w:div w:id="586773445">
      <w:bodyDiv w:val="1"/>
      <w:marLeft w:val="0"/>
      <w:marRight w:val="0"/>
      <w:marTop w:val="0"/>
      <w:marBottom w:val="0"/>
      <w:divBdr>
        <w:top w:val="none" w:sz="0" w:space="0" w:color="auto"/>
        <w:left w:val="none" w:sz="0" w:space="0" w:color="auto"/>
        <w:bottom w:val="none" w:sz="0" w:space="0" w:color="auto"/>
        <w:right w:val="none" w:sz="0" w:space="0" w:color="auto"/>
      </w:divBdr>
    </w:div>
    <w:div w:id="590506690">
      <w:bodyDiv w:val="1"/>
      <w:marLeft w:val="0"/>
      <w:marRight w:val="0"/>
      <w:marTop w:val="0"/>
      <w:marBottom w:val="0"/>
      <w:divBdr>
        <w:top w:val="none" w:sz="0" w:space="0" w:color="auto"/>
        <w:left w:val="none" w:sz="0" w:space="0" w:color="auto"/>
        <w:bottom w:val="none" w:sz="0" w:space="0" w:color="auto"/>
        <w:right w:val="none" w:sz="0" w:space="0" w:color="auto"/>
      </w:divBdr>
    </w:div>
    <w:div w:id="593053014">
      <w:bodyDiv w:val="1"/>
      <w:marLeft w:val="0"/>
      <w:marRight w:val="0"/>
      <w:marTop w:val="0"/>
      <w:marBottom w:val="0"/>
      <w:divBdr>
        <w:top w:val="none" w:sz="0" w:space="0" w:color="auto"/>
        <w:left w:val="none" w:sz="0" w:space="0" w:color="auto"/>
        <w:bottom w:val="none" w:sz="0" w:space="0" w:color="auto"/>
        <w:right w:val="none" w:sz="0" w:space="0" w:color="auto"/>
      </w:divBdr>
    </w:div>
    <w:div w:id="749814129">
      <w:bodyDiv w:val="1"/>
      <w:marLeft w:val="0"/>
      <w:marRight w:val="0"/>
      <w:marTop w:val="0"/>
      <w:marBottom w:val="0"/>
      <w:divBdr>
        <w:top w:val="none" w:sz="0" w:space="0" w:color="auto"/>
        <w:left w:val="none" w:sz="0" w:space="0" w:color="auto"/>
        <w:bottom w:val="none" w:sz="0" w:space="0" w:color="auto"/>
        <w:right w:val="none" w:sz="0" w:space="0" w:color="auto"/>
      </w:divBdr>
    </w:div>
    <w:div w:id="776603768">
      <w:bodyDiv w:val="1"/>
      <w:marLeft w:val="0"/>
      <w:marRight w:val="0"/>
      <w:marTop w:val="0"/>
      <w:marBottom w:val="0"/>
      <w:divBdr>
        <w:top w:val="none" w:sz="0" w:space="0" w:color="auto"/>
        <w:left w:val="none" w:sz="0" w:space="0" w:color="auto"/>
        <w:bottom w:val="none" w:sz="0" w:space="0" w:color="auto"/>
        <w:right w:val="none" w:sz="0" w:space="0" w:color="auto"/>
      </w:divBdr>
    </w:div>
    <w:div w:id="965895438">
      <w:bodyDiv w:val="1"/>
      <w:marLeft w:val="0"/>
      <w:marRight w:val="0"/>
      <w:marTop w:val="0"/>
      <w:marBottom w:val="0"/>
      <w:divBdr>
        <w:top w:val="none" w:sz="0" w:space="0" w:color="auto"/>
        <w:left w:val="none" w:sz="0" w:space="0" w:color="auto"/>
        <w:bottom w:val="none" w:sz="0" w:space="0" w:color="auto"/>
        <w:right w:val="none" w:sz="0" w:space="0" w:color="auto"/>
      </w:divBdr>
    </w:div>
    <w:div w:id="1251308740">
      <w:bodyDiv w:val="1"/>
      <w:marLeft w:val="0"/>
      <w:marRight w:val="0"/>
      <w:marTop w:val="0"/>
      <w:marBottom w:val="0"/>
      <w:divBdr>
        <w:top w:val="none" w:sz="0" w:space="0" w:color="auto"/>
        <w:left w:val="none" w:sz="0" w:space="0" w:color="auto"/>
        <w:bottom w:val="none" w:sz="0" w:space="0" w:color="auto"/>
        <w:right w:val="none" w:sz="0" w:space="0" w:color="auto"/>
      </w:divBdr>
    </w:div>
    <w:div w:id="1704744100">
      <w:bodyDiv w:val="1"/>
      <w:marLeft w:val="0"/>
      <w:marRight w:val="0"/>
      <w:marTop w:val="0"/>
      <w:marBottom w:val="0"/>
      <w:divBdr>
        <w:top w:val="none" w:sz="0" w:space="0" w:color="auto"/>
        <w:left w:val="none" w:sz="0" w:space="0" w:color="auto"/>
        <w:bottom w:val="none" w:sz="0" w:space="0" w:color="auto"/>
        <w:right w:val="none" w:sz="0" w:space="0" w:color="auto"/>
      </w:divBdr>
    </w:div>
    <w:div w:id="17509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3.jpe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yperlink" Target="http://www.nps.org.au/health-professionals/medicinein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10001</Words>
  <Characters>57007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2017-07-03T07:25:00Z</dcterms:created>
  <dcterms:modified xsi:type="dcterms:W3CDTF">2018-01-23T03:16:00Z</dcterms:modified>
</cp:coreProperties>
</file>